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6"/>
        <w:ind w:firstLine="0"/>
        <w:jc w:val="left"/>
        <w:rPr>
          <w:rFonts w:hint="eastAsia" w:eastAsia="黑体"/>
          <w:b/>
          <w:bCs/>
          <w:color w:val="auto"/>
          <w:sz w:val="84"/>
          <w:highlight w:val="none"/>
          <w:shd w:val="clear" w:color="ffffff" w:fill="d9d9d9"/>
        </w:rPr>
      </w:pPr>
      <w:r>
        <w:rPr>
          <w:rFonts w:hint="eastAsia" w:eastAsia="黑体"/>
          <w:b/>
          <w:bCs/>
          <w:color w:val="auto"/>
          <w:sz w:val="84"/>
          <w:highlight w:val="none"/>
          <w:shd w:val="clear" w:color="ffffff" w:fill="d9d9d9"/>
        </w:rPr>
      </w:r>
      <w:r>
        <w:rPr>
          <w:color w:val="auto"/>
          <w:highlight w:val="none"/>
        </w:rPr>
      </w:r>
      <w:r>
        <w:rPr>
          <w:color w:val="auto"/>
          <w:highlight w:val="none"/>
        </w:rPr>
      </w:r>
    </w:p>
    <w:p>
      <w:pPr>
        <w:pStyle w:val="896"/>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rPr>
          <w:color w:val="auto"/>
          <w:highlight w:val="none"/>
        </w:rPr>
      </w:r>
      <w:r>
        <w:rPr>
          <w:color w:val="auto"/>
          <w:highlight w:val="none"/>
        </w:rPr>
      </w:r>
    </w:p>
    <w:p>
      <w:pPr>
        <w:pStyle w:val="896"/>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t xml:space="preserve">（暗标）</w:t>
      </w:r>
      <w:r>
        <w:rPr>
          <w:color w:val="auto"/>
          <w:highlight w:val="none"/>
        </w:rPr>
      </w:r>
      <w:r>
        <w:rPr>
          <w:color w:val="auto"/>
          <w:highlight w:val="none"/>
        </w:rPr>
      </w:r>
    </w:p>
    <w:p>
      <w:pPr>
        <w:pStyle w:val="896"/>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r>
        <w:rPr>
          <w:color w:val="auto"/>
          <w:highlight w:val="none"/>
        </w:rPr>
      </w:r>
    </w:p>
    <w:p>
      <w:pPr>
        <w:pStyle w:val="896"/>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r>
        <w:rPr>
          <w:color w:val="auto"/>
          <w:highlight w:val="none"/>
        </w:rPr>
      </w:r>
    </w:p>
    <w:p>
      <w:pPr>
        <w:pStyle w:val="896"/>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r>
        <w:rPr>
          <w:color w:val="auto"/>
          <w:highlight w:val="none"/>
        </w:rPr>
      </w:r>
    </w:p>
    <w:p>
      <w:pPr>
        <w:pStyle w:val="808"/>
        <w:ind w:firstLine="192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rPr>
        <w:t xml:space="preserve">JSZC-320200-JZCG-G2024-0086</w:t>
      </w:r>
      <w:r>
        <w:rPr>
          <w:color w:val="auto"/>
          <w:highlight w:val="none"/>
        </w:rPr>
      </w:r>
      <w:r>
        <w:rPr>
          <w:color w:val="auto"/>
          <w:highlight w:val="none"/>
        </w:rPr>
      </w:r>
    </w:p>
    <w:p>
      <w:pPr>
        <w:pStyle w:val="808"/>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rPr>
        <w:t xml:space="preserve">“感知环境、智慧环保”无锡环境监控物联网应用示范工程运行维护服务</w:t>
      </w:r>
      <w:r>
        <w:rPr>
          <w:color w:val="auto"/>
          <w:highlight w:val="none"/>
        </w:rPr>
      </w:r>
      <w:r>
        <w:rPr>
          <w:color w:val="auto"/>
          <w:highlight w:val="none"/>
        </w:rPr>
      </w:r>
    </w:p>
    <w:p>
      <w:pPr>
        <w:pStyle w:val="808"/>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rPr>
        <w:t xml:space="preserve">无锡市生态环境局</w:t>
      </w:r>
      <w:r>
        <w:rPr>
          <w:color w:val="auto"/>
          <w:highlight w:val="none"/>
        </w:rPr>
      </w:r>
      <w:r>
        <w:rPr>
          <w:color w:val="auto"/>
          <w:highlight w:val="none"/>
        </w:rPr>
      </w:r>
    </w:p>
    <w:p>
      <w:pPr>
        <w:pStyle w:val="808"/>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rPr>
          <w:color w:val="auto"/>
          <w:highlight w:val="none"/>
        </w:rPr>
      </w:r>
      <w:r>
        <w:rPr>
          <w:color w:val="auto"/>
          <w:highlight w:val="none"/>
        </w:rPr>
      </w:r>
    </w:p>
    <w:p>
      <w:pPr>
        <w:pStyle w:val="896"/>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r>
        <w:rPr>
          <w:color w:val="auto"/>
          <w:highlight w:val="none"/>
        </w:rPr>
      </w:r>
    </w:p>
    <w:p>
      <w:pPr>
        <w:pStyle w:val="896"/>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r>
        <w:rPr>
          <w:color w:val="auto"/>
          <w:highlight w:val="none"/>
        </w:rPr>
      </w:r>
    </w:p>
    <w:p>
      <w:pPr>
        <w:pStyle w:val="896"/>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r>
        <w:rPr>
          <w:color w:val="auto"/>
          <w:highlight w:val="none"/>
        </w:rPr>
      </w:r>
    </w:p>
    <w:p>
      <w:pPr>
        <w:pStyle w:val="896"/>
        <w:ind w:firstLine="0"/>
        <w:jc w:val="center"/>
        <w:spacing w:before="0" w:after="0"/>
        <w:rPr>
          <w:rFonts w:hint="eastAsia" w:ascii="宋体" w:hAnsi="宋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采购代理机构：无锡市公共资源交易中心</w:t>
      </w:r>
      <w:r>
        <w:rPr>
          <w:color w:val="auto"/>
          <w:highlight w:val="none"/>
        </w:rPr>
      </w:r>
      <w:r>
        <w:rPr>
          <w:color w:val="auto"/>
          <w:highlight w:val="none"/>
        </w:rPr>
      </w:r>
    </w:p>
    <w:p>
      <w:pPr>
        <w:pStyle w:val="896"/>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rPr>
        <w:t xml:space="preserve">四</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rPr>
        <w:t xml:space="preserve">六</w:t>
      </w:r>
      <w:r>
        <w:rPr>
          <w:rFonts w:hint="eastAsia" w:ascii="黑体" w:hAnsi="华文中宋" w:eastAsia="黑体"/>
          <w:bCs/>
          <w:color w:val="auto"/>
          <w:sz w:val="32"/>
          <w:szCs w:val="32"/>
          <w:highlight w:val="none"/>
        </w:rPr>
        <w:t xml:space="preserve">月</w:t>
      </w:r>
      <w:r>
        <w:rPr>
          <w:color w:val="auto"/>
          <w:highlight w:val="none"/>
        </w:rPr>
      </w:r>
      <w:r>
        <w:rPr>
          <w:color w:val="auto"/>
          <w:highlight w:val="none"/>
        </w:rPr>
      </w:r>
    </w:p>
    <w:p>
      <w:pPr>
        <w:pStyle w:val="896"/>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rPr>
          <w:color w:val="auto"/>
          <w:highlight w:val="none"/>
        </w:rPr>
      </w:r>
      <w:bookmarkStart w:id="1" w:name="_Toc479757206"/>
      <w:r>
        <w:rPr>
          <w:color w:val="auto"/>
          <w:highlight w:val="none"/>
        </w:rPr>
      </w:r>
      <w:bookmarkStart w:id="2" w:name="_Toc513029200"/>
      <w:r>
        <w:rPr>
          <w:color w:val="auto"/>
          <w:highlight w:val="none"/>
        </w:rPr>
      </w:r>
      <w:bookmarkStart w:id="3" w:name="_Toc523127445"/>
      <w:r>
        <w:rPr>
          <w:color w:val="auto"/>
          <w:highlight w:val="none"/>
        </w:rPr>
      </w:r>
      <w:bookmarkStart w:id="4" w:name="_Toc20823272"/>
      <w:r>
        <w:rPr>
          <w:color w:val="auto"/>
          <w:highlight w:val="none"/>
        </w:rPr>
      </w:r>
      <w:bookmarkStart w:id="5" w:name="_Toc16938516"/>
      <w:r>
        <w:rPr>
          <w:rFonts w:hint="eastAsia" w:ascii="黑体" w:hAnsi="黑体" w:eastAsia="黑体"/>
          <w:color w:val="auto"/>
          <w:sz w:val="36"/>
          <w:szCs w:val="36"/>
          <w:highlight w:val="none"/>
        </w:rPr>
        <w:t xml:space="preserve">总  目  录</w:t>
      </w:r>
      <w:r>
        <w:rPr>
          <w:color w:val="auto"/>
          <w:highlight w:val="none"/>
        </w:rPr>
      </w:r>
      <w:r>
        <w:rPr>
          <w:color w:val="auto"/>
          <w:highlight w:val="none"/>
        </w:rPr>
      </w:r>
    </w:p>
    <w:p>
      <w:pPr>
        <w:pStyle w:val="808"/>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rPr>
          <w:color w:val="auto"/>
          <w:highlight w:val="none"/>
        </w:rPr>
      </w:r>
      <w:r>
        <w:rPr>
          <w:color w:val="auto"/>
          <w:highlight w:val="none"/>
        </w:rPr>
      </w:r>
    </w:p>
    <w:p>
      <w:pPr>
        <w:pStyle w:val="808"/>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color w:val="auto"/>
          <w:highlight w:val="none"/>
        </w:rPr>
      </w:r>
      <w:r>
        <w:rPr>
          <w:color w:val="auto"/>
          <w:highlight w:val="none"/>
        </w:rPr>
      </w:r>
    </w:p>
    <w:p>
      <w:pPr>
        <w:pStyle w:val="808"/>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color w:val="auto"/>
          <w:highlight w:val="none"/>
        </w:rPr>
      </w:r>
      <w:r>
        <w:rPr>
          <w:color w:val="auto"/>
          <w:highlight w:val="none"/>
        </w:rPr>
      </w:r>
    </w:p>
    <w:p>
      <w:pPr>
        <w:pStyle w:val="808"/>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color w:val="auto"/>
          <w:highlight w:val="none"/>
        </w:rPr>
      </w:r>
      <w:r>
        <w:rPr>
          <w:color w:val="auto"/>
          <w:highlight w:val="none"/>
        </w:rPr>
      </w:r>
    </w:p>
    <w:p>
      <w:pPr>
        <w:pStyle w:val="808"/>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color w:val="auto"/>
          <w:highlight w:val="none"/>
        </w:rPr>
      </w:r>
      <w:r>
        <w:rPr>
          <w:color w:val="auto"/>
          <w:highlight w:val="none"/>
        </w:rPr>
      </w:r>
    </w:p>
    <w:p>
      <w:pPr>
        <w:pStyle w:val="808"/>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color w:val="auto"/>
          <w:highlight w:val="none"/>
        </w:rPr>
      </w:r>
      <w:r>
        <w:rPr>
          <w:color w:val="auto"/>
          <w:highlight w:val="none"/>
        </w:rPr>
      </w:r>
    </w:p>
    <w:p>
      <w:pPr>
        <w:pStyle w:val="808"/>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color w:val="auto"/>
          <w:highlight w:val="none"/>
        </w:rPr>
      </w:r>
      <w:r>
        <w:rPr>
          <w:color w:val="auto"/>
          <w:highlight w:val="none"/>
        </w:rPr>
      </w:r>
    </w:p>
    <w:p>
      <w:pPr>
        <w:pStyle w:val="808"/>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r>
        <w:rPr>
          <w:color w:val="auto"/>
          <w:highlight w:val="none"/>
        </w:rPr>
      </w:r>
      <w:r>
        <w:rPr>
          <w:color w:val="auto"/>
          <w:highlight w:val="none"/>
        </w:rPr>
      </w:r>
    </w:p>
    <w:p>
      <w:pPr>
        <w:pStyle w:val="808"/>
        <w:ind w:firstLine="480"/>
        <w:spacing w:line="500" w:lineRule="exact"/>
        <w:rPr>
          <w:rFonts w:ascii="宋体" w:hAnsi="宋体"/>
          <w:color w:val="auto"/>
          <w:sz w:val="24"/>
          <w:szCs w:val="24"/>
          <w:highlight w:val="none"/>
          <w:shd w:val="clear" w:color="ffffff" w:fill="d9d9d9"/>
        </w:rPr>
      </w:pPr>
      <w:r>
        <w:rPr>
          <w:color w:val="auto"/>
          <w:highlight w:val="none"/>
        </w:rPr>
      </w:r>
      <w:bookmarkEnd w:id="0"/>
      <w:r>
        <w:rPr>
          <w:rFonts w:hint="eastAsia" w:ascii="宋体" w:hAnsi="宋体"/>
          <w:color w:val="auto"/>
          <w:sz w:val="24"/>
          <w:szCs w:val="24"/>
          <w:highlight w:val="none"/>
        </w:rPr>
        <w:t xml:space="preserve">受</w:t>
      </w:r>
      <w:r>
        <w:rPr>
          <w:rFonts w:hint="eastAsia" w:ascii="宋体" w:hAnsi="宋体"/>
          <w:color w:val="auto"/>
          <w:sz w:val="24"/>
          <w:szCs w:val="24"/>
          <w:highlight w:val="none"/>
        </w:rPr>
        <w:t xml:space="preserve">无锡市生态环境局</w:t>
      </w:r>
      <w:r>
        <w:rPr>
          <w:rFonts w:hint="eastAsia" w:ascii="宋体" w:hAnsi="宋体"/>
          <w:color w:val="auto"/>
          <w:sz w:val="24"/>
          <w:szCs w:val="24"/>
          <w:highlight w:val="none"/>
        </w:rPr>
        <w:t xml:space="preserve">的委托，无锡市公共资源交易中心就</w:t>
      </w:r>
      <w:r>
        <w:rPr>
          <w:rFonts w:hint="eastAsia" w:ascii="宋体" w:hAnsi="宋体"/>
          <w:color w:val="auto"/>
          <w:sz w:val="24"/>
          <w:szCs w:val="24"/>
          <w:highlight w:val="none"/>
        </w:rPr>
        <w:t xml:space="preserve">“感知环境、智慧环保”无锡环境监控物联网应用示范工程运行维护服务</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JSZC-320200-JZCG-G2024-0086</w:t>
      </w:r>
      <w:r>
        <w:rPr>
          <w:rFonts w:hint="eastAsia" w:ascii="宋体" w:hAnsi="宋体"/>
          <w:color w:val="auto"/>
          <w:sz w:val="24"/>
          <w:szCs w:val="24"/>
          <w:highlight w:val="none"/>
        </w:rPr>
        <w:t xml:space="preserve">）进行公开招标采购，欢迎符合条件的供应商投标。</w:t>
      </w:r>
      <w:r>
        <w:rPr>
          <w:color w:val="auto"/>
          <w:highlight w:val="none"/>
        </w:rPr>
      </w:r>
      <w:r>
        <w:rPr>
          <w:color w:val="auto"/>
          <w:highlight w:val="none"/>
        </w:rPr>
      </w:r>
    </w:p>
    <w:p>
      <w:pPr>
        <w:pStyle w:val="808"/>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rPr>
          <w:color w:val="auto"/>
          <w:highlight w:val="none"/>
        </w:rPr>
      </w:r>
      <w:r>
        <w:rPr>
          <w:color w:val="auto"/>
          <w:highlight w:val="none"/>
        </w:rPr>
      </w:r>
    </w:p>
    <w:p>
      <w:pPr>
        <w:pStyle w:val="808"/>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“感知环境、智慧环保”无锡环境监控物联网应用示范工程运行维护服务</w:t>
      </w:r>
      <w:r>
        <w:rPr>
          <w:rFonts w:hint="eastAsia" w:ascii="宋体" w:hAnsi="宋体"/>
          <w:color w:val="auto"/>
          <w:sz w:val="24"/>
          <w:szCs w:val="24"/>
          <w:highlight w:val="none"/>
        </w:rPr>
        <w:t xml:space="preserve">采购项目的潜在投标人应在</w:t>
      </w:r>
      <w:r>
        <w:rPr>
          <w:rFonts w:hint="eastAsia" w:ascii="宋体" w:hAnsi="宋体"/>
          <w:color w:val="auto"/>
          <w:sz w:val="24"/>
          <w:szCs w:val="24"/>
          <w:highlight w:val="none"/>
        </w:rPr>
        <w:t xml:space="preserve">“无锡政府采购网”“江苏政府采购网”自行浏览招标文件，如有投标意向须在本招标文件有效获取期内通过</w:t>
      </w:r>
      <w:r>
        <w:rPr>
          <w:rFonts w:hint="eastAsia" w:ascii="宋体" w:hAnsi="宋体"/>
          <w:color w:val="auto"/>
          <w:sz w:val="24"/>
          <w:szCs w:val="24"/>
          <w:highlight w:val="none"/>
        </w:rPr>
        <w:t xml:space="preserve">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w:t>
      </w:r>
      <w:r>
        <w:rPr>
          <w:rFonts w:hint="eastAsia" w:ascii="宋体" w:hAnsi="宋体"/>
          <w:color w:val="auto"/>
          <w:sz w:val="24"/>
          <w:szCs w:val="24"/>
          <w:highlight w:val="none"/>
        </w:rPr>
        <w:t xml:space="preserve">依法</w:t>
      </w:r>
      <w:r>
        <w:rPr>
          <w:rFonts w:hint="eastAsia" w:ascii="宋体" w:hAnsi="宋体"/>
          <w:color w:val="auto"/>
          <w:sz w:val="24"/>
          <w:szCs w:val="24"/>
          <w:highlight w:val="none"/>
        </w:rPr>
        <w:t xml:space="preserve">获取招标文件，</w:t>
      </w:r>
      <w:r>
        <w:rPr>
          <w:rFonts w:hint="eastAsia" w:ascii="宋体" w:hAnsi="宋体"/>
          <w:color w:val="auto"/>
          <w:sz w:val="24"/>
          <w:szCs w:val="24"/>
          <w:highlight w:val="none"/>
        </w:rPr>
        <w:t xml:space="preserve">并于</w:t>
      </w:r>
      <w:r>
        <w:rPr>
          <w:rFonts w:hint="eastAsia" w:ascii="宋体" w:hAnsi="宋体"/>
          <w:color w:val="auto"/>
          <w:sz w:val="24"/>
          <w:szCs w:val="24"/>
          <w:highlight w:val="none"/>
        </w:rPr>
        <w:t xml:space="preserve">202</w:t>
      </w:r>
      <w:r>
        <w:rPr>
          <w:rFonts w:hint="eastAsia" w:ascii="宋体" w:hAnsi="宋体"/>
          <w:color w:val="auto"/>
          <w:sz w:val="24"/>
          <w:szCs w:val="24"/>
          <w:highlight w:val="none"/>
        </w:rPr>
        <w:t xml:space="preserve">4年7月10日</w:t>
      </w:r>
      <w:r>
        <w:rPr>
          <w:rFonts w:hint="eastAsia" w:ascii="宋体" w:hAnsi="宋体"/>
          <w:color w:val="auto"/>
          <w:sz w:val="24"/>
          <w:szCs w:val="24"/>
          <w:highlight w:val="none"/>
        </w:rPr>
        <w:t xml:space="preserve">09</w:t>
      </w:r>
      <w:r>
        <w:rPr>
          <w:rFonts w:hint="eastAsia" w:ascii="宋体" w:hAnsi="宋体"/>
          <w:color w:val="auto"/>
          <w:sz w:val="24"/>
          <w:szCs w:val="24"/>
          <w:highlight w:val="none"/>
        </w:rPr>
        <w:t xml:space="preserve">点</w:t>
      </w:r>
      <w:r>
        <w:rPr>
          <w:rFonts w:hint="eastAsia" w:ascii="宋体" w:hAnsi="宋体"/>
          <w:color w:val="auto"/>
          <w:sz w:val="24"/>
          <w:szCs w:val="24"/>
          <w:highlight w:val="none"/>
        </w:rPr>
        <w:t xml:space="preserve">30</w:t>
      </w:r>
      <w:r>
        <w:rPr>
          <w:rFonts w:hint="eastAsia" w:ascii="宋体" w:hAnsi="宋体"/>
          <w:color w:val="auto"/>
          <w:sz w:val="24"/>
          <w:szCs w:val="24"/>
          <w:highlight w:val="none"/>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11"/>
        <w:ind w:firstLine="452"/>
        <w:keepLines w:val="0"/>
        <w:keepNext w:val="0"/>
        <w:spacing w:before="0" w:after="0" w:line="500" w:lineRule="exact"/>
        <w:rPr>
          <w:color w:val="auto"/>
          <w:sz w:val="30"/>
          <w:szCs w:val="30"/>
          <w:highlight w:val="none"/>
        </w:rPr>
      </w:pPr>
      <w:r>
        <w:rPr>
          <w:color w:val="auto"/>
          <w:highlight w:val="none"/>
        </w:rPr>
      </w:r>
      <w:bookmarkStart w:id="6" w:name="_Toc35393790"/>
      <w:r>
        <w:rPr>
          <w:color w:val="auto"/>
          <w:highlight w:val="none"/>
        </w:rPr>
      </w:r>
      <w:bookmarkStart w:id="7" w:name="_Toc38985263"/>
      <w:r>
        <w:rPr>
          <w:color w:val="auto"/>
          <w:highlight w:val="none"/>
        </w:rPr>
      </w:r>
      <w:bookmarkStart w:id="8" w:name="_Toc28359079"/>
      <w:r>
        <w:rPr>
          <w:color w:val="auto"/>
          <w:highlight w:val="none"/>
        </w:rPr>
      </w:r>
      <w:bookmarkStart w:id="9" w:name="_Toc28359002"/>
      <w:r>
        <w:rPr>
          <w:color w:val="auto"/>
          <w:highlight w:val="none"/>
        </w:rPr>
      </w:r>
      <w:bookmarkStart w:id="10" w:name="_Toc35393621"/>
      <w:r>
        <w:rPr>
          <w:color w:val="auto"/>
          <w:highlight w:val="none"/>
        </w:rPr>
      </w:r>
      <w:bookmarkStart w:id="11" w:name="_Hlk24379207"/>
      <w:r>
        <w:rPr>
          <w:rFonts w:hint="eastAsia"/>
          <w:color w:val="auto"/>
          <w:sz w:val="30"/>
          <w:szCs w:val="30"/>
          <w:highlight w:val="none"/>
        </w:rPr>
        <w:t xml:space="preserve">一、项目基本情况</w:t>
      </w:r>
      <w:bookmarkEnd w:id="6"/>
      <w:r>
        <w:rPr>
          <w:color w:val="auto"/>
          <w:highlight w:val="none"/>
        </w:rPr>
      </w:r>
      <w:bookmarkEnd w:id="7"/>
      <w:r>
        <w:rPr>
          <w:color w:val="auto"/>
          <w:highlight w:val="none"/>
        </w:rPr>
      </w:r>
      <w:bookmarkEnd w:id="8"/>
      <w:r>
        <w:rPr>
          <w:color w:val="auto"/>
          <w:highlight w:val="none"/>
        </w:rPr>
      </w:r>
      <w:bookmarkEnd w:id="9"/>
      <w:r>
        <w:rPr>
          <w:color w:val="auto"/>
          <w:highlight w:val="none"/>
        </w:rPr>
      </w:r>
      <w:bookmarkEnd w:id="10"/>
      <w:r>
        <w:rPr>
          <w:color w:val="auto"/>
          <w:highlight w:val="none"/>
        </w:rPr>
      </w:r>
      <w:r>
        <w:rPr>
          <w:color w:val="auto"/>
          <w:highlight w:val="none"/>
        </w:rPr>
      </w:r>
    </w:p>
    <w:p>
      <w:pPr>
        <w:pStyle w:val="808"/>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rPr>
        <w:t xml:space="preserve">JSZC-320200-JZCG-G2024-0086</w:t>
      </w:r>
      <w:r>
        <w:rPr>
          <w:color w:val="auto"/>
          <w:highlight w:val="none"/>
        </w:rPr>
      </w:r>
      <w:r>
        <w:rPr>
          <w:color w:val="auto"/>
          <w:highlight w:val="none"/>
        </w:rPr>
      </w:r>
    </w:p>
    <w:p>
      <w:pPr>
        <w:pStyle w:val="808"/>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rPr>
        <w:t xml:space="preserve">“感知环境、智慧环保”无锡环境监控物联网应用示范工程运行维护服务</w:t>
      </w:r>
      <w:r>
        <w:rPr>
          <w:color w:val="auto"/>
          <w:highlight w:val="none"/>
        </w:rPr>
      </w:r>
      <w:r>
        <w:rPr>
          <w:color w:val="auto"/>
          <w:highlight w:val="none"/>
        </w:rPr>
      </w:r>
    </w:p>
    <w:p>
      <w:pPr>
        <w:pStyle w:val="808"/>
        <w:ind w:firstLine="480"/>
        <w:spacing w:line="500" w:lineRule="exact"/>
        <w:rPr>
          <w:rFonts w:ascii="宋体" w:hAnsi="宋体"/>
          <w:color w:val="auto"/>
          <w:sz w:val="24"/>
          <w:szCs w:val="24"/>
          <w:highlight w:val="none"/>
        </w:rPr>
      </w:pPr>
      <w:r>
        <w:rPr>
          <w:color w:val="auto"/>
          <w:highlight w:val="none"/>
        </w:rPr>
      </w:r>
      <w:bookmarkEnd w:id="11"/>
      <w:r>
        <w:rPr>
          <w:rFonts w:hint="eastAsia" w:ascii="宋体" w:hAnsi="宋体"/>
          <w:color w:val="auto"/>
          <w:sz w:val="24"/>
          <w:szCs w:val="24"/>
          <w:highlight w:val="none"/>
        </w:rPr>
        <w:t xml:space="preserve">3.项目预算金额：</w:t>
      </w:r>
      <w:r>
        <w:rPr>
          <w:rFonts w:ascii="宋体" w:hAnsi="宋体"/>
          <w:color w:val="auto"/>
          <w:sz w:val="24"/>
          <w:szCs w:val="24"/>
          <w:highlight w:val="none"/>
        </w:rPr>
        <w:t xml:space="preserve">618.277</w:t>
      </w:r>
      <w:r>
        <w:rPr>
          <w:rFonts w:hint="eastAsia" w:ascii="宋体" w:hAnsi="宋体"/>
          <w:color w:val="auto"/>
          <w:sz w:val="24"/>
          <w:szCs w:val="24"/>
          <w:highlight w:val="none"/>
        </w:rPr>
        <w:t xml:space="preserve">万元</w:t>
      </w:r>
      <w:r>
        <w:rPr>
          <w:rFonts w:hint="eastAsia" w:ascii="宋体" w:hAnsi="宋体"/>
          <w:color w:val="auto"/>
          <w:sz w:val="24"/>
          <w:szCs w:val="24"/>
          <w:highlight w:val="none"/>
        </w:rPr>
        <w:t xml:space="preserve">（本项目分为</w:t>
      </w:r>
      <w:r>
        <w:rPr>
          <w:rFonts w:hint="eastAsia" w:ascii="宋体" w:hAnsi="宋体"/>
          <w:color w:val="auto"/>
          <w:sz w:val="24"/>
          <w:szCs w:val="24"/>
          <w:highlight w:val="none"/>
        </w:rPr>
        <w:t xml:space="preserve">两</w:t>
      </w:r>
      <w:r>
        <w:rPr>
          <w:rFonts w:hint="eastAsia" w:ascii="宋体" w:hAnsi="宋体"/>
          <w:color w:val="auto"/>
          <w:sz w:val="24"/>
          <w:szCs w:val="24"/>
          <w:highlight w:val="none"/>
        </w:rPr>
        <w:t xml:space="preserve">个采购包，采购包1项目预算金额为475.063万元，采购包2项目预算金额为143.214万元）</w:t>
      </w:r>
      <w:r>
        <w:rPr>
          <w:color w:val="auto"/>
          <w:highlight w:val="none"/>
        </w:rPr>
      </w:r>
      <w:r>
        <w:rPr>
          <w:color w:val="auto"/>
          <w:highlight w:val="none"/>
        </w:rPr>
      </w:r>
    </w:p>
    <w:p>
      <w:pPr>
        <w:pStyle w:val="808"/>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rPr>
        <w:t xml:space="preserve">采购包1项目最高限价为475.063万元，采购包2项目最高限价为143.214万元</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color w:val="auto"/>
          <w:sz w:val="24"/>
          <w:szCs w:val="24"/>
          <w:highlight w:val="none"/>
        </w:rPr>
        <w:t xml:space="preserve">采购方式：公开招标（暗标）</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rPr>
        <w:t xml:space="preserve">采购需求：</w:t>
      </w:r>
      <w:r>
        <w:rPr>
          <w:rFonts w:hint="eastAsia" w:ascii="宋体" w:hAnsi="宋体" w:cs="宋体"/>
          <w:color w:val="auto"/>
          <w:sz w:val="24"/>
          <w:szCs w:val="24"/>
          <w:highlight w:val="none"/>
        </w:rPr>
        <w:t xml:space="preserve">详见招标文件第四章《采购需求》</w:t>
      </w:r>
      <w:r>
        <w:rPr>
          <w:color w:val="auto"/>
          <w:highlight w:val="none"/>
        </w:rPr>
      </w:r>
      <w:r>
        <w:rPr>
          <w:color w:val="auto"/>
          <w:highlight w:val="none"/>
        </w:rPr>
      </w:r>
    </w:p>
    <w:p>
      <w:pPr>
        <w:pStyle w:val="808"/>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olor w:val="auto"/>
          <w:sz w:val="24"/>
          <w:szCs w:val="24"/>
          <w:highlight w:val="none"/>
        </w:rPr>
        <w:t xml:space="preserve">.合同履行期限：</w:t>
      </w:r>
      <w:r>
        <w:rPr>
          <w:rFonts w:hint="eastAsia" w:ascii="宋体" w:hAnsi="宋体" w:cs="宋体"/>
          <w:color w:val="auto"/>
          <w:sz w:val="24"/>
          <w:szCs w:val="24"/>
          <w:highlight w:val="none"/>
        </w:rPr>
        <w:t xml:space="preserve">详见招标文件第四章《采购需求》</w:t>
      </w:r>
      <w:r>
        <w:rPr>
          <w:color w:val="auto"/>
          <w:highlight w:val="none"/>
        </w:rPr>
      </w:r>
      <w:r>
        <w:rPr>
          <w:color w:val="auto"/>
          <w:highlight w:val="none"/>
        </w:rPr>
      </w:r>
    </w:p>
    <w:p>
      <w:pPr>
        <w:pStyle w:val="808"/>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.本项目不接受联合体投标。</w:t>
      </w:r>
      <w:r>
        <w:rPr>
          <w:color w:val="auto"/>
          <w:highlight w:val="none"/>
        </w:rPr>
      </w:r>
      <w:r>
        <w:rPr>
          <w:color w:val="auto"/>
          <w:highlight w:val="none"/>
        </w:rPr>
      </w:r>
    </w:p>
    <w:p>
      <w:pPr>
        <w:pStyle w:val="811"/>
        <w:ind w:firstLine="452"/>
        <w:keepLines w:val="0"/>
        <w:keepNext w:val="0"/>
        <w:spacing w:before="0" w:after="0" w:line="500" w:lineRule="exact"/>
        <w:rPr>
          <w:color w:val="auto"/>
          <w:sz w:val="30"/>
          <w:szCs w:val="30"/>
          <w:highlight w:val="none"/>
        </w:rPr>
      </w:pPr>
      <w:r>
        <w:rPr>
          <w:color w:val="auto"/>
          <w:highlight w:val="none"/>
        </w:rPr>
      </w:r>
      <w:bookmarkStart w:id="12" w:name="_Toc38985264"/>
      <w:r>
        <w:rPr>
          <w:color w:val="auto"/>
          <w:highlight w:val="none"/>
        </w:rPr>
      </w:r>
      <w:bookmarkStart w:id="13" w:name="_Toc35393791"/>
      <w:r>
        <w:rPr>
          <w:color w:val="auto"/>
          <w:highlight w:val="none"/>
        </w:rPr>
      </w:r>
      <w:bookmarkStart w:id="14" w:name="_Toc28359080"/>
      <w:r>
        <w:rPr>
          <w:color w:val="auto"/>
          <w:highlight w:val="none"/>
        </w:rPr>
      </w:r>
      <w:bookmarkStart w:id="15" w:name="_Toc28359003"/>
      <w:r>
        <w:rPr>
          <w:color w:val="auto"/>
          <w:highlight w:val="none"/>
        </w:rPr>
      </w:r>
      <w:bookmarkStart w:id="16" w:name="_Toc35393622"/>
      <w:r>
        <w:rPr>
          <w:rFonts w:hint="eastAsia"/>
          <w:color w:val="auto"/>
          <w:sz w:val="30"/>
          <w:szCs w:val="30"/>
          <w:highlight w:val="none"/>
        </w:rPr>
        <w:t xml:space="preserve">二、申请人的资格要求</w:t>
      </w:r>
      <w:bookmarkEnd w:id="12"/>
      <w:r>
        <w:rPr>
          <w:color w:val="auto"/>
          <w:highlight w:val="none"/>
        </w:rPr>
      </w:r>
      <w:bookmarkEnd w:id="13"/>
      <w:r>
        <w:rPr>
          <w:color w:val="auto"/>
          <w:highlight w:val="none"/>
        </w:rPr>
      </w:r>
      <w:bookmarkEnd w:id="14"/>
      <w:r>
        <w:rPr>
          <w:color w:val="auto"/>
          <w:highlight w:val="none"/>
        </w:rPr>
      </w:r>
      <w:bookmarkEnd w:id="15"/>
      <w:r>
        <w:rPr>
          <w:color w:val="auto"/>
          <w:highlight w:val="none"/>
        </w:rPr>
      </w:r>
      <w:bookmarkEnd w:id="16"/>
      <w:r>
        <w:rPr>
          <w:color w:val="auto"/>
          <w:highlight w:val="none"/>
        </w:rPr>
      </w:r>
      <w:r>
        <w:rPr>
          <w:color w:val="auto"/>
          <w:highlight w:val="none"/>
        </w:rPr>
      </w:r>
    </w:p>
    <w:p>
      <w:pPr>
        <w:pStyle w:val="808"/>
        <w:ind w:firstLine="480"/>
        <w:spacing w:line="500" w:lineRule="exact"/>
        <w:rPr>
          <w:rFonts w:ascii="宋体" w:hAnsi="宋体"/>
          <w:color w:val="auto"/>
          <w:sz w:val="24"/>
          <w:szCs w:val="24"/>
          <w:highlight w:val="none"/>
        </w:rPr>
      </w:pPr>
      <w:r>
        <w:rPr>
          <w:color w:val="auto"/>
          <w:highlight w:val="none"/>
        </w:rPr>
      </w:r>
      <w:bookmarkStart w:id="17" w:name="_Toc28359004"/>
      <w:r>
        <w:rPr>
          <w:color w:val="auto"/>
          <w:highlight w:val="none"/>
        </w:rPr>
      </w:r>
      <w:bookmarkStart w:id="18" w:name="_Toc35393792"/>
      <w:r>
        <w:rPr>
          <w:color w:val="auto"/>
          <w:highlight w:val="none"/>
        </w:rPr>
      </w:r>
      <w:bookmarkStart w:id="19" w:name="_Toc28359081"/>
      <w:r>
        <w:rPr>
          <w:color w:val="auto"/>
          <w:highlight w:val="none"/>
        </w:rPr>
      </w:r>
      <w:bookmarkStart w:id="20" w:name="_Toc38985265"/>
      <w:r>
        <w:rPr>
          <w:color w:val="auto"/>
          <w:highlight w:val="none"/>
        </w:rPr>
      </w:r>
      <w:bookmarkStart w:id="21" w:name="_Toc35393623"/>
      <w:r>
        <w:rPr>
          <w:rFonts w:hint="eastAsia" w:ascii="宋体" w:hAnsi="宋体"/>
          <w:color w:val="auto"/>
          <w:sz w:val="24"/>
          <w:szCs w:val="24"/>
          <w:highlight w:val="none"/>
        </w:rPr>
        <w:t xml:space="preserve">1.满足《中华人民共和国政府采购法》第二十二条规定；</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rPr>
        <w:t xml:space="preserve">落实政府采购政策需满足的资格要求：</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hint="eastAsia" w:ascii="宋体" w:hAnsi="宋体"/>
          <w:color w:val="auto"/>
          <w:sz w:val="24"/>
          <w:szCs w:val="24"/>
          <w:highlight w:val="none"/>
        </w:rPr>
        <w:t xml:space="preserve">通用资格要求</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color w:val="auto"/>
          <w:highlight w:val="none"/>
        </w:rPr>
      </w:r>
      <w:r>
        <w:rPr>
          <w:color w:val="auto"/>
          <w:highlight w:val="none"/>
        </w:rPr>
      </w:r>
    </w:p>
    <w:p>
      <w:pPr>
        <w:pStyle w:val="808"/>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11"/>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rPr>
          <w:color w:val="auto"/>
          <w:highlight w:val="none"/>
        </w:rPr>
      </w:r>
      <w:bookmarkEnd w:id="18"/>
      <w:r>
        <w:rPr>
          <w:color w:val="auto"/>
          <w:highlight w:val="none"/>
        </w:rPr>
      </w:r>
      <w:bookmarkEnd w:id="19"/>
      <w:r>
        <w:rPr>
          <w:color w:val="auto"/>
          <w:highlight w:val="none"/>
        </w:rPr>
      </w:r>
      <w:bookmarkEnd w:id="20"/>
      <w:r>
        <w:rPr>
          <w:color w:val="auto"/>
          <w:highlight w:val="none"/>
        </w:rPr>
      </w:r>
      <w:bookmarkEnd w:id="21"/>
      <w:r>
        <w:rPr>
          <w:color w:val="auto"/>
          <w:highlight w:val="none"/>
        </w:rPr>
      </w:r>
      <w:r>
        <w:rPr>
          <w:color w:val="auto"/>
          <w:highlight w:val="none"/>
        </w:rPr>
      </w:r>
    </w:p>
    <w:p>
      <w:pPr>
        <w:pStyle w:val="808"/>
        <w:ind w:firstLine="540"/>
        <w:spacing w:line="500" w:lineRule="exact"/>
        <w:rPr>
          <w:rFonts w:hint="eastAsia" w:ascii="宋体" w:hAnsi="宋体" w:cs="宋体"/>
          <w:color w:val="auto"/>
          <w:sz w:val="24"/>
          <w:szCs w:val="24"/>
          <w:highlight w:val="none"/>
        </w:rPr>
      </w:pPr>
      <w:r>
        <w:rPr>
          <w:color w:val="auto"/>
          <w:highlight w:val="none"/>
        </w:rPr>
      </w:r>
      <w:bookmarkStart w:id="22" w:name="_Toc28359005"/>
      <w:r>
        <w:rPr>
          <w:color w:val="auto"/>
          <w:highlight w:val="none"/>
        </w:rPr>
      </w:r>
      <w:bookmarkStart w:id="23" w:name="_Toc28359082"/>
      <w:r>
        <w:rPr>
          <w:color w:val="auto"/>
          <w:highlight w:val="none"/>
        </w:rPr>
      </w:r>
      <w:bookmarkStart w:id="24" w:name="_Toc35393793"/>
      <w:r>
        <w:rPr>
          <w:color w:val="auto"/>
          <w:highlight w:val="none"/>
        </w:rPr>
      </w:r>
      <w:bookmarkStart w:id="25" w:name="_Toc35393624"/>
      <w:r>
        <w:rPr>
          <w:color w:val="auto"/>
          <w:highlight w:val="none"/>
        </w:rPr>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rPr>
          <w:color w:val="auto"/>
          <w:highlight w:val="none"/>
        </w:rPr>
      </w:r>
      <w:r>
        <w:rPr>
          <w:color w:val="auto"/>
          <w:highlight w:val="none"/>
        </w:rPr>
      </w:r>
    </w:p>
    <w:p>
      <w:pPr>
        <w:pStyle w:val="808"/>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540"/>
        <w:spacing w:line="500" w:lineRule="exact"/>
        <w:rPr>
          <w:rStyle w:val="885"/>
          <w:color w:val="auto"/>
          <w:highlight w:val="none"/>
        </w:rPr>
      </w:pPr>
      <w:r>
        <w:rPr>
          <w:rFonts w:hint="eastAsia" w:ascii="宋体" w:hAnsi="宋体"/>
          <w:bCs/>
          <w:color w:val="auto"/>
          <w:sz w:val="24"/>
          <w:szCs w:val="24"/>
          <w:highlight w:val="none"/>
        </w:rPr>
        <w:t xml:space="preserve">3.方式：</w:t>
      </w:r>
      <w:r>
        <w:rPr>
          <w:rFonts w:hint="eastAsia" w:ascii="宋体" w:hAnsi="宋体"/>
          <w:bCs/>
          <w:color w:val="auto"/>
          <w:sz w:val="24"/>
          <w:szCs w:val="24"/>
          <w:highlight w:val="none"/>
        </w:rPr>
        <w:t xml:space="preserve">请有投标意向的供应商在招标文件有效获取期内及时至</w:t>
      </w:r>
      <w:r>
        <w:rPr>
          <w:rFonts w:ascii="宋体" w:hAnsi="宋体"/>
          <w:color w:val="auto"/>
          <w:sz w:val="24"/>
          <w:szCs w:val="24"/>
          <w:highlight w:val="none"/>
        </w:rPr>
        <w:t xml:space="preserve">“江苏省政府采购（苏采云）平台”</w:t>
      </w:r>
      <w:r>
        <w:rPr>
          <w:rFonts w:ascii="宋体" w:hAnsi="宋体"/>
          <w:color w:val="auto"/>
          <w:sz w:val="24"/>
          <w:szCs w:val="24"/>
          <w:highlight w:val="none"/>
        </w:rPr>
        <w:t xml:space="preserve">（</w:t>
      </w:r>
      <w:r>
        <w:rPr>
          <w:rFonts w:ascii="宋体" w:hAnsi="宋体"/>
          <w:color w:val="auto"/>
          <w:sz w:val="24"/>
          <w:szCs w:val="24"/>
          <w:highlight w:val="none"/>
        </w:rPr>
        <w:t xml:space="preserve">http://jszfcg.jscz.gov.cn/jszc/login</w:t>
      </w:r>
      <w:r>
        <w:rPr>
          <w:rFonts w:ascii="宋体" w:hAnsi="宋体"/>
          <w:color w:val="auto"/>
          <w:sz w:val="24"/>
          <w:szCs w:val="24"/>
          <w:highlight w:val="none"/>
        </w:rPr>
        <w:t xml:space="preserve">）</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w:t>
      </w:r>
      <w:r>
        <w:rPr>
          <w:rFonts w:hint="eastAsia" w:ascii="宋体" w:hAnsi="宋体"/>
          <w:bCs/>
          <w:color w:val="auto"/>
          <w:sz w:val="24"/>
          <w:szCs w:val="24"/>
          <w:highlight w:val="none"/>
        </w:rPr>
        <w:t xml:space="preserve">有效获取</w:t>
      </w:r>
      <w:r>
        <w:rPr>
          <w:rFonts w:hint="eastAsia" w:ascii="宋体" w:hAnsi="宋体"/>
          <w:bCs/>
          <w:color w:val="auto"/>
          <w:sz w:val="24"/>
          <w:szCs w:val="24"/>
          <w:highlight w:val="none"/>
        </w:rPr>
        <w:t xml:space="preserve">期限内，从</w:t>
      </w:r>
      <w:r>
        <w:rPr>
          <w:rFonts w:ascii="宋体" w:hAnsi="宋体"/>
          <w:color w:val="auto"/>
          <w:sz w:val="24"/>
          <w:szCs w:val="24"/>
          <w:highlight w:val="none"/>
        </w:rPr>
        <w:t xml:space="preserve">“江苏省政府采购（苏采云）平台”</w:t>
      </w:r>
      <w:r>
        <w:rPr>
          <w:rFonts w:ascii="宋体" w:hAnsi="宋体"/>
          <w:color w:val="auto"/>
          <w:sz w:val="24"/>
          <w:szCs w:val="24"/>
          <w:highlight w:val="none"/>
        </w:rPr>
        <w:t xml:space="preserve">获取的</w:t>
      </w:r>
      <w:r>
        <w:rPr>
          <w:rFonts w:hint="eastAsia" w:ascii="宋体" w:hAnsi="宋体"/>
          <w:bCs/>
          <w:color w:val="auto"/>
          <w:sz w:val="24"/>
          <w:szCs w:val="24"/>
          <w:highlight w:val="none"/>
        </w:rPr>
        <w:t xml:space="preserve">招标文件，视为依法获取的招标文件。</w:t>
      </w:r>
      <w:r>
        <w:rPr>
          <w:color w:val="auto"/>
          <w:highlight w:val="none"/>
        </w:rPr>
      </w:r>
      <w:r>
        <w:rPr>
          <w:color w:val="auto"/>
          <w:highlight w:val="none"/>
        </w:rPr>
      </w:r>
    </w:p>
    <w:p>
      <w:pPr>
        <w:pStyle w:val="808"/>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w:t>
      </w:r>
      <w:r>
        <w:rPr>
          <w:rFonts w:hint="eastAsia" w:ascii="宋体" w:hAnsi="宋体"/>
          <w:bCs/>
          <w:color w:val="auto"/>
          <w:sz w:val="24"/>
          <w:szCs w:val="24"/>
          <w:highlight w:val="none"/>
        </w:rPr>
        <w:t xml:space="preserve">本</w:t>
      </w:r>
      <w:r>
        <w:rPr>
          <w:rFonts w:hint="eastAsia" w:ascii="宋体" w:hAnsi="宋体"/>
          <w:bCs/>
          <w:color w:val="auto"/>
          <w:sz w:val="24"/>
          <w:szCs w:val="24"/>
          <w:highlight w:val="none"/>
        </w:rPr>
        <w:t xml:space="preserve">项目</w:t>
      </w:r>
      <w:r>
        <w:rPr>
          <w:rFonts w:hint="eastAsia" w:ascii="宋体" w:hAnsi="宋体"/>
          <w:bCs/>
          <w:color w:val="auto"/>
          <w:sz w:val="24"/>
          <w:szCs w:val="24"/>
          <w:highlight w:val="none"/>
        </w:rPr>
        <w:t xml:space="preserve">招标文件</w:t>
      </w:r>
      <w:r>
        <w:rPr>
          <w:rFonts w:hint="eastAsia" w:ascii="宋体" w:hAnsi="宋体"/>
          <w:bCs/>
          <w:color w:val="auto"/>
          <w:sz w:val="24"/>
          <w:szCs w:val="24"/>
          <w:highlight w:val="none"/>
        </w:rPr>
        <w:t xml:space="preserve">免费。</w:t>
      </w:r>
      <w:r>
        <w:rPr>
          <w:color w:val="auto"/>
          <w:highlight w:val="none"/>
        </w:rPr>
      </w:r>
      <w:r>
        <w:rPr>
          <w:color w:val="auto"/>
          <w:highlight w:val="none"/>
        </w:rPr>
      </w:r>
    </w:p>
    <w:p>
      <w:pPr>
        <w:pStyle w:val="811"/>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rPr>
          <w:color w:val="auto"/>
          <w:highlight w:val="none"/>
        </w:rPr>
      </w:r>
      <w:bookmarkEnd w:id="23"/>
      <w:r>
        <w:rPr>
          <w:rFonts w:hint="eastAsia"/>
          <w:color w:val="auto"/>
          <w:sz w:val="30"/>
          <w:szCs w:val="30"/>
          <w:highlight w:val="none"/>
        </w:rPr>
        <w:t xml:space="preserve">截止时间、开标时间和地点</w:t>
      </w:r>
      <w:bookmarkEnd w:id="24"/>
      <w:r>
        <w:rPr>
          <w:color w:val="auto"/>
          <w:highlight w:val="none"/>
        </w:rPr>
      </w:r>
      <w:bookmarkEnd w:id="25"/>
      <w:r>
        <w:rPr>
          <w:color w:val="auto"/>
          <w:highlight w:val="none"/>
        </w:rPr>
      </w:r>
      <w:bookmarkEnd w:id="26"/>
      <w:r>
        <w:rPr>
          <w:color w:val="auto"/>
          <w:highlight w:val="none"/>
        </w:rPr>
      </w:r>
      <w:r>
        <w:rPr>
          <w:color w:val="auto"/>
          <w:highlight w:val="none"/>
        </w:rPr>
      </w:r>
    </w:p>
    <w:p>
      <w:pPr>
        <w:pStyle w:val="808"/>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rPr>
        <w:t xml:space="preserve">4年7月10日09点30</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rPr>
        <w:t xml:space="preserve">（北京时间）</w:t>
      </w:r>
      <w:r>
        <w:rPr>
          <w:color w:val="auto"/>
          <w:highlight w:val="none"/>
        </w:rPr>
      </w:r>
      <w:r>
        <w:rPr>
          <w:color w:val="auto"/>
          <w:highlight w:val="none"/>
        </w:rPr>
      </w:r>
    </w:p>
    <w:p>
      <w:pPr>
        <w:pStyle w:val="808"/>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rPr>
          <w:color w:val="auto"/>
          <w:highlight w:val="none"/>
        </w:rPr>
      </w:r>
      <w:r>
        <w:rPr>
          <w:color w:val="auto"/>
          <w:highlight w:val="none"/>
        </w:rPr>
      </w:r>
    </w:p>
    <w:p>
      <w:pPr>
        <w:pStyle w:val="811"/>
        <w:ind w:firstLine="452"/>
        <w:keepLines w:val="0"/>
        <w:keepNext w:val="0"/>
        <w:spacing w:before="0" w:after="0" w:line="500" w:lineRule="exact"/>
        <w:rPr>
          <w:color w:val="auto"/>
          <w:sz w:val="30"/>
          <w:szCs w:val="30"/>
          <w:highlight w:val="none"/>
        </w:rPr>
      </w:pPr>
      <w:r>
        <w:rPr>
          <w:color w:val="auto"/>
          <w:highlight w:val="none"/>
        </w:rPr>
      </w:r>
      <w:bookmarkStart w:id="27" w:name="_Toc28359084"/>
      <w:r>
        <w:rPr>
          <w:color w:val="auto"/>
          <w:highlight w:val="none"/>
        </w:rPr>
      </w:r>
      <w:bookmarkStart w:id="28" w:name="_Toc28359007"/>
      <w:r>
        <w:rPr>
          <w:color w:val="auto"/>
          <w:highlight w:val="none"/>
        </w:rPr>
      </w:r>
      <w:bookmarkStart w:id="29" w:name="_Toc35393625"/>
      <w:r>
        <w:rPr>
          <w:color w:val="auto"/>
          <w:highlight w:val="none"/>
        </w:rPr>
      </w:r>
      <w:bookmarkStart w:id="30" w:name="_Toc35393794"/>
      <w:r>
        <w:rPr>
          <w:color w:val="auto"/>
          <w:highlight w:val="none"/>
        </w:rPr>
      </w:r>
      <w:bookmarkStart w:id="31" w:name="_Toc38985267"/>
      <w:r>
        <w:rPr>
          <w:rFonts w:hint="eastAsia"/>
          <w:color w:val="auto"/>
          <w:sz w:val="30"/>
          <w:szCs w:val="30"/>
          <w:highlight w:val="none"/>
        </w:rPr>
        <w:t xml:space="preserve">五、公告期限</w:t>
      </w:r>
      <w:bookmarkEnd w:id="27"/>
      <w:r>
        <w:rPr>
          <w:color w:val="auto"/>
          <w:highlight w:val="none"/>
        </w:rPr>
      </w:r>
      <w:bookmarkEnd w:id="28"/>
      <w:r>
        <w:rPr>
          <w:color w:val="auto"/>
          <w:highlight w:val="none"/>
        </w:rPr>
      </w:r>
      <w:bookmarkEnd w:id="29"/>
      <w:r>
        <w:rPr>
          <w:color w:val="auto"/>
          <w:highlight w:val="none"/>
        </w:rPr>
      </w:r>
      <w:bookmarkEnd w:id="30"/>
      <w:r>
        <w:rPr>
          <w:color w:val="auto"/>
          <w:highlight w:val="none"/>
        </w:rPr>
      </w:r>
      <w:bookmarkEnd w:id="31"/>
      <w:r>
        <w:rPr>
          <w:color w:val="auto"/>
          <w:highlight w:val="none"/>
        </w:rPr>
      </w:r>
      <w:r>
        <w:rPr>
          <w:color w:val="auto"/>
          <w:highlight w:val="none"/>
        </w:rPr>
      </w:r>
    </w:p>
    <w:p>
      <w:pPr>
        <w:pStyle w:val="808"/>
        <w:ind w:firstLine="480"/>
        <w:spacing w:line="500" w:lineRule="exact"/>
        <w:rPr>
          <w:rFonts w:ascii="宋体" w:hAnsi="宋体" w:cs="宋体"/>
          <w:color w:val="auto"/>
          <w:sz w:val="24"/>
          <w:szCs w:val="24"/>
          <w:highlight w:val="none"/>
        </w:rPr>
      </w:pPr>
      <w:r>
        <w:rPr>
          <w:color w:val="auto"/>
          <w:highlight w:val="none"/>
        </w:rPr>
      </w:r>
      <w:bookmarkStart w:id="32" w:name="_Toc35393795"/>
      <w:r>
        <w:rPr>
          <w:color w:val="auto"/>
          <w:highlight w:val="none"/>
        </w:rPr>
      </w:r>
      <w:bookmarkStart w:id="33" w:name="_Toc38985268"/>
      <w:r>
        <w:rPr>
          <w:color w:val="auto"/>
          <w:highlight w:val="none"/>
        </w:rPr>
      </w:r>
      <w:bookmarkStart w:id="34" w:name="_Toc35393626"/>
      <w:r>
        <w:rPr>
          <w:rFonts w:hint="eastAsia" w:ascii="宋体" w:hAnsi="宋体" w:cs="宋体"/>
          <w:color w:val="auto"/>
          <w:sz w:val="24"/>
          <w:szCs w:val="24"/>
          <w:highlight w:val="none"/>
        </w:rPr>
        <w:t xml:space="preserve">（招标公告及招标文件公告期限）自本公告发布之日起5个工作日。</w:t>
      </w:r>
      <w:r>
        <w:rPr>
          <w:color w:val="auto"/>
          <w:highlight w:val="none"/>
        </w:rPr>
      </w:r>
      <w:r>
        <w:rPr>
          <w:color w:val="auto"/>
          <w:highlight w:val="none"/>
        </w:rPr>
      </w:r>
    </w:p>
    <w:p>
      <w:pPr>
        <w:pStyle w:val="811"/>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rPr>
          <w:color w:val="auto"/>
          <w:highlight w:val="none"/>
        </w:rPr>
      </w:r>
      <w:bookmarkEnd w:id="33"/>
      <w:r>
        <w:rPr>
          <w:color w:val="auto"/>
          <w:highlight w:val="none"/>
        </w:rPr>
      </w:r>
      <w:bookmarkEnd w:id="34"/>
      <w:r>
        <w:rPr>
          <w:color w:val="auto"/>
          <w:highlight w:val="none"/>
        </w:rPr>
      </w:r>
      <w:r>
        <w:rPr>
          <w:color w:val="auto"/>
          <w:highlight w:val="none"/>
        </w:rPr>
      </w:r>
    </w:p>
    <w:p>
      <w:pPr>
        <w:pStyle w:val="808"/>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rPr>
          <w:color w:val="auto"/>
          <w:highlight w:val="none"/>
        </w:rPr>
      </w:r>
      <w:r>
        <w:rPr>
          <w:color w:val="auto"/>
          <w:highlight w:val="none"/>
        </w:rPr>
      </w:r>
    </w:p>
    <w:p>
      <w:pPr>
        <w:pStyle w:val="811"/>
        <w:ind w:firstLine="452"/>
        <w:keepLines w:val="0"/>
        <w:keepNext w:val="0"/>
        <w:spacing w:before="0" w:after="0" w:line="500" w:lineRule="exact"/>
        <w:rPr>
          <w:color w:val="auto"/>
          <w:sz w:val="30"/>
          <w:szCs w:val="30"/>
          <w:highlight w:val="none"/>
        </w:rPr>
      </w:pPr>
      <w:r>
        <w:rPr>
          <w:color w:val="auto"/>
          <w:highlight w:val="none"/>
        </w:rPr>
      </w:r>
      <w:bookmarkStart w:id="35" w:name="_Toc28359008"/>
      <w:r>
        <w:rPr>
          <w:color w:val="auto"/>
          <w:highlight w:val="none"/>
        </w:rPr>
      </w:r>
      <w:bookmarkStart w:id="36" w:name="_Toc35393627"/>
      <w:r>
        <w:rPr>
          <w:color w:val="auto"/>
          <w:highlight w:val="none"/>
        </w:rPr>
      </w:r>
      <w:bookmarkStart w:id="37" w:name="_Toc28359085"/>
      <w:r>
        <w:rPr>
          <w:color w:val="auto"/>
          <w:highlight w:val="none"/>
        </w:rPr>
      </w:r>
      <w:bookmarkStart w:id="38" w:name="_Toc35393796"/>
      <w:r>
        <w:rPr>
          <w:color w:val="auto"/>
          <w:highlight w:val="none"/>
        </w:rPr>
      </w:r>
      <w:bookmarkStart w:id="39" w:name="_Toc38985269"/>
      <w:r>
        <w:rPr>
          <w:rFonts w:hint="eastAsia"/>
          <w:color w:val="auto"/>
          <w:sz w:val="30"/>
          <w:szCs w:val="30"/>
          <w:highlight w:val="none"/>
        </w:rPr>
        <w:t xml:space="preserve">七、本项目联系方式</w:t>
      </w:r>
      <w:bookmarkEnd w:id="35"/>
      <w:r>
        <w:rPr>
          <w:color w:val="auto"/>
          <w:highlight w:val="none"/>
        </w:rPr>
      </w:r>
      <w:bookmarkEnd w:id="36"/>
      <w:r>
        <w:rPr>
          <w:color w:val="auto"/>
          <w:highlight w:val="none"/>
        </w:rPr>
      </w:r>
      <w:bookmarkEnd w:id="37"/>
      <w:r>
        <w:rPr>
          <w:color w:val="auto"/>
          <w:highlight w:val="none"/>
        </w:rPr>
      </w:r>
      <w:bookmarkEnd w:id="38"/>
      <w:r>
        <w:rPr>
          <w:color w:val="auto"/>
          <w:highlight w:val="none"/>
        </w:rPr>
      </w:r>
      <w:bookmarkEnd w:id="39"/>
      <w:r>
        <w:rPr>
          <w:color w:val="auto"/>
          <w:highlight w:val="none"/>
        </w:rPr>
      </w:r>
      <w:r>
        <w:rPr>
          <w:color w:val="auto"/>
          <w:highlight w:val="none"/>
        </w:rPr>
      </w:r>
    </w:p>
    <w:p>
      <w:pPr>
        <w:pStyle w:val="808"/>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rPr>
          <w:color w:val="auto"/>
          <w:highlight w:val="none"/>
        </w:rPr>
      </w:r>
      <w:r>
        <w:rPr>
          <w:color w:val="auto"/>
          <w:highlight w:val="none"/>
        </w:rPr>
      </w:r>
    </w:p>
    <w:p>
      <w:pPr>
        <w:pStyle w:val="808"/>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rPr>
        <w:t xml:space="preserve">无锡市生态环境局</w:t>
      </w:r>
      <w:r>
        <w:rPr>
          <w:color w:val="auto"/>
          <w:highlight w:val="none"/>
        </w:rPr>
      </w:r>
      <w:r>
        <w:rPr>
          <w:color w:val="auto"/>
          <w:highlight w:val="none"/>
        </w:rPr>
      </w:r>
    </w:p>
    <w:p>
      <w:pPr>
        <w:pStyle w:val="808"/>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rPr>
        <w:t xml:space="preserve">无锡市观山路199号市民中心11号楼325</w:t>
      </w:r>
      <w:r>
        <w:rPr>
          <w:color w:val="auto"/>
          <w:highlight w:val="none"/>
        </w:rPr>
      </w:r>
      <w:r>
        <w:rPr>
          <w:color w:val="auto"/>
          <w:highlight w:val="none"/>
        </w:rPr>
      </w:r>
    </w:p>
    <w:p>
      <w:pPr>
        <w:pStyle w:val="808"/>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rPr>
          <w:color w:val="auto"/>
          <w:highlight w:val="none"/>
        </w:rPr>
      </w:r>
      <w:bookmarkStart w:id="41" w:name="_Toc28359086"/>
      <w:r>
        <w:rPr>
          <w:rFonts w:hint="eastAsia" w:ascii="宋体" w:hAnsi="宋体" w:cs="宋体"/>
          <w:color w:val="auto"/>
          <w:sz w:val="24"/>
          <w:szCs w:val="24"/>
          <w:highlight w:val="none"/>
        </w:rPr>
        <w:t xml:space="preserve">见“项目联系方式”</w:t>
      </w:r>
      <w:r>
        <w:rPr>
          <w:color w:val="auto"/>
          <w:highlight w:val="none"/>
        </w:rPr>
      </w:r>
      <w:r>
        <w:rPr>
          <w:color w:val="auto"/>
          <w:highlight w:val="none"/>
        </w:rPr>
      </w:r>
    </w:p>
    <w:p>
      <w:pPr>
        <w:pStyle w:val="808"/>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rPr>
          <w:color w:val="auto"/>
          <w:highlight w:val="none"/>
        </w:rPr>
      </w:r>
      <w:bookmarkEnd w:id="41"/>
      <w:r>
        <w:rPr>
          <w:rFonts w:hint="eastAsia" w:ascii="宋体" w:hAnsi="宋体" w:cs="宋体"/>
          <w:color w:val="auto"/>
          <w:sz w:val="24"/>
          <w:szCs w:val="24"/>
          <w:highlight w:val="none"/>
        </w:rPr>
        <w:t xml:space="preserve">采购代理机构信息</w:t>
      </w:r>
      <w:r>
        <w:rPr>
          <w:color w:val="auto"/>
          <w:highlight w:val="none"/>
        </w:rPr>
      </w:r>
      <w:r>
        <w:rPr>
          <w:color w:val="auto"/>
          <w:highlight w:val="none"/>
        </w:rPr>
      </w:r>
    </w:p>
    <w:p>
      <w:pPr>
        <w:pStyle w:val="808"/>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称：无锡市公共资源交易中心</w:t>
      </w:r>
      <w:r>
        <w:rPr>
          <w:color w:val="auto"/>
          <w:highlight w:val="none"/>
        </w:rPr>
      </w:r>
      <w:r>
        <w:rPr>
          <w:color w:val="auto"/>
          <w:highlight w:val="none"/>
        </w:rPr>
      </w:r>
    </w:p>
    <w:p>
      <w:pPr>
        <w:pStyle w:val="808"/>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址：无锡市滨湖区观山路199号10号3楼</w:t>
      </w:r>
      <w:r>
        <w:rPr>
          <w:color w:val="auto"/>
          <w:highlight w:val="none"/>
        </w:rPr>
      </w:r>
      <w:r>
        <w:rPr>
          <w:color w:val="auto"/>
          <w:highlight w:val="none"/>
        </w:rPr>
      </w:r>
    </w:p>
    <w:p>
      <w:pPr>
        <w:pStyle w:val="808"/>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rPr>
          <w:color w:val="auto"/>
          <w:highlight w:val="none"/>
        </w:rPr>
      </w:r>
      <w:r>
        <w:rPr>
          <w:color w:val="auto"/>
          <w:highlight w:val="none"/>
        </w:rPr>
      </w:r>
    </w:p>
    <w:p>
      <w:pPr>
        <w:pStyle w:val="808"/>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rPr>
          <w:color w:val="auto"/>
          <w:highlight w:val="none"/>
        </w:rPr>
      </w:r>
      <w:r>
        <w:rPr>
          <w:color w:val="auto"/>
          <w:highlight w:val="none"/>
        </w:rPr>
      </w:r>
    </w:p>
    <w:p>
      <w:pPr>
        <w:pStyle w:val="808"/>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rPr>
        <w:t xml:space="preserve">项目咨询联系人：</w:t>
      </w:r>
      <w:r>
        <w:rPr>
          <w:rFonts w:hint="eastAsia" w:ascii="宋体" w:hAnsi="宋体" w:cs="宋体"/>
          <w:color w:val="auto"/>
          <w:sz w:val="24"/>
          <w:szCs w:val="24"/>
          <w:highlight w:val="none"/>
        </w:rPr>
        <w:t xml:space="preserve">张小坷</w:t>
      </w:r>
      <w:r>
        <w:rPr>
          <w:rFonts w:hint="eastAsia" w:ascii="宋体" w:hAnsi="宋体" w:cs="宋体"/>
          <w:color w:val="auto"/>
          <w:sz w:val="24"/>
          <w:szCs w:val="24"/>
          <w:highlight w:val="none"/>
        </w:rPr>
        <w:t xml:space="preserve">；电话：0510-</w:t>
      </w:r>
      <w:r>
        <w:rPr>
          <w:rFonts w:ascii="宋体" w:hAnsi="宋体" w:cs="宋体"/>
          <w:color w:val="auto"/>
          <w:sz w:val="24"/>
          <w:szCs w:val="24"/>
          <w:highlight w:val="none"/>
        </w:rPr>
        <w:t xml:space="preserve">81823480</w:t>
      </w:r>
      <w:r>
        <w:rPr>
          <w:color w:val="auto"/>
          <w:highlight w:val="none"/>
        </w:rPr>
      </w:r>
      <w:r>
        <w:rPr>
          <w:color w:val="auto"/>
          <w:highlight w:val="none"/>
        </w:rPr>
      </w:r>
    </w:p>
    <w:p>
      <w:pPr>
        <w:pStyle w:val="808"/>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w:t>
      </w:r>
      <w:r>
        <w:rPr>
          <w:rFonts w:hint="eastAsia" w:ascii="宋体" w:hAnsi="宋体" w:cs="宋体"/>
          <w:color w:val="auto"/>
          <w:sz w:val="24"/>
          <w:szCs w:val="24"/>
          <w:highlight w:val="none"/>
        </w:rPr>
        <w:t xml:space="preserve">张小坷</w:t>
      </w:r>
      <w:r>
        <w:rPr>
          <w:rFonts w:hint="eastAsia" w:ascii="宋体" w:hAnsi="宋体" w:cs="宋体"/>
          <w:color w:val="auto"/>
          <w:sz w:val="24"/>
          <w:szCs w:val="24"/>
          <w:highlight w:val="none"/>
        </w:rPr>
        <w:t xml:space="preserve">；电话：0510-</w:t>
      </w:r>
      <w:r>
        <w:rPr>
          <w:rFonts w:ascii="宋体" w:hAnsi="宋体" w:cs="宋体"/>
          <w:color w:val="auto"/>
          <w:sz w:val="24"/>
          <w:szCs w:val="24"/>
          <w:highlight w:val="none"/>
        </w:rPr>
        <w:t xml:space="preserve">81823480</w:t>
      </w:r>
      <w:r>
        <w:rPr>
          <w:color w:val="auto"/>
          <w:highlight w:val="none"/>
        </w:rPr>
      </w:r>
      <w:r>
        <w:rPr>
          <w:color w:val="auto"/>
          <w:highlight w:val="none"/>
        </w:rPr>
      </w:r>
    </w:p>
    <w:p>
      <w:pPr>
        <w:pStyle w:val="808"/>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交易中心项目</w:t>
      </w: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rPr>
        <w:t xml:space="preserve">李洋</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rPr>
        <w:t xml:space="preserve">81827759</w:t>
      </w:r>
      <w:r>
        <w:rPr>
          <w:color w:val="auto"/>
          <w:highlight w:val="none"/>
        </w:rPr>
      </w:r>
      <w:r>
        <w:rPr>
          <w:color w:val="auto"/>
          <w:highlight w:val="none"/>
        </w:rPr>
      </w:r>
    </w:p>
    <w:p>
      <w:pPr>
        <w:pStyle w:val="811"/>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rPr>
          <w:color w:val="auto"/>
          <w:highlight w:val="none"/>
        </w:rPr>
      </w:r>
      <w:r>
        <w:rPr>
          <w:color w:val="auto"/>
          <w:highlight w:val="none"/>
        </w:rPr>
      </w:r>
    </w:p>
    <w:p>
      <w:pPr>
        <w:pStyle w:val="808"/>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rPr>
          <w:color w:val="auto"/>
          <w:highlight w:val="none"/>
        </w:rPr>
      </w:r>
      <w:r>
        <w:rPr>
          <w:color w:val="auto"/>
          <w:highlight w:val="none"/>
        </w:rPr>
      </w:r>
    </w:p>
    <w:p>
      <w:pPr>
        <w:pStyle w:val="808"/>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rPr>
          <w:color w:val="auto"/>
          <w:highlight w:val="none"/>
        </w:rPr>
      </w:r>
      <w:r>
        <w:rPr>
          <w:color w:val="auto"/>
          <w:highlight w:val="none"/>
        </w:rPr>
      </w:r>
    </w:p>
    <w:p>
      <w:pPr>
        <w:pStyle w:val="808"/>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rPr>
          <w:color w:val="auto"/>
          <w:highlight w:val="none"/>
        </w:rPr>
      </w:r>
      <w:r>
        <w:rPr>
          <w:color w:val="auto"/>
          <w:highlight w:val="none"/>
        </w:rPr>
      </w:r>
    </w:p>
    <w:p>
      <w:pPr>
        <w:pStyle w:val="808"/>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rPr>
          <w:color w:val="auto"/>
          <w:highlight w:val="none"/>
        </w:rPr>
      </w:r>
      <w:r>
        <w:rPr>
          <w:color w:val="auto"/>
          <w:highlight w:val="none"/>
        </w:rPr>
      </w:r>
    </w:p>
    <w:p>
      <w:pPr>
        <w:pStyle w:val="808"/>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rPr>
          <w:color w:val="auto"/>
          <w:highlight w:val="none"/>
        </w:rPr>
      </w:r>
      <w:r>
        <w:rPr>
          <w:color w:val="auto"/>
          <w:highlight w:val="none"/>
        </w:rPr>
      </w:r>
    </w:p>
    <w:p>
      <w:pPr>
        <w:pStyle w:val="808"/>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账号登陆页面，点击“驱动下载”链接中的“政务CA、方正签章控件驱动安装包及安装说明”可以直接下载驱动安装包，安装包中附有驱动安装手册。</w:t>
      </w:r>
      <w:r>
        <w:rPr>
          <w:color w:val="auto"/>
          <w:highlight w:val="none"/>
        </w:rPr>
      </w:r>
      <w:r>
        <w:rPr>
          <w:color w:val="auto"/>
          <w:highlight w:val="none"/>
        </w:rPr>
      </w:r>
    </w:p>
    <w:p>
      <w:pPr>
        <w:pStyle w:val="808"/>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rPr>
          <w:color w:val="auto"/>
          <w:highlight w:val="none"/>
        </w:rPr>
      </w:r>
      <w:r>
        <w:rPr>
          <w:color w:val="auto"/>
          <w:highlight w:val="none"/>
        </w:rPr>
      </w:r>
    </w:p>
    <w:p>
      <w:pPr>
        <w:pStyle w:val="808"/>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rPr>
          <w:color w:val="auto"/>
          <w:highlight w:val="none"/>
        </w:rPr>
      </w:r>
      <w:r>
        <w:rPr>
          <w:color w:val="auto"/>
          <w:highlight w:val="none"/>
        </w:rPr>
      </w:r>
    </w:p>
    <w:p>
      <w:pPr>
        <w:pStyle w:val="808"/>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rPr>
          <w:color w:val="auto"/>
          <w:highlight w:val="none"/>
        </w:rPr>
      </w:r>
      <w:r>
        <w:rPr>
          <w:color w:val="auto"/>
          <w:highlight w:val="none"/>
        </w:rPr>
      </w:r>
    </w:p>
    <w:p>
      <w:pPr>
        <w:pStyle w:val="808"/>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w:t>
      </w:r>
      <w:r>
        <w:rPr>
          <w:rFonts w:ascii="宋体" w:hAnsi="宋体"/>
          <w:color w:val="auto"/>
          <w:sz w:val="24"/>
          <w:szCs w:val="24"/>
          <w:highlight w:val="none"/>
        </w:rPr>
        <w:t xml:space="preserve">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w:t>
      </w:r>
      <w:r>
        <w:rPr>
          <w:rFonts w:ascii="宋体" w:hAnsi="宋体"/>
          <w:color w:val="auto"/>
          <w:sz w:val="24"/>
          <w:szCs w:val="24"/>
          <w:highlight w:val="none"/>
        </w:rPr>
        <w:t xml:space="preserve">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rPr>
          <w:color w:val="auto"/>
          <w:highlight w:val="none"/>
        </w:rPr>
      </w:r>
      <w:r>
        <w:rPr>
          <w:color w:val="auto"/>
          <w:highlight w:val="none"/>
        </w:rPr>
      </w:r>
    </w:p>
    <w:p>
      <w:pPr>
        <w:pStyle w:val="808"/>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w:t>
      </w:r>
      <w:r>
        <w:rPr>
          <w:rFonts w:ascii="宋体" w:hAnsi="宋体"/>
          <w:color w:val="auto"/>
          <w:sz w:val="24"/>
          <w:szCs w:val="24"/>
          <w:highlight w:val="none"/>
        </w:rPr>
        <w:t xml:space="preserve">如确</w:t>
      </w:r>
      <w:r>
        <w:rPr>
          <w:rFonts w:ascii="宋体" w:hAnsi="宋体"/>
          <w:color w:val="auto"/>
          <w:sz w:val="24"/>
          <w:szCs w:val="24"/>
          <w:highlight w:val="none"/>
        </w:rPr>
        <w:t xml:space="preserve">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w:t>
      </w:r>
      <w:r>
        <w:rPr>
          <w:rFonts w:hint="eastAsia" w:ascii="宋体" w:hAnsi="宋体"/>
          <w:color w:val="auto"/>
          <w:sz w:val="24"/>
          <w:szCs w:val="24"/>
          <w:highlight w:val="none"/>
        </w:rPr>
        <w:t xml:space="preserve">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rPr>
          <w:color w:val="auto"/>
          <w:highlight w:val="none"/>
        </w:rPr>
      </w:r>
      <w:r>
        <w:rPr>
          <w:color w:val="auto"/>
          <w:highlight w:val="none"/>
        </w:rPr>
      </w:r>
    </w:p>
    <w:p>
      <w:pPr>
        <w:pStyle w:val="808"/>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（三）有关本次采购的事项若存在变动或修改，敬请及时关注无锡市公共资源交易中心在“无锡政府采购网”“江苏政府采购网”发布的更正公告。</w:t>
      </w:r>
      <w:r>
        <w:rPr>
          <w:color w:val="auto"/>
          <w:highlight w:val="none"/>
        </w:rPr>
      </w:r>
      <w:r>
        <w:rPr>
          <w:color w:val="auto"/>
          <w:highlight w:val="none"/>
        </w:rPr>
      </w:r>
    </w:p>
    <w:p>
      <w:pPr>
        <w:pStyle w:val="808"/>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rPr>
          <w:color w:val="auto"/>
          <w:highlight w:val="none"/>
        </w:rPr>
      </w:r>
      <w:r>
        <w:rPr>
          <w:color w:val="auto"/>
          <w:highlight w:val="none"/>
        </w:rPr>
      </w:r>
    </w:p>
    <w:p>
      <w:pPr>
        <w:pStyle w:val="808"/>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bookmarkEnd w:id="42"/>
      <w:r>
        <w:rPr>
          <w:color w:val="auto"/>
          <w:highlight w:val="none"/>
        </w:rPr>
      </w:r>
      <w:bookmarkStart w:id="43" w:name="_Toc16938518"/>
      <w:r>
        <w:rPr>
          <w:color w:val="auto"/>
          <w:highlight w:val="none"/>
        </w:rPr>
      </w:r>
      <w:bookmarkStart w:id="44" w:name="_Toc20823274"/>
      <w:r>
        <w:rPr>
          <w:color w:val="auto"/>
          <w:highlight w:val="none"/>
        </w:rPr>
      </w:r>
      <w:bookmarkStart w:id="45" w:name="_Toc513029202"/>
      <w:r>
        <w:rPr>
          <w:color w:val="auto"/>
          <w:highlight w:val="none"/>
        </w:rPr>
      </w:r>
      <w:bookmarkStart w:id="46" w:name="_Toc120614213"/>
      <w:r>
        <w:rPr>
          <w:rFonts w:hint="eastAsia" w:ascii="黑体" w:hAnsi="黑体" w:eastAsia="黑体"/>
          <w:color w:val="auto"/>
          <w:sz w:val="36"/>
          <w:szCs w:val="36"/>
          <w:highlight w:val="none"/>
        </w:rPr>
        <w:t xml:space="preserve">投标人须知</w:t>
      </w:r>
      <w:bookmarkEnd w:id="43"/>
      <w:r>
        <w:rPr>
          <w:color w:val="auto"/>
          <w:highlight w:val="none"/>
        </w:rPr>
      </w:r>
      <w:bookmarkEnd w:id="44"/>
      <w:r>
        <w:rPr>
          <w:color w:val="auto"/>
          <w:highlight w:val="none"/>
        </w:rPr>
      </w:r>
      <w:bookmarkEnd w:id="45"/>
      <w:r>
        <w:rPr>
          <w:color w:val="auto"/>
          <w:highlight w:val="none"/>
        </w:rPr>
      </w:r>
      <w:bookmarkEnd w:id="46"/>
      <w:r>
        <w:rPr>
          <w:color w:val="auto"/>
          <w:highlight w:val="none"/>
        </w:rPr>
      </w:r>
      <w:r>
        <w:rPr>
          <w:color w:val="auto"/>
          <w:highlight w:val="none"/>
        </w:rPr>
      </w:r>
    </w:p>
    <w:p>
      <w:pPr>
        <w:pStyle w:val="811"/>
        <w:ind w:firstLine="452"/>
        <w:keepLines w:val="0"/>
        <w:keepNext w:val="0"/>
        <w:spacing w:before="0" w:after="0" w:line="500" w:lineRule="exact"/>
        <w:rPr>
          <w:rFonts w:hint="eastAsia"/>
          <w:color w:val="auto"/>
          <w:sz w:val="30"/>
          <w:szCs w:val="30"/>
          <w:highlight w:val="none"/>
        </w:rPr>
      </w:pPr>
      <w:r>
        <w:rPr>
          <w:color w:val="auto"/>
          <w:highlight w:val="none"/>
        </w:rPr>
      </w:r>
      <w:bookmarkStart w:id="47" w:name="_Toc513029203"/>
      <w:r>
        <w:rPr>
          <w:color w:val="auto"/>
          <w:highlight w:val="none"/>
        </w:rPr>
      </w:r>
      <w:bookmarkStart w:id="48" w:name="_Toc120614214"/>
      <w:r>
        <w:rPr>
          <w:color w:val="auto"/>
          <w:highlight w:val="none"/>
        </w:rPr>
      </w:r>
      <w:bookmarkStart w:id="49" w:name="_Toc20823275"/>
      <w:r>
        <w:rPr>
          <w:color w:val="auto"/>
          <w:highlight w:val="none"/>
        </w:rPr>
      </w:r>
      <w:bookmarkStart w:id="50" w:name="_Toc16938519"/>
      <w:r>
        <w:rPr>
          <w:rFonts w:hint="eastAsia"/>
          <w:color w:val="auto"/>
          <w:sz w:val="30"/>
          <w:szCs w:val="30"/>
          <w:highlight w:val="none"/>
        </w:rPr>
        <w:t xml:space="preserve">一、总则</w:t>
      </w:r>
      <w:bookmarkEnd w:id="47"/>
      <w:r>
        <w:rPr>
          <w:color w:val="auto"/>
          <w:highlight w:val="none"/>
        </w:rPr>
      </w:r>
      <w:bookmarkEnd w:id="48"/>
      <w:r>
        <w:rPr>
          <w:color w:val="auto"/>
          <w:highlight w:val="none"/>
        </w:rPr>
      </w:r>
      <w:bookmarkEnd w:id="49"/>
      <w:r>
        <w:rPr>
          <w:color w:val="auto"/>
          <w:highlight w:val="none"/>
        </w:rPr>
      </w:r>
      <w:bookmarkEnd w:id="50"/>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1" w:name="_Hlt16619475"/>
      <w:r>
        <w:rPr>
          <w:color w:val="auto"/>
          <w:highlight w:val="none"/>
        </w:rPr>
      </w:r>
      <w:bookmarkEnd w:id="51"/>
      <w:r>
        <w:rPr>
          <w:color w:val="auto"/>
          <w:highlight w:val="none"/>
        </w:rPr>
      </w:r>
      <w:bookmarkStart w:id="52" w:name="_Toc16938520"/>
      <w:r>
        <w:rPr>
          <w:color w:val="auto"/>
          <w:highlight w:val="none"/>
        </w:rPr>
      </w:r>
      <w:bookmarkStart w:id="53" w:name="_Toc513029204"/>
      <w:r>
        <w:rPr>
          <w:color w:val="auto"/>
          <w:highlight w:val="none"/>
        </w:rPr>
      </w:r>
      <w:bookmarkStart w:id="54" w:name="_Toc20823276"/>
      <w:r>
        <w:rPr>
          <w:rFonts w:hint="eastAsia" w:ascii="宋体" w:hAnsi="宋体" w:eastAsia="宋体"/>
          <w:bCs w:val="0"/>
          <w:color w:val="auto"/>
          <w:highlight w:val="none"/>
        </w:rPr>
        <w:t xml:space="preserve">1.招标方式</w:t>
      </w:r>
      <w:bookmarkEnd w:id="52"/>
      <w:r>
        <w:rPr>
          <w:color w:val="auto"/>
          <w:highlight w:val="none"/>
        </w:rPr>
      </w:r>
      <w:bookmarkEnd w:id="53"/>
      <w:r>
        <w:rPr>
          <w:color w:val="auto"/>
          <w:highlight w:val="none"/>
        </w:rPr>
      </w:r>
      <w:bookmarkEnd w:id="54"/>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5" w:name="_Toc16938521"/>
      <w:r>
        <w:rPr>
          <w:color w:val="auto"/>
          <w:highlight w:val="none"/>
        </w:rPr>
      </w:r>
      <w:bookmarkStart w:id="56" w:name="_Toc20823277"/>
      <w:r>
        <w:rPr>
          <w:color w:val="auto"/>
          <w:highlight w:val="none"/>
        </w:rPr>
      </w:r>
      <w:bookmarkStart w:id="57" w:name="_Toc513029205"/>
      <w:r>
        <w:rPr>
          <w:rFonts w:hint="eastAsia" w:ascii="宋体" w:hAnsi="宋体" w:eastAsia="宋体"/>
          <w:bCs w:val="0"/>
          <w:color w:val="auto"/>
          <w:highlight w:val="none"/>
        </w:rPr>
        <w:t xml:space="preserve">2.</w:t>
      </w:r>
      <w:bookmarkEnd w:id="55"/>
      <w:r>
        <w:rPr>
          <w:color w:val="auto"/>
          <w:highlight w:val="none"/>
        </w:rPr>
      </w:r>
      <w:bookmarkEnd w:id="56"/>
      <w:r>
        <w:rPr>
          <w:color w:val="auto"/>
          <w:highlight w:val="none"/>
        </w:rPr>
      </w:r>
      <w:bookmarkEnd w:id="57"/>
      <w:r>
        <w:rPr>
          <w:rFonts w:hint="eastAsia" w:ascii="宋体" w:hAnsi="宋体" w:eastAsia="宋体"/>
          <w:bCs w:val="0"/>
          <w:color w:val="auto"/>
          <w:highlight w:val="none"/>
        </w:rPr>
        <w:t xml:space="preserve">采购人、采购代理机构、投标人、联合体</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rPr>
          <w:color w:val="auto"/>
          <w:highlight w:val="none"/>
        </w:rPr>
      </w:r>
      <w:r>
        <w:rPr>
          <w:color w:val="auto"/>
          <w:highlight w:val="none"/>
        </w:rPr>
      </w:r>
    </w:p>
    <w:p>
      <w:pPr>
        <w:pStyle w:val="808"/>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8" w:name="_Toc513029206"/>
      <w:r>
        <w:rPr>
          <w:color w:val="auto"/>
          <w:highlight w:val="none"/>
        </w:rPr>
      </w:r>
      <w:bookmarkStart w:id="59" w:name="_Toc16938522"/>
      <w:r>
        <w:rPr>
          <w:color w:val="auto"/>
          <w:highlight w:val="none"/>
        </w:rPr>
      </w:r>
      <w:bookmarkStart w:id="60" w:name="_Toc20823278"/>
      <w:r>
        <w:rPr>
          <w:rFonts w:hint="eastAsia" w:ascii="宋体" w:hAnsi="宋体" w:eastAsia="宋体"/>
          <w:bCs w:val="0"/>
          <w:color w:val="auto"/>
          <w:highlight w:val="none"/>
        </w:rPr>
        <w:t xml:space="preserve">3.适用法律</w:t>
      </w:r>
      <w:bookmarkEnd w:id="58"/>
      <w:r>
        <w:rPr>
          <w:color w:val="auto"/>
          <w:highlight w:val="none"/>
        </w:rPr>
      </w:r>
      <w:bookmarkEnd w:id="59"/>
      <w:r>
        <w:rPr>
          <w:color w:val="auto"/>
          <w:highlight w:val="none"/>
        </w:rPr>
      </w:r>
      <w:bookmarkEnd w:id="60"/>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61" w:name="_Toc20823279"/>
      <w:r>
        <w:rPr>
          <w:color w:val="auto"/>
          <w:highlight w:val="none"/>
        </w:rPr>
      </w:r>
      <w:bookmarkStart w:id="62" w:name="_Toc513029207"/>
      <w:r>
        <w:rPr>
          <w:color w:val="auto"/>
          <w:highlight w:val="none"/>
        </w:rPr>
      </w:r>
      <w:bookmarkStart w:id="63" w:name="_Toc462564067"/>
      <w:r>
        <w:rPr>
          <w:color w:val="auto"/>
          <w:highlight w:val="none"/>
        </w:rPr>
      </w:r>
      <w:bookmarkStart w:id="64" w:name="_Toc16938523"/>
      <w:r>
        <w:rPr>
          <w:rFonts w:hint="eastAsia" w:ascii="宋体" w:hAnsi="宋体" w:eastAsia="宋体"/>
          <w:bCs w:val="0"/>
          <w:color w:val="auto"/>
          <w:highlight w:val="none"/>
        </w:rPr>
        <w:t xml:space="preserve">4.投标费用</w:t>
      </w:r>
      <w:bookmarkEnd w:id="61"/>
      <w:r>
        <w:rPr>
          <w:color w:val="auto"/>
          <w:highlight w:val="none"/>
        </w:rPr>
      </w:r>
      <w:bookmarkEnd w:id="62"/>
      <w:r>
        <w:rPr>
          <w:color w:val="auto"/>
          <w:highlight w:val="none"/>
        </w:rPr>
      </w:r>
      <w:bookmarkEnd w:id="63"/>
      <w:r>
        <w:rPr>
          <w:color w:val="auto"/>
          <w:highlight w:val="none"/>
        </w:rPr>
      </w:r>
      <w:bookmarkEnd w:id="64"/>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4.2本次招标标书工本费</w:t>
      </w:r>
      <w:r>
        <w:rPr>
          <w:rFonts w:hint="eastAsia" w:ascii="宋体" w:hAnsi="宋体"/>
          <w:color w:val="auto"/>
          <w:sz w:val="24"/>
          <w:highlight w:val="none"/>
        </w:rPr>
        <w:t xml:space="preserve">、</w:t>
      </w:r>
      <w:r>
        <w:rPr>
          <w:rFonts w:hint="eastAsia" w:ascii="宋体" w:hAnsi="宋体"/>
          <w:color w:val="auto"/>
          <w:sz w:val="24"/>
          <w:highlight w:val="none"/>
        </w:rPr>
        <w:t xml:space="preserve">中标服务费</w:t>
      </w:r>
      <w:r>
        <w:rPr>
          <w:rFonts w:hint="eastAsia" w:ascii="宋体" w:hAnsi="宋体"/>
          <w:color w:val="auto"/>
          <w:sz w:val="24"/>
          <w:highlight w:val="none"/>
        </w:rPr>
        <w:t xml:space="preserve">、招标文件均免费</w:t>
      </w:r>
      <w:r>
        <w:rPr>
          <w:rFonts w:hint="eastAsia" w:ascii="宋体" w:hAnsi="宋体"/>
          <w:color w:val="auto"/>
          <w:sz w:val="24"/>
          <w:highlight w:val="none"/>
        </w:rPr>
        <w:t xml:space="preserve">。</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rPr>
          <w:color w:val="auto"/>
          <w:highlight w:val="none"/>
        </w:rPr>
      </w:r>
      <w:r>
        <w:rPr>
          <w:color w:val="auto"/>
          <w:highlight w:val="none"/>
        </w:rPr>
      </w:r>
    </w:p>
    <w:p>
      <w:pPr>
        <w:pStyle w:val="811"/>
        <w:ind w:firstLine="452"/>
        <w:keepLines w:val="0"/>
        <w:keepNext w:val="0"/>
        <w:spacing w:before="0" w:after="0" w:line="500" w:lineRule="exact"/>
        <w:rPr>
          <w:rFonts w:hint="eastAsia"/>
          <w:color w:val="auto"/>
          <w:sz w:val="30"/>
          <w:szCs w:val="30"/>
          <w:highlight w:val="none"/>
        </w:rPr>
      </w:pPr>
      <w:r>
        <w:rPr>
          <w:color w:val="auto"/>
          <w:highlight w:val="none"/>
        </w:rPr>
      </w:r>
      <w:bookmarkStart w:id="65" w:name="_Toc16938525"/>
      <w:r>
        <w:rPr>
          <w:color w:val="auto"/>
          <w:highlight w:val="none"/>
        </w:rPr>
      </w:r>
      <w:bookmarkStart w:id="66" w:name="_Toc513029209"/>
      <w:r>
        <w:rPr>
          <w:color w:val="auto"/>
          <w:highlight w:val="none"/>
        </w:rPr>
      </w:r>
      <w:bookmarkStart w:id="67" w:name="_Toc120614215"/>
      <w:r>
        <w:rPr>
          <w:color w:val="auto"/>
          <w:highlight w:val="none"/>
        </w:rPr>
      </w:r>
      <w:bookmarkStart w:id="68" w:name="_Toc20823281"/>
      <w:r>
        <w:rPr>
          <w:rFonts w:hint="eastAsia"/>
          <w:color w:val="auto"/>
          <w:sz w:val="30"/>
          <w:szCs w:val="30"/>
          <w:highlight w:val="none"/>
        </w:rPr>
        <w:t xml:space="preserve">二、招标文件</w:t>
      </w:r>
      <w:bookmarkEnd w:id="65"/>
      <w:r>
        <w:rPr>
          <w:color w:val="auto"/>
          <w:highlight w:val="none"/>
        </w:rPr>
      </w:r>
      <w:bookmarkEnd w:id="66"/>
      <w:r>
        <w:rPr>
          <w:color w:val="auto"/>
          <w:highlight w:val="none"/>
        </w:rPr>
      </w:r>
      <w:bookmarkEnd w:id="67"/>
      <w:r>
        <w:rPr>
          <w:color w:val="auto"/>
          <w:highlight w:val="none"/>
        </w:rPr>
      </w:r>
      <w:bookmarkEnd w:id="68"/>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69" w:name="_Toc20823282"/>
      <w:r>
        <w:rPr>
          <w:color w:val="auto"/>
          <w:highlight w:val="none"/>
        </w:rPr>
      </w:r>
      <w:bookmarkStart w:id="70" w:name="_Toc513029210"/>
      <w:r>
        <w:rPr>
          <w:color w:val="auto"/>
          <w:highlight w:val="none"/>
        </w:rPr>
      </w:r>
      <w:bookmarkStart w:id="71" w:name="_Toc16938526"/>
      <w:r>
        <w:rPr>
          <w:rFonts w:hint="eastAsia" w:ascii="宋体" w:hAnsi="宋体" w:eastAsia="宋体"/>
          <w:bCs w:val="0"/>
          <w:color w:val="auto"/>
          <w:highlight w:val="none"/>
        </w:rPr>
        <w:t xml:space="preserve">6.招标文件构成</w:t>
      </w:r>
      <w:bookmarkEnd w:id="69"/>
      <w:r>
        <w:rPr>
          <w:color w:val="auto"/>
          <w:highlight w:val="none"/>
        </w:rPr>
      </w:r>
      <w:bookmarkEnd w:id="70"/>
      <w:r>
        <w:rPr>
          <w:color w:val="auto"/>
          <w:highlight w:val="none"/>
        </w:rPr>
      </w:r>
      <w:bookmarkEnd w:id="71"/>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rPr>
          <w:color w:val="auto"/>
          <w:highlight w:val="none"/>
        </w:rPr>
      </w:r>
      <w:r>
        <w:rPr>
          <w:color w:val="auto"/>
          <w:highlight w:val="none"/>
        </w:rPr>
      </w:r>
    </w:p>
    <w:p>
      <w:pPr>
        <w:pStyle w:val="808"/>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请仔细检查招标文件是否齐全，如有缺漏请立即与交易中心联系解决。</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72" w:name="_Toc16938527"/>
      <w:r>
        <w:rPr>
          <w:color w:val="auto"/>
          <w:highlight w:val="none"/>
        </w:rPr>
      </w:r>
      <w:bookmarkStart w:id="73" w:name="_Toc20823283"/>
      <w:r>
        <w:rPr>
          <w:color w:val="auto"/>
          <w:highlight w:val="none"/>
        </w:rPr>
      </w:r>
      <w:bookmarkStart w:id="74" w:name="_Toc462564070"/>
      <w:r>
        <w:rPr>
          <w:color w:val="auto"/>
          <w:highlight w:val="none"/>
        </w:rPr>
      </w:r>
      <w:bookmarkStart w:id="75" w:name="_Toc513029211"/>
      <w:r>
        <w:rPr>
          <w:rFonts w:hint="eastAsia" w:ascii="宋体" w:hAnsi="宋体" w:eastAsia="宋体"/>
          <w:bCs w:val="0"/>
          <w:color w:val="auto"/>
          <w:highlight w:val="none"/>
        </w:rPr>
        <w:t xml:space="preserve">7.招标文件的澄清</w:t>
      </w:r>
      <w:bookmarkEnd w:id="72"/>
      <w:r>
        <w:rPr>
          <w:color w:val="auto"/>
          <w:highlight w:val="none"/>
        </w:rPr>
      </w:r>
      <w:bookmarkEnd w:id="73"/>
      <w:r>
        <w:rPr>
          <w:color w:val="auto"/>
          <w:highlight w:val="none"/>
        </w:rPr>
      </w:r>
      <w:bookmarkEnd w:id="74"/>
      <w:r>
        <w:rPr>
          <w:color w:val="auto"/>
          <w:highlight w:val="none"/>
        </w:rPr>
      </w:r>
      <w:bookmarkEnd w:id="75"/>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w:t>
      </w:r>
      <w:r>
        <w:rPr>
          <w:rFonts w:hint="eastAsia" w:ascii="宋体" w:hAnsi="宋体"/>
          <w:bCs/>
          <w:color w:val="auto"/>
          <w:sz w:val="24"/>
          <w:highlight w:val="none"/>
        </w:rPr>
        <w:t xml:space="preserve">参照</w:t>
      </w:r>
      <w:r>
        <w:rPr>
          <w:rFonts w:hint="eastAsia" w:ascii="宋体" w:hAnsi="宋体"/>
          <w:bCs/>
          <w:color w:val="auto"/>
          <w:sz w:val="24"/>
          <w:highlight w:val="none"/>
        </w:rPr>
        <w:t xml:space="preserve">本章</w:t>
      </w:r>
      <w:r>
        <w:rPr>
          <w:rFonts w:hint="eastAsia" w:ascii="宋体" w:hAnsi="宋体"/>
          <w:bCs/>
          <w:color w:val="auto"/>
          <w:sz w:val="24"/>
          <w:highlight w:val="none"/>
        </w:rPr>
        <w:t xml:space="preserve">下述28.4条款的规定向采购人或交易中心以书面形式提出。</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76" w:name="_Toc20823284"/>
      <w:r>
        <w:rPr>
          <w:color w:val="auto"/>
          <w:highlight w:val="none"/>
        </w:rPr>
      </w:r>
      <w:bookmarkStart w:id="77" w:name="_Toc462564071"/>
      <w:r>
        <w:rPr>
          <w:color w:val="auto"/>
          <w:highlight w:val="none"/>
        </w:rPr>
      </w:r>
      <w:bookmarkStart w:id="78" w:name="_Toc16938528"/>
      <w:r>
        <w:rPr>
          <w:color w:val="auto"/>
          <w:highlight w:val="none"/>
        </w:rPr>
      </w:r>
      <w:bookmarkStart w:id="79" w:name="_Toc513029212"/>
      <w:r>
        <w:rPr>
          <w:rFonts w:hint="eastAsia" w:ascii="宋体" w:hAnsi="宋体" w:eastAsia="宋体"/>
          <w:bCs w:val="0"/>
          <w:color w:val="auto"/>
          <w:highlight w:val="none"/>
        </w:rPr>
        <w:t xml:space="preserve">8.招标文件的修改</w:t>
      </w:r>
      <w:bookmarkEnd w:id="76"/>
      <w:r>
        <w:rPr>
          <w:color w:val="auto"/>
          <w:highlight w:val="none"/>
        </w:rPr>
      </w:r>
      <w:bookmarkEnd w:id="77"/>
      <w:r>
        <w:rPr>
          <w:color w:val="auto"/>
          <w:highlight w:val="none"/>
        </w:rPr>
      </w:r>
      <w:bookmarkEnd w:id="78"/>
      <w:r>
        <w:rPr>
          <w:color w:val="auto"/>
          <w:highlight w:val="none"/>
        </w:rPr>
      </w:r>
      <w:bookmarkEnd w:id="79"/>
      <w:r>
        <w:rPr>
          <w:color w:val="auto"/>
          <w:highlight w:val="none"/>
        </w:rPr>
      </w:r>
      <w:r>
        <w:rPr>
          <w:color w:val="auto"/>
          <w:highlight w:val="none"/>
        </w:rPr>
      </w:r>
    </w:p>
    <w:p>
      <w:pPr>
        <w:pStyle w:val="808"/>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8.1交易中心可在投标截止时间十五日前对招标文件进行必要的澄清或者修改，不足十五日的，将顺延提交投标文件的截止时间和开标日期。</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rPr>
          <w:color w:val="auto"/>
          <w:highlight w:val="none"/>
        </w:rPr>
      </w:r>
      <w:r>
        <w:rPr>
          <w:color w:val="auto"/>
          <w:highlight w:val="none"/>
        </w:rPr>
      </w:r>
    </w:p>
    <w:p>
      <w:pPr>
        <w:pStyle w:val="811"/>
        <w:ind w:firstLine="452"/>
        <w:keepLines w:val="0"/>
        <w:keepNext w:val="0"/>
        <w:spacing w:before="0" w:after="0" w:line="500" w:lineRule="exact"/>
        <w:rPr>
          <w:rFonts w:hint="eastAsia"/>
          <w:color w:val="auto"/>
          <w:sz w:val="30"/>
          <w:szCs w:val="30"/>
          <w:highlight w:val="none"/>
        </w:rPr>
      </w:pPr>
      <w:r>
        <w:rPr>
          <w:color w:val="auto"/>
          <w:highlight w:val="none"/>
        </w:rPr>
      </w:r>
      <w:bookmarkStart w:id="80" w:name="_Toc120614216"/>
      <w:r>
        <w:rPr>
          <w:color w:val="auto"/>
          <w:highlight w:val="none"/>
        </w:rPr>
      </w:r>
      <w:bookmarkStart w:id="81" w:name="_Toc462564072"/>
      <w:r>
        <w:rPr>
          <w:color w:val="auto"/>
          <w:highlight w:val="none"/>
        </w:rPr>
      </w:r>
      <w:bookmarkStart w:id="82" w:name="_Toc20823285"/>
      <w:r>
        <w:rPr>
          <w:color w:val="auto"/>
          <w:highlight w:val="none"/>
        </w:rPr>
      </w:r>
      <w:bookmarkStart w:id="83" w:name="_Toc16938529"/>
      <w:r>
        <w:rPr>
          <w:color w:val="auto"/>
          <w:highlight w:val="none"/>
        </w:rPr>
      </w:r>
      <w:bookmarkStart w:id="84" w:name="_Toc513029213"/>
      <w:r>
        <w:rPr>
          <w:rFonts w:hint="eastAsia"/>
          <w:color w:val="auto"/>
          <w:sz w:val="30"/>
          <w:szCs w:val="30"/>
          <w:highlight w:val="none"/>
        </w:rPr>
        <w:t xml:space="preserve">三、投标文件的编制</w:t>
      </w:r>
      <w:bookmarkEnd w:id="80"/>
      <w:r>
        <w:rPr>
          <w:color w:val="auto"/>
          <w:highlight w:val="none"/>
        </w:rPr>
      </w:r>
      <w:bookmarkEnd w:id="81"/>
      <w:r>
        <w:rPr>
          <w:color w:val="auto"/>
          <w:highlight w:val="none"/>
        </w:rPr>
      </w:r>
      <w:bookmarkEnd w:id="82"/>
      <w:r>
        <w:rPr>
          <w:color w:val="auto"/>
          <w:highlight w:val="none"/>
        </w:rPr>
      </w:r>
      <w:bookmarkEnd w:id="83"/>
      <w:r>
        <w:rPr>
          <w:color w:val="auto"/>
          <w:highlight w:val="none"/>
        </w:rPr>
      </w:r>
      <w:bookmarkEnd w:id="84"/>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85" w:name="_Toc462564073"/>
      <w:r>
        <w:rPr>
          <w:color w:val="auto"/>
          <w:highlight w:val="none"/>
        </w:rPr>
      </w:r>
      <w:bookmarkStart w:id="86" w:name="_Toc513029214"/>
      <w:r>
        <w:rPr>
          <w:color w:val="auto"/>
          <w:highlight w:val="none"/>
        </w:rPr>
      </w:r>
      <w:bookmarkStart w:id="87" w:name="_Toc20823286"/>
      <w:r>
        <w:rPr>
          <w:color w:val="auto"/>
          <w:highlight w:val="none"/>
        </w:rPr>
      </w:r>
      <w:bookmarkStart w:id="88" w:name="_Toc16938530"/>
      <w:r>
        <w:rPr>
          <w:rFonts w:hint="eastAsia" w:ascii="宋体" w:hAnsi="宋体" w:eastAsia="宋体"/>
          <w:bCs w:val="0"/>
          <w:color w:val="auto"/>
          <w:highlight w:val="none"/>
        </w:rPr>
        <w:t xml:space="preserve">9.投标文件的语言及度量衡单位</w:t>
      </w:r>
      <w:bookmarkEnd w:id="85"/>
      <w:r>
        <w:rPr>
          <w:color w:val="auto"/>
          <w:highlight w:val="none"/>
        </w:rPr>
      </w:r>
      <w:bookmarkEnd w:id="86"/>
      <w:r>
        <w:rPr>
          <w:color w:val="auto"/>
          <w:highlight w:val="none"/>
        </w:rPr>
      </w:r>
      <w:bookmarkEnd w:id="87"/>
      <w:r>
        <w:rPr>
          <w:color w:val="auto"/>
          <w:highlight w:val="none"/>
        </w:rPr>
      </w:r>
      <w:bookmarkEnd w:id="88"/>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投标人提交的投标文件以及投标人与交易中心就有关投标的所有来往通知、函</w:t>
      </w:r>
      <w:r>
        <w:rPr>
          <w:rFonts w:hint="eastAsia" w:ascii="宋体" w:hAnsi="宋体"/>
          <w:color w:val="auto"/>
          <w:sz w:val="24"/>
          <w:highlight w:val="none"/>
        </w:rPr>
        <w:t xml:space="preserve">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89" w:name="_Toc462564074"/>
      <w:r>
        <w:rPr>
          <w:color w:val="auto"/>
          <w:highlight w:val="none"/>
        </w:rPr>
      </w:r>
      <w:bookmarkStart w:id="90" w:name="_Toc16938531"/>
      <w:r>
        <w:rPr>
          <w:color w:val="auto"/>
          <w:highlight w:val="none"/>
        </w:rPr>
      </w:r>
      <w:bookmarkStart w:id="91" w:name="_Toc20823287"/>
      <w:r>
        <w:rPr>
          <w:color w:val="auto"/>
          <w:highlight w:val="none"/>
        </w:rPr>
      </w:r>
      <w:bookmarkStart w:id="92" w:name="_Toc513029215"/>
      <w:r>
        <w:rPr>
          <w:rFonts w:hint="eastAsia" w:ascii="宋体" w:hAnsi="宋体" w:eastAsia="宋体"/>
          <w:bCs w:val="0"/>
          <w:color w:val="auto"/>
          <w:highlight w:val="none"/>
        </w:rPr>
        <w:t xml:space="preserve">10.投标文件构成</w:t>
      </w:r>
      <w:bookmarkEnd w:id="89"/>
      <w:r>
        <w:rPr>
          <w:color w:val="auto"/>
          <w:highlight w:val="none"/>
        </w:rPr>
      </w:r>
      <w:bookmarkEnd w:id="90"/>
      <w:r>
        <w:rPr>
          <w:color w:val="auto"/>
          <w:highlight w:val="none"/>
        </w:rPr>
      </w:r>
      <w:bookmarkEnd w:id="91"/>
      <w:r>
        <w:rPr>
          <w:color w:val="auto"/>
          <w:highlight w:val="none"/>
        </w:rPr>
      </w:r>
      <w:bookmarkEnd w:id="92"/>
      <w:r>
        <w:rPr>
          <w:color w:val="auto"/>
          <w:highlight w:val="none"/>
        </w:rPr>
      </w:r>
      <w:r>
        <w:rPr>
          <w:color w:val="auto"/>
          <w:highlight w:val="none"/>
        </w:rPr>
      </w:r>
    </w:p>
    <w:p>
      <w:pPr>
        <w:pStyle w:val="808"/>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rPr>
          <w:color w:val="auto"/>
          <w:highlight w:val="none"/>
        </w:rPr>
      </w:r>
      <w:r>
        <w:rPr>
          <w:color w:val="auto"/>
          <w:highlight w:val="none"/>
        </w:rPr>
      </w:r>
    </w:p>
    <w:p>
      <w:pPr>
        <w:pStyle w:val="808"/>
        <w:ind w:firstLine="482"/>
        <w:spacing w:line="500" w:lineRule="exact"/>
        <w:rPr>
          <w:rFonts w:hint="eastAsia" w:ascii="宋体" w:hAnsi="宋体"/>
          <w:b/>
          <w:color w:val="auto"/>
          <w:sz w:val="24"/>
          <w:highlight w:val="none"/>
          <w:u w:val="single"/>
        </w:rPr>
      </w:pPr>
      <w:r>
        <w:rPr>
          <w:rFonts w:hint="eastAsia" w:ascii="宋体" w:hAnsi="宋体"/>
          <w:b/>
          <w:color w:val="auto"/>
          <w:sz w:val="24"/>
          <w:highlight w:val="none"/>
          <w:u w:val="single"/>
        </w:rPr>
        <w:t xml:space="preserve">10.4特别注意：本项目采用暗标形式，投标人须按第五章《评标方法与评标标准》的</w:t>
      </w:r>
      <w:r>
        <w:rPr>
          <w:rFonts w:hint="eastAsia" w:ascii="宋体" w:hAnsi="宋体"/>
          <w:b/>
          <w:color w:val="auto"/>
          <w:sz w:val="24"/>
          <w:highlight w:val="none"/>
          <w:u w:val="single"/>
        </w:rPr>
        <w:t xml:space="preserve">相关</w:t>
      </w:r>
      <w:r>
        <w:rPr>
          <w:rFonts w:hint="eastAsia" w:ascii="宋体" w:hAnsi="宋体"/>
          <w:b/>
          <w:color w:val="auto"/>
          <w:sz w:val="24"/>
          <w:highlight w:val="none"/>
          <w:u w:val="single"/>
        </w:rPr>
        <w:t xml:space="preserve">要求对商务</w:t>
      </w:r>
      <w:r>
        <w:rPr>
          <w:rFonts w:hint="eastAsia" w:ascii="宋体" w:hAnsi="宋体"/>
          <w:b/>
          <w:color w:val="auto"/>
          <w:sz w:val="24"/>
          <w:highlight w:val="none"/>
          <w:u w:val="single"/>
        </w:rPr>
        <w:t xml:space="preserve">部</w:t>
      </w:r>
      <w:r>
        <w:rPr>
          <w:rFonts w:hint="eastAsia" w:ascii="宋体" w:hAnsi="宋体"/>
          <w:b/>
          <w:color w:val="auto"/>
          <w:sz w:val="24"/>
          <w:highlight w:val="none"/>
          <w:u w:val="single"/>
        </w:rPr>
        <w:t xml:space="preserve">分</w:t>
      </w:r>
      <w:r>
        <w:rPr>
          <w:rFonts w:hint="eastAsia" w:ascii="宋体" w:hAnsi="宋体"/>
          <w:b/>
          <w:color w:val="auto"/>
          <w:sz w:val="24"/>
          <w:highlight w:val="none"/>
          <w:u w:val="single"/>
        </w:rPr>
        <w:t xml:space="preserve">和技术</w:t>
      </w:r>
      <w:r>
        <w:rPr>
          <w:rFonts w:hint="eastAsia" w:ascii="宋体" w:hAnsi="宋体"/>
          <w:b/>
          <w:color w:val="auto"/>
          <w:sz w:val="24"/>
          <w:highlight w:val="none"/>
          <w:u w:val="single"/>
        </w:rPr>
        <w:t xml:space="preserve">部分</w:t>
      </w:r>
      <w:r>
        <w:rPr>
          <w:rFonts w:hint="eastAsia" w:ascii="宋体" w:hAnsi="宋体"/>
          <w:b/>
          <w:color w:val="auto"/>
          <w:sz w:val="24"/>
          <w:highlight w:val="none"/>
          <w:u w:val="single"/>
        </w:rPr>
        <w:t xml:space="preserve">分别进行制作。其中</w:t>
      </w:r>
      <w:r>
        <w:rPr>
          <w:rFonts w:hint="eastAsia" w:ascii="宋体" w:hAnsi="宋体"/>
          <w:b/>
          <w:color w:val="auto"/>
          <w:sz w:val="24"/>
          <w:highlight w:val="none"/>
          <w:u w:val="single"/>
        </w:rPr>
        <w:t xml:space="preserve">技术部分</w:t>
      </w:r>
      <w:r>
        <w:rPr>
          <w:rFonts w:hint="eastAsia" w:ascii="宋体" w:hAnsi="宋体"/>
          <w:b/>
          <w:color w:val="auto"/>
          <w:sz w:val="24"/>
          <w:highlight w:val="none"/>
          <w:u w:val="single"/>
        </w:rPr>
        <w:t xml:space="preserve">属于暗标，</w:t>
      </w:r>
      <w:r>
        <w:rPr>
          <w:rFonts w:hint="eastAsia" w:ascii="宋体" w:hAnsi="宋体"/>
          <w:b/>
          <w:color w:val="auto"/>
          <w:sz w:val="24"/>
          <w:highlight w:val="none"/>
          <w:u w:val="single"/>
        </w:rPr>
        <w:t xml:space="preserve">投标人在制作</w:t>
      </w:r>
      <w:r>
        <w:rPr>
          <w:rFonts w:hint="eastAsia" w:ascii="宋体" w:hAnsi="宋体"/>
          <w:b/>
          <w:color w:val="auto"/>
          <w:sz w:val="24"/>
          <w:highlight w:val="none"/>
          <w:u w:val="single"/>
        </w:rPr>
        <w:t xml:space="preserve">技术部分</w:t>
      </w:r>
      <w:r>
        <w:rPr>
          <w:rFonts w:hint="eastAsia" w:ascii="宋体" w:hAnsi="宋体"/>
          <w:b/>
          <w:color w:val="auto"/>
          <w:sz w:val="24"/>
          <w:highlight w:val="none"/>
          <w:u w:val="single"/>
        </w:rPr>
        <w:t xml:space="preserve">相关内容时</w:t>
      </w:r>
      <w:r>
        <w:rPr>
          <w:rFonts w:hint="eastAsia" w:ascii="宋体" w:hAnsi="宋体"/>
          <w:b/>
          <w:color w:val="auto"/>
          <w:sz w:val="24"/>
          <w:highlight w:val="none"/>
          <w:u w:val="single"/>
        </w:rPr>
        <w:t xml:space="preserve">不得有体现投标人身份的内容，否则投标无效。</w:t>
      </w:r>
      <w:r>
        <w:rPr>
          <w:color w:val="auto"/>
          <w:highlight w:val="none"/>
        </w:rPr>
      </w:r>
      <w:r>
        <w:rPr>
          <w:color w:val="auto"/>
          <w:highlight w:val="none"/>
        </w:rPr>
      </w:r>
    </w:p>
    <w:p>
      <w:pPr>
        <w:pStyle w:val="808"/>
        <w:ind w:firstLine="482"/>
        <w:spacing w:line="500" w:lineRule="exact"/>
        <w:rPr>
          <w:rFonts w:hint="eastAsia" w:ascii="宋体" w:hAnsi="宋体"/>
          <w:b/>
          <w:color w:val="auto"/>
          <w:sz w:val="24"/>
          <w:highlight w:val="none"/>
          <w:u w:val="single"/>
        </w:rPr>
      </w:pPr>
      <w:r>
        <w:rPr>
          <w:rFonts w:hint="eastAsia" w:ascii="宋体" w:hAnsi="宋体"/>
          <w:b/>
          <w:color w:val="auto"/>
          <w:sz w:val="24"/>
          <w:highlight w:val="none"/>
        </w:rPr>
        <w:t xml:space="preserve">上述《评标方法与评标标准》中技术部分</w:t>
      </w:r>
      <w:r>
        <w:rPr>
          <w:rFonts w:hint="eastAsia" w:ascii="宋体" w:hAnsi="宋体"/>
          <w:b/>
          <w:color w:val="auto"/>
          <w:sz w:val="24"/>
          <w:highlight w:val="none"/>
        </w:rPr>
        <w:t xml:space="preserve">不得有体现投标人身份的内容是指：</w:t>
      </w:r>
      <w:r>
        <w:rPr>
          <w:color w:val="auto"/>
          <w:highlight w:val="none"/>
        </w:rPr>
      </w:r>
      <w:r>
        <w:rPr>
          <w:color w:val="auto"/>
          <w:highlight w:val="none"/>
        </w:rPr>
      </w:r>
    </w:p>
    <w:p>
      <w:pPr>
        <w:pStyle w:val="808"/>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10.4.1技术部分不得出现能够体现投标人身份、名称的相关描述、材料、文件等内容；</w:t>
      </w:r>
      <w:r>
        <w:rPr>
          <w:color w:val="auto"/>
          <w:highlight w:val="none"/>
        </w:rPr>
      </w:r>
      <w:r>
        <w:rPr>
          <w:color w:val="auto"/>
          <w:highlight w:val="none"/>
        </w:rPr>
      </w:r>
    </w:p>
    <w:p>
      <w:pPr>
        <w:pStyle w:val="808"/>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10.4.2技术部分不得更改，不得在其中涂改、标注或做任何可以辨认投标人及所属人员身份的名称、印章、商标等标记；</w:t>
      </w:r>
      <w:r>
        <w:rPr>
          <w:color w:val="auto"/>
          <w:highlight w:val="none"/>
        </w:rPr>
      </w:r>
      <w:r>
        <w:rPr>
          <w:color w:val="auto"/>
          <w:highlight w:val="none"/>
        </w:rPr>
      </w:r>
    </w:p>
    <w:p>
      <w:pPr>
        <w:pStyle w:val="808"/>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10.4.3</w:t>
      </w:r>
      <w:r>
        <w:rPr>
          <w:rFonts w:hint="eastAsia" w:ascii="宋体" w:hAnsi="宋体"/>
          <w:b/>
          <w:color w:val="auto"/>
          <w:sz w:val="24"/>
          <w:highlight w:val="none"/>
        </w:rPr>
        <w:t xml:space="preserve">技术部分应当</w:t>
      </w:r>
      <w:r>
        <w:rPr>
          <w:rFonts w:hint="eastAsia" w:ascii="宋体" w:hAnsi="宋体"/>
          <w:b/>
          <w:color w:val="auto"/>
          <w:sz w:val="24"/>
          <w:highlight w:val="none"/>
        </w:rPr>
        <w:t xml:space="preserve">版面整洁、字迹清楚、不许批注</w:t>
      </w:r>
      <w:r>
        <w:rPr>
          <w:rFonts w:hint="eastAsia" w:ascii="宋体" w:hAnsi="宋体"/>
          <w:b/>
          <w:color w:val="auto"/>
          <w:sz w:val="24"/>
          <w:highlight w:val="none"/>
        </w:rPr>
        <w:t xml:space="preserve">或进行底纹、阴影、水印等特殊设置</w:t>
      </w:r>
      <w:r>
        <w:rPr>
          <w:rFonts w:hint="eastAsia" w:ascii="宋体" w:hAnsi="宋体"/>
          <w:b/>
          <w:color w:val="auto"/>
          <w:sz w:val="24"/>
          <w:highlight w:val="none"/>
        </w:rPr>
        <w:t xml:space="preserve">，不得采用任何不符合常规、有别于其他投标人的特殊做法；</w:t>
      </w:r>
      <w:r>
        <w:rPr>
          <w:color w:val="auto"/>
          <w:highlight w:val="none"/>
        </w:rPr>
      </w:r>
      <w:r>
        <w:rPr>
          <w:color w:val="auto"/>
          <w:highlight w:val="none"/>
        </w:rPr>
      </w:r>
    </w:p>
    <w:p>
      <w:pPr>
        <w:pStyle w:val="808"/>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10.4.4</w:t>
      </w:r>
      <w:r>
        <w:rPr>
          <w:rFonts w:hint="eastAsia" w:ascii="宋体" w:hAnsi="宋体"/>
          <w:b/>
          <w:color w:val="auto"/>
          <w:sz w:val="24"/>
          <w:highlight w:val="none"/>
        </w:rPr>
        <w:t xml:space="preserve">不得有</w:t>
      </w:r>
      <w:r>
        <w:rPr>
          <w:rFonts w:hint="eastAsia" w:ascii="宋体" w:hAnsi="宋体"/>
          <w:b/>
          <w:color w:val="auto"/>
          <w:sz w:val="24"/>
          <w:highlight w:val="none"/>
        </w:rPr>
        <w:t xml:space="preserve">其他体现投标人身份的内容。</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93" w:name="_Hlt26670360"/>
      <w:r>
        <w:rPr>
          <w:color w:val="auto"/>
          <w:highlight w:val="none"/>
        </w:rPr>
      </w:r>
      <w:bookmarkEnd w:id="93"/>
      <w:r>
        <w:rPr>
          <w:color w:val="auto"/>
          <w:highlight w:val="none"/>
        </w:rPr>
      </w:r>
      <w:bookmarkStart w:id="94" w:name="_Hlt26668975"/>
      <w:r>
        <w:rPr>
          <w:color w:val="auto"/>
          <w:highlight w:val="none"/>
        </w:rPr>
      </w:r>
      <w:bookmarkEnd w:id="94"/>
      <w:r>
        <w:rPr>
          <w:color w:val="auto"/>
          <w:highlight w:val="none"/>
        </w:rPr>
      </w:r>
      <w:bookmarkStart w:id="95" w:name="_Hlt26954838"/>
      <w:r>
        <w:rPr>
          <w:color w:val="auto"/>
          <w:highlight w:val="none"/>
        </w:rPr>
      </w:r>
      <w:bookmarkEnd w:id="95"/>
      <w:r>
        <w:rPr>
          <w:color w:val="auto"/>
          <w:highlight w:val="none"/>
        </w:rPr>
      </w:r>
      <w:bookmarkStart w:id="96" w:name="_Toc49090509"/>
      <w:r>
        <w:rPr>
          <w:color w:val="auto"/>
          <w:highlight w:val="none"/>
        </w:rPr>
      </w:r>
      <w:bookmarkStart w:id="97" w:name="_Toc513029219"/>
      <w:r>
        <w:rPr>
          <w:color w:val="auto"/>
          <w:highlight w:val="none"/>
        </w:rPr>
      </w:r>
      <w:bookmarkStart w:id="98" w:name="_Toc14577357"/>
      <w:r>
        <w:rPr>
          <w:color w:val="auto"/>
          <w:highlight w:val="none"/>
        </w:rPr>
      </w:r>
      <w:bookmarkStart w:id="99" w:name="_Toc513029216"/>
      <w:r>
        <w:rPr>
          <w:color w:val="auto"/>
          <w:highlight w:val="none"/>
        </w:rPr>
      </w:r>
      <w:bookmarkStart w:id="100" w:name="_Toc49090507"/>
      <w:r>
        <w:rPr>
          <w:color w:val="auto"/>
          <w:highlight w:val="none"/>
        </w:rPr>
      </w:r>
      <w:bookmarkStart w:id="101" w:name="_Toc14577354"/>
      <w:r>
        <w:rPr>
          <w:rFonts w:hint="eastAsia" w:ascii="宋体" w:hAnsi="宋体" w:eastAsia="宋体"/>
          <w:bCs w:val="0"/>
          <w:color w:val="auto"/>
          <w:highlight w:val="none"/>
        </w:rPr>
        <w:t xml:space="preserve">11.证明投标人及投标标的符合招标文件规定的文件</w:t>
      </w:r>
      <w:bookmarkEnd w:id="96"/>
      <w:r>
        <w:rPr>
          <w:color w:val="auto"/>
          <w:highlight w:val="none"/>
        </w:rPr>
      </w:r>
      <w:bookmarkEnd w:id="97"/>
      <w:r>
        <w:rPr>
          <w:color w:val="auto"/>
          <w:highlight w:val="none"/>
        </w:rPr>
      </w:r>
      <w:bookmarkEnd w:id="98"/>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color w:val="auto"/>
          <w:highlight w:val="none"/>
        </w:rPr>
      </w:r>
      <w:bookmarkEnd w:id="99"/>
      <w:r>
        <w:rPr>
          <w:color w:val="auto"/>
          <w:highlight w:val="none"/>
        </w:rPr>
      </w:r>
      <w:bookmarkEnd w:id="100"/>
      <w:r>
        <w:rPr>
          <w:color w:val="auto"/>
          <w:highlight w:val="none"/>
        </w:rPr>
      </w:r>
      <w:bookmarkEnd w:id="101"/>
      <w:r>
        <w:rPr>
          <w:color w:val="auto"/>
          <w:highlight w:val="none"/>
        </w:rPr>
      </w:r>
      <w:bookmarkStart w:id="102" w:name="_Toc14577355"/>
      <w:r>
        <w:rPr>
          <w:color w:val="auto"/>
          <w:highlight w:val="none"/>
        </w:rPr>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04" w:name="_Toc14577359"/>
      <w:r>
        <w:rPr>
          <w:color w:val="auto"/>
          <w:highlight w:val="none"/>
        </w:rPr>
      </w:r>
      <w:bookmarkStart w:id="105" w:name="_Toc49090510"/>
      <w:r>
        <w:rPr>
          <w:rFonts w:hint="eastAsia" w:ascii="宋体" w:hAnsi="宋体" w:eastAsia="宋体"/>
          <w:bCs w:val="0"/>
          <w:color w:val="auto"/>
          <w:highlight w:val="none"/>
        </w:rPr>
        <w:t xml:space="preserve">12.投标函、承诺书和开标一览表</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End w:id="104"/>
      <w:r>
        <w:rPr>
          <w:color w:val="auto"/>
          <w:highlight w:val="none"/>
        </w:rPr>
      </w:r>
      <w:bookmarkEnd w:id="105"/>
      <w:r>
        <w:rPr>
          <w:rFonts w:hint="eastAsia" w:ascii="宋体" w:hAnsi="宋体" w:eastAsia="宋体"/>
          <w:bCs w:val="0"/>
          <w:color w:val="auto"/>
          <w:highlight w:val="none"/>
        </w:rPr>
        <w:t xml:space="preserve">13.</w:t>
      </w:r>
      <w:bookmarkEnd w:id="102"/>
      <w:r>
        <w:rPr>
          <w:color w:val="auto"/>
          <w:highlight w:val="none"/>
        </w:rPr>
      </w:r>
      <w:bookmarkEnd w:id="103"/>
      <w:r>
        <w:rPr>
          <w:rFonts w:hint="eastAsia" w:ascii="宋体" w:hAnsi="宋体" w:eastAsia="宋体"/>
          <w:bCs w:val="0"/>
          <w:color w:val="auto"/>
          <w:highlight w:val="none"/>
        </w:rPr>
        <w:t xml:space="preserve">分项报价表</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rPr>
          <w:color w:val="auto"/>
          <w:highlight w:val="none"/>
        </w:rPr>
      </w:r>
      <w:bookmarkEnd w:id="106"/>
      <w:r>
        <w:rPr>
          <w:rFonts w:hint="eastAsia" w:ascii="宋体" w:hAnsi="宋体"/>
          <w:color w:val="auto"/>
          <w:sz w:val="24"/>
          <w:highlight w:val="none"/>
        </w:rPr>
        <w:t xml:space="preserve">标人应按照招标文件规定格式填报</w:t>
      </w:r>
      <w:bookmarkStart w:id="107" w:name="_Hlt26670399"/>
      <w:r>
        <w:rPr>
          <w:color w:val="auto"/>
          <w:highlight w:val="none"/>
        </w:rPr>
      </w:r>
      <w:bookmarkEnd w:id="107"/>
      <w:r>
        <w:rPr>
          <w:rFonts w:hint="eastAsia" w:ascii="宋体" w:hAnsi="宋体"/>
          <w:color w:val="auto"/>
          <w:sz w:val="24"/>
          <w:highlight w:val="none"/>
        </w:rPr>
        <w:t xml:space="preserve">分项报价表。</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08" w:name="_Hlt26954848"/>
      <w:r>
        <w:rPr>
          <w:color w:val="auto"/>
          <w:highlight w:val="none"/>
        </w:rPr>
      </w:r>
      <w:bookmarkEnd w:id="108"/>
      <w:r>
        <w:rPr>
          <w:color w:val="auto"/>
          <w:highlight w:val="none"/>
        </w:rPr>
      </w:r>
      <w:bookmarkStart w:id="109" w:name="_Hlt26670425"/>
      <w:r>
        <w:rPr>
          <w:color w:val="auto"/>
          <w:highlight w:val="none"/>
        </w:rPr>
      </w:r>
      <w:bookmarkEnd w:id="109"/>
      <w:r>
        <w:rPr>
          <w:color w:val="auto"/>
          <w:highlight w:val="none"/>
        </w:rPr>
      </w:r>
      <w:bookmarkStart w:id="110" w:name="_Hlt26670403"/>
      <w:r>
        <w:rPr>
          <w:color w:val="auto"/>
          <w:highlight w:val="none"/>
        </w:rPr>
      </w:r>
      <w:bookmarkEnd w:id="110"/>
      <w:r>
        <w:rPr>
          <w:color w:val="auto"/>
          <w:highlight w:val="none"/>
        </w:rPr>
      </w:r>
      <w:bookmarkStart w:id="111" w:name="_Hlt26954846"/>
      <w:r>
        <w:rPr>
          <w:color w:val="auto"/>
          <w:highlight w:val="none"/>
        </w:rPr>
      </w:r>
      <w:bookmarkEnd w:id="111"/>
      <w:r>
        <w:rPr>
          <w:color w:val="auto"/>
          <w:highlight w:val="none"/>
        </w:rPr>
      </w:r>
      <w:bookmarkStart w:id="112" w:name="_Hlt26668983"/>
      <w:r>
        <w:rPr>
          <w:color w:val="auto"/>
          <w:highlight w:val="none"/>
        </w:rPr>
      </w:r>
      <w:bookmarkEnd w:id="112"/>
      <w:r>
        <w:rPr>
          <w:color w:val="auto"/>
          <w:highlight w:val="none"/>
        </w:rPr>
      </w:r>
      <w:bookmarkStart w:id="113" w:name="_Hlt26954731"/>
      <w:r>
        <w:rPr>
          <w:color w:val="auto"/>
          <w:highlight w:val="none"/>
        </w:rPr>
      </w:r>
      <w:bookmarkEnd w:id="113"/>
      <w:r>
        <w:rPr>
          <w:color w:val="auto"/>
          <w:highlight w:val="none"/>
        </w:rPr>
      </w:r>
      <w:bookmarkStart w:id="114" w:name="_Hlt26670486"/>
      <w:r>
        <w:rPr>
          <w:color w:val="auto"/>
          <w:highlight w:val="none"/>
        </w:rPr>
      </w:r>
      <w:bookmarkEnd w:id="114"/>
      <w:r>
        <w:rPr>
          <w:color w:val="auto"/>
          <w:highlight w:val="none"/>
        </w:rPr>
      </w:r>
      <w:bookmarkStart w:id="115" w:name="_Hlt26954842"/>
      <w:r>
        <w:rPr>
          <w:color w:val="auto"/>
          <w:highlight w:val="none"/>
        </w:rPr>
      </w:r>
      <w:bookmarkEnd w:id="115"/>
      <w:r>
        <w:rPr>
          <w:color w:val="auto"/>
          <w:highlight w:val="none"/>
        </w:rPr>
      </w:r>
      <w:bookmarkStart w:id="116" w:name="_Hlt26954844"/>
      <w:r>
        <w:rPr>
          <w:color w:val="auto"/>
          <w:highlight w:val="none"/>
        </w:rPr>
      </w:r>
      <w:bookmarkEnd w:id="116"/>
      <w:r>
        <w:rPr>
          <w:color w:val="auto"/>
          <w:highlight w:val="none"/>
        </w:rPr>
      </w:r>
      <w:bookmarkStart w:id="117" w:name="_Hlt26670482"/>
      <w:r>
        <w:rPr>
          <w:color w:val="auto"/>
          <w:highlight w:val="none"/>
        </w:rPr>
      </w:r>
      <w:bookmarkEnd w:id="117"/>
      <w:r>
        <w:rPr>
          <w:rFonts w:hint="eastAsia" w:ascii="宋体" w:hAnsi="宋体" w:eastAsia="宋体"/>
          <w:bCs w:val="0"/>
          <w:color w:val="auto"/>
          <w:highlight w:val="none"/>
        </w:rPr>
        <w:t xml:space="preserve">14.投标偏离表</w:t>
      </w:r>
      <w:r>
        <w:rPr>
          <w:color w:val="auto"/>
          <w:highlight w:val="none"/>
        </w:rPr>
      </w:r>
      <w:r>
        <w:rPr>
          <w:color w:val="auto"/>
          <w:highlight w:val="none"/>
        </w:rPr>
      </w:r>
    </w:p>
    <w:p>
      <w:pPr>
        <w:pStyle w:val="808"/>
        <w:ind w:firstLine="480"/>
        <w:spacing w:line="500" w:lineRule="exact"/>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18" w:name="_Hlt26954734"/>
      <w:r>
        <w:rPr>
          <w:color w:val="auto"/>
          <w:highlight w:val="none"/>
        </w:rPr>
      </w:r>
      <w:bookmarkEnd w:id="118"/>
      <w:r>
        <w:rPr>
          <w:color w:val="auto"/>
          <w:highlight w:val="none"/>
        </w:rPr>
      </w:r>
      <w:bookmarkStart w:id="119" w:name="_Hlt26670489"/>
      <w:r>
        <w:rPr>
          <w:color w:val="auto"/>
          <w:highlight w:val="none"/>
        </w:rPr>
      </w:r>
      <w:bookmarkEnd w:id="119"/>
      <w:r>
        <w:rPr>
          <w:color w:val="auto"/>
          <w:highlight w:val="none"/>
        </w:rPr>
      </w:r>
      <w:bookmarkStart w:id="120" w:name="_Hlt26954850"/>
      <w:r>
        <w:rPr>
          <w:color w:val="auto"/>
          <w:highlight w:val="none"/>
        </w:rPr>
      </w:r>
      <w:bookmarkEnd w:id="120"/>
      <w:r>
        <w:rPr>
          <w:color w:val="auto"/>
          <w:highlight w:val="none"/>
        </w:rPr>
      </w:r>
      <w:bookmarkStart w:id="121" w:name="_Toc49090511"/>
      <w:r>
        <w:rPr>
          <w:color w:val="auto"/>
          <w:highlight w:val="none"/>
        </w:rPr>
      </w:r>
      <w:bookmarkStart w:id="122" w:name="_Toc14577360"/>
      <w:r>
        <w:rPr>
          <w:rFonts w:hint="eastAsia" w:ascii="宋体" w:hAnsi="宋体" w:eastAsia="宋体"/>
          <w:bCs w:val="0"/>
          <w:color w:val="auto"/>
          <w:highlight w:val="none"/>
        </w:rPr>
        <w:t xml:space="preserve">15.投标有效期</w:t>
      </w:r>
      <w:bookmarkEnd w:id="121"/>
      <w:r>
        <w:rPr>
          <w:color w:val="auto"/>
          <w:highlight w:val="none"/>
        </w:rPr>
      </w:r>
      <w:bookmarkEnd w:id="122"/>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rPr>
          <w:color w:val="auto"/>
          <w:highlight w:val="none"/>
        </w:rPr>
      </w:r>
      <w:r>
        <w:rPr>
          <w:color w:val="auto"/>
          <w:highlight w:val="none"/>
        </w:rPr>
      </w:r>
    </w:p>
    <w:p>
      <w:pPr>
        <w:pStyle w:val="811"/>
        <w:ind w:firstLine="452"/>
        <w:keepLines w:val="0"/>
        <w:keepNext w:val="0"/>
        <w:spacing w:before="0" w:after="0" w:line="500" w:lineRule="exact"/>
        <w:rPr>
          <w:rFonts w:hint="eastAsia"/>
          <w:color w:val="auto"/>
          <w:sz w:val="30"/>
          <w:szCs w:val="30"/>
          <w:highlight w:val="none"/>
        </w:rPr>
      </w:pPr>
      <w:r>
        <w:rPr>
          <w:color w:val="auto"/>
          <w:highlight w:val="none"/>
        </w:rPr>
      </w:r>
      <w:bookmarkStart w:id="123" w:name="_Hlt26954852"/>
      <w:r>
        <w:rPr>
          <w:color w:val="auto"/>
          <w:highlight w:val="none"/>
        </w:rPr>
      </w:r>
      <w:bookmarkEnd w:id="123"/>
      <w:r>
        <w:rPr>
          <w:color w:val="auto"/>
          <w:highlight w:val="none"/>
        </w:rPr>
      </w:r>
      <w:bookmarkStart w:id="124" w:name="_Hlt26954739"/>
      <w:r>
        <w:rPr>
          <w:color w:val="auto"/>
          <w:highlight w:val="none"/>
        </w:rPr>
      </w:r>
      <w:bookmarkEnd w:id="124"/>
      <w:r>
        <w:rPr>
          <w:color w:val="auto"/>
          <w:highlight w:val="none"/>
        </w:rPr>
      </w:r>
      <w:bookmarkStart w:id="125" w:name="_Toc16938540"/>
      <w:r>
        <w:rPr>
          <w:color w:val="auto"/>
          <w:highlight w:val="none"/>
        </w:rPr>
      </w:r>
      <w:bookmarkStart w:id="126" w:name="_Toc20823296"/>
      <w:r>
        <w:rPr>
          <w:color w:val="auto"/>
          <w:highlight w:val="none"/>
        </w:rPr>
      </w:r>
      <w:bookmarkStart w:id="127" w:name="_Toc120614217"/>
      <w:r>
        <w:rPr>
          <w:color w:val="auto"/>
          <w:highlight w:val="none"/>
        </w:rPr>
      </w:r>
      <w:bookmarkStart w:id="128" w:name="_Toc513029224"/>
      <w:r>
        <w:rPr>
          <w:rFonts w:hint="eastAsia"/>
          <w:color w:val="auto"/>
          <w:sz w:val="30"/>
          <w:szCs w:val="30"/>
          <w:highlight w:val="none"/>
        </w:rPr>
        <w:t xml:space="preserve">四、投标文件的递交</w:t>
      </w:r>
      <w:bookmarkEnd w:id="125"/>
      <w:r>
        <w:rPr>
          <w:color w:val="auto"/>
          <w:highlight w:val="none"/>
        </w:rPr>
      </w:r>
      <w:bookmarkEnd w:id="126"/>
      <w:r>
        <w:rPr>
          <w:color w:val="auto"/>
          <w:highlight w:val="none"/>
        </w:rPr>
      </w:r>
      <w:bookmarkEnd w:id="127"/>
      <w:r>
        <w:rPr>
          <w:color w:val="auto"/>
          <w:highlight w:val="none"/>
        </w:rPr>
      </w:r>
      <w:bookmarkEnd w:id="128"/>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29" w:name="_Toc16938541"/>
      <w:r>
        <w:rPr>
          <w:color w:val="auto"/>
          <w:highlight w:val="none"/>
        </w:rPr>
      </w:r>
      <w:bookmarkStart w:id="130" w:name="_Toc462564084"/>
      <w:r>
        <w:rPr>
          <w:color w:val="auto"/>
          <w:highlight w:val="none"/>
        </w:rPr>
      </w:r>
      <w:bookmarkStart w:id="131" w:name="_Toc20823297"/>
      <w:r>
        <w:rPr>
          <w:color w:val="auto"/>
          <w:highlight w:val="none"/>
        </w:rPr>
      </w:r>
      <w:bookmarkStart w:id="132" w:name="_Toc513029225"/>
      <w:r>
        <w:rPr>
          <w:rFonts w:hint="eastAsia" w:ascii="宋体" w:hAnsi="宋体" w:eastAsia="宋体"/>
          <w:bCs w:val="0"/>
          <w:color w:val="auto"/>
          <w:highlight w:val="none"/>
        </w:rPr>
        <w:t xml:space="preserve">17.投标文件</w:t>
      </w:r>
      <w:bookmarkEnd w:id="129"/>
      <w:r>
        <w:rPr>
          <w:color w:val="auto"/>
          <w:highlight w:val="none"/>
        </w:rPr>
      </w:r>
      <w:bookmarkEnd w:id="130"/>
      <w:r>
        <w:rPr>
          <w:color w:val="auto"/>
          <w:highlight w:val="none"/>
        </w:rPr>
      </w:r>
      <w:bookmarkEnd w:id="131"/>
      <w:r>
        <w:rPr>
          <w:color w:val="auto"/>
          <w:highlight w:val="none"/>
        </w:rPr>
      </w:r>
      <w:bookmarkEnd w:id="132"/>
      <w:r>
        <w:rPr>
          <w:rFonts w:hint="eastAsia" w:ascii="宋体" w:hAnsi="宋体" w:eastAsia="宋体"/>
          <w:bCs w:val="0"/>
          <w:color w:val="auto"/>
          <w:highlight w:val="none"/>
        </w:rPr>
        <w:t xml:space="preserve">的递交</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rPr>
          <w:color w:val="auto"/>
          <w:highlight w:val="none"/>
        </w:rPr>
      </w:r>
      <w:r>
        <w:rPr>
          <w:color w:val="auto"/>
          <w:highlight w:val="none"/>
        </w:rPr>
      </w:r>
    </w:p>
    <w:p>
      <w:pPr>
        <w:pStyle w:val="92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513029226"/>
      <w:r>
        <w:rPr>
          <w:color w:val="auto"/>
          <w:highlight w:val="none"/>
        </w:rPr>
      </w:r>
      <w:bookmarkStart w:id="134" w:name="_Toc20823298"/>
      <w:r>
        <w:rPr>
          <w:color w:val="auto"/>
          <w:highlight w:val="none"/>
        </w:rPr>
      </w:r>
      <w:bookmarkStart w:id="135" w:name="_Toc16938542"/>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rPr>
          <w:color w:val="auto"/>
          <w:highlight w:val="none"/>
        </w:rPr>
      </w:r>
      <w:bookmarkEnd w:id="134"/>
      <w:r>
        <w:rPr>
          <w:color w:val="auto"/>
          <w:highlight w:val="none"/>
        </w:rPr>
      </w:r>
      <w:bookmarkEnd w:id="135"/>
      <w:r>
        <w:rPr>
          <w:rFonts w:hint="eastAsia" w:ascii="宋体" w:hAnsi="宋体" w:eastAsia="宋体"/>
          <w:bCs w:val="0"/>
          <w:color w:val="auto"/>
          <w:highlight w:val="none"/>
        </w:rPr>
        <w:t xml:space="preserve">时间</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交易中心可以按照规定，通过更正公告修改投标截止时间，投标人的所有权利和义务以及投标人受制的截止时间均应以延长后新的截止时间为准。</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36" w:name="_Toc20823299"/>
      <w:r>
        <w:rPr>
          <w:color w:val="auto"/>
          <w:highlight w:val="none"/>
        </w:rPr>
      </w:r>
      <w:bookmarkStart w:id="137" w:name="_Toc16938543"/>
      <w:r>
        <w:rPr>
          <w:color w:val="auto"/>
          <w:highlight w:val="none"/>
        </w:rPr>
      </w:r>
      <w:bookmarkStart w:id="138" w:name="_Toc513029227"/>
      <w:r>
        <w:rPr>
          <w:rFonts w:hint="eastAsia" w:ascii="宋体" w:hAnsi="宋体" w:eastAsia="宋体"/>
          <w:bCs w:val="0"/>
          <w:color w:val="auto"/>
          <w:highlight w:val="none"/>
        </w:rPr>
        <w:t xml:space="preserve">19.投标文件</w:t>
      </w:r>
      <w:bookmarkEnd w:id="136"/>
      <w:r>
        <w:rPr>
          <w:color w:val="auto"/>
          <w:highlight w:val="none"/>
        </w:rPr>
      </w:r>
      <w:bookmarkEnd w:id="137"/>
      <w:r>
        <w:rPr>
          <w:color w:val="auto"/>
          <w:highlight w:val="none"/>
        </w:rPr>
      </w:r>
      <w:bookmarkEnd w:id="138"/>
      <w:r>
        <w:rPr>
          <w:rFonts w:hint="eastAsia" w:ascii="宋体" w:hAnsi="宋体" w:eastAsia="宋体"/>
          <w:bCs w:val="0"/>
          <w:color w:val="auto"/>
          <w:highlight w:val="none"/>
        </w:rPr>
        <w:t xml:space="preserve">的拒收</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交易中心拒绝接收在其规定的投标截止时间后上传的任何投标文件。</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39" w:name="_Toc16938544"/>
      <w:r>
        <w:rPr>
          <w:color w:val="auto"/>
          <w:highlight w:val="none"/>
        </w:rPr>
      </w:r>
      <w:bookmarkStart w:id="140" w:name="_Toc513029228"/>
      <w:r>
        <w:rPr>
          <w:color w:val="auto"/>
          <w:highlight w:val="none"/>
        </w:rPr>
      </w:r>
      <w:bookmarkStart w:id="141" w:name="_Toc20823300"/>
      <w:r>
        <w:rPr>
          <w:rFonts w:hint="eastAsia" w:ascii="宋体" w:hAnsi="宋体" w:eastAsia="宋体"/>
          <w:bCs w:val="0"/>
          <w:color w:val="auto"/>
          <w:highlight w:val="none"/>
        </w:rPr>
        <w:t xml:space="preserve">20.投标文件的撤回和修改</w:t>
      </w:r>
      <w:bookmarkEnd w:id="139"/>
      <w:r>
        <w:rPr>
          <w:color w:val="auto"/>
          <w:highlight w:val="none"/>
        </w:rPr>
      </w:r>
      <w:bookmarkEnd w:id="140"/>
      <w:r>
        <w:rPr>
          <w:color w:val="auto"/>
          <w:highlight w:val="none"/>
        </w:rPr>
      </w:r>
      <w:bookmarkEnd w:id="141"/>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20.1投标文件的撤回</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21.1.1电子投标文件的撤回</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rPr>
          <w:color w:val="auto"/>
          <w:highlight w:val="none"/>
        </w:rPr>
      </w:r>
      <w:r>
        <w:rPr>
          <w:color w:val="auto"/>
          <w:highlight w:val="none"/>
        </w:rPr>
      </w:r>
    </w:p>
    <w:p>
      <w:pPr>
        <w:pStyle w:val="811"/>
        <w:ind w:firstLine="452"/>
        <w:keepLines w:val="0"/>
        <w:keepNext w:val="0"/>
        <w:spacing w:before="0" w:after="0" w:line="500" w:lineRule="exact"/>
        <w:rPr>
          <w:rFonts w:hint="eastAsia"/>
          <w:color w:val="auto"/>
          <w:sz w:val="30"/>
          <w:szCs w:val="30"/>
          <w:highlight w:val="none"/>
        </w:rPr>
      </w:pPr>
      <w:r>
        <w:rPr>
          <w:color w:val="auto"/>
          <w:highlight w:val="none"/>
        </w:rPr>
      </w:r>
      <w:bookmarkStart w:id="142" w:name="_Toc16938545"/>
      <w:r>
        <w:rPr>
          <w:color w:val="auto"/>
          <w:highlight w:val="none"/>
        </w:rPr>
      </w:r>
      <w:bookmarkStart w:id="143" w:name="_Toc120614218"/>
      <w:r>
        <w:rPr>
          <w:color w:val="auto"/>
          <w:highlight w:val="none"/>
        </w:rPr>
      </w:r>
      <w:bookmarkStart w:id="144" w:name="_Toc20823301"/>
      <w:r>
        <w:rPr>
          <w:color w:val="auto"/>
          <w:highlight w:val="none"/>
        </w:rPr>
      </w:r>
      <w:bookmarkStart w:id="145" w:name="_Toc513029229"/>
      <w:r>
        <w:rPr>
          <w:rFonts w:hint="eastAsia"/>
          <w:color w:val="auto"/>
          <w:sz w:val="30"/>
          <w:szCs w:val="30"/>
          <w:highlight w:val="none"/>
        </w:rPr>
        <w:t xml:space="preserve">五、开标与评标</w:t>
      </w:r>
      <w:bookmarkEnd w:id="142"/>
      <w:r>
        <w:rPr>
          <w:color w:val="auto"/>
          <w:highlight w:val="none"/>
        </w:rPr>
      </w:r>
      <w:bookmarkEnd w:id="143"/>
      <w:r>
        <w:rPr>
          <w:color w:val="auto"/>
          <w:highlight w:val="none"/>
        </w:rPr>
      </w:r>
      <w:bookmarkEnd w:id="144"/>
      <w:r>
        <w:rPr>
          <w:color w:val="auto"/>
          <w:highlight w:val="none"/>
        </w:rPr>
      </w:r>
      <w:bookmarkEnd w:id="145"/>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46" w:name="_Toc16938546"/>
      <w:r>
        <w:rPr>
          <w:color w:val="auto"/>
          <w:highlight w:val="none"/>
        </w:rPr>
      </w:r>
      <w:bookmarkStart w:id="147" w:name="_Toc513029230"/>
      <w:r>
        <w:rPr>
          <w:color w:val="auto"/>
          <w:highlight w:val="none"/>
        </w:rPr>
      </w:r>
      <w:bookmarkStart w:id="148" w:name="_Toc20823302"/>
      <w:r>
        <w:rPr>
          <w:rFonts w:hint="eastAsia" w:ascii="宋体" w:hAnsi="宋体" w:eastAsia="宋体"/>
          <w:bCs w:val="0"/>
          <w:color w:val="auto"/>
          <w:highlight w:val="none"/>
        </w:rPr>
        <w:t xml:space="preserve">21.开标</w:t>
      </w:r>
      <w:bookmarkEnd w:id="146"/>
      <w:r>
        <w:rPr>
          <w:color w:val="auto"/>
          <w:highlight w:val="none"/>
        </w:rPr>
      </w:r>
      <w:bookmarkEnd w:id="147"/>
      <w:r>
        <w:rPr>
          <w:color w:val="auto"/>
          <w:highlight w:val="none"/>
        </w:rPr>
      </w:r>
      <w:bookmarkEnd w:id="148"/>
      <w:r>
        <w:rPr>
          <w:color w:val="auto"/>
          <w:highlight w:val="none"/>
        </w:rPr>
      </w:r>
      <w:r>
        <w:rPr>
          <w:color w:val="auto"/>
          <w:highlight w:val="none"/>
        </w:rPr>
      </w:r>
    </w:p>
    <w:p>
      <w:pPr>
        <w:pStyle w:val="808"/>
        <w:ind w:firstLine="480"/>
        <w:spacing w:line="500" w:lineRule="exact"/>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交易中心将在招标公告中规定的时间和地点组织公开开标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21.2开标仪式由交易中心组织。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21.3投标人在开标过程中涉及到的投标文件解密、开标结果确认等工作，应按照《操作手册》规定执行。</w:t>
      </w:r>
      <w:r>
        <w:rPr>
          <w:color w:val="auto"/>
          <w:highlight w:val="none"/>
        </w:rPr>
      </w:r>
      <w:r>
        <w:rPr>
          <w:color w:val="auto"/>
          <w:highlight w:val="none"/>
        </w:rPr>
      </w:r>
    </w:p>
    <w:p>
      <w:pPr>
        <w:pStyle w:val="808"/>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49" w:name="_Toc20823303"/>
      <w:r>
        <w:rPr>
          <w:color w:val="auto"/>
          <w:highlight w:val="none"/>
        </w:rPr>
      </w:r>
      <w:bookmarkStart w:id="150" w:name="_Toc513029231"/>
      <w:r>
        <w:rPr>
          <w:color w:val="auto"/>
          <w:highlight w:val="none"/>
        </w:rPr>
      </w:r>
      <w:bookmarkStart w:id="151" w:name="_Toc16938547"/>
      <w:r>
        <w:rPr>
          <w:rFonts w:hint="eastAsia" w:ascii="宋体" w:hAnsi="宋体" w:eastAsia="宋体"/>
          <w:bCs w:val="0"/>
          <w:color w:val="auto"/>
          <w:highlight w:val="none"/>
        </w:rPr>
        <w:t xml:space="preserve">22.评标委员会</w:t>
      </w:r>
      <w:r>
        <w:rPr>
          <w:color w:val="auto"/>
          <w:highlight w:val="none"/>
        </w:rPr>
      </w:r>
      <w:r>
        <w:rPr>
          <w:color w:val="auto"/>
          <w:highlight w:val="none"/>
        </w:rPr>
      </w:r>
    </w:p>
    <w:p>
      <w:pPr>
        <w:pStyle w:val="808"/>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22.1开标后，交易中心将立即组织评标委员会（以下简称评委会）进行评标。</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w:t>
      </w:r>
      <w:r>
        <w:rPr>
          <w:rFonts w:hint="eastAsia" w:ascii="宋体" w:hAnsi="宋体"/>
          <w:color w:val="auto"/>
          <w:sz w:val="24"/>
          <w:szCs w:val="24"/>
          <w:highlight w:val="none"/>
        </w:rPr>
        <w:t xml:space="preserve">候选人</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color w:val="auto"/>
          <w:highlight w:val="none"/>
        </w:rPr>
      </w:r>
      <w:bookmarkEnd w:id="149"/>
      <w:r>
        <w:rPr>
          <w:color w:val="auto"/>
          <w:highlight w:val="none"/>
        </w:rPr>
      </w:r>
      <w:bookmarkEnd w:id="150"/>
      <w:r>
        <w:rPr>
          <w:color w:val="auto"/>
          <w:highlight w:val="none"/>
        </w:rPr>
      </w:r>
      <w:bookmarkEnd w:id="151"/>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凡是与审查、澄清、评价和比较投标的有关资料以及授标建议等，采购人、评委、交易中心均不得向投标人或与评标无关的其他人员透露。</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交易中心和评标委员会不向未中标的投标人解释未中标原因，也不公布评标过程中的相关细节。</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52" w:name="_Toc513029232"/>
      <w:r>
        <w:rPr>
          <w:color w:val="auto"/>
          <w:highlight w:val="none"/>
        </w:rPr>
      </w:r>
      <w:bookmarkStart w:id="153" w:name="_Toc16938548"/>
      <w:r>
        <w:rPr>
          <w:color w:val="auto"/>
          <w:highlight w:val="none"/>
        </w:rPr>
      </w:r>
      <w:bookmarkStart w:id="154" w:name="_Toc20823304"/>
      <w:r>
        <w:rPr>
          <w:rFonts w:hint="eastAsia" w:ascii="宋体" w:hAnsi="宋体" w:eastAsia="宋体"/>
          <w:bCs w:val="0"/>
          <w:color w:val="auto"/>
          <w:highlight w:val="none"/>
        </w:rPr>
        <w:t xml:space="preserve">24.投标文件的澄清</w:t>
      </w:r>
      <w:bookmarkEnd w:id="152"/>
      <w:r>
        <w:rPr>
          <w:color w:val="auto"/>
          <w:highlight w:val="none"/>
        </w:rPr>
      </w:r>
      <w:bookmarkEnd w:id="153"/>
      <w:r>
        <w:rPr>
          <w:color w:val="auto"/>
          <w:highlight w:val="none"/>
        </w:rPr>
      </w:r>
      <w:bookmarkEnd w:id="154"/>
      <w:r>
        <w:rPr>
          <w:color w:val="auto"/>
          <w:highlight w:val="none"/>
        </w:rPr>
      </w:r>
      <w:r>
        <w:rPr>
          <w:color w:val="auto"/>
          <w:highlight w:val="none"/>
        </w:rPr>
      </w:r>
    </w:p>
    <w:p>
      <w:pPr>
        <w:pStyle w:val="808"/>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rPr>
          <w:color w:val="auto"/>
          <w:highlight w:val="none"/>
        </w:rPr>
      </w:r>
      <w:r>
        <w:rPr>
          <w:color w:val="auto"/>
          <w:highlight w:val="none"/>
        </w:rPr>
      </w:r>
    </w:p>
    <w:p>
      <w:pPr>
        <w:pStyle w:val="808"/>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w:t>
      </w:r>
      <w:r>
        <w:rPr>
          <w:rFonts w:hint="eastAsia" w:ascii="宋体" w:hAnsi="宋体"/>
          <w:color w:val="auto"/>
          <w:sz w:val="24"/>
          <w:szCs w:val="24"/>
          <w:highlight w:val="none"/>
        </w:rPr>
        <w:t xml:space="preserve">及时</w:t>
      </w:r>
      <w:r>
        <w:rPr>
          <w:rFonts w:hint="eastAsia" w:ascii="宋体" w:hAnsi="宋体"/>
          <w:color w:val="auto"/>
          <w:sz w:val="24"/>
          <w:szCs w:val="24"/>
          <w:highlight w:val="none"/>
        </w:rPr>
        <w:t xml:space="preserve">做出澄清、说明和补正，其风险由投标人自行承担。</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55" w:name="_Toc513029233"/>
      <w:r>
        <w:rPr>
          <w:color w:val="auto"/>
          <w:highlight w:val="none"/>
        </w:rPr>
      </w:r>
      <w:bookmarkStart w:id="156" w:name="_Toc20823305"/>
      <w:r>
        <w:rPr>
          <w:color w:val="auto"/>
          <w:highlight w:val="none"/>
        </w:rPr>
      </w:r>
      <w:bookmarkStart w:id="157" w:name="_Toc16938549"/>
      <w:r>
        <w:rPr>
          <w:rFonts w:hint="eastAsia" w:ascii="宋体" w:hAnsi="宋体" w:eastAsia="宋体"/>
          <w:bCs w:val="0"/>
          <w:color w:val="auto"/>
          <w:highlight w:val="none"/>
        </w:rPr>
        <w:t xml:space="preserve">25.对投标文件的初审</w:t>
      </w:r>
      <w:bookmarkEnd w:id="155"/>
      <w:r>
        <w:rPr>
          <w:color w:val="auto"/>
          <w:highlight w:val="none"/>
        </w:rPr>
      </w:r>
      <w:bookmarkEnd w:id="156"/>
      <w:r>
        <w:rPr>
          <w:color w:val="auto"/>
          <w:highlight w:val="none"/>
        </w:rPr>
      </w:r>
      <w:bookmarkEnd w:id="157"/>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rPr>
          <w:color w:val="auto"/>
          <w:highlight w:val="none"/>
        </w:rPr>
      </w:r>
      <w:r>
        <w:rPr>
          <w:color w:val="auto"/>
          <w:highlight w:val="none"/>
        </w:rPr>
      </w:r>
    </w:p>
    <w:p>
      <w:pPr>
        <w:pStyle w:val="808"/>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auto"/>
          <w:highlight w:val="none"/>
        </w:rPr>
      </w:r>
      <w:r>
        <w:rPr>
          <w:color w:val="auto"/>
          <w:highlight w:val="none"/>
        </w:rPr>
      </w:r>
    </w:p>
    <w:p>
      <w:pPr>
        <w:pStyle w:val="808"/>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rPr>
          <w:color w:val="auto"/>
          <w:highlight w:val="none"/>
        </w:rPr>
      </w:r>
      <w:r>
        <w:rPr>
          <w:color w:val="auto"/>
          <w:highlight w:val="none"/>
        </w:rPr>
      </w:r>
    </w:p>
    <w:p>
      <w:pPr>
        <w:pStyle w:val="808"/>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rPr>
          <w:color w:val="auto"/>
          <w:highlight w:val="none"/>
        </w:rPr>
      </w:r>
      <w:r>
        <w:rPr>
          <w:color w:val="auto"/>
          <w:highlight w:val="none"/>
        </w:rPr>
      </w:r>
    </w:p>
    <w:p>
      <w:pPr>
        <w:pStyle w:val="808"/>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rPr>
          <w:color w:val="auto"/>
          <w:highlight w:val="none"/>
        </w:rPr>
      </w:r>
      <w:r>
        <w:rPr>
          <w:color w:val="auto"/>
          <w:highlight w:val="none"/>
        </w:rPr>
      </w:r>
    </w:p>
    <w:p>
      <w:pPr>
        <w:pStyle w:val="808"/>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rPr>
          <w:color w:val="auto"/>
          <w:highlight w:val="none"/>
        </w:rPr>
      </w:r>
      <w:r>
        <w:rPr>
          <w:color w:val="auto"/>
          <w:highlight w:val="none"/>
        </w:rPr>
      </w:r>
    </w:p>
    <w:p>
      <w:pPr>
        <w:pStyle w:val="808"/>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rPr>
          <w:color w:val="auto"/>
          <w:highlight w:val="none"/>
        </w:rPr>
      </w:r>
      <w:r>
        <w:rPr>
          <w:color w:val="auto"/>
          <w:highlight w:val="none"/>
        </w:rPr>
      </w:r>
    </w:p>
    <w:p>
      <w:pPr>
        <w:pStyle w:val="808"/>
        <w:ind w:firstLine="420"/>
        <w:spacing w:line="500" w:lineRule="exact"/>
        <w:rPr>
          <w:rFonts w:hint="eastAsia" w:ascii="宋体" w:hAnsi="宋体"/>
          <w:color w:val="auto"/>
          <w:sz w:val="24"/>
          <w:highlight w:val="none"/>
        </w:rPr>
      </w:pPr>
      <w:r>
        <w:rPr>
          <w:color w:val="auto"/>
          <w:highlight w:val="none"/>
        </w:rPr>
      </w:r>
      <w:bookmarkStart w:id="158" w:name="_Toc16938550"/>
      <w:r>
        <w:rPr>
          <w:color w:val="auto"/>
          <w:highlight w:val="none"/>
        </w:rPr>
      </w:r>
      <w:bookmarkStart w:id="159" w:name="_Toc513029234"/>
      <w:r>
        <w:rPr>
          <w:color w:val="auto"/>
          <w:highlight w:val="none"/>
        </w:rPr>
      </w:r>
      <w:bookmarkStart w:id="160" w:name="_Toc20823306"/>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rPr>
          <w:color w:val="auto"/>
          <w:highlight w:val="none"/>
        </w:rPr>
      </w:r>
      <w:bookmarkEnd w:id="159"/>
      <w:r>
        <w:rPr>
          <w:color w:val="auto"/>
          <w:highlight w:val="none"/>
        </w:rPr>
      </w:r>
      <w:bookmarkEnd w:id="160"/>
      <w:r>
        <w:rPr>
          <w:rFonts w:hint="eastAsia" w:ascii="宋体" w:hAnsi="宋体" w:eastAsia="宋体"/>
          <w:bCs w:val="0"/>
          <w:color w:val="auto"/>
          <w:highlight w:val="none"/>
        </w:rPr>
        <w:t xml:space="preserve">.无效投标条款和废标条款</w:t>
      </w:r>
      <w:r>
        <w:rPr>
          <w:color w:val="auto"/>
          <w:highlight w:val="none"/>
        </w:rPr>
      </w:r>
      <w:r>
        <w:rPr>
          <w:color w:val="auto"/>
          <w:highlight w:val="none"/>
        </w:rPr>
      </w:r>
    </w:p>
    <w:p>
      <w:pPr>
        <w:pStyle w:val="808"/>
        <w:ind w:left="479"/>
        <w:spacing w:line="500" w:lineRule="exact"/>
        <w:rPr>
          <w:rFonts w:hint="eastAsia" w:ascii="宋体" w:hAnsi="宋体"/>
          <w:bCs/>
          <w:color w:val="auto"/>
          <w:sz w:val="24"/>
          <w:highlight w:val="none"/>
        </w:rPr>
      </w:pPr>
      <w:r>
        <w:rPr>
          <w:color w:val="auto"/>
          <w:highlight w:val="none"/>
        </w:rPr>
      </w:r>
      <w:bookmarkStart w:id="161" w:name="_Toc20823307"/>
      <w:r>
        <w:rPr>
          <w:color w:val="auto"/>
          <w:highlight w:val="none"/>
        </w:rPr>
      </w:r>
      <w:bookmarkStart w:id="162" w:name="_Toc513029235"/>
      <w:r>
        <w:rPr>
          <w:color w:val="auto"/>
          <w:highlight w:val="none"/>
        </w:rPr>
      </w:r>
      <w:bookmarkStart w:id="163" w:name="_Toc16938551"/>
      <w:r>
        <w:rPr>
          <w:rFonts w:hint="eastAsia" w:ascii="宋体" w:hAnsi="宋体"/>
          <w:bCs/>
          <w:color w:val="auto"/>
          <w:sz w:val="24"/>
          <w:highlight w:val="none"/>
        </w:rPr>
        <w:t xml:space="preserve">26.1无效投标条款</w:t>
      </w:r>
      <w:r>
        <w:rPr>
          <w:color w:val="auto"/>
          <w:highlight w:val="none"/>
        </w:rPr>
      </w:r>
      <w:r>
        <w:rPr>
          <w:color w:val="auto"/>
          <w:highlight w:val="none"/>
        </w:rPr>
      </w:r>
    </w:p>
    <w:p>
      <w:pPr>
        <w:pStyle w:val="808"/>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rPr>
          <w:color w:val="auto"/>
          <w:highlight w:val="none"/>
        </w:rPr>
      </w:r>
      <w:r>
        <w:rPr>
          <w:color w:val="auto"/>
          <w:highlight w:val="none"/>
        </w:rPr>
      </w:r>
    </w:p>
    <w:p>
      <w:pPr>
        <w:pStyle w:val="808"/>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w:t>
      </w:r>
      <w:r>
        <w:rPr>
          <w:rFonts w:hint="eastAsia" w:ascii="宋体" w:hAnsi="宋体"/>
          <w:bCs/>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rPr>
          <w:color w:val="auto"/>
          <w:highlight w:val="none"/>
        </w:rPr>
      </w:r>
      <w:r>
        <w:rPr>
          <w:color w:val="auto"/>
          <w:highlight w:val="none"/>
        </w:rPr>
      </w:r>
    </w:p>
    <w:p>
      <w:pPr>
        <w:pStyle w:val="808"/>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rPr>
          <w:color w:val="auto"/>
          <w:highlight w:val="none"/>
        </w:rPr>
      </w:r>
      <w:r>
        <w:rPr>
          <w:color w:val="auto"/>
          <w:highlight w:val="none"/>
        </w:rPr>
      </w:r>
    </w:p>
    <w:p>
      <w:pPr>
        <w:pStyle w:val="808"/>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rPr>
          <w:color w:val="auto"/>
          <w:highlight w:val="none"/>
        </w:rPr>
      </w:r>
      <w:r>
        <w:rPr>
          <w:color w:val="auto"/>
          <w:highlight w:val="none"/>
        </w:rPr>
      </w:r>
    </w:p>
    <w:p>
      <w:pPr>
        <w:pStyle w:val="808"/>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rPr>
          <w:color w:val="auto"/>
          <w:highlight w:val="none"/>
        </w:rPr>
      </w:r>
      <w:r>
        <w:rPr>
          <w:color w:val="auto"/>
          <w:highlight w:val="none"/>
        </w:rPr>
      </w:r>
    </w:p>
    <w:p>
      <w:pPr>
        <w:pStyle w:val="808"/>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rPr>
          <w:color w:val="auto"/>
          <w:highlight w:val="none"/>
        </w:rPr>
      </w:r>
      <w:r>
        <w:rPr>
          <w:color w:val="auto"/>
          <w:highlight w:val="none"/>
        </w:rPr>
      </w:r>
    </w:p>
    <w:p>
      <w:pPr>
        <w:pStyle w:val="808"/>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w:t>
      </w:r>
      <w:r>
        <w:rPr>
          <w:rFonts w:hint="eastAsia" w:ascii="宋体" w:hAnsi="宋体"/>
          <w:bCs/>
          <w:color w:val="auto"/>
          <w:sz w:val="24"/>
          <w:highlight w:val="none"/>
        </w:rPr>
        <w:t xml:space="preserve">种</w:t>
      </w:r>
      <w:r>
        <w:rPr>
          <w:rFonts w:hint="eastAsia" w:ascii="宋体" w:hAnsi="宋体"/>
          <w:bCs/>
          <w:color w:val="auto"/>
          <w:sz w:val="24"/>
          <w:highlight w:val="none"/>
        </w:rPr>
        <w:t xml:space="preserve">（含两</w:t>
      </w:r>
      <w:r>
        <w:rPr>
          <w:rFonts w:hint="eastAsia" w:ascii="宋体" w:hAnsi="宋体"/>
          <w:bCs/>
          <w:color w:val="auto"/>
          <w:sz w:val="24"/>
          <w:highlight w:val="none"/>
        </w:rPr>
        <w:t xml:space="preserve">种</w:t>
      </w:r>
      <w:r>
        <w:rPr>
          <w:rFonts w:hint="eastAsia" w:ascii="宋体" w:hAnsi="宋体"/>
          <w:bCs/>
          <w:color w:val="auto"/>
          <w:sz w:val="24"/>
          <w:highlight w:val="none"/>
        </w:rPr>
        <w:t xml:space="preserve">）以上不同的投标报价的。</w:t>
      </w:r>
      <w:r>
        <w:rPr>
          <w:color w:val="auto"/>
          <w:highlight w:val="none"/>
        </w:rPr>
      </w:r>
      <w:r>
        <w:rPr>
          <w:color w:val="auto"/>
          <w:highlight w:val="none"/>
        </w:rPr>
      </w:r>
    </w:p>
    <w:p>
      <w:pPr>
        <w:pStyle w:val="808"/>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w:t>
      </w:r>
      <w:r>
        <w:rPr>
          <w:rFonts w:hint="eastAsia" w:ascii="宋体" w:hAnsi="宋体"/>
          <w:color w:val="auto"/>
          <w:sz w:val="24"/>
          <w:szCs w:val="24"/>
          <w:highlight w:val="none"/>
        </w:rPr>
        <w:t xml:space="preserve">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rPr>
          <w:color w:val="auto"/>
          <w:highlight w:val="none"/>
        </w:rPr>
      </w:r>
      <w:r>
        <w:rPr>
          <w:color w:val="auto"/>
          <w:highlight w:val="none"/>
        </w:rPr>
      </w:r>
    </w:p>
    <w:p>
      <w:pPr>
        <w:pStyle w:val="808"/>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rPr>
          <w:color w:val="auto"/>
          <w:highlight w:val="none"/>
        </w:rPr>
      </w:r>
      <w:r>
        <w:rPr>
          <w:color w:val="auto"/>
          <w:highlight w:val="none"/>
        </w:rPr>
      </w:r>
    </w:p>
    <w:p>
      <w:pPr>
        <w:pStyle w:val="808"/>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w:t>
      </w:r>
      <w:r>
        <w:rPr>
          <w:rFonts w:hint="eastAsia" w:ascii="宋体" w:hAnsi="宋体"/>
          <w:bCs/>
          <w:color w:val="auto"/>
          <w:sz w:val="24"/>
          <w:szCs w:val="24"/>
          <w:highlight w:val="none"/>
        </w:rPr>
        <w:t xml:space="preserve">标项、</w:t>
      </w:r>
      <w:r>
        <w:rPr>
          <w:rFonts w:hint="eastAsia" w:ascii="宋体" w:hAnsi="宋体"/>
          <w:bCs/>
          <w:color w:val="auto"/>
          <w:sz w:val="24"/>
          <w:szCs w:val="24"/>
          <w:highlight w:val="none"/>
        </w:rPr>
        <w:t xml:space="preserve">标段、分包）投标总价超过本项目（</w:t>
      </w:r>
      <w:r>
        <w:rPr>
          <w:rFonts w:hint="eastAsia" w:ascii="宋体" w:hAnsi="宋体"/>
          <w:bCs/>
          <w:color w:val="auto"/>
          <w:sz w:val="24"/>
          <w:szCs w:val="24"/>
          <w:highlight w:val="none"/>
        </w:rPr>
        <w:t xml:space="preserve">标项、</w:t>
      </w:r>
      <w:r>
        <w:rPr>
          <w:rFonts w:hint="eastAsia" w:ascii="宋体" w:hAnsi="宋体"/>
          <w:bCs/>
          <w:color w:val="auto"/>
          <w:sz w:val="24"/>
          <w:szCs w:val="24"/>
          <w:highlight w:val="none"/>
        </w:rPr>
        <w:t xml:space="preserve">标段、分包）预算或最高限价的。</w:t>
      </w:r>
      <w:r>
        <w:rPr>
          <w:color w:val="auto"/>
          <w:highlight w:val="none"/>
        </w:rPr>
      </w:r>
      <w:r>
        <w:rPr>
          <w:color w:val="auto"/>
          <w:highlight w:val="none"/>
        </w:rPr>
      </w:r>
    </w:p>
    <w:p>
      <w:pPr>
        <w:pStyle w:val="808"/>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rPr>
          <w:color w:val="auto"/>
          <w:highlight w:val="none"/>
        </w:rPr>
      </w:r>
      <w:r>
        <w:rPr>
          <w:color w:val="auto"/>
          <w:highlight w:val="none"/>
        </w:rPr>
      </w:r>
    </w:p>
    <w:p>
      <w:pPr>
        <w:pStyle w:val="808"/>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rPr>
          <w:color w:val="auto"/>
          <w:highlight w:val="none"/>
        </w:rPr>
      </w:r>
      <w:r>
        <w:rPr>
          <w:color w:val="auto"/>
          <w:highlight w:val="none"/>
        </w:rPr>
      </w:r>
    </w:p>
    <w:p>
      <w:pPr>
        <w:pStyle w:val="808"/>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rPr>
          <w:color w:val="auto"/>
          <w:highlight w:val="none"/>
        </w:rPr>
      </w:r>
      <w:r>
        <w:rPr>
          <w:color w:val="auto"/>
          <w:highlight w:val="none"/>
        </w:rPr>
      </w:r>
    </w:p>
    <w:p>
      <w:pPr>
        <w:pStyle w:val="808"/>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rPr>
          <w:color w:val="auto"/>
          <w:highlight w:val="none"/>
        </w:rPr>
      </w:r>
      <w:r>
        <w:rPr>
          <w:color w:val="auto"/>
          <w:highlight w:val="none"/>
        </w:rPr>
      </w:r>
    </w:p>
    <w:p>
      <w:pPr>
        <w:pStyle w:val="808"/>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rPr>
          <w:color w:val="auto"/>
          <w:highlight w:val="none"/>
        </w:rPr>
      </w:r>
      <w:r>
        <w:rPr>
          <w:color w:val="auto"/>
          <w:highlight w:val="none"/>
        </w:rPr>
      </w:r>
    </w:p>
    <w:p>
      <w:pPr>
        <w:pStyle w:val="808"/>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rPr>
          <w:color w:val="auto"/>
          <w:highlight w:val="none"/>
        </w:rPr>
      </w:r>
      <w:r>
        <w:rPr>
          <w:color w:val="auto"/>
          <w:highlight w:val="none"/>
        </w:rPr>
      </w:r>
    </w:p>
    <w:p>
      <w:pPr>
        <w:pStyle w:val="808"/>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26.1.23投标文件内容不全或不符合招标文件中规定的其它实质性要求和条件的</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26.1.24其他法律、法规及本招标文件规定的属无效投标的情形。</w:t>
      </w:r>
      <w:r>
        <w:rPr>
          <w:color w:val="auto"/>
          <w:highlight w:val="none"/>
        </w:rPr>
      </w:r>
      <w:r>
        <w:rPr>
          <w:color w:val="auto"/>
          <w:highlight w:val="none"/>
        </w:rPr>
      </w:r>
    </w:p>
    <w:p>
      <w:pPr>
        <w:pStyle w:val="808"/>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rPr>
          <w:color w:val="auto"/>
          <w:highlight w:val="none"/>
        </w:rPr>
      </w:r>
      <w:r>
        <w:rPr>
          <w:color w:val="auto"/>
          <w:highlight w:val="none"/>
        </w:rPr>
      </w:r>
    </w:p>
    <w:p>
      <w:pPr>
        <w:pStyle w:val="808"/>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rPr>
          <w:color w:val="auto"/>
          <w:highlight w:val="none"/>
        </w:rPr>
      </w:r>
      <w:r>
        <w:rPr>
          <w:color w:val="auto"/>
          <w:highlight w:val="none"/>
        </w:rPr>
      </w:r>
    </w:p>
    <w:p>
      <w:pPr>
        <w:pStyle w:val="808"/>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rPr>
          <w:color w:val="auto"/>
          <w:highlight w:val="none"/>
        </w:rPr>
      </w:r>
      <w:r>
        <w:rPr>
          <w:color w:val="auto"/>
          <w:highlight w:val="none"/>
        </w:rPr>
      </w:r>
    </w:p>
    <w:p>
      <w:pPr>
        <w:pStyle w:val="808"/>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rPr>
          <w:color w:val="auto"/>
          <w:highlight w:val="none"/>
        </w:rPr>
      </w:r>
      <w:r>
        <w:rPr>
          <w:color w:val="auto"/>
          <w:highlight w:val="none"/>
        </w:rPr>
      </w:r>
    </w:p>
    <w:p>
      <w:pPr>
        <w:pStyle w:val="808"/>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rPr>
          <w:color w:val="auto"/>
          <w:highlight w:val="none"/>
        </w:rPr>
      </w:r>
      <w:r>
        <w:rPr>
          <w:color w:val="auto"/>
          <w:highlight w:val="none"/>
        </w:rPr>
      </w:r>
    </w:p>
    <w:p>
      <w:pPr>
        <w:pStyle w:val="808"/>
        <w:ind w:left="479"/>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rPr>
          <w:color w:val="auto"/>
          <w:highlight w:val="none"/>
        </w:rPr>
      </w:r>
      <w:r>
        <w:rPr>
          <w:color w:val="auto"/>
          <w:highlight w:val="none"/>
        </w:rPr>
      </w:r>
    </w:p>
    <w:p>
      <w:pPr>
        <w:pStyle w:val="808"/>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rPr>
          <w:color w:val="auto"/>
          <w:highlight w:val="none"/>
        </w:rPr>
      </w:r>
      <w:r>
        <w:rPr>
          <w:color w:val="auto"/>
          <w:highlight w:val="none"/>
        </w:rPr>
      </w:r>
    </w:p>
    <w:p>
      <w:pPr>
        <w:pStyle w:val="811"/>
        <w:ind w:firstLine="452"/>
        <w:keepLines w:val="0"/>
        <w:keepNext w:val="0"/>
        <w:spacing w:before="0" w:after="0" w:line="500" w:lineRule="exact"/>
        <w:rPr>
          <w:rFonts w:hint="eastAsia"/>
          <w:color w:val="auto"/>
          <w:sz w:val="30"/>
          <w:szCs w:val="30"/>
          <w:highlight w:val="none"/>
        </w:rPr>
      </w:pPr>
      <w:r>
        <w:rPr>
          <w:color w:val="auto"/>
          <w:highlight w:val="none"/>
        </w:rPr>
      </w:r>
      <w:bookmarkStart w:id="164" w:name="_Toc120614219"/>
      <w:r>
        <w:rPr>
          <w:rFonts w:hint="eastAsia"/>
          <w:color w:val="auto"/>
          <w:sz w:val="30"/>
          <w:szCs w:val="30"/>
          <w:highlight w:val="none"/>
        </w:rPr>
        <w:t xml:space="preserve">六、</w:t>
      </w:r>
      <w:bookmarkEnd w:id="161"/>
      <w:r>
        <w:rPr>
          <w:color w:val="auto"/>
          <w:highlight w:val="none"/>
        </w:rPr>
      </w:r>
      <w:bookmarkEnd w:id="162"/>
      <w:r>
        <w:rPr>
          <w:color w:val="auto"/>
          <w:highlight w:val="none"/>
        </w:rPr>
      </w:r>
      <w:bookmarkEnd w:id="163"/>
      <w:r>
        <w:rPr>
          <w:rFonts w:hint="eastAsia"/>
          <w:color w:val="auto"/>
          <w:sz w:val="30"/>
          <w:szCs w:val="30"/>
          <w:highlight w:val="none"/>
        </w:rPr>
        <w:t xml:space="preserve">定标</w:t>
      </w:r>
      <w:bookmarkEnd w:id="164"/>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65" w:name="_Toc513029238"/>
      <w:r>
        <w:rPr>
          <w:color w:val="auto"/>
          <w:highlight w:val="none"/>
        </w:rPr>
      </w:r>
      <w:bookmarkStart w:id="166" w:name="_Toc20823310"/>
      <w:r>
        <w:rPr>
          <w:color w:val="auto"/>
          <w:highlight w:val="none"/>
        </w:rPr>
      </w:r>
      <w:bookmarkStart w:id="167" w:name="_Toc16938554"/>
      <w:r>
        <w:rPr>
          <w:rFonts w:hint="eastAsia" w:ascii="宋体" w:hAnsi="宋体" w:eastAsia="宋体"/>
          <w:bCs w:val="0"/>
          <w:color w:val="auto"/>
          <w:highlight w:val="none"/>
        </w:rPr>
        <w:t xml:space="preserve">27</w:t>
      </w:r>
      <w:bookmarkEnd w:id="165"/>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6"/>
      <w:r>
        <w:rPr>
          <w:color w:val="auto"/>
          <w:highlight w:val="none"/>
        </w:rPr>
      </w:r>
      <w:bookmarkEnd w:id="167"/>
      <w:r>
        <w:rPr>
          <w:rFonts w:hint="eastAsia" w:ascii="宋体" w:hAnsi="宋体" w:eastAsia="宋体"/>
          <w:bCs w:val="0"/>
          <w:color w:val="auto"/>
          <w:highlight w:val="none"/>
        </w:rPr>
        <w:t xml:space="preserve">中标单位</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rPr>
          <w:color w:val="auto"/>
          <w:highlight w:val="none"/>
        </w:rPr>
      </w:r>
      <w:r>
        <w:rPr>
          <w:color w:val="auto"/>
          <w:highlight w:val="none"/>
        </w:rPr>
      </w:r>
    </w:p>
    <w:p>
      <w:pPr>
        <w:pStyle w:val="808"/>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w:t>
      </w:r>
      <w:r>
        <w:rPr>
          <w:rFonts w:hint="eastAsia" w:ascii="宋体" w:hAnsi="宋体"/>
          <w:bCs/>
          <w:color w:val="auto"/>
          <w:sz w:val="24"/>
          <w:highlight w:val="none"/>
        </w:rPr>
        <w:t xml:space="preserve">名单中按</w:t>
      </w:r>
      <w:r>
        <w:rPr>
          <w:rFonts w:hint="eastAsia" w:ascii="宋体" w:hAnsi="宋体"/>
          <w:bCs/>
          <w:color w:val="auto"/>
          <w:sz w:val="24"/>
          <w:highlight w:val="none"/>
        </w:rPr>
        <w:t xml:space="preserve">排名先后</w:t>
      </w:r>
      <w:r>
        <w:rPr>
          <w:rFonts w:hint="eastAsia" w:ascii="宋体" w:hAnsi="宋体"/>
          <w:bCs/>
          <w:color w:val="auto"/>
          <w:sz w:val="24"/>
          <w:highlight w:val="none"/>
        </w:rPr>
        <w:t xml:space="preserve">顺序确定</w:t>
      </w:r>
      <w:r>
        <w:rPr>
          <w:rFonts w:hint="eastAsia" w:ascii="宋体" w:hAnsi="宋体"/>
          <w:bCs/>
          <w:color w:val="auto"/>
          <w:sz w:val="24"/>
          <w:highlight w:val="none"/>
        </w:rPr>
        <w:t xml:space="preserve">一名投标人为</w:t>
      </w:r>
      <w:r>
        <w:rPr>
          <w:rFonts w:hint="eastAsia" w:ascii="宋体" w:hAnsi="宋体"/>
          <w:bCs/>
          <w:color w:val="auto"/>
          <w:sz w:val="24"/>
          <w:highlight w:val="none"/>
        </w:rPr>
        <w:t xml:space="preserve">中标</w:t>
      </w:r>
      <w:r>
        <w:rPr>
          <w:rFonts w:hint="eastAsia" w:ascii="宋体" w:hAnsi="宋体"/>
          <w:bCs/>
          <w:color w:val="auto"/>
          <w:sz w:val="24"/>
          <w:highlight w:val="none"/>
        </w:rPr>
        <w:t xml:space="preserve">单位</w:t>
      </w:r>
      <w:r>
        <w:rPr>
          <w:rFonts w:hint="eastAsia" w:ascii="宋体" w:hAnsi="宋体"/>
          <w:bCs/>
          <w:color w:val="auto"/>
          <w:sz w:val="24"/>
          <w:highlight w:val="none"/>
        </w:rPr>
        <w:t xml:space="preserve">。</w:t>
      </w:r>
      <w:r>
        <w:rPr>
          <w:rFonts w:hint="eastAsia" w:ascii="宋体" w:hAnsi="宋体"/>
          <w:bCs/>
          <w:color w:val="auto"/>
          <w:sz w:val="24"/>
          <w:highlight w:val="none"/>
        </w:rPr>
        <w:t xml:space="preserve">经采购人有关书面委托的，评标委员会也可按排名先后顺序直接确定中标人。</w:t>
      </w:r>
      <w:r>
        <w:rPr>
          <w:rFonts w:hint="eastAsia" w:ascii="宋体" w:hAnsi="宋体"/>
          <w:bCs/>
          <w:color w:val="auto"/>
          <w:sz w:val="24"/>
          <w:highlight w:val="none"/>
        </w:rPr>
        <w:t xml:space="preserve">联合体中标的，联合体各方应当共同与采购人签订合同，就中标项目向采购人承担连带责任。</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交易中心将在“无锡政府采购网”“江苏政府采购网”发布中标公告，公告期限为1个工作日。</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27.4.2向采购人、交易中心行贿或者提供其他不正当利益的。</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color w:val="auto"/>
          <w:highlight w:val="none"/>
        </w:r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rPr>
          <w:color w:val="auto"/>
          <w:highlight w:val="none"/>
        </w:rPr>
      </w:r>
      <w:r>
        <w:rPr>
          <w:color w:val="auto"/>
          <w:highlight w:val="none"/>
        </w:rPr>
      </w:r>
    </w:p>
    <w:p>
      <w:pPr>
        <w:pStyle w:val="808"/>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rPr>
          <w:color w:val="auto"/>
          <w:highlight w:val="none"/>
        </w:rPr>
      </w:r>
      <w:r>
        <w:rPr>
          <w:color w:val="auto"/>
          <w:highlight w:val="none"/>
        </w:rPr>
      </w:r>
    </w:p>
    <w:p>
      <w:pPr>
        <w:pStyle w:val="808"/>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rPr>
          <w:color w:val="auto"/>
          <w:highlight w:val="none"/>
        </w:rPr>
      </w:r>
      <w:r>
        <w:rPr>
          <w:color w:val="auto"/>
          <w:highlight w:val="none"/>
        </w:rPr>
      </w:r>
    </w:p>
    <w:p>
      <w:pPr>
        <w:pStyle w:val="808"/>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rPr>
          <w:color w:val="auto"/>
          <w:highlight w:val="none"/>
        </w:rPr>
      </w:r>
      <w:r>
        <w:rPr>
          <w:color w:val="auto"/>
          <w:highlight w:val="none"/>
        </w:rPr>
      </w:r>
    </w:p>
    <w:p>
      <w:pPr>
        <w:pStyle w:val="808"/>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rPr>
          <w:color w:val="auto"/>
          <w:highlight w:val="none"/>
        </w:rPr>
      </w:r>
      <w:r>
        <w:rPr>
          <w:color w:val="auto"/>
          <w:highlight w:val="none"/>
        </w:rPr>
      </w:r>
    </w:p>
    <w:p>
      <w:pPr>
        <w:pStyle w:val="808"/>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8"/>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w:t>
      </w:r>
      <w:r>
        <w:rPr>
          <w:rFonts w:ascii="宋体" w:hAnsi="宋体"/>
          <w:color w:val="auto"/>
          <w:sz w:val="24"/>
          <w:szCs w:val="24"/>
          <w:highlight w:val="none"/>
        </w:rPr>
        <w:t xml:space="preserve">告期限届满之日；</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采购人、交易中心只接收以纸质原件形式送达的质疑,质疑供应商可通过面交或邮寄方式送达（采购人和交易中心不接受未填写快递运单的快件）。</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采购人、交易中心联系人、联系方式、通信地址见招标文件第一章。</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rPr>
          <w:color w:val="auto"/>
          <w:highlight w:val="none"/>
        </w:rPr>
      </w:r>
      <w:r>
        <w:rPr>
          <w:color w:val="auto"/>
          <w:highlight w:val="none"/>
        </w:rPr>
      </w:r>
    </w:p>
    <w:p>
      <w:pPr>
        <w:pStyle w:val="808"/>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一经查实，交易中心有权依据政府采购的有关规定，报请政府采购监管部门对该供应商进行相应的行政处罚和记录该供应商的失信信息。</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color w:val="auto"/>
          <w:highlight w:val="none"/>
        </w:rPr>
      </w:r>
      <w:r>
        <w:rPr>
          <w:color w:val="auto"/>
          <w:highlight w:val="none"/>
        </w:rPr>
      </w:r>
    </w:p>
    <w:p>
      <w:pPr>
        <w:pStyle w:val="811"/>
        <w:ind w:firstLine="452"/>
        <w:keepLines w:val="0"/>
        <w:keepNext w:val="0"/>
        <w:spacing w:before="0" w:after="0" w:line="500" w:lineRule="exact"/>
        <w:rPr>
          <w:rFonts w:hint="eastAsia"/>
          <w:color w:val="auto"/>
          <w:sz w:val="30"/>
          <w:szCs w:val="30"/>
          <w:highlight w:val="none"/>
        </w:rPr>
      </w:pPr>
      <w:r>
        <w:rPr>
          <w:color w:val="auto"/>
          <w:highlight w:val="none"/>
        </w:rPr>
      </w:r>
      <w:bookmarkStart w:id="169" w:name="_Toc120614220"/>
      <w:r>
        <w:rPr>
          <w:color w:val="auto"/>
          <w:highlight w:val="none"/>
        </w:rPr>
      </w:r>
      <w:bookmarkStart w:id="170" w:name="_Toc20823308"/>
      <w:r>
        <w:rPr>
          <w:color w:val="auto"/>
          <w:highlight w:val="none"/>
        </w:rPr>
      </w:r>
      <w:bookmarkStart w:id="171" w:name="_Toc16938552"/>
      <w:r>
        <w:rPr>
          <w:color w:val="auto"/>
          <w:highlight w:val="none"/>
        </w:rPr>
      </w:r>
      <w:bookmarkStart w:id="172" w:name="_Toc513029236"/>
      <w:r>
        <w:rPr>
          <w:rFonts w:hint="eastAsia"/>
          <w:color w:val="auto"/>
          <w:sz w:val="30"/>
          <w:szCs w:val="30"/>
          <w:highlight w:val="none"/>
        </w:rPr>
        <w:t xml:space="preserve">七、授予合同</w:t>
      </w:r>
      <w:bookmarkEnd w:id="169"/>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End w:id="170"/>
      <w:r>
        <w:rPr>
          <w:color w:val="auto"/>
          <w:highlight w:val="none"/>
        </w:rPr>
      </w:r>
      <w:bookmarkEnd w:id="171"/>
      <w:r>
        <w:rPr>
          <w:color w:val="auto"/>
          <w:highlight w:val="none"/>
        </w:rPr>
      </w:r>
      <w:bookmarkEnd w:id="172"/>
      <w:r>
        <w:rPr>
          <w:color w:val="auto"/>
          <w:highlight w:val="none"/>
        </w:rPr>
      </w:r>
      <w:bookmarkStart w:id="173" w:name="_Toc16938553"/>
      <w:r>
        <w:rPr>
          <w:color w:val="auto"/>
          <w:highlight w:val="none"/>
        </w:rPr>
      </w:r>
      <w:bookmarkStart w:id="174" w:name="_Toc513029237"/>
      <w:r>
        <w:rPr>
          <w:color w:val="auto"/>
          <w:highlight w:val="none"/>
        </w:rPr>
      </w:r>
      <w:bookmarkStart w:id="175" w:name="_Toc20823309"/>
      <w:r>
        <w:rPr>
          <w:rFonts w:hint="eastAsia" w:ascii="宋体" w:hAnsi="宋体" w:eastAsia="宋体"/>
          <w:bCs w:val="0"/>
          <w:color w:val="auto"/>
          <w:highlight w:val="none"/>
        </w:rPr>
        <w:t xml:space="preserve">30.签订合同</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30.2中标人非因不可抗力未履行招、投标文件和合同规定的义务，一经查实，交易中心将根据具体情况提请政府采购管理部门作出相应处理。</w:t>
      </w:r>
      <w:r>
        <w:rPr>
          <w:color w:val="auto"/>
          <w:highlight w:val="none"/>
        </w:rPr>
      </w:r>
      <w:r>
        <w:rPr>
          <w:color w:val="auto"/>
          <w:highlight w:val="none"/>
        </w:rPr>
      </w:r>
    </w:p>
    <w:p>
      <w:pPr>
        <w:pStyle w:val="808"/>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color w:val="auto"/>
          <w:highlight w:val="none"/>
        </w:rPr>
      </w:r>
      <w:r>
        <w:rPr>
          <w:color w:val="auto"/>
          <w:highlight w:val="none"/>
        </w:rPr>
      </w:r>
    </w:p>
    <w:p>
      <w:pPr>
        <w:pStyle w:val="812"/>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31.服务（包含与服务相关的货物）的追加</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color w:val="auto"/>
          <w:highlight w:val="none"/>
        </w:rPr>
      </w:r>
      <w:r>
        <w:rPr>
          <w:color w:val="auto"/>
          <w:highlight w:val="none"/>
        </w:rPr>
      </w:r>
    </w:p>
    <w:p>
      <w:pPr>
        <w:pStyle w:val="823"/>
        <w:jc w:val="center"/>
        <w:spacing w:line="500" w:lineRule="exact"/>
        <w:rPr>
          <w:rFonts w:hint="eastAsia" w:ascii="黑体" w:eastAsia="黑体"/>
          <w:bCs/>
          <w:color w:val="auto"/>
          <w:sz w:val="36"/>
          <w:szCs w:val="36"/>
          <w:highlight w:val="none"/>
        </w:rPr>
      </w:pPr>
      <w:r>
        <w:rPr>
          <w:color w:val="auto"/>
          <w:highlight w:val="none"/>
        </w:rPr>
      </w:r>
      <w:bookmarkEnd w:id="173"/>
      <w:r>
        <w:rPr>
          <w:color w:val="auto"/>
          <w:highlight w:val="none"/>
        </w:rPr>
      </w:r>
      <w:bookmarkEnd w:id="174"/>
      <w:r>
        <w:rPr>
          <w:color w:val="auto"/>
          <w:highlight w:val="none"/>
        </w:rPr>
      </w:r>
      <w:bookmarkEnd w:id="175"/>
      <w:r>
        <w:rPr>
          <w:color w:val="auto"/>
          <w:highlight w:val="none"/>
        </w:rPr>
      </w:r>
      <w:bookmarkStart w:id="176" w:name="_Toc479757207"/>
      <w:r>
        <w:rPr>
          <w:color w:val="auto"/>
          <w:highlight w:val="none"/>
        </w:rPr>
      </w:r>
      <w:bookmarkStart w:id="177" w:name="_Toc20823314"/>
      <w:r>
        <w:rPr>
          <w:color w:val="auto"/>
          <w:highlight w:val="none"/>
        </w:rPr>
      </w:r>
      <w:bookmarkStart w:id="178" w:name="_Toc120614221"/>
      <w:r>
        <w:rPr>
          <w:color w:val="auto"/>
          <w:highlight w:val="none"/>
        </w:rPr>
      </w:r>
      <w:bookmarkStart w:id="179" w:name="_Toc16938558"/>
      <w:r>
        <w:rPr>
          <w:color w:val="auto"/>
          <w:highlight w:val="none"/>
        </w:rPr>
      </w:r>
      <w:bookmarkStart w:id="180" w:name="_Toc513029242"/>
      <w:r>
        <w:rPr>
          <w:rFonts w:ascii="宋体" w:hAnsi="宋体"/>
          <w:bCs/>
          <w:color w:val="auto"/>
          <w:sz w:val="24"/>
          <w:highlight w:val="none"/>
          <w:shd w:val="clear" w:color="ffffff" w:fill="d9d9d9"/>
        </w:rPr>
        <w:br w:type="page" w:clear="all"/>
      </w:r>
      <w:r>
        <w:rPr>
          <w:rFonts w:hint="eastAsia" w:ascii="黑体" w:eastAsia="黑体"/>
          <w:bCs/>
          <w:color w:val="auto"/>
          <w:sz w:val="36"/>
          <w:szCs w:val="36"/>
          <w:highlight w:val="none"/>
        </w:rPr>
        <w:t xml:space="preserve">第三章  合同</w:t>
      </w:r>
      <w:bookmarkEnd w:id="176"/>
      <w:r>
        <w:rPr>
          <w:color w:val="auto"/>
          <w:highlight w:val="none"/>
        </w:rPr>
      </w:r>
      <w:bookmarkEnd w:id="177"/>
      <w:r>
        <w:rPr>
          <w:color w:val="auto"/>
          <w:highlight w:val="none"/>
        </w:rPr>
      </w:r>
      <w:bookmarkEnd w:id="178"/>
      <w:r>
        <w:rPr>
          <w:color w:val="auto"/>
          <w:highlight w:val="none"/>
        </w:rPr>
      </w:r>
      <w:bookmarkEnd w:id="179"/>
      <w:r>
        <w:rPr>
          <w:color w:val="auto"/>
          <w:highlight w:val="none"/>
        </w:rPr>
      </w:r>
      <w:bookmarkEnd w:id="180"/>
      <w:r>
        <w:rPr>
          <w:rFonts w:hint="eastAsia" w:ascii="黑体" w:eastAsia="黑体"/>
          <w:bCs/>
          <w:color w:val="auto"/>
          <w:sz w:val="36"/>
          <w:szCs w:val="36"/>
          <w:highlight w:val="none"/>
        </w:rPr>
        <w:t xml:space="preserve">文本</w:t>
      </w:r>
      <w:r>
        <w:rPr>
          <w:color w:val="auto"/>
          <w:highlight w:val="none"/>
        </w:rPr>
      </w:r>
      <w:r>
        <w:rPr>
          <w:color w:val="auto"/>
          <w:highlight w:val="none"/>
        </w:rPr>
      </w:r>
    </w:p>
    <w:p>
      <w:pPr>
        <w:pStyle w:val="808"/>
        <w:ind w:firstLine="480"/>
        <w:spacing w:line="400" w:lineRule="exact"/>
        <w:rPr>
          <w:rFonts w:hint="eastAsia" w:ascii="宋体" w:hAnsi="宋体"/>
          <w:bCs/>
          <w:color w:val="auto"/>
          <w:sz w:val="24"/>
          <w:highlight w:val="none"/>
        </w:rPr>
      </w:pPr>
      <w:r>
        <w:rPr>
          <w:color w:val="auto"/>
          <w:highlight w:val="none"/>
        </w:rPr>
      </w:r>
      <w:bookmarkStart w:id="181" w:name="_Toc20823315"/>
      <w:r>
        <w:rPr>
          <w:color w:val="auto"/>
          <w:highlight w:val="none"/>
        </w:rPr>
      </w:r>
      <w:bookmarkStart w:id="182" w:name="_Toc16938559"/>
      <w:r>
        <w:rPr>
          <w:color w:val="auto"/>
          <w:highlight w:val="none"/>
        </w:rPr>
      </w:r>
      <w:bookmarkStart w:id="183" w:name="_Toc513029243"/>
      <w:r>
        <w:rPr>
          <w:rFonts w:hint="eastAsia" w:ascii="宋体" w:hAnsi="宋体"/>
          <w:bCs/>
          <w:color w:val="auto"/>
          <w:sz w:val="24"/>
          <w:highlight w:val="none"/>
        </w:rPr>
        <w:t xml:space="preserve">以下为中标后签定本项目合同的通用条款，中标人不得提出实质性的修改。</w:t>
      </w:r>
      <w:r>
        <w:rPr>
          <w:color w:val="auto"/>
          <w:highlight w:val="none"/>
        </w:rPr>
      </w:r>
      <w:r>
        <w:rPr>
          <w:color w:val="auto"/>
          <w:highlight w:val="none"/>
        </w:rPr>
      </w:r>
    </w:p>
    <w:p>
      <w:pPr>
        <w:pStyle w:val="808"/>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rPr>
          <w:color w:val="auto"/>
          <w:highlight w:val="none"/>
        </w:rPr>
      </w:r>
      <w:r>
        <w:rPr>
          <w:color w:val="auto"/>
          <w:highlight w:val="none"/>
        </w:rPr>
      </w:r>
    </w:p>
    <w:p>
      <w:pPr>
        <w:pStyle w:val="847"/>
        <w:spacing w:line="400" w:lineRule="exact"/>
        <w:rPr>
          <w:rFonts w:hAnsi="宋体"/>
          <w:color w:val="auto"/>
          <w:sz w:val="24"/>
          <w:szCs w:val="24"/>
          <w:highlight w:val="none"/>
        </w:rPr>
      </w:pPr>
      <w:r>
        <w:rPr>
          <w:rFonts w:hAnsi="宋体"/>
          <w:color w:val="auto"/>
          <w:sz w:val="24"/>
          <w:szCs w:val="24"/>
          <w:highlight w:val="none"/>
        </w:rPr>
        <w:t xml:space="preserve">项目名称：                                       项目编号：</w:t>
      </w:r>
      <w:r>
        <w:rPr>
          <w:color w:val="auto"/>
          <w:highlight w:val="none"/>
        </w:rPr>
      </w:r>
      <w:r>
        <w:rPr>
          <w:color w:val="auto"/>
          <w:highlight w:val="none"/>
        </w:rPr>
      </w:r>
    </w:p>
    <w:p>
      <w:pPr>
        <w:pStyle w:val="847"/>
        <w:spacing w:line="400" w:lineRule="exact"/>
        <w:rPr>
          <w:rFonts w:hAnsi="宋体"/>
          <w:color w:val="auto"/>
          <w:sz w:val="24"/>
          <w:szCs w:val="24"/>
          <w:highlight w:val="none"/>
        </w:rPr>
      </w:pPr>
      <w:r>
        <w:rPr>
          <w:rFonts w:hAnsi="宋体"/>
          <w:color w:val="auto"/>
          <w:sz w:val="24"/>
          <w:szCs w:val="24"/>
          <w:highlight w:val="none"/>
        </w:rPr>
        <w:t xml:space="preserve">甲方：（买方</w:t>
      </w:r>
      <w:r>
        <w:rPr>
          <w:rFonts w:hAnsi="宋体"/>
          <w:color w:val="auto"/>
          <w:sz w:val="24"/>
          <w:szCs w:val="24"/>
          <w:highlight w:val="none"/>
        </w:rPr>
        <w:t xml:space="preserve">、</w:t>
      </w:r>
      <w:r>
        <w:rPr>
          <w:rFonts w:hAnsi="宋体"/>
          <w:color w:val="auto"/>
          <w:sz w:val="24"/>
          <w:szCs w:val="24"/>
          <w:highlight w:val="none"/>
        </w:rPr>
        <w:t xml:space="preserve">需方、</w:t>
      </w:r>
      <w:r>
        <w:rPr>
          <w:rFonts w:hAnsi="宋体"/>
          <w:color w:val="auto"/>
          <w:sz w:val="24"/>
          <w:szCs w:val="24"/>
          <w:highlight w:val="none"/>
        </w:rPr>
        <w:t xml:space="preserve">采购人</w:t>
      </w:r>
      <w:r>
        <w:rPr>
          <w:rFonts w:hAnsi="宋体"/>
          <w:color w:val="auto"/>
          <w:sz w:val="24"/>
          <w:szCs w:val="24"/>
          <w:highlight w:val="none"/>
        </w:rPr>
        <w:t xml:space="preserve">）_________</w:t>
      </w:r>
      <w:r>
        <w:rPr>
          <w:color w:val="auto"/>
          <w:highlight w:val="none"/>
        </w:rPr>
      </w:r>
      <w:r>
        <w:rPr>
          <w:color w:val="auto"/>
          <w:highlight w:val="none"/>
        </w:rPr>
      </w:r>
    </w:p>
    <w:p>
      <w:pPr>
        <w:pStyle w:val="847"/>
        <w:spacing w:line="400" w:lineRule="exact"/>
        <w:rPr>
          <w:rFonts w:hint="eastAsia" w:hAnsi="宋体"/>
          <w:color w:val="auto"/>
          <w:sz w:val="24"/>
          <w:szCs w:val="24"/>
          <w:highlight w:val="none"/>
        </w:rPr>
      </w:pPr>
      <w:r>
        <w:rPr>
          <w:rFonts w:hAnsi="宋体"/>
          <w:color w:val="auto"/>
          <w:sz w:val="24"/>
          <w:szCs w:val="24"/>
          <w:highlight w:val="none"/>
        </w:rPr>
        <w:t xml:space="preserve">乙方：（卖方</w:t>
      </w:r>
      <w:r>
        <w:rPr>
          <w:rFonts w:hAnsi="宋体"/>
          <w:color w:val="auto"/>
          <w:sz w:val="24"/>
          <w:szCs w:val="24"/>
          <w:highlight w:val="none"/>
        </w:rPr>
        <w:t xml:space="preserve">、</w:t>
      </w:r>
      <w:r>
        <w:rPr>
          <w:rFonts w:hAnsi="宋体"/>
          <w:color w:val="auto"/>
          <w:sz w:val="24"/>
          <w:szCs w:val="24"/>
          <w:highlight w:val="none"/>
        </w:rPr>
        <w:t xml:space="preserve">供方、</w:t>
      </w:r>
      <w:r>
        <w:rPr>
          <w:rFonts w:hAnsi="宋体"/>
          <w:color w:val="auto"/>
          <w:sz w:val="24"/>
          <w:szCs w:val="24"/>
          <w:highlight w:val="none"/>
        </w:rPr>
        <w:t xml:space="preserve">供应商</w:t>
      </w:r>
      <w:r>
        <w:rPr>
          <w:rFonts w:hAnsi="宋体"/>
          <w:color w:val="auto"/>
          <w:sz w:val="24"/>
          <w:szCs w:val="24"/>
          <w:highlight w:val="none"/>
        </w:rPr>
        <w:t xml:space="preserve">）_________</w:t>
      </w:r>
      <w:r>
        <w:rPr>
          <w:color w:val="auto"/>
          <w:highlight w:val="none"/>
        </w:rPr>
      </w:r>
      <w:r>
        <w:rPr>
          <w:color w:val="auto"/>
          <w:highlight w:val="none"/>
        </w:rPr>
      </w:r>
    </w:p>
    <w:p>
      <w:pPr>
        <w:pStyle w:val="847"/>
        <w:ind w:firstLine="480"/>
        <w:spacing w:line="400" w:lineRule="exact"/>
        <w:rPr>
          <w:rFonts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rPr>
        <w:t xml:space="preserve">无锡市公共资源交易中心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rPr>
          <w:color w:val="auto"/>
          <w:highlight w:val="none"/>
        </w:rPr>
      </w:r>
      <w:r>
        <w:rPr>
          <w:color w:val="auto"/>
          <w:highlight w:val="none"/>
        </w:rPr>
      </w:r>
    </w:p>
    <w:p>
      <w:pPr>
        <w:pStyle w:val="847"/>
        <w:ind w:firstLine="482"/>
        <w:spacing w:line="400" w:lineRule="exact"/>
        <w:rPr>
          <w:rFonts w:hAnsi="宋体"/>
          <w:b/>
          <w:color w:val="auto"/>
          <w:sz w:val="24"/>
          <w:szCs w:val="24"/>
          <w:highlight w:val="none"/>
        </w:rPr>
      </w:pPr>
      <w:r>
        <w:rPr>
          <w:rFonts w:hAnsi="宋体"/>
          <w:b/>
          <w:color w:val="auto"/>
          <w:sz w:val="24"/>
          <w:szCs w:val="24"/>
          <w:highlight w:val="none"/>
        </w:rPr>
        <w:t xml:space="preserve">一、</w:t>
      </w:r>
      <w:r>
        <w:rPr>
          <w:rFonts w:hint="eastAsia" w:hAnsi="宋体"/>
          <w:b/>
          <w:color w:val="auto"/>
          <w:sz w:val="24"/>
          <w:szCs w:val="24"/>
          <w:highlight w:val="none"/>
        </w:rPr>
        <w:t xml:space="preserve">合同</w:t>
      </w:r>
      <w:r>
        <w:rPr>
          <w:rFonts w:hAnsi="宋体"/>
          <w:b/>
          <w:color w:val="auto"/>
          <w:sz w:val="24"/>
          <w:szCs w:val="24"/>
          <w:highlight w:val="none"/>
        </w:rPr>
        <w:t xml:space="preserve">内容</w:t>
      </w:r>
      <w:r>
        <w:rPr>
          <w:color w:val="auto"/>
          <w:highlight w:val="none"/>
        </w:rPr>
      </w:r>
      <w:r>
        <w:rPr>
          <w:color w:val="auto"/>
          <w:highlight w:val="none"/>
        </w:rPr>
      </w:r>
    </w:p>
    <w:p>
      <w:pPr>
        <w:pStyle w:val="847"/>
        <w:ind w:firstLine="480"/>
        <w:spacing w:line="400" w:lineRule="exact"/>
        <w:rPr>
          <w:rFonts w:hAnsi="宋体"/>
          <w:color w:val="auto"/>
          <w:sz w:val="24"/>
          <w:szCs w:val="24"/>
          <w:highlight w:val="none"/>
        </w:rPr>
      </w:pPr>
      <w:r>
        <w:rPr>
          <w:rFonts w:hAnsi="宋体"/>
          <w:color w:val="auto"/>
          <w:sz w:val="24"/>
          <w:szCs w:val="24"/>
          <w:highlight w:val="none"/>
        </w:rPr>
        <w:t xml:space="preserve">1.1 </w:t>
      </w:r>
      <w:r>
        <w:rPr>
          <w:rFonts w:hint="eastAsia" w:hAnsi="宋体"/>
          <w:color w:val="auto"/>
          <w:sz w:val="24"/>
          <w:szCs w:val="24"/>
          <w:highlight w:val="none"/>
        </w:rPr>
        <w:t xml:space="preserve">标的</w:t>
      </w:r>
      <w:r>
        <w:rPr>
          <w:rFonts w:hAnsi="宋体"/>
          <w:color w:val="auto"/>
          <w:sz w:val="24"/>
          <w:szCs w:val="24"/>
          <w:highlight w:val="none"/>
        </w:rPr>
        <w:t xml:space="preserve">名称：</w:t>
      </w:r>
      <w:r>
        <w:rPr>
          <w:color w:val="auto"/>
          <w:highlight w:val="none"/>
        </w:rPr>
      </w:r>
      <w:r>
        <w:rPr>
          <w:color w:val="auto"/>
          <w:highlight w:val="none"/>
        </w:rPr>
      </w:r>
    </w:p>
    <w:p>
      <w:pPr>
        <w:pStyle w:val="847"/>
        <w:ind w:firstLine="480"/>
        <w:spacing w:line="400" w:lineRule="exact"/>
        <w:rPr>
          <w:rFonts w:hint="eastAsia"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rPr>
        <w:t xml:space="preserve">标的质量：</w:t>
      </w:r>
      <w:r>
        <w:rPr>
          <w:color w:val="auto"/>
          <w:highlight w:val="none"/>
        </w:rPr>
      </w:r>
      <w:r>
        <w:rPr>
          <w:color w:val="auto"/>
          <w:highlight w:val="none"/>
        </w:rPr>
      </w:r>
    </w:p>
    <w:p>
      <w:pPr>
        <w:pStyle w:val="847"/>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1.3 标的数量（规模）：</w:t>
      </w:r>
      <w:r>
        <w:rPr>
          <w:color w:val="auto"/>
          <w:highlight w:val="none"/>
        </w:rPr>
      </w:r>
      <w:r>
        <w:rPr>
          <w:color w:val="auto"/>
          <w:highlight w:val="none"/>
        </w:rPr>
      </w:r>
    </w:p>
    <w:p>
      <w:pPr>
        <w:pStyle w:val="847"/>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1.4 履行时间（期限）：</w:t>
      </w:r>
      <w:r>
        <w:rPr>
          <w:color w:val="auto"/>
          <w:highlight w:val="none"/>
        </w:rPr>
      </w:r>
      <w:r>
        <w:rPr>
          <w:color w:val="auto"/>
          <w:highlight w:val="none"/>
        </w:rPr>
      </w:r>
    </w:p>
    <w:p>
      <w:pPr>
        <w:pStyle w:val="847"/>
        <w:ind w:firstLine="480"/>
        <w:spacing w:line="400" w:lineRule="exact"/>
        <w:rPr>
          <w:rFonts w:hAnsi="宋体"/>
          <w:color w:val="auto"/>
          <w:sz w:val="24"/>
          <w:szCs w:val="24"/>
          <w:highlight w:val="none"/>
        </w:rPr>
      </w:pPr>
      <w:r>
        <w:rPr>
          <w:rFonts w:hint="eastAsia" w:hAnsi="宋体"/>
          <w:color w:val="auto"/>
          <w:sz w:val="24"/>
          <w:szCs w:val="24"/>
          <w:highlight w:val="none"/>
        </w:rPr>
        <w:t xml:space="preserve">1.5 履行地点：</w:t>
      </w:r>
      <w:r>
        <w:rPr>
          <w:color w:val="auto"/>
          <w:highlight w:val="none"/>
        </w:rPr>
      </w:r>
      <w:r>
        <w:rPr>
          <w:color w:val="auto"/>
          <w:highlight w:val="none"/>
        </w:rPr>
      </w:r>
    </w:p>
    <w:p>
      <w:pPr>
        <w:pStyle w:val="847"/>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6履行方式：</w:t>
      </w:r>
      <w:r>
        <w:rPr>
          <w:color w:val="auto"/>
          <w:highlight w:val="none"/>
        </w:rPr>
      </w:r>
      <w:r>
        <w:rPr>
          <w:color w:val="auto"/>
          <w:highlight w:val="none"/>
        </w:rPr>
      </w:r>
    </w:p>
    <w:p>
      <w:pPr>
        <w:pStyle w:val="847"/>
        <w:ind w:firstLine="482"/>
        <w:spacing w:line="400" w:lineRule="exact"/>
        <w:rPr>
          <w:rFonts w:hAnsi="宋体"/>
          <w:b/>
          <w:color w:val="auto"/>
          <w:sz w:val="24"/>
          <w:szCs w:val="24"/>
          <w:highlight w:val="none"/>
        </w:rPr>
      </w:pPr>
      <w:r>
        <w:rPr>
          <w:rFonts w:hAnsi="宋体"/>
          <w:b/>
          <w:color w:val="auto"/>
          <w:sz w:val="24"/>
          <w:szCs w:val="24"/>
          <w:highlight w:val="none"/>
        </w:rPr>
        <w:t xml:space="preserve">二、合同金额</w:t>
      </w:r>
      <w:r>
        <w:rPr>
          <w:color w:val="auto"/>
          <w:highlight w:val="none"/>
        </w:rPr>
      </w:r>
      <w:r>
        <w:rPr>
          <w:color w:val="auto"/>
          <w:highlight w:val="none"/>
        </w:rPr>
      </w:r>
    </w:p>
    <w:p>
      <w:pPr>
        <w:pStyle w:val="847"/>
        <w:ind w:firstLine="480"/>
        <w:spacing w:line="400" w:lineRule="exact"/>
        <w:rPr>
          <w:rFonts w:hAnsi="宋体"/>
          <w:color w:val="auto"/>
          <w:sz w:val="24"/>
          <w:szCs w:val="24"/>
          <w:highlight w:val="none"/>
        </w:rPr>
      </w:pPr>
      <w:r>
        <w:rPr>
          <w:rFonts w:hAnsi="宋体"/>
          <w:color w:val="auto"/>
          <w:sz w:val="24"/>
          <w:szCs w:val="24"/>
          <w:highlight w:val="none"/>
        </w:rPr>
        <w:t xml:space="preserve">2.1 本合同金额为（大写）：</w:t>
      </w:r>
      <w:r>
        <w:rPr>
          <w:rFonts w:hAnsi="宋体"/>
          <w:color w:val="auto"/>
          <w:sz w:val="24"/>
          <w:szCs w:val="24"/>
          <w:highlight w:val="none"/>
        </w:rPr>
        <w:t xml:space="preserve"> </w:t>
      </w:r>
      <w:r>
        <w:rPr>
          <w:rFonts w:hAnsi="宋体"/>
          <w:color w:val="auto"/>
          <w:sz w:val="24"/>
          <w:szCs w:val="24"/>
          <w:highlight w:val="none"/>
        </w:rPr>
        <w:t xml:space="preserve">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rPr>
          <w:color w:val="auto"/>
          <w:highlight w:val="none"/>
        </w:rPr>
      </w:r>
      <w:r>
        <w:rPr>
          <w:color w:val="auto"/>
          <w:highlight w:val="none"/>
        </w:rPr>
      </w:r>
    </w:p>
    <w:p>
      <w:pPr>
        <w:pStyle w:val="847"/>
        <w:ind w:firstLine="482"/>
        <w:spacing w:line="400" w:lineRule="exact"/>
        <w:rPr>
          <w:rFonts w:hAnsi="宋体"/>
          <w:b/>
          <w:color w:val="auto"/>
          <w:sz w:val="24"/>
          <w:szCs w:val="24"/>
          <w:highlight w:val="none"/>
        </w:rPr>
      </w:pPr>
      <w:r>
        <w:rPr>
          <w:rFonts w:hAnsi="宋体"/>
          <w:b/>
          <w:color w:val="auto"/>
          <w:sz w:val="24"/>
          <w:szCs w:val="24"/>
          <w:highlight w:val="none"/>
        </w:rPr>
        <w:t xml:space="preserve">三、技术资料</w:t>
      </w:r>
      <w:r>
        <w:rPr>
          <w:color w:val="auto"/>
          <w:highlight w:val="none"/>
        </w:rPr>
      </w:r>
      <w:r>
        <w:rPr>
          <w:color w:val="auto"/>
          <w:highlight w:val="none"/>
        </w:rPr>
      </w:r>
    </w:p>
    <w:p>
      <w:pPr>
        <w:pStyle w:val="847"/>
        <w:ind w:firstLine="480"/>
        <w:spacing w:line="400" w:lineRule="exact"/>
        <w:rPr>
          <w:rFonts w:hint="eastAsia" w:hAnsi="宋体"/>
          <w:color w:val="auto"/>
          <w:sz w:val="24"/>
          <w:szCs w:val="24"/>
          <w:highlight w:val="none"/>
        </w:rPr>
      </w:pPr>
      <w:r>
        <w:rPr>
          <w:rFonts w:hAnsi="宋体"/>
          <w:color w:val="auto"/>
          <w:sz w:val="24"/>
          <w:szCs w:val="24"/>
          <w:highlight w:val="none"/>
        </w:rPr>
        <w:t xml:space="preserve">3.1乙方应按招标文件规定的时间向甲方提供服务</w:t>
      </w:r>
      <w:r>
        <w:rPr>
          <w:rFonts w:hint="eastAsia" w:hAnsi="宋体"/>
          <w:color w:val="auto"/>
          <w:sz w:val="24"/>
          <w:szCs w:val="24"/>
          <w:highlight w:val="none"/>
        </w:rPr>
        <w:t xml:space="preserve">（包含与服务相关的货物）</w:t>
      </w:r>
      <w:r>
        <w:rPr>
          <w:rFonts w:hAnsi="宋体"/>
          <w:color w:val="auto"/>
          <w:sz w:val="24"/>
          <w:szCs w:val="24"/>
          <w:highlight w:val="none"/>
        </w:rPr>
        <w:t xml:space="preserve">的有关技术资料。</w:t>
      </w:r>
      <w:r>
        <w:rPr>
          <w:color w:val="auto"/>
          <w:highlight w:val="none"/>
        </w:rPr>
      </w:r>
      <w:r>
        <w:rPr>
          <w:color w:val="auto"/>
          <w:highlight w:val="none"/>
        </w:rPr>
      </w:r>
    </w:p>
    <w:p>
      <w:pPr>
        <w:pStyle w:val="847"/>
        <w:ind w:firstLine="480"/>
        <w:spacing w:line="400" w:lineRule="exact"/>
        <w:rPr>
          <w:rFonts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auto"/>
          <w:highlight w:val="none"/>
        </w:rPr>
      </w:r>
      <w:r>
        <w:rPr>
          <w:color w:val="auto"/>
          <w:highlight w:val="none"/>
        </w:rPr>
      </w:r>
    </w:p>
    <w:p>
      <w:pPr>
        <w:pStyle w:val="847"/>
        <w:ind w:firstLine="482"/>
        <w:spacing w:line="400" w:lineRule="exact"/>
        <w:rPr>
          <w:rFonts w:hAnsi="宋体"/>
          <w:b/>
          <w:color w:val="auto"/>
          <w:sz w:val="24"/>
          <w:szCs w:val="24"/>
          <w:highlight w:val="none"/>
        </w:rPr>
      </w:pPr>
      <w:r>
        <w:rPr>
          <w:rFonts w:hAnsi="宋体"/>
          <w:b/>
          <w:color w:val="auto"/>
          <w:sz w:val="24"/>
          <w:szCs w:val="24"/>
          <w:highlight w:val="none"/>
        </w:rPr>
        <w:t xml:space="preserve">四、知识产权</w:t>
      </w:r>
      <w:r>
        <w:rPr>
          <w:color w:val="auto"/>
          <w:highlight w:val="none"/>
        </w:rPr>
      </w:r>
      <w:r>
        <w:rPr>
          <w:color w:val="auto"/>
          <w:highlight w:val="none"/>
        </w:rPr>
      </w:r>
    </w:p>
    <w:p>
      <w:pPr>
        <w:pStyle w:val="847"/>
        <w:ind w:firstLine="480"/>
        <w:spacing w:line="400" w:lineRule="exact"/>
        <w:rPr>
          <w:rFonts w:hint="eastAsia" w:hAnsi="宋体"/>
          <w:color w:val="auto"/>
          <w:sz w:val="24"/>
          <w:szCs w:val="24"/>
          <w:highlight w:val="none"/>
        </w:rPr>
      </w:pPr>
      <w:r>
        <w:rPr>
          <w:rFonts w:hAnsi="宋体"/>
          <w:color w:val="auto"/>
          <w:sz w:val="24"/>
          <w:szCs w:val="24"/>
          <w:highlight w:val="none"/>
        </w:rPr>
        <w:t xml:space="preserve">4.1乙</w:t>
      </w:r>
      <w:r>
        <w:rPr>
          <w:rFonts w:hint="eastAsia" w:hAnsi="宋体"/>
          <w:color w:val="auto"/>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color w:val="auto"/>
          <w:highlight w:val="none"/>
        </w:rPr>
      </w:r>
      <w:r>
        <w:rPr>
          <w:color w:val="auto"/>
          <w:highlight w:val="none"/>
        </w:rPr>
      </w:r>
    </w:p>
    <w:p>
      <w:pPr>
        <w:pStyle w:val="847"/>
        <w:spacing w:line="400" w:lineRule="exact"/>
        <w:rPr>
          <w:rFonts w:hint="eastAsia" w:hAnsi="宋体"/>
          <w:color w:val="auto"/>
          <w:sz w:val="24"/>
          <w:szCs w:val="24"/>
          <w:highlight w:val="none"/>
        </w:rPr>
      </w:pPr>
      <w:r>
        <w:rPr>
          <w:rFonts w:hint="eastAsia" w:hAnsi="宋体"/>
          <w:color w:val="auto"/>
          <w:sz w:val="24"/>
          <w:szCs w:val="24"/>
          <w:highlight w:val="none"/>
        </w:rPr>
        <w:t xml:space="preserve">（</w:t>
      </w:r>
      <w:r>
        <w:rPr>
          <w:rFonts w:hint="eastAsia" w:hAnsi="宋体"/>
          <w:color w:val="auto"/>
          <w:sz w:val="24"/>
          <w:szCs w:val="24"/>
          <w:highlight w:val="none"/>
        </w:rPr>
        <w:t xml:space="preserve">注：采购项目</w:t>
      </w:r>
      <w:r>
        <w:rPr>
          <w:rFonts w:hint="eastAsia" w:hAnsi="宋体"/>
          <w:color w:val="auto"/>
          <w:sz w:val="24"/>
          <w:szCs w:val="24"/>
          <w:highlight w:val="none"/>
        </w:rPr>
        <w:t xml:space="preserve">如</w:t>
      </w:r>
      <w:r>
        <w:rPr>
          <w:rFonts w:hint="eastAsia" w:hAnsi="宋体"/>
          <w:color w:val="auto"/>
          <w:sz w:val="24"/>
          <w:szCs w:val="24"/>
          <w:highlight w:val="none"/>
        </w:rPr>
        <w:t xml:space="preserve">涉及采购标的的知识产权归属、处理的，如订购、设计、定制开发的信息化建设项目等，应当约定知识产权的归属和处理方式）</w:t>
      </w:r>
      <w:r>
        <w:rPr>
          <w:color w:val="auto"/>
          <w:highlight w:val="none"/>
        </w:rPr>
      </w:r>
      <w:r>
        <w:rPr>
          <w:color w:val="auto"/>
          <w:highlight w:val="none"/>
        </w:rPr>
      </w:r>
    </w:p>
    <w:p>
      <w:pPr>
        <w:pStyle w:val="847"/>
        <w:ind w:firstLine="482"/>
        <w:spacing w:line="400" w:lineRule="exact"/>
        <w:rPr>
          <w:rFonts w:hAnsi="宋体"/>
          <w:color w:val="auto"/>
          <w:sz w:val="24"/>
          <w:szCs w:val="24"/>
          <w:highlight w:val="none"/>
          <w:u w:val="single"/>
        </w:rPr>
      </w:pPr>
      <w:r>
        <w:rPr>
          <w:rFonts w:hAnsi="宋体"/>
          <w:b/>
          <w:color w:val="auto"/>
          <w:sz w:val="24"/>
          <w:szCs w:val="24"/>
          <w:highlight w:val="none"/>
        </w:rPr>
        <w:t xml:space="preserve">五、产权担保</w:t>
      </w:r>
      <w:r>
        <w:rPr>
          <w:color w:val="auto"/>
          <w:highlight w:val="none"/>
        </w:rPr>
      </w:r>
      <w:r>
        <w:rPr>
          <w:color w:val="auto"/>
          <w:highlight w:val="none"/>
        </w:rPr>
      </w:r>
    </w:p>
    <w:p>
      <w:pPr>
        <w:pStyle w:val="847"/>
        <w:ind w:firstLine="480"/>
        <w:spacing w:line="400" w:lineRule="exact"/>
        <w:rPr>
          <w:rFonts w:hAnsi="宋体"/>
          <w:color w:val="auto"/>
          <w:sz w:val="24"/>
          <w:szCs w:val="24"/>
          <w:highlight w:val="none"/>
          <w:u w:val="single"/>
        </w:rPr>
      </w:pPr>
      <w:r>
        <w:rPr>
          <w:rFonts w:hAnsi="宋体"/>
          <w:color w:val="auto"/>
          <w:sz w:val="24"/>
          <w:szCs w:val="24"/>
          <w:highlight w:val="none"/>
        </w:rPr>
        <w:t xml:space="preserve">5.1 乙方保证所交付的</w:t>
      </w:r>
      <w:r>
        <w:rPr>
          <w:rFonts w:hint="eastAsia" w:hAnsi="宋体"/>
          <w:color w:val="auto"/>
          <w:sz w:val="24"/>
          <w:szCs w:val="24"/>
          <w:highlight w:val="none"/>
        </w:rPr>
        <w:t xml:space="preserve">服务（包含与服务相关的货物）</w:t>
      </w:r>
      <w:r>
        <w:rPr>
          <w:rFonts w:hAnsi="宋体"/>
          <w:color w:val="auto"/>
          <w:sz w:val="24"/>
          <w:szCs w:val="24"/>
          <w:highlight w:val="none"/>
        </w:rPr>
        <w:t xml:space="preserve">的所有权完全属于乙方且无任何抵押、查封等产权瑕疵。</w:t>
      </w:r>
      <w:r>
        <w:rPr>
          <w:color w:val="auto"/>
          <w:highlight w:val="none"/>
        </w:rPr>
      </w:r>
      <w:r>
        <w:rPr>
          <w:color w:val="auto"/>
          <w:highlight w:val="none"/>
        </w:rPr>
      </w:r>
    </w:p>
    <w:p>
      <w:pPr>
        <w:pStyle w:val="847"/>
        <w:ind w:firstLine="482"/>
        <w:spacing w:line="400" w:lineRule="exact"/>
        <w:rPr>
          <w:rFonts w:hAnsi="宋体"/>
          <w:b/>
          <w:color w:val="auto"/>
          <w:sz w:val="24"/>
          <w:szCs w:val="24"/>
          <w:highlight w:val="none"/>
        </w:rPr>
      </w:pPr>
      <w:r>
        <w:rPr>
          <w:rFonts w:hAnsi="宋体"/>
          <w:b/>
          <w:color w:val="auto"/>
          <w:sz w:val="24"/>
          <w:szCs w:val="24"/>
          <w:highlight w:val="none"/>
        </w:rPr>
        <w:t xml:space="preserve">六、履约保证金</w:t>
      </w:r>
      <w:r>
        <w:rPr>
          <w:color w:val="auto"/>
          <w:highlight w:val="none"/>
        </w:rPr>
      </w:r>
      <w:r>
        <w:rPr>
          <w:color w:val="auto"/>
          <w:highlight w:val="none"/>
        </w:rPr>
      </w:r>
    </w:p>
    <w:p>
      <w:pPr>
        <w:pStyle w:val="847"/>
        <w:ind w:firstLine="480"/>
        <w:spacing w:line="400" w:lineRule="exact"/>
        <w:rPr>
          <w:rFonts w:hint="eastAsia" w:hAnsi="宋体"/>
          <w:color w:val="auto"/>
          <w:sz w:val="24"/>
          <w:szCs w:val="24"/>
          <w:highlight w:val="none"/>
        </w:rPr>
      </w:pPr>
      <w:r>
        <w:rPr>
          <w:rFonts w:hAnsi="宋体"/>
          <w:color w:val="auto"/>
          <w:sz w:val="24"/>
          <w:szCs w:val="24"/>
          <w:highlight w:val="none"/>
        </w:rPr>
        <w:t xml:space="preserve">6.1 乙方交纳人民币__元作为本合同的履约保证金。</w:t>
      </w:r>
      <w:r>
        <w:rPr>
          <w:rFonts w:hint="eastAsia" w:hAnsi="宋体"/>
          <w:color w:val="auto"/>
          <w:sz w:val="24"/>
          <w:szCs w:val="24"/>
          <w:highlight w:val="none"/>
        </w:rPr>
        <w:t xml:space="preserve">（不得超过合同金额的10%）</w:t>
      </w:r>
      <w:r>
        <w:rPr>
          <w:color w:val="auto"/>
          <w:highlight w:val="none"/>
        </w:rPr>
      </w:r>
      <w:r>
        <w:rPr>
          <w:color w:val="auto"/>
          <w:highlight w:val="none"/>
        </w:rPr>
      </w:r>
    </w:p>
    <w:p>
      <w:pPr>
        <w:pStyle w:val="847"/>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6.2合同履行结束后，甲方应及时退还交纳的履约保证金。</w:t>
      </w:r>
      <w:r>
        <w:rPr>
          <w:color w:val="auto"/>
          <w:highlight w:val="none"/>
        </w:rPr>
      </w:r>
      <w:r>
        <w:rPr>
          <w:color w:val="auto"/>
          <w:highlight w:val="none"/>
        </w:rPr>
      </w:r>
    </w:p>
    <w:p>
      <w:pPr>
        <w:pStyle w:val="847"/>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6.2.1履约保证金退还方式：</w:t>
      </w:r>
      <w:r>
        <w:rPr>
          <w:color w:val="auto"/>
          <w:highlight w:val="none"/>
        </w:rPr>
      </w:r>
      <w:r>
        <w:rPr>
          <w:color w:val="auto"/>
          <w:highlight w:val="none"/>
        </w:rPr>
      </w:r>
    </w:p>
    <w:p>
      <w:pPr>
        <w:pStyle w:val="847"/>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6.2.2履约保证金退还时间：</w:t>
      </w:r>
      <w:r>
        <w:rPr>
          <w:color w:val="auto"/>
          <w:highlight w:val="none"/>
        </w:rPr>
      </w:r>
      <w:r>
        <w:rPr>
          <w:color w:val="auto"/>
          <w:highlight w:val="none"/>
        </w:rPr>
      </w:r>
    </w:p>
    <w:p>
      <w:pPr>
        <w:pStyle w:val="847"/>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6.2.3履约保证金退还条件：</w:t>
      </w:r>
      <w:r>
        <w:rPr>
          <w:color w:val="auto"/>
          <w:highlight w:val="none"/>
        </w:rPr>
      </w:r>
      <w:r>
        <w:rPr>
          <w:color w:val="auto"/>
          <w:highlight w:val="none"/>
        </w:rPr>
      </w:r>
    </w:p>
    <w:p>
      <w:pPr>
        <w:pStyle w:val="847"/>
        <w:ind w:firstLine="480"/>
        <w:spacing w:line="400" w:lineRule="exact"/>
        <w:rPr>
          <w:rFonts w:hAnsi="宋体"/>
          <w:color w:val="auto"/>
          <w:sz w:val="24"/>
          <w:szCs w:val="24"/>
          <w:highlight w:val="none"/>
        </w:rPr>
      </w:pPr>
      <w:r>
        <w:rPr>
          <w:rFonts w:hint="eastAsia" w:hAnsi="宋体"/>
          <w:color w:val="auto"/>
          <w:sz w:val="24"/>
          <w:szCs w:val="24"/>
          <w:highlight w:val="none"/>
        </w:rPr>
        <w:t xml:space="preserve">6.2.4履约保证金不予退还的情形：</w:t>
      </w:r>
      <w:r>
        <w:rPr>
          <w:color w:val="auto"/>
          <w:highlight w:val="none"/>
        </w:rPr>
      </w:r>
      <w:r>
        <w:rPr>
          <w:color w:val="auto"/>
          <w:highlight w:val="none"/>
        </w:rPr>
      </w:r>
    </w:p>
    <w:p>
      <w:pPr>
        <w:pStyle w:val="808"/>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rPr>
          <w:color w:val="auto"/>
          <w:highlight w:val="none"/>
        </w:rPr>
      </w:r>
      <w:r>
        <w:rPr>
          <w:color w:val="auto"/>
          <w:highlight w:val="none"/>
        </w:rPr>
      </w:r>
    </w:p>
    <w:p>
      <w:pPr>
        <w:pStyle w:val="80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rPr>
          <w:color w:val="auto"/>
          <w:highlight w:val="none"/>
        </w:rPr>
      </w:r>
      <w:r>
        <w:rPr>
          <w:color w:val="auto"/>
          <w:highlight w:val="none"/>
        </w:rPr>
      </w:r>
    </w:p>
    <w:p>
      <w:pPr>
        <w:pStyle w:val="808"/>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7.2乙方</w:t>
      </w:r>
      <w:r>
        <w:rPr>
          <w:rFonts w:hint="eastAsia" w:ascii="宋体" w:hAnsi="宋体"/>
          <w:color w:val="auto"/>
          <w:sz w:val="24"/>
          <w:szCs w:val="24"/>
          <w:highlight w:val="none"/>
        </w:rPr>
        <w:t xml:space="preserve">应按招标文件要求</w:t>
      </w:r>
      <w:r>
        <w:rPr>
          <w:rFonts w:hint="eastAsia" w:ascii="宋体" w:hAnsi="宋体"/>
          <w:color w:val="auto"/>
          <w:sz w:val="24"/>
          <w:szCs w:val="24"/>
          <w:highlight w:val="none"/>
        </w:rPr>
        <w:t xml:space="preserve">，如项目不允许分包的，乙方</w:t>
      </w:r>
      <w:r>
        <w:rPr>
          <w:rFonts w:hint="eastAsia" w:ascii="宋体" w:hAnsi="宋体"/>
          <w:color w:val="auto"/>
          <w:sz w:val="24"/>
          <w:szCs w:val="24"/>
          <w:highlight w:val="none"/>
        </w:rPr>
        <w:t xml:space="preserve">不得将合同标的分包给他人履行</w:t>
      </w:r>
      <w:r>
        <w:rPr>
          <w:rFonts w:hint="eastAsia" w:ascii="宋体" w:hAnsi="宋体"/>
          <w:color w:val="auto"/>
          <w:sz w:val="24"/>
          <w:szCs w:val="24"/>
          <w:highlight w:val="none"/>
        </w:rPr>
        <w:t xml:space="preserve">；如项目允许分包的，乙方</w:t>
      </w:r>
      <w:r>
        <w:rPr>
          <w:rFonts w:hint="eastAsia" w:ascii="宋体" w:hAnsi="宋体"/>
          <w:color w:val="auto"/>
          <w:sz w:val="24"/>
          <w:szCs w:val="24"/>
          <w:highlight w:val="none"/>
        </w:rPr>
        <w:t xml:space="preserve">应当按照投标文件中提供的分包意向协议履行合同。</w:t>
      </w:r>
      <w:r>
        <w:rPr>
          <w:color w:val="auto"/>
          <w:highlight w:val="none"/>
        </w:rPr>
      </w:r>
      <w:r>
        <w:rPr>
          <w:color w:val="auto"/>
          <w:highlight w:val="none"/>
        </w:rPr>
      </w:r>
    </w:p>
    <w:p>
      <w:pPr>
        <w:pStyle w:val="808"/>
        <w:ind w:firstLine="480"/>
        <w:spacing w:line="40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乙方如有转包或未经甲方同意的分包行为，甲方有权解除合同。</w:t>
      </w:r>
      <w:r>
        <w:rPr>
          <w:color w:val="auto"/>
          <w:highlight w:val="none"/>
        </w:rPr>
      </w:r>
      <w:r>
        <w:rPr>
          <w:color w:val="auto"/>
          <w:highlight w:val="none"/>
        </w:rPr>
      </w:r>
    </w:p>
    <w:p>
      <w:pPr>
        <w:pStyle w:val="847"/>
        <w:ind w:firstLine="482"/>
        <w:spacing w:line="400" w:lineRule="exact"/>
        <w:rPr>
          <w:rFonts w:hAnsi="宋体"/>
          <w:b/>
          <w:color w:val="auto"/>
          <w:sz w:val="24"/>
          <w:szCs w:val="24"/>
          <w:highlight w:val="none"/>
        </w:rPr>
      </w:pPr>
      <w:r>
        <w:rPr>
          <w:rFonts w:hint="eastAsia" w:hAnsi="宋体"/>
          <w:b/>
          <w:color w:val="auto"/>
          <w:sz w:val="24"/>
          <w:szCs w:val="24"/>
          <w:highlight w:val="none"/>
        </w:rPr>
        <w:t xml:space="preserve">八</w:t>
      </w:r>
      <w:r>
        <w:rPr>
          <w:rFonts w:hAnsi="宋体"/>
          <w:b/>
          <w:color w:val="auto"/>
          <w:sz w:val="24"/>
          <w:szCs w:val="24"/>
          <w:highlight w:val="none"/>
        </w:rPr>
        <w:t xml:space="preserve">、</w:t>
      </w:r>
      <w:r>
        <w:rPr>
          <w:rFonts w:hint="eastAsia" w:hAnsi="宋体"/>
          <w:b/>
          <w:color w:val="auto"/>
          <w:sz w:val="24"/>
          <w:szCs w:val="24"/>
          <w:highlight w:val="none"/>
        </w:rPr>
        <w:t xml:space="preserve">合同款项</w:t>
      </w:r>
      <w:r>
        <w:rPr>
          <w:rFonts w:hAnsi="宋体"/>
          <w:b/>
          <w:color w:val="auto"/>
          <w:sz w:val="24"/>
          <w:szCs w:val="24"/>
          <w:highlight w:val="none"/>
        </w:rPr>
        <w:t xml:space="preserve">支付</w:t>
      </w:r>
      <w:r>
        <w:rPr>
          <w:color w:val="auto"/>
          <w:highlight w:val="none"/>
        </w:rPr>
      </w:r>
      <w:r>
        <w:rPr>
          <w:color w:val="auto"/>
          <w:highlight w:val="none"/>
        </w:rPr>
      </w:r>
    </w:p>
    <w:p>
      <w:pPr>
        <w:pStyle w:val="847"/>
        <w:ind w:firstLine="480"/>
        <w:spacing w:line="400" w:lineRule="exact"/>
        <w:rPr>
          <w:rFonts w:hint="eastAsia" w:hAnsi="宋体"/>
          <w:bCs/>
          <w:color w:val="auto"/>
          <w:sz w:val="24"/>
          <w:szCs w:val="24"/>
          <w:highlight w:val="none"/>
        </w:rPr>
      </w:pPr>
      <w:r>
        <w:rPr>
          <w:rFonts w:hint="eastAsia" w:hAnsi="宋体"/>
          <w:bCs/>
          <w:color w:val="auto"/>
          <w:sz w:val="24"/>
          <w:szCs w:val="24"/>
          <w:highlight w:val="none"/>
        </w:rPr>
        <w:t xml:space="preserve">8</w:t>
      </w:r>
      <w:r>
        <w:rPr>
          <w:rFonts w:hAnsi="宋体"/>
          <w:bCs/>
          <w:color w:val="auto"/>
          <w:sz w:val="24"/>
          <w:szCs w:val="24"/>
          <w:highlight w:val="none"/>
        </w:rPr>
        <w:t xml:space="preserve">.1</w:t>
      </w:r>
      <w:r>
        <w:rPr>
          <w:rFonts w:hint="eastAsia" w:hAnsi="宋体"/>
          <w:bCs/>
          <w:color w:val="auto"/>
          <w:sz w:val="24"/>
          <w:szCs w:val="24"/>
          <w:highlight w:val="none"/>
        </w:rPr>
        <w:t xml:space="preserve">合同款项的支付方式及进度安排</w:t>
      </w:r>
      <w:r>
        <w:rPr>
          <w:color w:val="auto"/>
          <w:highlight w:val="none"/>
        </w:rPr>
      </w:r>
      <w:r>
        <w:rPr>
          <w:color w:val="auto"/>
          <w:highlight w:val="none"/>
        </w:rPr>
      </w:r>
    </w:p>
    <w:p>
      <w:pPr>
        <w:pStyle w:val="847"/>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8.1.1 预付款支付时间：合同签订后</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日内，预付款支付比例：合同金额的</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w:t>
      </w:r>
      <w:r>
        <w:rPr>
          <w:color w:val="auto"/>
          <w:highlight w:val="none"/>
        </w:rPr>
      </w:r>
      <w:r>
        <w:rPr>
          <w:color w:val="auto"/>
          <w:highlight w:val="none"/>
        </w:rPr>
      </w:r>
    </w:p>
    <w:p>
      <w:pPr>
        <w:pStyle w:val="847"/>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8.1.2 尾款支付时间：服务结束并验收合格,采购人收到发票后15日内，尾款支付比例：合同金额的</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w:t>
      </w:r>
      <w:r>
        <w:rPr>
          <w:color w:val="auto"/>
          <w:highlight w:val="none"/>
        </w:rPr>
      </w:r>
      <w:r>
        <w:rPr>
          <w:color w:val="auto"/>
          <w:highlight w:val="none"/>
        </w:rPr>
      </w:r>
    </w:p>
    <w:p>
      <w:pPr>
        <w:pStyle w:val="847"/>
        <w:spacing w:line="400" w:lineRule="exact"/>
        <w:rPr>
          <w:rFonts w:hint="eastAsia" w:hAnsi="宋体"/>
          <w:bCs/>
          <w:color w:val="auto"/>
          <w:sz w:val="24"/>
          <w:szCs w:val="24"/>
          <w:highlight w:val="none"/>
        </w:rPr>
      </w:pPr>
      <w:r>
        <w:rPr>
          <w:rFonts w:hint="eastAsia" w:hAnsi="宋体"/>
          <w:bCs/>
          <w:color w:val="auto"/>
          <w:sz w:val="24"/>
          <w:szCs w:val="24"/>
          <w:highlight w:val="none"/>
        </w:rPr>
        <w:t xml:space="preserve">（</w:t>
      </w:r>
      <w:r>
        <w:rPr>
          <w:rFonts w:hint="eastAsia" w:hAnsi="宋体"/>
          <w:bCs/>
          <w:color w:val="auto"/>
          <w:sz w:val="24"/>
          <w:szCs w:val="24"/>
          <w:highlight w:val="none"/>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color w:val="auto"/>
          <w:sz w:val="24"/>
          <w:szCs w:val="24"/>
          <w:highlight w:val="none"/>
        </w:rPr>
        <w:t xml:space="preserve">如</w:t>
      </w:r>
      <w:r>
        <w:rPr>
          <w:rFonts w:hint="eastAsia" w:hAnsi="宋体"/>
          <w:bCs/>
          <w:color w:val="auto"/>
          <w:sz w:val="24"/>
          <w:szCs w:val="24"/>
          <w:highlight w:val="none"/>
        </w:rPr>
        <w:t xml:space="preserve">供应商明确表示无需预付款或者主动要求降低预付款比例的，采购人可不适用前述规定。）</w:t>
      </w:r>
      <w:r>
        <w:rPr>
          <w:color w:val="auto"/>
          <w:highlight w:val="none"/>
        </w:rPr>
      </w:r>
      <w:r>
        <w:rPr>
          <w:color w:val="auto"/>
          <w:highlight w:val="none"/>
        </w:rPr>
      </w:r>
    </w:p>
    <w:p>
      <w:pPr>
        <w:pStyle w:val="808"/>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rPr>
          <w:color w:val="auto"/>
          <w:highlight w:val="none"/>
        </w:rPr>
      </w:r>
      <w:r>
        <w:rPr>
          <w:color w:val="auto"/>
          <w:highlight w:val="none"/>
        </w:rPr>
      </w:r>
    </w:p>
    <w:p>
      <w:pPr>
        <w:pStyle w:val="808"/>
        <w:ind w:firstLine="480"/>
        <w:spacing w:line="40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rPr>
          <w:color w:val="auto"/>
          <w:highlight w:val="none"/>
        </w:rPr>
      </w:r>
      <w:r>
        <w:rPr>
          <w:color w:val="auto"/>
          <w:highlight w:val="none"/>
        </w:rPr>
      </w:r>
    </w:p>
    <w:p>
      <w:pPr>
        <w:pStyle w:val="847"/>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项目</w:t>
      </w:r>
      <w:r>
        <w:rPr>
          <w:rFonts w:hAnsi="宋体"/>
          <w:b/>
          <w:color w:val="auto"/>
          <w:sz w:val="24"/>
          <w:szCs w:val="24"/>
          <w:highlight w:val="none"/>
        </w:rPr>
        <w:t xml:space="preserve">验收</w:t>
      </w:r>
      <w:r>
        <w:rPr>
          <w:color w:val="auto"/>
          <w:highlight w:val="none"/>
        </w:rPr>
      </w:r>
      <w:r>
        <w:rPr>
          <w:color w:val="auto"/>
          <w:highlight w:val="none"/>
        </w:rPr>
      </w:r>
    </w:p>
    <w:p>
      <w:pPr>
        <w:pStyle w:val="847"/>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10.1 甲方依法组织履约验收工作。</w:t>
      </w:r>
      <w:r>
        <w:rPr>
          <w:color w:val="auto"/>
          <w:highlight w:val="none"/>
        </w:rPr>
      </w:r>
      <w:r>
        <w:rPr>
          <w:color w:val="auto"/>
          <w:highlight w:val="none"/>
        </w:rPr>
      </w:r>
    </w:p>
    <w:p>
      <w:pPr>
        <w:pStyle w:val="847"/>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auto"/>
          <w:highlight w:val="none"/>
        </w:rPr>
      </w:r>
      <w:r>
        <w:rPr>
          <w:color w:val="auto"/>
          <w:highlight w:val="none"/>
        </w:rPr>
      </w:r>
    </w:p>
    <w:p>
      <w:pPr>
        <w:pStyle w:val="847"/>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10.3 对于实际使用人和甲方分离的项目，甲方邀请实际使用人参与验收。</w:t>
      </w:r>
      <w:r>
        <w:rPr>
          <w:color w:val="auto"/>
          <w:highlight w:val="none"/>
        </w:rPr>
      </w:r>
      <w:r>
        <w:rPr>
          <w:color w:val="auto"/>
          <w:highlight w:val="none"/>
        </w:rPr>
      </w:r>
    </w:p>
    <w:p>
      <w:pPr>
        <w:pStyle w:val="847"/>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10.4 如有必要，甲方邀请参加本项目的其他供应商或第三方专业机构及专家参与验收，相关意见将作为验收书的参考资料。</w:t>
      </w:r>
      <w:r>
        <w:rPr>
          <w:color w:val="auto"/>
          <w:highlight w:val="none"/>
        </w:rPr>
      </w:r>
      <w:r>
        <w:rPr>
          <w:color w:val="auto"/>
          <w:highlight w:val="none"/>
        </w:rPr>
      </w:r>
    </w:p>
    <w:p>
      <w:pPr>
        <w:pStyle w:val="847"/>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auto"/>
          <w:highlight w:val="none"/>
        </w:rPr>
      </w:r>
      <w:r>
        <w:rPr>
          <w:color w:val="auto"/>
          <w:highlight w:val="none"/>
        </w:rPr>
      </w:r>
    </w:p>
    <w:p>
      <w:pPr>
        <w:pStyle w:val="847"/>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color w:val="auto"/>
          <w:highlight w:val="none"/>
        </w:rPr>
      </w:r>
      <w:r>
        <w:rPr>
          <w:color w:val="auto"/>
          <w:highlight w:val="none"/>
        </w:rPr>
      </w:r>
    </w:p>
    <w:p>
      <w:pPr>
        <w:pStyle w:val="847"/>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一</w:t>
      </w:r>
      <w:r>
        <w:rPr>
          <w:rFonts w:hAnsi="宋体"/>
          <w:b/>
          <w:color w:val="auto"/>
          <w:sz w:val="24"/>
          <w:szCs w:val="24"/>
          <w:highlight w:val="none"/>
        </w:rPr>
        <w:t xml:space="preserve">、违约责任</w:t>
      </w:r>
      <w:r>
        <w:rPr>
          <w:color w:val="auto"/>
          <w:highlight w:val="none"/>
        </w:rPr>
      </w:r>
      <w:r>
        <w:rPr>
          <w:color w:val="auto"/>
          <w:highlight w:val="none"/>
        </w:rPr>
      </w:r>
    </w:p>
    <w:p>
      <w:pPr>
        <w:pStyle w:val="847"/>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.1 甲方无正当理由</w:t>
      </w:r>
      <w:r>
        <w:rPr>
          <w:rFonts w:hint="eastAsia" w:hAnsi="宋体"/>
          <w:color w:val="auto"/>
          <w:sz w:val="24"/>
          <w:szCs w:val="24"/>
          <w:highlight w:val="none"/>
        </w:rPr>
        <w:t xml:space="preserve">拒绝接受乙方提供服务</w:t>
      </w:r>
      <w:r>
        <w:rPr>
          <w:rFonts w:hAnsi="宋体"/>
          <w:color w:val="auto"/>
          <w:sz w:val="24"/>
          <w:szCs w:val="24"/>
          <w:highlight w:val="none"/>
        </w:rPr>
        <w:t xml:space="preserve">的，甲方向乙方偿付</w:t>
      </w:r>
      <w:r>
        <w:rPr>
          <w:rFonts w:hint="eastAsia" w:hAnsi="宋体"/>
          <w:color w:val="auto"/>
          <w:sz w:val="24"/>
          <w:szCs w:val="24"/>
          <w:highlight w:val="none"/>
        </w:rPr>
        <w:t xml:space="preserve">拒绝接受服务合同价款</w:t>
      </w:r>
      <w:r>
        <w:rPr>
          <w:rFonts w:hAnsi="宋体"/>
          <w:color w:val="auto"/>
          <w:sz w:val="24"/>
          <w:szCs w:val="24"/>
          <w:highlight w:val="none"/>
        </w:rPr>
        <w:t xml:space="preserve">总值</w:t>
      </w:r>
      <w:r>
        <w:rPr>
          <w:rFonts w:hint="eastAsia" w:hAnsi="宋体"/>
          <w:color w:val="auto"/>
          <w:sz w:val="24"/>
          <w:szCs w:val="24"/>
          <w:highlight w:val="none"/>
          <w:u w:val="single"/>
        </w:rPr>
        <w:t xml:space="preserve">    </w:t>
      </w:r>
      <w:r>
        <w:rPr>
          <w:rFonts w:hAnsi="宋体"/>
          <w:color w:val="auto"/>
          <w:sz w:val="24"/>
          <w:szCs w:val="24"/>
          <w:highlight w:val="none"/>
        </w:rPr>
        <w:t xml:space="preserve">的违约金。</w:t>
      </w:r>
      <w:r>
        <w:rPr>
          <w:color w:val="auto"/>
          <w:highlight w:val="none"/>
        </w:rPr>
      </w:r>
      <w:r>
        <w:rPr>
          <w:color w:val="auto"/>
          <w:highlight w:val="none"/>
        </w:rPr>
      </w:r>
    </w:p>
    <w:p>
      <w:pPr>
        <w:pStyle w:val="847"/>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.2 甲方无故逾期验收和办理</w:t>
      </w:r>
      <w:r>
        <w:rPr>
          <w:rFonts w:hint="eastAsia" w:hAnsi="宋体"/>
          <w:color w:val="auto"/>
          <w:sz w:val="24"/>
          <w:szCs w:val="24"/>
          <w:highlight w:val="none"/>
        </w:rPr>
        <w:t xml:space="preserve">合同款项</w:t>
      </w:r>
      <w:r>
        <w:rPr>
          <w:rFonts w:hAnsi="宋体"/>
          <w:color w:val="auto"/>
          <w:sz w:val="24"/>
          <w:szCs w:val="24"/>
          <w:highlight w:val="none"/>
        </w:rPr>
        <w:t xml:space="preserve">支付手续的,甲方应按逾期付款总额</w:t>
      </w:r>
      <w:r>
        <w:rPr>
          <w:rFonts w:hint="eastAsia" w:hAnsi="宋体"/>
          <w:color w:val="auto"/>
          <w:sz w:val="24"/>
          <w:szCs w:val="24"/>
          <w:highlight w:val="none"/>
          <w:u w:val="single"/>
        </w:rPr>
        <w:t xml:space="preserve">    </w:t>
      </w:r>
      <w:r>
        <w:rPr>
          <w:rFonts w:hAnsi="宋体"/>
          <w:color w:val="auto"/>
          <w:sz w:val="24"/>
          <w:szCs w:val="24"/>
          <w:highlight w:val="none"/>
        </w:rPr>
        <w:t xml:space="preserve">每日向乙方支付违约金。</w:t>
      </w:r>
      <w:r>
        <w:rPr>
          <w:color w:val="auto"/>
          <w:highlight w:val="none"/>
        </w:rPr>
      </w:r>
      <w:r>
        <w:rPr>
          <w:color w:val="auto"/>
          <w:highlight w:val="none"/>
        </w:rPr>
      </w:r>
    </w:p>
    <w:p>
      <w:pPr>
        <w:pStyle w:val="847"/>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.3 乙方逾期</w:t>
      </w:r>
      <w:r>
        <w:rPr>
          <w:rFonts w:hint="eastAsia" w:hAnsi="宋体"/>
          <w:color w:val="auto"/>
          <w:sz w:val="24"/>
          <w:szCs w:val="24"/>
          <w:highlight w:val="none"/>
        </w:rPr>
        <w:t xml:space="preserve">提供服务</w:t>
      </w:r>
      <w:r>
        <w:rPr>
          <w:rFonts w:hAnsi="宋体"/>
          <w:color w:val="auto"/>
          <w:sz w:val="24"/>
          <w:szCs w:val="24"/>
          <w:highlight w:val="none"/>
        </w:rPr>
        <w:t xml:space="preserve">的，乙方应按逾期</w:t>
      </w:r>
      <w:r>
        <w:rPr>
          <w:rFonts w:hint="eastAsia" w:hAnsi="宋体"/>
          <w:color w:val="auto"/>
          <w:sz w:val="24"/>
          <w:szCs w:val="24"/>
          <w:highlight w:val="none"/>
        </w:rPr>
        <w:t xml:space="preserve">提供服务合同</w:t>
      </w:r>
      <w:r>
        <w:rPr>
          <w:rFonts w:hAnsi="宋体"/>
          <w:color w:val="auto"/>
          <w:sz w:val="24"/>
          <w:szCs w:val="24"/>
          <w:highlight w:val="none"/>
        </w:rPr>
        <w:t xml:space="preserve">总额每日千分之六向甲方支付违约金，由甲方从待付</w:t>
      </w:r>
      <w:r>
        <w:rPr>
          <w:rFonts w:hint="eastAsia" w:hAnsi="宋体"/>
          <w:color w:val="auto"/>
          <w:sz w:val="24"/>
          <w:szCs w:val="24"/>
          <w:highlight w:val="none"/>
        </w:rPr>
        <w:t xml:space="preserve">合同款项</w:t>
      </w:r>
      <w:r>
        <w:rPr>
          <w:rFonts w:hAnsi="宋体"/>
          <w:color w:val="auto"/>
          <w:sz w:val="24"/>
          <w:szCs w:val="24"/>
          <w:highlight w:val="none"/>
        </w:rPr>
        <w:t xml:space="preserve">中扣除。逾期超过约定日期10个工作日不能</w:t>
      </w:r>
      <w:r>
        <w:rPr>
          <w:rFonts w:hint="eastAsia" w:hAnsi="宋体"/>
          <w:color w:val="auto"/>
          <w:sz w:val="24"/>
          <w:szCs w:val="24"/>
          <w:highlight w:val="none"/>
        </w:rPr>
        <w:t xml:space="preserve">提供服务</w:t>
      </w:r>
      <w:r>
        <w:rPr>
          <w:rFonts w:hAnsi="宋体"/>
          <w:color w:val="auto"/>
          <w:sz w:val="24"/>
          <w:szCs w:val="24"/>
          <w:highlight w:val="none"/>
        </w:rPr>
        <w:t xml:space="preserve">的，甲方可解除本合同。乙方因逾期</w:t>
      </w:r>
      <w:r>
        <w:rPr>
          <w:rFonts w:hint="eastAsia" w:hAnsi="宋体"/>
          <w:color w:val="auto"/>
          <w:sz w:val="24"/>
          <w:szCs w:val="24"/>
          <w:highlight w:val="none"/>
        </w:rPr>
        <w:t xml:space="preserve">提供服务</w:t>
      </w:r>
      <w:r>
        <w:rPr>
          <w:rFonts w:hAnsi="宋体"/>
          <w:color w:val="auto"/>
          <w:sz w:val="24"/>
          <w:szCs w:val="24"/>
          <w:highlight w:val="none"/>
        </w:rPr>
        <w:t xml:space="preserve">或因其他违约行为导致甲方解除合同的，乙方应向甲方支付合同</w:t>
      </w:r>
      <w:r>
        <w:rPr>
          <w:rFonts w:hint="eastAsia" w:hAnsi="宋体"/>
          <w:color w:val="auto"/>
          <w:sz w:val="24"/>
          <w:szCs w:val="24"/>
          <w:highlight w:val="none"/>
        </w:rPr>
        <w:t xml:space="preserve">价款总额</w:t>
      </w:r>
      <w:r>
        <w:rPr>
          <w:rFonts w:hint="eastAsia" w:hAnsi="宋体"/>
          <w:color w:val="auto"/>
          <w:sz w:val="24"/>
          <w:szCs w:val="24"/>
          <w:highlight w:val="none"/>
          <w:u w:val="single"/>
        </w:rPr>
        <w:t xml:space="preserve">     </w:t>
      </w:r>
      <w:r>
        <w:rPr>
          <w:rFonts w:hAnsi="宋体"/>
          <w:color w:val="auto"/>
          <w:sz w:val="24"/>
          <w:szCs w:val="24"/>
          <w:highlight w:val="none"/>
        </w:rPr>
        <w:t xml:space="preserve">的违约金，如造成甲方损失超过违约金的，超出部分由乙方继续承担赔偿责任。 </w:t>
      </w:r>
      <w:r>
        <w:rPr>
          <w:color w:val="auto"/>
          <w:highlight w:val="none"/>
        </w:rPr>
      </w:r>
      <w:r>
        <w:rPr>
          <w:color w:val="auto"/>
          <w:highlight w:val="none"/>
        </w:rPr>
      </w:r>
    </w:p>
    <w:p>
      <w:pPr>
        <w:pStyle w:val="847"/>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.4 乙方</w:t>
      </w:r>
      <w:r>
        <w:rPr>
          <w:rFonts w:hint="eastAsia" w:hAnsi="宋体"/>
          <w:color w:val="auto"/>
          <w:sz w:val="24"/>
          <w:szCs w:val="24"/>
          <w:highlight w:val="none"/>
        </w:rPr>
        <w:t xml:space="preserve">所提供服务的标准</w:t>
      </w:r>
      <w:r>
        <w:rPr>
          <w:rFonts w:hAnsi="宋体"/>
          <w:color w:val="auto"/>
          <w:sz w:val="24"/>
          <w:szCs w:val="24"/>
          <w:highlight w:val="none"/>
        </w:rPr>
        <w:t xml:space="preserve">不符合合同规定及招标文件规定标准的，甲方有权</w:t>
      </w:r>
      <w:r>
        <w:rPr>
          <w:rFonts w:hint="eastAsia" w:hAnsi="宋体"/>
          <w:color w:val="auto"/>
          <w:sz w:val="24"/>
          <w:szCs w:val="24"/>
          <w:highlight w:val="none"/>
        </w:rPr>
        <w:t xml:space="preserve">拒绝接受服务</w:t>
      </w:r>
      <w:r>
        <w:rPr>
          <w:rFonts w:hAnsi="宋体"/>
          <w:color w:val="auto"/>
          <w:sz w:val="24"/>
          <w:szCs w:val="24"/>
          <w:highlight w:val="none"/>
        </w:rPr>
        <w:t xml:space="preserve">，</w:t>
      </w:r>
      <w:r>
        <w:rPr>
          <w:rFonts w:hint="eastAsia" w:hAnsi="宋体"/>
          <w:color w:val="auto"/>
          <w:sz w:val="24"/>
          <w:szCs w:val="24"/>
          <w:highlight w:val="none"/>
        </w:rPr>
        <w:t xml:space="preserve">并</w:t>
      </w:r>
      <w:r>
        <w:rPr>
          <w:rFonts w:hAnsi="宋体"/>
          <w:color w:val="auto"/>
          <w:sz w:val="24"/>
          <w:szCs w:val="24"/>
          <w:highlight w:val="none"/>
        </w:rPr>
        <w:t xml:space="preserve">可单方面解除合同。</w:t>
      </w:r>
      <w:r>
        <w:rPr>
          <w:color w:val="auto"/>
          <w:highlight w:val="none"/>
        </w:rPr>
      </w:r>
      <w:r>
        <w:rPr>
          <w:color w:val="auto"/>
          <w:highlight w:val="none"/>
        </w:rPr>
      </w:r>
    </w:p>
    <w:p>
      <w:pPr>
        <w:pStyle w:val="847"/>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二</w:t>
      </w:r>
      <w:r>
        <w:rPr>
          <w:rFonts w:hAnsi="宋体"/>
          <w:b/>
          <w:color w:val="auto"/>
          <w:sz w:val="24"/>
          <w:szCs w:val="24"/>
          <w:highlight w:val="none"/>
        </w:rPr>
        <w:t xml:space="preserve">、不可抗力事件处理</w:t>
      </w:r>
      <w:r>
        <w:rPr>
          <w:color w:val="auto"/>
          <w:highlight w:val="none"/>
        </w:rPr>
      </w:r>
      <w:r>
        <w:rPr>
          <w:color w:val="auto"/>
          <w:highlight w:val="none"/>
        </w:rPr>
      </w:r>
    </w:p>
    <w:p>
      <w:pPr>
        <w:pStyle w:val="847"/>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.1 在合同有效期内，任何一方因不可抗力事件导致不能履行合同，则合同履行期可延长，其延长期与不可抗力影响</w:t>
      </w:r>
      <w:r>
        <w:rPr>
          <w:rFonts w:hint="eastAsia" w:hAnsi="宋体"/>
          <w:color w:val="auto"/>
          <w:sz w:val="24"/>
          <w:szCs w:val="24"/>
          <w:highlight w:val="none"/>
        </w:rPr>
        <w:t xml:space="preserve"> </w:t>
      </w:r>
      <w:r>
        <w:rPr>
          <w:rFonts w:hAnsi="宋体"/>
          <w:color w:val="auto"/>
          <w:sz w:val="24"/>
          <w:szCs w:val="24"/>
          <w:highlight w:val="none"/>
        </w:rPr>
        <w:t xml:space="preserve">期相同。</w:t>
      </w:r>
      <w:r>
        <w:rPr>
          <w:color w:val="auto"/>
          <w:highlight w:val="none"/>
        </w:rPr>
      </w:r>
      <w:r>
        <w:rPr>
          <w:color w:val="auto"/>
          <w:highlight w:val="none"/>
        </w:rPr>
      </w:r>
    </w:p>
    <w:p>
      <w:pPr>
        <w:pStyle w:val="847"/>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.2 不可抗力事件发生后，应立即通知对方，并寄送有关权威机构出具的证明。</w:t>
      </w:r>
      <w:r>
        <w:rPr>
          <w:color w:val="auto"/>
          <w:highlight w:val="none"/>
        </w:rPr>
      </w:r>
      <w:r>
        <w:rPr>
          <w:color w:val="auto"/>
          <w:highlight w:val="none"/>
        </w:rPr>
      </w:r>
    </w:p>
    <w:p>
      <w:pPr>
        <w:pStyle w:val="847"/>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.3 不可抗力事件延续120天以上，双方应通过友好协商，确定是否继续履行合同。</w:t>
      </w:r>
      <w:r>
        <w:rPr>
          <w:color w:val="auto"/>
          <w:highlight w:val="none"/>
        </w:rPr>
      </w:r>
      <w:r>
        <w:rPr>
          <w:color w:val="auto"/>
          <w:highlight w:val="none"/>
        </w:rPr>
      </w:r>
    </w:p>
    <w:p>
      <w:pPr>
        <w:pStyle w:val="847"/>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三</w:t>
      </w:r>
      <w:r>
        <w:rPr>
          <w:rFonts w:hAnsi="宋体"/>
          <w:b/>
          <w:color w:val="auto"/>
          <w:sz w:val="24"/>
          <w:szCs w:val="24"/>
          <w:highlight w:val="none"/>
        </w:rPr>
        <w:t xml:space="preserve">、</w:t>
      </w:r>
      <w:r>
        <w:rPr>
          <w:rFonts w:hint="eastAsia" w:hAnsi="宋体"/>
          <w:b/>
          <w:color w:val="auto"/>
          <w:sz w:val="24"/>
          <w:szCs w:val="24"/>
          <w:highlight w:val="none"/>
        </w:rPr>
        <w:t xml:space="preserve">解决争议的方法</w:t>
      </w:r>
      <w:r>
        <w:rPr>
          <w:color w:val="auto"/>
          <w:highlight w:val="none"/>
        </w:rPr>
      </w:r>
      <w:r>
        <w:rPr>
          <w:color w:val="auto"/>
          <w:highlight w:val="none"/>
        </w:rPr>
      </w:r>
    </w:p>
    <w:p>
      <w:pPr>
        <w:pStyle w:val="847"/>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13.1双方在签订、履行合同中所发生的一切争议，应通过友好协商解决。如协商不成，由甲方住所地人民法院管辖。</w:t>
      </w:r>
      <w:r>
        <w:rPr>
          <w:color w:val="auto"/>
          <w:highlight w:val="none"/>
        </w:rPr>
      </w:r>
      <w:r>
        <w:rPr>
          <w:color w:val="auto"/>
          <w:highlight w:val="none"/>
        </w:rPr>
      </w:r>
    </w:p>
    <w:p>
      <w:pPr>
        <w:pStyle w:val="847"/>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四</w:t>
      </w:r>
      <w:r>
        <w:rPr>
          <w:rFonts w:hAnsi="宋体"/>
          <w:b/>
          <w:color w:val="auto"/>
          <w:sz w:val="24"/>
          <w:szCs w:val="24"/>
          <w:highlight w:val="none"/>
        </w:rPr>
        <w:t xml:space="preserve">、合同生效及其它</w:t>
      </w:r>
      <w:r>
        <w:rPr>
          <w:color w:val="auto"/>
          <w:highlight w:val="none"/>
        </w:rPr>
      </w:r>
      <w:r>
        <w:rPr>
          <w:color w:val="auto"/>
          <w:highlight w:val="none"/>
        </w:rPr>
      </w:r>
    </w:p>
    <w:p>
      <w:pPr>
        <w:pStyle w:val="847"/>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.1 合同经双方法定代表人或授权委托代</w:t>
      </w:r>
      <w:r>
        <w:rPr>
          <w:rFonts w:hint="eastAsia" w:hAnsi="宋体"/>
          <w:color w:val="auto"/>
          <w:sz w:val="24"/>
          <w:szCs w:val="24"/>
          <w:highlight w:val="none"/>
        </w:rPr>
        <w:t xml:space="preserve">表</w:t>
      </w:r>
      <w:r>
        <w:rPr>
          <w:rFonts w:hAnsi="宋体"/>
          <w:color w:val="auto"/>
          <w:sz w:val="24"/>
          <w:szCs w:val="24"/>
          <w:highlight w:val="none"/>
        </w:rPr>
        <w:t xml:space="preserve">人签字并加盖单位公章后生效。</w:t>
      </w:r>
      <w:r>
        <w:rPr>
          <w:color w:val="auto"/>
          <w:highlight w:val="none"/>
        </w:rPr>
      </w:r>
      <w:r>
        <w:rPr>
          <w:color w:val="auto"/>
          <w:highlight w:val="none"/>
        </w:rPr>
      </w:r>
    </w:p>
    <w:p>
      <w:pPr>
        <w:pStyle w:val="847"/>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.2本合同未尽事宜，遵照</w:t>
      </w:r>
      <w:r>
        <w:rPr>
          <w:rFonts w:hint="eastAsia" w:hAnsi="宋体"/>
          <w:color w:val="auto"/>
          <w:sz w:val="24"/>
          <w:szCs w:val="24"/>
          <w:highlight w:val="none"/>
        </w:rPr>
        <w:t xml:space="preserve">《民法典》、《政府采购法》</w:t>
      </w:r>
      <w:r>
        <w:rPr>
          <w:rFonts w:hAnsi="宋体"/>
          <w:color w:val="auto"/>
          <w:sz w:val="24"/>
          <w:szCs w:val="24"/>
          <w:highlight w:val="none"/>
        </w:rPr>
        <w:t xml:space="preserve">有关条文执行。</w:t>
      </w:r>
      <w:r>
        <w:rPr>
          <w:color w:val="auto"/>
          <w:highlight w:val="none"/>
        </w:rPr>
      </w:r>
      <w:r>
        <w:rPr>
          <w:color w:val="auto"/>
          <w:highlight w:val="none"/>
        </w:rPr>
      </w:r>
    </w:p>
    <w:p>
      <w:pPr>
        <w:pStyle w:val="847"/>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本合同正本一式</w:t>
      </w:r>
      <w:r>
        <w:rPr>
          <w:rFonts w:hint="eastAsia" w:hAnsi="宋体"/>
          <w:color w:val="auto"/>
          <w:sz w:val="24"/>
          <w:szCs w:val="24"/>
          <w:highlight w:val="none"/>
        </w:rPr>
        <w:t xml:space="preserve">两</w:t>
      </w:r>
      <w:r>
        <w:rPr>
          <w:rFonts w:hAnsi="宋体"/>
          <w:color w:val="auto"/>
          <w:sz w:val="24"/>
          <w:szCs w:val="24"/>
          <w:highlight w:val="none"/>
        </w:rPr>
        <w:t xml:space="preserve">份，具有同等法律效力，甲</w:t>
      </w:r>
      <w:r>
        <w:rPr>
          <w:rFonts w:hint="eastAsia" w:hAnsi="宋体"/>
          <w:color w:val="auto"/>
          <w:sz w:val="24"/>
          <w:szCs w:val="24"/>
          <w:highlight w:val="none"/>
        </w:rPr>
        <w:t xml:space="preserve">方、</w:t>
      </w:r>
      <w:r>
        <w:rPr>
          <w:rFonts w:hAnsi="宋体"/>
          <w:color w:val="auto"/>
          <w:sz w:val="24"/>
          <w:szCs w:val="24"/>
          <w:highlight w:val="none"/>
        </w:rPr>
        <w:t xml:space="preserve">乙方各执一份。</w:t>
      </w:r>
      <w:r>
        <w:rPr>
          <w:color w:val="auto"/>
          <w:highlight w:val="none"/>
        </w:rPr>
      </w:r>
      <w:r>
        <w:rPr>
          <w:color w:val="auto"/>
          <w:highlight w:val="none"/>
        </w:rPr>
      </w:r>
    </w:p>
    <w:p>
      <w:pPr>
        <w:pStyle w:val="847"/>
        <w:ind w:left="480" w:hanging="480"/>
        <w:spacing w:line="400" w:lineRule="exact"/>
        <w:rPr>
          <w:rFonts w:hAnsi="宋体"/>
          <w:color w:val="auto"/>
          <w:sz w:val="24"/>
          <w:szCs w:val="24"/>
          <w:highlight w:val="none"/>
        </w:rPr>
      </w:pPr>
      <w:r>
        <w:rPr>
          <w:rFonts w:hAnsi="宋体"/>
          <w:color w:val="auto"/>
          <w:sz w:val="24"/>
          <w:szCs w:val="24"/>
          <w:highlight w:val="none"/>
        </w:rPr>
        <w:t xml:space="preserve">  甲方：                        乙方： </w:t>
      </w:r>
      <w:r>
        <w:rPr>
          <w:color w:val="auto"/>
          <w:highlight w:val="none"/>
        </w:rPr>
      </w:r>
      <w:r>
        <w:rPr>
          <w:color w:val="auto"/>
          <w:highlight w:val="none"/>
        </w:rPr>
      </w:r>
    </w:p>
    <w:p>
      <w:pPr>
        <w:pStyle w:val="847"/>
        <w:spacing w:line="400" w:lineRule="exact"/>
        <w:rPr>
          <w:rFonts w:hAnsi="宋体"/>
          <w:color w:val="auto"/>
          <w:sz w:val="24"/>
          <w:szCs w:val="24"/>
          <w:highlight w:val="none"/>
        </w:rPr>
      </w:pPr>
      <w:r>
        <w:rPr>
          <w:rFonts w:hAnsi="宋体"/>
          <w:color w:val="auto"/>
          <w:sz w:val="24"/>
          <w:szCs w:val="24"/>
          <w:highlight w:val="none"/>
        </w:rPr>
        <w:t xml:space="preserve">  地址：                       </w:t>
      </w:r>
      <w:r>
        <w:rPr>
          <w:rFonts w:hint="eastAsia" w:hAnsi="宋体"/>
          <w:color w:val="auto"/>
          <w:sz w:val="24"/>
          <w:szCs w:val="24"/>
          <w:highlight w:val="none"/>
        </w:rPr>
        <w:t xml:space="preserve"> </w:t>
      </w:r>
      <w:r>
        <w:rPr>
          <w:rFonts w:hAnsi="宋体"/>
          <w:color w:val="auto"/>
          <w:sz w:val="24"/>
          <w:szCs w:val="24"/>
          <w:highlight w:val="none"/>
        </w:rPr>
        <w:t xml:space="preserve">地址： </w:t>
      </w:r>
      <w:r>
        <w:rPr>
          <w:color w:val="auto"/>
          <w:highlight w:val="none"/>
        </w:rPr>
      </w:r>
      <w:r>
        <w:rPr>
          <w:color w:val="auto"/>
          <w:highlight w:val="none"/>
        </w:rPr>
      </w:r>
    </w:p>
    <w:p>
      <w:pPr>
        <w:pStyle w:val="847"/>
        <w:spacing w:line="400" w:lineRule="exact"/>
        <w:rPr>
          <w:rFonts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w:t>
      </w:r>
      <w:r>
        <w:rPr>
          <w:color w:val="auto"/>
          <w:highlight w:val="none"/>
        </w:rPr>
      </w:r>
      <w:r>
        <w:rPr>
          <w:color w:val="auto"/>
          <w:highlight w:val="none"/>
        </w:rPr>
      </w:r>
    </w:p>
    <w:p>
      <w:pPr>
        <w:pStyle w:val="847"/>
        <w:ind w:firstLine="240"/>
        <w:spacing w:line="400" w:lineRule="exact"/>
        <w:rPr>
          <w:rFonts w:hint="eastAsia"/>
          <w:color w:val="auto"/>
          <w:highlight w:val="none"/>
        </w:rPr>
      </w:pPr>
      <w:r>
        <w:rPr>
          <w:rFonts w:hint="eastAsia" w:hAnsi="宋体"/>
          <w:color w:val="auto"/>
          <w:sz w:val="24"/>
          <w:szCs w:val="24"/>
          <w:highlight w:val="none"/>
        </w:rPr>
        <w:t xml:space="preserve">联系电话：                    联系电话：          </w:t>
      </w:r>
      <w:r>
        <w:rPr>
          <w:color w:val="auto"/>
          <w:highlight w:val="none"/>
        </w:rPr>
      </w:r>
      <w:r>
        <w:rPr>
          <w:color w:val="auto"/>
          <w:highlight w:val="none"/>
        </w:rPr>
      </w:r>
    </w:p>
    <w:p>
      <w:pPr>
        <w:pStyle w:val="808"/>
        <w:ind w:firstLine="480"/>
        <w:spacing w:line="400" w:lineRule="exact"/>
        <w:rPr>
          <w:color w:val="auto"/>
          <w:sz w:val="24"/>
          <w:szCs w:val="24"/>
          <w:highlight w:val="none"/>
        </w:rPr>
      </w:pPr>
      <w:r>
        <w:rPr>
          <w:rFonts w:hint="eastAsia"/>
          <w:color w:val="auto"/>
          <w:sz w:val="24"/>
          <w:szCs w:val="24"/>
          <w:highlight w:val="none"/>
        </w:rPr>
        <w:t xml:space="preserve">                                </w:t>
      </w:r>
      <w:r>
        <w:rPr>
          <w:color w:val="auto"/>
          <w:sz w:val="24"/>
          <w:szCs w:val="24"/>
          <w:highlight w:val="none"/>
        </w:rPr>
        <w:t xml:space="preserve">签订日期：      年  </w:t>
      </w:r>
      <w:r>
        <w:rPr>
          <w:rFonts w:hint="eastAsia"/>
          <w:color w:val="auto"/>
          <w:sz w:val="24"/>
          <w:szCs w:val="24"/>
          <w:highlight w:val="none"/>
        </w:rPr>
        <w:t xml:space="preserve">  </w:t>
      </w:r>
      <w:r>
        <w:rPr>
          <w:color w:val="auto"/>
          <w:sz w:val="24"/>
          <w:szCs w:val="24"/>
          <w:highlight w:val="none"/>
        </w:rPr>
        <w:t xml:space="preserve">月  </w:t>
      </w:r>
      <w:r>
        <w:rPr>
          <w:rFonts w:hint="eastAsia"/>
          <w:color w:val="auto"/>
          <w:sz w:val="24"/>
          <w:szCs w:val="24"/>
          <w:highlight w:val="none"/>
        </w:rPr>
        <w:t xml:space="preserve"> </w:t>
      </w:r>
      <w:r>
        <w:rPr>
          <w:color w:val="auto"/>
          <w:sz w:val="24"/>
          <w:szCs w:val="24"/>
          <w:highlight w:val="none"/>
        </w:rPr>
        <w:t xml:space="preserve">日</w:t>
      </w:r>
      <w:r>
        <w:rPr>
          <w:color w:val="auto"/>
          <w:highlight w:val="none"/>
        </w:rPr>
      </w:r>
      <w:r>
        <w:rPr>
          <w:color w:val="auto"/>
          <w:highlight w:val="none"/>
        </w:rPr>
      </w:r>
    </w:p>
    <w:p>
      <w:pPr>
        <w:pStyle w:val="808"/>
        <w:ind w:firstLine="480"/>
        <w:jc w:val="center"/>
        <w:spacing w:line="400" w:lineRule="exact"/>
        <w:rPr>
          <w:rFonts w:hint="eastAsia" w:hAnsi="宋体"/>
          <w:color w:val="auto"/>
          <w:sz w:val="36"/>
          <w:szCs w:val="36"/>
          <w:highlight w:val="none"/>
        </w:rPr>
      </w:pPr>
      <w:r>
        <w:rPr>
          <w:color w:val="auto"/>
          <w:sz w:val="24"/>
          <w:szCs w:val="24"/>
          <w:highlight w:val="none"/>
        </w:rPr>
        <w:br w:type="page" w:clear="all"/>
      </w:r>
      <w:bookmarkEnd w:id="181"/>
      <w:r>
        <w:rPr>
          <w:color w:val="auto"/>
          <w:highlight w:val="none"/>
        </w:rPr>
      </w:r>
      <w:bookmarkEnd w:id="182"/>
      <w:r>
        <w:rPr>
          <w:color w:val="auto"/>
          <w:highlight w:val="none"/>
        </w:rPr>
      </w:r>
      <w:bookmarkEnd w:id="183"/>
      <w:r>
        <w:rPr>
          <w:color w:val="auto"/>
          <w:highlight w:val="none"/>
        </w:rPr>
      </w:r>
      <w:bookmarkStart w:id="184" w:name="_Hlt16619369"/>
      <w:r>
        <w:rPr>
          <w:color w:val="auto"/>
          <w:highlight w:val="none"/>
        </w:rPr>
      </w:r>
      <w:bookmarkEnd w:id="184"/>
      <w:r>
        <w:rPr>
          <w:color w:val="auto"/>
          <w:highlight w:val="none"/>
        </w:rPr>
      </w:r>
      <w:bookmarkStart w:id="185" w:name="_Hlt16619350"/>
      <w:r>
        <w:rPr>
          <w:color w:val="auto"/>
          <w:highlight w:val="none"/>
        </w:rPr>
      </w:r>
      <w:bookmarkStart w:id="186" w:name="_Toc20823346"/>
      <w:r>
        <w:rPr>
          <w:color w:val="auto"/>
          <w:highlight w:val="none"/>
        </w:rPr>
      </w:r>
      <w:bookmarkStart w:id="187" w:name="_Toc16938590"/>
      <w:r>
        <w:rPr>
          <w:color w:val="auto"/>
          <w:highlight w:val="none"/>
        </w:rPr>
      </w:r>
      <w:bookmarkStart w:id="188" w:name="_Toc120614244"/>
      <w:r>
        <w:rPr>
          <w:color w:val="auto"/>
          <w:highlight w:val="none"/>
        </w:rPr>
      </w:r>
      <w:bookmarkStart w:id="189" w:name="_Toc479757211"/>
      <w:r>
        <w:rPr>
          <w:color w:val="auto"/>
          <w:highlight w:val="none"/>
        </w:rPr>
      </w:r>
      <w:bookmarkStart w:id="190" w:name="_Toc462564139"/>
      <w:r>
        <w:rPr>
          <w:rFonts w:hint="eastAsia" w:ascii="黑体" w:eastAsia="黑体"/>
          <w:bCs/>
          <w:color w:val="auto"/>
          <w:sz w:val="36"/>
          <w:szCs w:val="36"/>
          <w:highlight w:val="none"/>
        </w:rPr>
        <w:t xml:space="preserve">第</w:t>
      </w:r>
      <w:bookmarkEnd w:id="185"/>
      <w:r>
        <w:rPr>
          <w:rFonts w:hint="eastAsia" w:ascii="黑体" w:eastAsia="黑体"/>
          <w:bCs/>
          <w:color w:val="auto"/>
          <w:sz w:val="36"/>
          <w:szCs w:val="36"/>
          <w:highlight w:val="none"/>
        </w:rPr>
        <w:t xml:space="preserve">四章 采购需求</w:t>
      </w:r>
      <w:bookmarkEnd w:id="186"/>
      <w:r>
        <w:rPr>
          <w:color w:val="auto"/>
          <w:highlight w:val="none"/>
        </w:rPr>
      </w:r>
      <w:bookmarkEnd w:id="187"/>
      <w:r>
        <w:rPr>
          <w:color w:val="auto"/>
          <w:highlight w:val="none"/>
        </w:rPr>
      </w:r>
      <w:bookmarkEnd w:id="188"/>
      <w:r>
        <w:rPr>
          <w:color w:val="auto"/>
          <w:highlight w:val="none"/>
        </w:rPr>
      </w:r>
      <w:r>
        <w:rPr>
          <w:color w:val="auto"/>
          <w:highlight w:val="none"/>
        </w:rPr>
      </w:r>
    </w:p>
    <w:p>
      <w:pPr>
        <w:pStyle w:val="808"/>
        <w:ind w:firstLine="600"/>
        <w:jc w:val="left"/>
        <w:spacing w:line="360" w:lineRule="auto"/>
        <w:rPr>
          <w:rFonts w:hint="eastAsia" w:ascii="黑体" w:hAnsi="黑体" w:eastAsia="黑体"/>
          <w:color w:val="auto"/>
          <w:sz w:val="30"/>
          <w:szCs w:val="30"/>
          <w:highlight w:val="none"/>
        </w:rPr>
      </w:pPr>
      <w:r>
        <w:rPr>
          <w:color w:val="auto"/>
          <w:highlight w:val="none"/>
        </w:rPr>
      </w:r>
      <w:bookmarkStart w:id="191" w:name="_Toc49090575"/>
      <w:r>
        <w:rPr>
          <w:color w:val="auto"/>
          <w:highlight w:val="none"/>
        </w:rPr>
      </w:r>
      <w:bookmarkStart w:id="192" w:name="_Toc26554093"/>
      <w:r>
        <w:rPr>
          <w:rFonts w:hint="eastAsia" w:ascii="黑体" w:hAnsi="黑体" w:eastAsia="黑体"/>
          <w:color w:val="auto"/>
          <w:sz w:val="30"/>
          <w:szCs w:val="30"/>
          <w:highlight w:val="none"/>
        </w:rPr>
        <w:t xml:space="preserve">本项目属性：服务类项目</w:t>
      </w:r>
      <w:r>
        <w:rPr>
          <w:color w:val="auto"/>
          <w:highlight w:val="none"/>
        </w:rPr>
      </w:r>
      <w:r>
        <w:rPr>
          <w:color w:val="auto"/>
          <w:highlight w:val="none"/>
        </w:rPr>
      </w:r>
    </w:p>
    <w:p>
      <w:pPr>
        <w:pStyle w:val="808"/>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本项目标的物所属行业：软件和信息技术服务业</w:t>
      </w:r>
      <w:r>
        <w:rPr>
          <w:color w:val="auto"/>
          <w:highlight w:val="none"/>
        </w:rPr>
      </w:r>
      <w:r>
        <w:rPr>
          <w:color w:val="auto"/>
          <w:highlight w:val="none"/>
        </w:rPr>
      </w:r>
    </w:p>
    <w:p>
      <w:pPr>
        <w:pStyle w:val="808"/>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第一部分  项目技术要求</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本项目分为两个采购包，分别为：采购包1、采购包2。投标人可以根据自身能力及条件选择一个或几个采购包进行投标，按各采购包分别中标，可兼投兼中。具体规则详见第五章。</w:t>
      </w:r>
      <w:r>
        <w:rPr>
          <w:color w:val="auto"/>
          <w:highlight w:val="none"/>
        </w:rPr>
      </w:r>
      <w:r>
        <w:rPr>
          <w:color w:val="auto"/>
          <w:highlight w:val="none"/>
        </w:rPr>
      </w:r>
    </w:p>
    <w:p>
      <w:pPr>
        <w:pStyle w:val="808"/>
        <w:numPr>
          <w:ilvl w:val="0"/>
          <w:numId w:val="17"/>
        </w:numPr>
        <w:ind w:left="0" w:firstLine="602"/>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采购包1</w:t>
      </w:r>
      <w:r>
        <w:rPr>
          <w:rFonts w:hint="eastAsia" w:ascii="宋体" w:hAnsi="宋体"/>
          <w:b/>
          <w:color w:val="auto"/>
          <w:sz w:val="30"/>
          <w:szCs w:val="30"/>
          <w:highlight w:val="none"/>
        </w:rPr>
        <w:t xml:space="preserve">：</w:t>
      </w:r>
      <w:r>
        <w:rPr>
          <w:rFonts w:hint="eastAsia" w:ascii="宋体" w:hAnsi="宋体"/>
          <w:b/>
          <w:color w:val="auto"/>
          <w:sz w:val="30"/>
          <w:szCs w:val="30"/>
          <w:highlight w:val="none"/>
        </w:rPr>
        <w:t xml:space="preserve">“感知环境、智慧环保”无锡环境监控物联网应用示范工程软件运行维护服务（2024年—2025年）</w:t>
      </w:r>
      <w:r>
        <w:rPr>
          <w:color w:val="auto"/>
          <w:highlight w:val="none"/>
        </w:rPr>
      </w:r>
      <w:r>
        <w:rPr>
          <w:color w:val="auto"/>
          <w:highlight w:val="none"/>
        </w:rPr>
      </w:r>
    </w:p>
    <w:p>
      <w:pPr>
        <w:pStyle w:val="808"/>
        <w:numPr>
          <w:ilvl w:val="0"/>
          <w:numId w:val="34"/>
        </w:numPr>
        <w:spacing w:line="360" w:lineRule="auto"/>
        <w:rPr>
          <w:rFonts w:ascii="宋体" w:hAnsi="宋体"/>
          <w:b/>
          <w:bCs/>
          <w:color w:val="auto"/>
          <w:sz w:val="24"/>
          <w:szCs w:val="24"/>
          <w:highlight w:val="none"/>
        </w:rPr>
        <w:outlineLvl w:val="0"/>
      </w:pPr>
      <w:r>
        <w:rPr>
          <w:rFonts w:ascii="宋体" w:hAnsi="宋体"/>
          <w:b/>
          <w:bCs/>
          <w:color w:val="auto"/>
          <w:sz w:val="24"/>
          <w:szCs w:val="24"/>
          <w:highlight w:val="none"/>
        </w:rPr>
        <w:t xml:space="preserve">项目背景</w:t>
      </w:r>
      <w:r>
        <w:rPr>
          <w:color w:val="auto"/>
          <w:highlight w:val="none"/>
        </w:rPr>
      </w:r>
      <w:r>
        <w:rPr>
          <w:color w:val="auto"/>
          <w:highlight w:val="none"/>
        </w:rPr>
      </w:r>
    </w:p>
    <w:p>
      <w:pPr>
        <w:pStyle w:val="808"/>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感知环境、智慧环保”无锡环境监控物联网应用示范工程（一期）是国家生态环境部环保物联网示范项目、国家发改委物联网示范项目和国家工信部物联网专项资金支持的重大应用示范项目。一期项目于2015年1月正式开展建设，2015年7月完成项目方案设计和DEMO开发，2016年3月上线试运行，201</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年1月完成项目验收。201</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年</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月-20</w:t>
      </w:r>
      <w:r>
        <w:rPr>
          <w:rFonts w:ascii="宋体" w:hAnsi="宋体"/>
          <w:bCs/>
          <w:color w:val="auto"/>
          <w:sz w:val="24"/>
          <w:szCs w:val="24"/>
          <w:highlight w:val="none"/>
        </w:rPr>
        <w:t xml:space="preserve">20</w:t>
      </w:r>
      <w:r>
        <w:rPr>
          <w:rFonts w:hint="eastAsia" w:ascii="宋体" w:hAnsi="宋体"/>
          <w:bCs/>
          <w:color w:val="auto"/>
          <w:sz w:val="24"/>
          <w:szCs w:val="24"/>
          <w:highlight w:val="none"/>
        </w:rPr>
        <w:t xml:space="preserve">年</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月为“感知环境、智慧环保”无锡环境监控物联网应用示范工程（一期）三年免费质保运维期，运维期间，较好地完成了软件运行环境保障。2</w:t>
      </w:r>
      <w:r>
        <w:rPr>
          <w:rFonts w:ascii="宋体" w:hAnsi="宋体"/>
          <w:bCs/>
          <w:color w:val="auto"/>
          <w:sz w:val="24"/>
          <w:szCs w:val="24"/>
          <w:highlight w:val="none"/>
        </w:rPr>
        <w:t xml:space="preserve">020</w:t>
      </w:r>
      <w:r>
        <w:rPr>
          <w:rFonts w:hint="eastAsia" w:ascii="宋体" w:hAnsi="宋体"/>
          <w:bCs/>
          <w:color w:val="auto"/>
          <w:sz w:val="24"/>
          <w:szCs w:val="24"/>
          <w:highlight w:val="none"/>
        </w:rPr>
        <w:t xml:space="preserve">年，市生态环境局通过采购第三方服务，继续做好软件运维各项工作。2021年市生态环境局通过采购2021年4月-2024年4月共三年的软件运行维护服务，保障了市生态环境局各软件平台顺利运行。</w:t>
      </w:r>
      <w:r>
        <w:rPr>
          <w:color w:val="auto"/>
          <w:highlight w:val="none"/>
        </w:rPr>
      </w:r>
      <w:r>
        <w:rPr>
          <w:color w:val="auto"/>
          <w:highlight w:val="none"/>
        </w:rPr>
      </w:r>
    </w:p>
    <w:p>
      <w:pPr>
        <w:pStyle w:val="808"/>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“感知环境、智慧环保”无锡环境监控物联网应用示范工程（二期）于2020年9月开始建设，2021年10月上线试运行并完成项目验收，2021年10月-202</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年10月为“感知环境、智慧环保”无锡环境监控物联网应用示范工程（二期）三年免费质保运维期，免费运维期间较好地完成了软件运维的各项工作。为方便统一管理，节约管理成本和压缩沟通成本，本次招标将“感知环境、智慧环保”无锡环境监控物联网应用示范工程（一、二期）的软件部分运维工作统一进行招标。</w:t>
      </w:r>
      <w:r>
        <w:rPr>
          <w:color w:val="auto"/>
          <w:highlight w:val="none"/>
        </w:rPr>
      </w:r>
      <w:r>
        <w:rPr>
          <w:color w:val="auto"/>
          <w:highlight w:val="none"/>
        </w:rPr>
      </w:r>
    </w:p>
    <w:p>
      <w:pPr>
        <w:pStyle w:val="808"/>
        <w:numPr>
          <w:ilvl w:val="0"/>
          <w:numId w:val="34"/>
        </w:numPr>
        <w:spacing w:line="360" w:lineRule="auto"/>
        <w:rPr>
          <w:rFonts w:ascii="宋体" w:hAnsi="宋体"/>
          <w:b/>
          <w:bCs/>
          <w:color w:val="auto"/>
          <w:sz w:val="24"/>
          <w:szCs w:val="24"/>
          <w:highlight w:val="none"/>
        </w:rPr>
        <w:outlineLvl w:val="0"/>
      </w:pPr>
      <w:r>
        <w:rPr>
          <w:color w:val="auto"/>
          <w:highlight w:val="none"/>
        </w:rPr>
      </w:r>
      <w:bookmarkStart w:id="193" w:name="_Toc149578810"/>
      <w:r>
        <w:rPr>
          <w:rFonts w:ascii="宋体" w:hAnsi="宋体"/>
          <w:b/>
          <w:bCs/>
          <w:color w:val="auto"/>
          <w:sz w:val="24"/>
          <w:szCs w:val="24"/>
          <w:highlight w:val="none"/>
        </w:rPr>
        <w:t xml:space="preserve">运维目标</w:t>
      </w:r>
      <w:bookmarkEnd w:id="193"/>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本项目旨在对无锡市生态环境局正在使用的“感知环境、智慧环保”无锡环境监控物联网应用示范工程进行运行监控和日常维护，确保系统的正常运行，切实保障相关业务的正常开展，营造良好的营商环境，更好地利企便民。</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运维服务的目标是通过本项目对现有的信息系统基础资源以及信息系统运行状况进行监控和管理，及时掌握信息系统资源现状和配置信息，保障信息系统的整体可用性和正常运行，创建一个可知可控的</w:t>
      </w:r>
      <w:r>
        <w:rPr>
          <w:rFonts w:ascii="宋体" w:hAnsi="宋体"/>
          <w:color w:val="auto"/>
          <w:sz w:val="24"/>
          <w:szCs w:val="24"/>
          <w:highlight w:val="none"/>
        </w:rPr>
        <w:t xml:space="preserve">IT环境，保证信息系统的各类业务信息系统的可靠、高效、持续、安全运行。</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具体需达到的目标如下：</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color w:val="auto"/>
          <w:highlight w:val="none"/>
        </w:rPr>
      </w:r>
      <w:bookmarkStart w:id="194" w:name="_Toc149578811"/>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“感知环境、智慧环保”无锡环境监控物联网应用示范工程</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一期</w:t>
      </w:r>
      <w:r>
        <w:rPr>
          <w:rFonts w:hint="eastAsia" w:ascii="宋体" w:hAnsi="宋体"/>
          <w:color w:val="auto"/>
          <w:sz w:val="24"/>
          <w:szCs w:val="24"/>
          <w:highlight w:val="none"/>
        </w:rPr>
        <w:t xml:space="preserve">）</w:t>
      </w:r>
      <w:bookmarkEnd w:id="194"/>
      <w:r>
        <w:rPr>
          <w:rFonts w:ascii="宋体" w:hAnsi="宋体"/>
          <w:color w:val="auto"/>
          <w:sz w:val="24"/>
          <w:szCs w:val="24"/>
          <w:highlight w:val="none"/>
        </w:rPr>
        <w:t xml:space="preserve">软件系统清单及运维目标</w:t>
      </w:r>
      <w:r>
        <w:rPr>
          <w:color w:val="auto"/>
          <w:highlight w:val="none"/>
        </w:rPr>
      </w:r>
      <w:r>
        <w:rPr>
          <w:color w:val="auto"/>
          <w:highlight w:val="none"/>
        </w:rPr>
      </w:r>
    </w:p>
    <w:tbl>
      <w:tblPr>
        <w:tblW w:w="5173" w:type="pct"/>
        <w:jc w:val="center"/>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1408"/>
        <w:gridCol w:w="2038"/>
        <w:gridCol w:w="1410"/>
        <w:gridCol w:w="1341"/>
      </w:tblGrid>
      <w:tr>
        <w:trPr>
          <w:cantSplit/>
        </w:trPr>
        <w:tc>
          <w:tcPr>
            <w:tcW w:w="3289"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一期软件运维系统</w:t>
            </w:r>
            <w:r>
              <w:rPr>
                <w:color w:val="auto"/>
                <w:highlight w:val="none"/>
              </w:rPr>
            </w:r>
            <w:r>
              <w:rPr>
                <w:color w:val="auto"/>
                <w:highlight w:val="none"/>
              </w:rPr>
            </w:r>
          </w:p>
        </w:tc>
        <w:tc>
          <w:tcPr>
            <w:gridSpan w:val="4"/>
            <w:tcW w:w="619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运维目标</w:t>
            </w:r>
            <w:r>
              <w:rPr>
                <w:color w:val="auto"/>
                <w:highlight w:val="none"/>
              </w:rPr>
            </w:r>
            <w:r>
              <w:rPr>
                <w:color w:val="auto"/>
                <w:highlight w:val="none"/>
              </w:rPr>
            </w:r>
          </w:p>
        </w:tc>
      </w:tr>
      <w:tr>
        <w:trPr>
          <w:cantSplit/>
        </w:trPr>
        <w:tc>
          <w:tcPr>
            <w:tcW w:w="3289"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系统可用性（%）</w:t>
            </w:r>
            <w:r>
              <w:rPr>
                <w:color w:val="auto"/>
                <w:highlight w:val="none"/>
              </w:rPr>
            </w:r>
            <w:r>
              <w:rPr>
                <w:color w:val="auto"/>
                <w:highlight w:val="none"/>
              </w:rPr>
            </w:r>
          </w:p>
        </w:tc>
        <w:tc>
          <w:tcPr>
            <w:tcW w:w="203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运维服务请求响应时间(小时)</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用户满意度（%）</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数据传输率（%）</w:t>
            </w:r>
            <w:r>
              <w:rPr>
                <w:color w:val="auto"/>
                <w:highlight w:val="none"/>
              </w:rPr>
            </w:r>
            <w:r>
              <w:rPr>
                <w:color w:val="auto"/>
                <w:highlight w:val="none"/>
              </w:rPr>
            </w:r>
          </w:p>
        </w:tc>
      </w:tr>
      <w:tr>
        <w:trPr/>
        <w:tc>
          <w:tcPr>
            <w:tcW w:w="328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系统支撑平台</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9</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203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328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环境地理信息专题图应用系统</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9</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203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328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环境视频统一监控系统</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9</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203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328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放射源自动监控系统</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9</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203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328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危废监控管理系统</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9</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203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328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机动车尾气检测自动监控系统</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9</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203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328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公众门户、内网门户</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9</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203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328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环境风险防范与应急指挥系统</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9</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203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328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环境监察管理平台</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9</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203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328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无锡市主要污染物总量平衡管理系统</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9</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203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328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污染防治资金系统</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9</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203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328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协同工作系统</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9</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203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bl>
    <w:p>
      <w:pPr>
        <w:pStyle w:val="808"/>
        <w:ind w:firstLine="480"/>
        <w:jc w:val="left"/>
        <w:spacing w:line="360" w:lineRule="auto"/>
        <w:widowControl/>
        <w:rPr>
          <w:rFonts w:ascii="宋体" w:hAnsi="宋体"/>
          <w:color w:val="auto"/>
          <w:sz w:val="24"/>
          <w:szCs w:val="24"/>
          <w:highlight w:val="none"/>
        </w:rPr>
      </w:pPr>
      <w:r>
        <w:rPr>
          <w:color w:val="auto"/>
          <w:highlight w:val="none"/>
        </w:rPr>
      </w:r>
      <w:bookmarkStart w:id="195" w:name="_Hlk141889433"/>
      <w:r>
        <w:rPr>
          <w:color w:val="auto"/>
          <w:highlight w:val="none"/>
        </w:rPr>
      </w:r>
      <w:bookmarkStart w:id="196" w:name="_Toc149578812"/>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“感知环境、智慧环保”无锡环境监控物联网应用示范工程</w:t>
      </w:r>
      <w:bookmarkEnd w:id="195"/>
      <w:r>
        <w:rPr>
          <w:rFonts w:hint="eastAsia" w:ascii="宋体" w:hAnsi="宋体"/>
          <w:color w:val="auto"/>
          <w:sz w:val="24"/>
          <w:szCs w:val="24"/>
          <w:highlight w:val="none"/>
        </w:rPr>
        <w:t xml:space="preserve">（</w:t>
      </w:r>
      <w:r>
        <w:rPr>
          <w:rFonts w:ascii="宋体" w:hAnsi="宋体"/>
          <w:color w:val="auto"/>
          <w:sz w:val="24"/>
          <w:szCs w:val="24"/>
          <w:highlight w:val="none"/>
        </w:rPr>
        <w:t xml:space="preserve">二期</w:t>
      </w:r>
      <w:r>
        <w:rPr>
          <w:rFonts w:hint="eastAsia" w:ascii="宋体" w:hAnsi="宋体"/>
          <w:color w:val="auto"/>
          <w:sz w:val="24"/>
          <w:szCs w:val="24"/>
          <w:highlight w:val="none"/>
        </w:rPr>
        <w:t xml:space="preserve">）</w:t>
      </w:r>
      <w:bookmarkEnd w:id="196"/>
      <w:r>
        <w:rPr>
          <w:rFonts w:ascii="宋体" w:hAnsi="宋体"/>
          <w:color w:val="auto"/>
          <w:sz w:val="24"/>
          <w:szCs w:val="24"/>
          <w:highlight w:val="none"/>
        </w:rPr>
        <w:t xml:space="preserve">软件系统清单及运维目标</w:t>
      </w:r>
      <w:r>
        <w:rPr>
          <w:color w:val="auto"/>
          <w:highlight w:val="none"/>
        </w:rPr>
      </w:r>
      <w:r>
        <w:rPr>
          <w:color w:val="auto"/>
          <w:highlight w:val="none"/>
        </w:rP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73"/>
        <w:gridCol w:w="1408"/>
        <w:gridCol w:w="2037"/>
        <w:gridCol w:w="1410"/>
        <w:gridCol w:w="1341"/>
      </w:tblGrid>
      <w:tr>
        <w:trPr>
          <w:cantSplit/>
        </w:trPr>
        <w:tc>
          <w:tcPr>
            <w:tcW w:w="2973"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软件运维系统</w:t>
            </w:r>
            <w:r>
              <w:rPr>
                <w:color w:val="auto"/>
                <w:highlight w:val="none"/>
              </w:rPr>
            </w:r>
            <w:r>
              <w:rPr>
                <w:color w:val="auto"/>
                <w:highlight w:val="none"/>
              </w:rPr>
            </w:r>
          </w:p>
        </w:tc>
        <w:tc>
          <w:tcPr>
            <w:gridSpan w:val="4"/>
            <w:tcW w:w="6196"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运维目标</w:t>
            </w:r>
            <w:r>
              <w:rPr>
                <w:color w:val="auto"/>
                <w:highlight w:val="none"/>
              </w:rPr>
            </w:r>
            <w:r>
              <w:rPr>
                <w:color w:val="auto"/>
                <w:highlight w:val="none"/>
              </w:rPr>
            </w:r>
          </w:p>
        </w:tc>
      </w:tr>
      <w:tr>
        <w:trPr>
          <w:cantSplit/>
        </w:trPr>
        <w:tc>
          <w:tcPr>
            <w:tcW w:w="2973"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系统可用性（%）</w:t>
            </w:r>
            <w:r>
              <w:rPr>
                <w:color w:val="auto"/>
                <w:highlight w:val="none"/>
              </w:rPr>
            </w:r>
            <w:r>
              <w:rPr>
                <w:color w:val="auto"/>
                <w:highlight w:val="none"/>
              </w:rPr>
            </w:r>
          </w:p>
        </w:tc>
        <w:tc>
          <w:tcPr>
            <w:tcW w:w="203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运维服务请求响应时间(小时)</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用户满意度（%）</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数据传输率（%）</w:t>
            </w:r>
            <w:r>
              <w:rPr>
                <w:color w:val="auto"/>
                <w:highlight w:val="none"/>
              </w:rPr>
            </w:r>
            <w:r>
              <w:rPr>
                <w:color w:val="auto"/>
                <w:highlight w:val="none"/>
              </w:rPr>
            </w:r>
          </w:p>
        </w:tc>
      </w:tr>
      <w:tr>
        <w:trPr/>
        <w:tc>
          <w:tcPr>
            <w:tcW w:w="2973"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系统支撑平台</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&gt;99%</w:t>
            </w:r>
            <w:r>
              <w:rPr>
                <w:color w:val="auto"/>
                <w:highlight w:val="none"/>
              </w:rPr>
            </w:r>
            <w:r>
              <w:rPr>
                <w:color w:val="auto"/>
                <w:highlight w:val="none"/>
              </w:rPr>
            </w:r>
          </w:p>
        </w:tc>
        <w:tc>
          <w:tcPr>
            <w:tcW w:w="203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2973"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数据资产管控平台</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&gt;99%</w:t>
            </w:r>
            <w:r>
              <w:rPr>
                <w:color w:val="auto"/>
                <w:highlight w:val="none"/>
              </w:rPr>
            </w:r>
            <w:r>
              <w:rPr>
                <w:color w:val="auto"/>
                <w:highlight w:val="none"/>
              </w:rPr>
            </w:r>
          </w:p>
        </w:tc>
        <w:tc>
          <w:tcPr>
            <w:tcW w:w="203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2973"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资源目录系统</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&gt;99%</w:t>
            </w:r>
            <w:r>
              <w:rPr>
                <w:color w:val="auto"/>
                <w:highlight w:val="none"/>
              </w:rPr>
            </w:r>
            <w:r>
              <w:rPr>
                <w:color w:val="auto"/>
                <w:highlight w:val="none"/>
              </w:rPr>
            </w:r>
          </w:p>
        </w:tc>
        <w:tc>
          <w:tcPr>
            <w:tcW w:w="203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2973"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一源一档系统</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&gt;99%</w:t>
            </w:r>
            <w:r>
              <w:rPr>
                <w:color w:val="auto"/>
                <w:highlight w:val="none"/>
              </w:rPr>
            </w:r>
            <w:r>
              <w:rPr>
                <w:color w:val="auto"/>
                <w:highlight w:val="none"/>
              </w:rPr>
            </w:r>
          </w:p>
        </w:tc>
        <w:tc>
          <w:tcPr>
            <w:tcW w:w="203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2973"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地理信息平台</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&gt;99%</w:t>
            </w:r>
            <w:r>
              <w:rPr>
                <w:color w:val="auto"/>
                <w:highlight w:val="none"/>
              </w:rPr>
            </w:r>
            <w:r>
              <w:rPr>
                <w:color w:val="auto"/>
                <w:highlight w:val="none"/>
              </w:rPr>
            </w:r>
          </w:p>
        </w:tc>
        <w:tc>
          <w:tcPr>
            <w:tcW w:w="203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2973"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协调工作系统（OA）</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&gt;99%</w:t>
            </w:r>
            <w:r>
              <w:rPr>
                <w:color w:val="auto"/>
                <w:highlight w:val="none"/>
              </w:rPr>
            </w:r>
            <w:r>
              <w:rPr>
                <w:color w:val="auto"/>
                <w:highlight w:val="none"/>
              </w:rPr>
            </w:r>
          </w:p>
        </w:tc>
        <w:tc>
          <w:tcPr>
            <w:tcW w:w="203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2973"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无锡市生态环境综合APP</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&gt;99%</w:t>
            </w:r>
            <w:r>
              <w:rPr>
                <w:color w:val="auto"/>
                <w:highlight w:val="none"/>
              </w:rPr>
            </w:r>
            <w:r>
              <w:rPr>
                <w:color w:val="auto"/>
                <w:highlight w:val="none"/>
              </w:rPr>
            </w:r>
          </w:p>
        </w:tc>
        <w:tc>
          <w:tcPr>
            <w:tcW w:w="203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2973" w:type="dxa"/>
            <w:vAlign w:val="center"/>
            <w:textDirection w:val="lrTb"/>
            <w:noWrap w:val="false"/>
          </w:tcPr>
          <w:p>
            <w:pPr>
              <w:pStyle w:val="808"/>
              <w:rPr>
                <w:rFonts w:ascii="宋体" w:hAnsi="宋体"/>
                <w:color w:val="auto"/>
                <w:sz w:val="18"/>
                <w:szCs w:val="18"/>
                <w:highlight w:val="none"/>
              </w:rPr>
            </w:pPr>
            <w:r>
              <w:rPr>
                <w:rFonts w:ascii="宋体" w:hAnsi="宋体"/>
                <w:color w:val="auto"/>
                <w:sz w:val="18"/>
                <w:szCs w:val="18"/>
                <w:highlight w:val="none"/>
              </w:rPr>
              <w:t xml:space="preserve">生态环境目标体系</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&gt;99%</w:t>
            </w:r>
            <w:r>
              <w:rPr>
                <w:color w:val="auto"/>
                <w:highlight w:val="none"/>
              </w:rPr>
            </w:r>
            <w:r>
              <w:rPr>
                <w:color w:val="auto"/>
                <w:highlight w:val="none"/>
              </w:rPr>
            </w:r>
          </w:p>
        </w:tc>
        <w:tc>
          <w:tcPr>
            <w:tcW w:w="203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2973"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大气复合污染物综合应用平台</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&gt;99%</w:t>
            </w:r>
            <w:r>
              <w:rPr>
                <w:color w:val="auto"/>
                <w:highlight w:val="none"/>
              </w:rPr>
            </w:r>
            <w:r>
              <w:rPr>
                <w:color w:val="auto"/>
                <w:highlight w:val="none"/>
              </w:rPr>
            </w:r>
          </w:p>
        </w:tc>
        <w:tc>
          <w:tcPr>
            <w:tcW w:w="203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2973"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环境噪声监测管理系统</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&gt;99%</w:t>
            </w:r>
            <w:r>
              <w:rPr>
                <w:color w:val="auto"/>
                <w:highlight w:val="none"/>
              </w:rPr>
            </w:r>
            <w:r>
              <w:rPr>
                <w:color w:val="auto"/>
                <w:highlight w:val="none"/>
              </w:rPr>
            </w:r>
          </w:p>
        </w:tc>
        <w:tc>
          <w:tcPr>
            <w:tcW w:w="203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2973"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环境质量自动监测（控）平台</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&gt;99%</w:t>
            </w:r>
            <w:r>
              <w:rPr>
                <w:color w:val="auto"/>
                <w:highlight w:val="none"/>
              </w:rPr>
            </w:r>
            <w:r>
              <w:rPr>
                <w:color w:val="auto"/>
                <w:highlight w:val="none"/>
              </w:rPr>
            </w:r>
          </w:p>
        </w:tc>
        <w:tc>
          <w:tcPr>
            <w:tcW w:w="203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2973"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空气质量预测预报系统</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&gt;99%</w:t>
            </w:r>
            <w:r>
              <w:rPr>
                <w:color w:val="auto"/>
                <w:highlight w:val="none"/>
              </w:rPr>
            </w:r>
            <w:r>
              <w:rPr>
                <w:color w:val="auto"/>
                <w:highlight w:val="none"/>
              </w:rPr>
            </w:r>
          </w:p>
        </w:tc>
        <w:tc>
          <w:tcPr>
            <w:tcW w:w="203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2973"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LIMS(实验室信息管理)系统</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&gt;99%</w:t>
            </w:r>
            <w:r>
              <w:rPr>
                <w:color w:val="auto"/>
                <w:highlight w:val="none"/>
              </w:rPr>
            </w:r>
            <w:r>
              <w:rPr>
                <w:color w:val="auto"/>
                <w:highlight w:val="none"/>
              </w:rPr>
            </w:r>
          </w:p>
        </w:tc>
        <w:tc>
          <w:tcPr>
            <w:tcW w:w="203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2973"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环境监测数据采集系统</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&gt;99%</w:t>
            </w:r>
            <w:r>
              <w:rPr>
                <w:color w:val="auto"/>
                <w:highlight w:val="none"/>
              </w:rPr>
            </w:r>
            <w:r>
              <w:rPr>
                <w:color w:val="auto"/>
                <w:highlight w:val="none"/>
              </w:rPr>
            </w:r>
          </w:p>
        </w:tc>
        <w:tc>
          <w:tcPr>
            <w:tcW w:w="203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2973" w:type="dxa"/>
            <w:vAlign w:val="center"/>
            <w:textDirection w:val="lrTb"/>
            <w:noWrap w:val="false"/>
          </w:tcPr>
          <w:p>
            <w:pPr>
              <w:pStyle w:val="808"/>
              <w:rPr>
                <w:rFonts w:ascii="宋体" w:hAnsi="宋体"/>
                <w:color w:val="auto"/>
                <w:sz w:val="18"/>
                <w:szCs w:val="18"/>
                <w:highlight w:val="none"/>
              </w:rPr>
            </w:pPr>
            <w:r>
              <w:rPr>
                <w:rFonts w:ascii="宋体" w:hAnsi="宋体"/>
                <w:color w:val="auto"/>
                <w:sz w:val="18"/>
                <w:szCs w:val="18"/>
                <w:highlight w:val="none"/>
              </w:rPr>
              <w:t xml:space="preserve">重点污染源视频平台</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&gt;99%</w:t>
            </w:r>
            <w:r>
              <w:rPr>
                <w:color w:val="auto"/>
                <w:highlight w:val="none"/>
              </w:rPr>
            </w:r>
            <w:r>
              <w:rPr>
                <w:color w:val="auto"/>
                <w:highlight w:val="none"/>
              </w:rPr>
            </w:r>
          </w:p>
        </w:tc>
        <w:tc>
          <w:tcPr>
            <w:tcW w:w="203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2973"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无锡市重点污染源综合信息平台及排放过程（工况）监控系统</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&gt;99%</w:t>
            </w:r>
            <w:r>
              <w:rPr>
                <w:color w:val="auto"/>
                <w:highlight w:val="none"/>
              </w:rPr>
            </w:r>
            <w:r>
              <w:rPr>
                <w:color w:val="auto"/>
                <w:highlight w:val="none"/>
              </w:rPr>
            </w:r>
          </w:p>
        </w:tc>
        <w:tc>
          <w:tcPr>
            <w:tcW w:w="203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2973" w:type="dxa"/>
            <w:vAlign w:val="center"/>
            <w:textDirection w:val="lrTb"/>
            <w:noWrap w:val="false"/>
          </w:tcPr>
          <w:p>
            <w:pPr>
              <w:pStyle w:val="808"/>
              <w:rPr>
                <w:rFonts w:ascii="宋体" w:hAnsi="宋体"/>
                <w:color w:val="auto"/>
                <w:sz w:val="18"/>
                <w:szCs w:val="18"/>
                <w:highlight w:val="none"/>
              </w:rPr>
            </w:pPr>
            <w:r>
              <w:rPr>
                <w:rFonts w:ascii="宋体" w:hAnsi="宋体"/>
                <w:color w:val="auto"/>
                <w:sz w:val="18"/>
                <w:szCs w:val="18"/>
                <w:highlight w:val="none"/>
              </w:rPr>
              <w:t xml:space="preserve">无锡市污染防治综合监管平台</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&gt;99%</w:t>
            </w:r>
            <w:r>
              <w:rPr>
                <w:color w:val="auto"/>
                <w:highlight w:val="none"/>
              </w:rPr>
            </w:r>
            <w:r>
              <w:rPr>
                <w:color w:val="auto"/>
                <w:highlight w:val="none"/>
              </w:rPr>
            </w:r>
          </w:p>
        </w:tc>
        <w:tc>
          <w:tcPr>
            <w:tcW w:w="203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2973" w:type="dxa"/>
            <w:vAlign w:val="center"/>
            <w:textDirection w:val="lrTb"/>
            <w:noWrap w:val="false"/>
          </w:tcPr>
          <w:p>
            <w:pPr>
              <w:pStyle w:val="808"/>
              <w:rPr>
                <w:rFonts w:ascii="宋体" w:hAnsi="宋体"/>
                <w:color w:val="auto"/>
                <w:sz w:val="18"/>
                <w:szCs w:val="18"/>
                <w:highlight w:val="none"/>
              </w:rPr>
            </w:pPr>
            <w:r>
              <w:rPr>
                <w:rFonts w:ascii="宋体" w:hAnsi="宋体"/>
                <w:color w:val="auto"/>
                <w:sz w:val="18"/>
                <w:szCs w:val="18"/>
                <w:highlight w:val="none"/>
              </w:rPr>
              <w:t xml:space="preserve">无锡市低碳信息平台</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&gt;99%</w:t>
            </w:r>
            <w:r>
              <w:rPr>
                <w:color w:val="auto"/>
                <w:highlight w:val="none"/>
              </w:rPr>
            </w:r>
            <w:r>
              <w:rPr>
                <w:color w:val="auto"/>
                <w:highlight w:val="none"/>
              </w:rPr>
            </w:r>
          </w:p>
        </w:tc>
        <w:tc>
          <w:tcPr>
            <w:tcW w:w="203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r>
        <w:trPr/>
        <w:tc>
          <w:tcPr>
            <w:tcW w:w="2973"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增量数据应用服务</w:t>
            </w:r>
            <w:r>
              <w:rPr>
                <w:color w:val="auto"/>
                <w:highlight w:val="none"/>
              </w:rPr>
            </w:r>
            <w:r>
              <w:rPr>
                <w:color w:val="auto"/>
                <w:highlight w:val="none"/>
              </w:rPr>
            </w:r>
          </w:p>
        </w:tc>
        <w:tc>
          <w:tcPr>
            <w:tcW w:w="140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&gt;99%</w:t>
            </w:r>
            <w:r>
              <w:rPr>
                <w:color w:val="auto"/>
                <w:highlight w:val="none"/>
              </w:rPr>
            </w:r>
            <w:r>
              <w:rPr>
                <w:color w:val="auto"/>
                <w:highlight w:val="none"/>
              </w:rPr>
            </w:r>
          </w:p>
        </w:tc>
        <w:tc>
          <w:tcPr>
            <w:tcW w:w="203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&lt;0.5</w:t>
            </w:r>
            <w:r>
              <w:rPr>
                <w:color w:val="auto"/>
                <w:highlight w:val="none"/>
              </w:rPr>
            </w:r>
            <w:r>
              <w:rPr>
                <w:color w:val="auto"/>
                <w:highlight w:val="none"/>
              </w:rPr>
            </w:r>
          </w:p>
        </w:tc>
        <w:tc>
          <w:tcPr>
            <w:tcW w:w="1410"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c>
          <w:tcPr>
            <w:tcW w:w="1341"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&gt;</w:t>
            </w:r>
            <w:r>
              <w:rPr>
                <w:rFonts w:hint="eastAsia" w:ascii="宋体" w:hAnsi="宋体"/>
                <w:color w:val="auto"/>
                <w:sz w:val="18"/>
                <w:szCs w:val="18"/>
                <w:highlight w:val="none"/>
              </w:rPr>
              <w:t xml:space="preserve">9</w:t>
            </w:r>
            <w:r>
              <w:rPr>
                <w:rFonts w:ascii="宋体" w:hAnsi="宋体"/>
                <w:color w:val="auto"/>
                <w:sz w:val="18"/>
                <w:szCs w:val="18"/>
                <w:highlight w:val="none"/>
              </w:rPr>
              <w:t xml:space="preserve">5</w:t>
            </w:r>
            <w:r>
              <w:rPr>
                <w:rFonts w:hint="eastAsia" w:ascii="宋体" w:hAnsi="宋体"/>
                <w:color w:val="auto"/>
                <w:sz w:val="18"/>
                <w:szCs w:val="18"/>
                <w:highlight w:val="none"/>
              </w:rPr>
              <w:t xml:space="preserve">%</w:t>
            </w:r>
            <w:r>
              <w:rPr>
                <w:color w:val="auto"/>
                <w:highlight w:val="none"/>
              </w:rPr>
            </w:r>
            <w:r>
              <w:rPr>
                <w:color w:val="auto"/>
                <w:highlight w:val="none"/>
              </w:rPr>
            </w:r>
          </w:p>
        </w:tc>
      </w:tr>
    </w:tbl>
    <w:p>
      <w:pPr>
        <w:pStyle w:val="808"/>
        <w:ind w:firstLine="480"/>
        <w:jc w:val="left"/>
        <w:spacing w:line="360" w:lineRule="auto"/>
        <w:widowControl/>
        <w:rPr>
          <w:rFonts w:ascii="宋体" w:hAnsi="宋体"/>
          <w:color w:val="auto"/>
          <w:sz w:val="24"/>
          <w:szCs w:val="24"/>
          <w:highlight w:val="none"/>
        </w:rPr>
      </w:pPr>
      <w:r>
        <w:rPr>
          <w:color w:val="auto"/>
          <w:highlight w:val="none"/>
        </w:rPr>
      </w:r>
      <w:bookmarkStart w:id="197" w:name="_Toc149578813"/>
      <w:r>
        <w:rPr>
          <w:rFonts w:hint="eastAsia" w:ascii="宋体" w:hAnsi="宋体"/>
          <w:color w:val="auto"/>
          <w:sz w:val="24"/>
          <w:szCs w:val="24"/>
          <w:highlight w:val="none"/>
        </w:rPr>
        <w:t xml:space="preserve">3、绩效考核目标</w:t>
      </w:r>
      <w:bookmarkEnd w:id="197"/>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服务可靠性（故障率）：服务中断不能超过2次，每次中断不能超过2小时。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服务台响应速度：服务台响应速度不超过2小时。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服务台解决时间：服务台解决时间不超过4小时。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服务台用户满意度：不低于95%</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故障处理时间：</w:t>
      </w:r>
      <w:r>
        <w:rPr>
          <w:color w:val="auto"/>
          <w:highlight w:val="none"/>
        </w:rPr>
      </w:r>
      <w:r>
        <w:rPr>
          <w:color w:val="auto"/>
          <w:highlight w:val="none"/>
        </w:rP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7"/>
        <w:gridCol w:w="3011"/>
        <w:gridCol w:w="1218"/>
        <w:gridCol w:w="1938"/>
        <w:gridCol w:w="1595"/>
      </w:tblGrid>
      <w:tr>
        <w:trPr>
          <w:cantSplit/>
        </w:trPr>
        <w:tc>
          <w:tcPr>
            <w:tcBorders>
              <w:top w:val="single" w:color="000000" w:sz="4" w:space="0"/>
              <w:left w:val="single" w:color="000000" w:sz="4" w:space="0"/>
              <w:right w:val="single" w:color="000000" w:sz="4" w:space="0"/>
            </w:tcBorders>
            <w:tcW w:w="1407"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故障级别</w:t>
            </w:r>
            <w:r>
              <w:rPr>
                <w:color w:val="auto"/>
                <w:highlight w:val="none"/>
              </w:rPr>
            </w:r>
            <w:r>
              <w:rPr>
                <w:color w:val="auto"/>
                <w:highlight w:val="none"/>
              </w:rPr>
            </w:r>
          </w:p>
        </w:tc>
        <w:tc>
          <w:tcPr>
            <w:tcBorders>
              <w:top w:val="single" w:color="000000" w:sz="4" w:space="0"/>
              <w:left w:val="single" w:color="000000" w:sz="4" w:space="0"/>
              <w:right w:val="single" w:color="000000" w:sz="4" w:space="0"/>
            </w:tcBorders>
            <w:tcW w:w="3011"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故障内容</w:t>
            </w:r>
            <w:r>
              <w:rPr>
                <w:color w:val="auto"/>
                <w:highlight w:val="none"/>
              </w:rPr>
            </w:r>
            <w:r>
              <w:rPr>
                <w:color w:val="auto"/>
                <w:highlight w:val="none"/>
              </w:rPr>
            </w:r>
          </w:p>
        </w:tc>
        <w:tc>
          <w:tcPr>
            <w:gridSpan w:val="2"/>
            <w:tcBorders>
              <w:top w:val="single" w:color="000000" w:sz="4" w:space="0"/>
              <w:left w:val="single" w:color="000000" w:sz="4" w:space="0"/>
              <w:bottom w:val="single" w:color="000000" w:sz="4" w:space="0"/>
              <w:right w:val="single" w:color="000000" w:sz="4" w:space="0"/>
            </w:tcBorders>
            <w:tcW w:w="3156"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响应时间</w:t>
            </w:r>
            <w:r>
              <w:rPr>
                <w:color w:val="auto"/>
                <w:highlight w:val="none"/>
              </w:rPr>
            </w:r>
            <w:r>
              <w:rPr>
                <w:color w:val="auto"/>
                <w:highlight w:val="none"/>
              </w:rPr>
            </w:r>
          </w:p>
        </w:tc>
        <w:tc>
          <w:tcPr>
            <w:tcBorders>
              <w:top w:val="single" w:color="000000" w:sz="4" w:space="0"/>
              <w:left w:val="single" w:color="000000" w:sz="4" w:space="0"/>
              <w:right w:val="single" w:color="000000" w:sz="4" w:space="0"/>
            </w:tcBorders>
            <w:tcW w:w="1595"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故障解决时间</w:t>
            </w:r>
            <w:r>
              <w:rPr>
                <w:color w:val="auto"/>
                <w:highlight w:val="none"/>
              </w:rPr>
            </w:r>
            <w:r>
              <w:rPr>
                <w:color w:val="auto"/>
                <w:highlight w:val="none"/>
              </w:rPr>
            </w:r>
          </w:p>
        </w:tc>
      </w:tr>
      <w:tr>
        <w:trPr>
          <w:cantSplit/>
          <w:trHeight w:val="514"/>
        </w:trPr>
        <w:tc>
          <w:tcPr>
            <w:tcBorders>
              <w:left w:val="single" w:color="000000" w:sz="4" w:space="0"/>
              <w:bottom w:val="single" w:color="000000" w:sz="4" w:space="0"/>
              <w:right w:val="single" w:color="000000" w:sz="4" w:space="0"/>
            </w:tcBorders>
            <w:tcW w:w="1407"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left w:val="single" w:color="000000" w:sz="4" w:space="0"/>
              <w:bottom w:val="single" w:color="000000" w:sz="4" w:space="0"/>
              <w:right w:val="single" w:color="000000" w:sz="4" w:space="0"/>
            </w:tcBorders>
            <w:tcW w:w="3011"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远程响应</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现场响应</w:t>
            </w:r>
            <w:r>
              <w:rPr>
                <w:color w:val="auto"/>
                <w:highlight w:val="none"/>
              </w:rPr>
            </w:r>
            <w:r>
              <w:rPr>
                <w:color w:val="auto"/>
                <w:highlight w:val="none"/>
              </w:rPr>
            </w:r>
          </w:p>
        </w:tc>
        <w:tc>
          <w:tcPr>
            <w:tcBorders>
              <w:left w:val="single" w:color="000000" w:sz="4" w:space="0"/>
              <w:bottom w:val="single" w:color="000000" w:sz="4" w:space="0"/>
              <w:right w:val="single" w:color="000000" w:sz="4" w:space="0"/>
            </w:tcBorders>
            <w:tcW w:w="1595"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一级故障</w:t>
            </w:r>
            <w:r>
              <w:rPr>
                <w:color w:val="auto"/>
                <w:highlight w:val="none"/>
              </w:rPr>
            </w:r>
            <w:r>
              <w:rPr>
                <w:color w:val="auto"/>
                <w:highlight w:val="none"/>
              </w:rPr>
            </w:r>
          </w:p>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（紧急故障）</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0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因平台原因使系统运行中断，对用户业务的运行有严重影响。</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立即响应</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30</w:t>
            </w:r>
            <w:r>
              <w:rPr>
                <w:rFonts w:hint="eastAsia" w:ascii="宋体" w:hAnsi="宋体"/>
                <w:color w:val="auto"/>
                <w:sz w:val="18"/>
                <w:szCs w:val="18"/>
                <w:highlight w:val="none"/>
              </w:rPr>
              <w:t xml:space="preserve">分钟内给予答复</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3</w:t>
            </w:r>
            <w:r>
              <w:rPr>
                <w:rFonts w:hint="eastAsia" w:ascii="宋体" w:hAnsi="宋体"/>
                <w:color w:val="auto"/>
                <w:sz w:val="18"/>
                <w:szCs w:val="18"/>
                <w:highlight w:val="none"/>
              </w:rPr>
              <w:t xml:space="preserve">小时内完成修复</w:t>
            </w:r>
            <w:r>
              <w:rPr>
                <w:color w:val="auto"/>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二级故障</w:t>
            </w:r>
            <w:r>
              <w:rPr>
                <w:color w:val="auto"/>
                <w:highlight w:val="none"/>
              </w:rPr>
            </w:r>
            <w:r>
              <w:rPr>
                <w:color w:val="auto"/>
                <w:highlight w:val="none"/>
              </w:rPr>
            </w:r>
          </w:p>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（严重故障）</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0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因平台原因使系统中重要功能受损、主要性能指标严重下降。</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立即响应</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1</w:t>
            </w:r>
            <w:r>
              <w:rPr>
                <w:rFonts w:hint="eastAsia" w:ascii="宋体" w:hAnsi="宋体"/>
                <w:color w:val="auto"/>
                <w:sz w:val="18"/>
                <w:szCs w:val="18"/>
                <w:highlight w:val="none"/>
              </w:rPr>
              <w:t xml:space="preserve">小时内给予答复</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5</w:t>
            </w:r>
            <w:r>
              <w:rPr>
                <w:rFonts w:hint="eastAsia" w:ascii="宋体" w:hAnsi="宋体"/>
                <w:color w:val="auto"/>
                <w:sz w:val="18"/>
                <w:szCs w:val="18"/>
                <w:highlight w:val="none"/>
              </w:rPr>
              <w:t xml:space="preserve">小时内完成修复</w:t>
            </w:r>
            <w:r>
              <w:rPr>
                <w:color w:val="auto"/>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三级故障</w:t>
            </w:r>
            <w:r>
              <w:rPr>
                <w:color w:val="auto"/>
                <w:highlight w:val="none"/>
              </w:rPr>
            </w:r>
            <w:r>
              <w:rPr>
                <w:color w:val="auto"/>
                <w:highlight w:val="none"/>
              </w:rPr>
            </w:r>
          </w:p>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（一般故障）</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0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在系统主要功能及性能指标运行正常的情况下，系统部分功能与性能受损。</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立即响应</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工作日</w:t>
            </w:r>
            <w:r>
              <w:rPr>
                <w:rFonts w:ascii="宋体" w:hAnsi="宋体"/>
                <w:color w:val="auto"/>
                <w:sz w:val="18"/>
                <w:szCs w:val="18"/>
                <w:highlight w:val="none"/>
              </w:rPr>
              <w:t xml:space="preserve">2</w:t>
            </w:r>
            <w:r>
              <w:rPr>
                <w:rFonts w:hint="eastAsia" w:ascii="宋体" w:hAnsi="宋体"/>
                <w:color w:val="auto"/>
                <w:sz w:val="18"/>
                <w:szCs w:val="18"/>
                <w:highlight w:val="none"/>
              </w:rPr>
              <w:t xml:space="preserve">小时内给予答复，非工作日5小时给予答复</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24</w:t>
            </w:r>
            <w:r>
              <w:rPr>
                <w:rFonts w:hint="eastAsia" w:ascii="宋体" w:hAnsi="宋体"/>
                <w:color w:val="auto"/>
                <w:sz w:val="18"/>
                <w:szCs w:val="18"/>
                <w:highlight w:val="none"/>
              </w:rPr>
              <w:t xml:space="preserve">小时内完成修复</w:t>
            </w:r>
            <w:r>
              <w:rPr>
                <w:color w:val="auto"/>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四级故障</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0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在系统无故障或不影响用户业务运行的情况下，用户对系统的功能、安装、配置、性能优化或使用方面提出技术咨询服务要求。</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立即响应</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工作日2</w:t>
            </w:r>
            <w:r>
              <w:rPr>
                <w:rFonts w:ascii="宋体" w:hAnsi="宋体"/>
                <w:color w:val="auto"/>
                <w:sz w:val="18"/>
                <w:szCs w:val="18"/>
                <w:highlight w:val="none"/>
              </w:rPr>
              <w:t xml:space="preserve">4</w:t>
            </w:r>
            <w:r>
              <w:rPr>
                <w:rFonts w:hint="eastAsia" w:ascii="宋体" w:hAnsi="宋体"/>
                <w:color w:val="auto"/>
                <w:sz w:val="18"/>
                <w:szCs w:val="18"/>
                <w:highlight w:val="none"/>
              </w:rPr>
              <w:t xml:space="preserve">小时内给予答复，非工作日第2个工作日内给予答复</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t xml:space="preserve">48</w:t>
            </w:r>
            <w:r>
              <w:rPr>
                <w:rFonts w:hint="eastAsia" w:ascii="宋体" w:hAnsi="宋体"/>
                <w:color w:val="auto"/>
                <w:sz w:val="18"/>
                <w:szCs w:val="18"/>
                <w:highlight w:val="none"/>
              </w:rPr>
              <w:t xml:space="preserve">小时内完成修复</w:t>
            </w:r>
            <w:r>
              <w:rPr>
                <w:color w:val="auto"/>
                <w:highlight w:val="none"/>
              </w:rPr>
            </w:r>
            <w:r>
              <w:rPr>
                <w:color w:val="auto"/>
                <w:highlight w:val="none"/>
              </w:rPr>
            </w:r>
          </w:p>
        </w:tc>
      </w:tr>
    </w:tbl>
    <w:p>
      <w:pPr>
        <w:pStyle w:val="808"/>
        <w:numPr>
          <w:ilvl w:val="0"/>
          <w:numId w:val="34"/>
        </w:numPr>
        <w:spacing w:line="360" w:lineRule="auto"/>
        <w:rPr>
          <w:rFonts w:ascii="宋体" w:hAnsi="宋体"/>
          <w:b/>
          <w:bCs/>
          <w:color w:val="auto"/>
          <w:sz w:val="24"/>
          <w:szCs w:val="24"/>
          <w:highlight w:val="none"/>
        </w:rPr>
        <w:outlineLvl w:val="0"/>
      </w:pPr>
      <w:r>
        <w:rPr>
          <w:rFonts w:ascii="宋体" w:hAnsi="宋体"/>
          <w:b/>
          <w:bCs/>
          <w:color w:val="auto"/>
          <w:sz w:val="24"/>
          <w:szCs w:val="24"/>
          <w:highlight w:val="none"/>
        </w:rPr>
        <w:t xml:space="preserve">服务内容</w:t>
      </w:r>
      <w:r>
        <w:rPr>
          <w:color w:val="auto"/>
          <w:highlight w:val="none"/>
        </w:rPr>
      </w:r>
      <w:r>
        <w:rPr>
          <w:color w:val="auto"/>
          <w:highlight w:val="none"/>
        </w:rP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2496"/>
        <w:gridCol w:w="5571"/>
      </w:tblGrid>
      <w:tr>
        <w:trPr/>
        <w:tc>
          <w:tcPr>
            <w:tcW w:w="1102" w:type="dxa"/>
            <w:vAlign w:val="top"/>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序号</w:t>
            </w:r>
            <w:r>
              <w:rPr>
                <w:color w:val="auto"/>
                <w:highlight w:val="none"/>
              </w:rPr>
            </w:r>
            <w:r>
              <w:rPr>
                <w:color w:val="auto"/>
                <w:highlight w:val="none"/>
              </w:rPr>
            </w:r>
          </w:p>
        </w:tc>
        <w:tc>
          <w:tcPr>
            <w:tcW w:w="2496"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运维服务类别</w:t>
            </w:r>
            <w:r>
              <w:rPr>
                <w:color w:val="auto"/>
                <w:highlight w:val="none"/>
              </w:rPr>
            </w:r>
            <w:r>
              <w:rPr>
                <w:color w:val="auto"/>
                <w:highlight w:val="none"/>
              </w:rPr>
            </w:r>
          </w:p>
        </w:tc>
        <w:tc>
          <w:tcPr>
            <w:tcW w:w="5571" w:type="dxa"/>
            <w:vAlign w:val="top"/>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运维服务内容</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信息系统运维服务</w:t>
            </w:r>
            <w:r>
              <w:rPr>
                <w:color w:val="auto"/>
                <w:highlight w:val="none"/>
              </w:rPr>
            </w:r>
            <w:r>
              <w:rPr>
                <w:color w:val="auto"/>
                <w:highlight w:val="none"/>
              </w:rP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“感知环境、智慧环保”无锡环境监控物联网应用示范工程信息系统一期运维</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“感知环境、智慧环保”无锡环境监控物联网应用示范工程信息系统二期运维</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生态环境目标体系运维项目运维</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大气复合污染物综合应用平台运维</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噪声监测感知能力建设项目运维</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重点污染源视频平台运维</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无锡市重点污染源综合信息平台及排放过程（工况）监控系统项目运维</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无锡市环境质量自动监测（控）平台运维</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空气质量预测预报系统运维</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LIMS（实验室信息管理）系统运维</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环境监测数据采集系统运维</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无锡市污染防治综合监管平台运维</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无锡市低碳信息平台运维</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无锡市重点污染源自动监控平台运维</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无锡市生态环境局网络安全综合服务项目运维</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增量数据应用服务</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数据资源运维服务</w:t>
            </w:r>
            <w:r>
              <w:rPr>
                <w:color w:val="auto"/>
                <w:highlight w:val="none"/>
              </w:rPr>
            </w:r>
            <w:r>
              <w:rPr>
                <w:color w:val="auto"/>
                <w:highlight w:val="none"/>
              </w:rP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“感知环境、智慧环保”无锡环境监控物联网应用示范工程数据资源运维</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无锡市重点污染源综合信息平台及排放过程（工况）监控系统项目运维</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其他类运维服务</w:t>
            </w:r>
            <w:r>
              <w:rPr>
                <w:color w:val="auto"/>
                <w:highlight w:val="none"/>
              </w:rPr>
            </w:r>
            <w:r>
              <w:rPr>
                <w:color w:val="auto"/>
                <w:highlight w:val="none"/>
              </w:rP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数据服务</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安全服务</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运维咨询</w:t>
            </w:r>
            <w:r>
              <w:rPr>
                <w:color w:val="auto"/>
                <w:highlight w:val="none"/>
              </w:rPr>
            </w:r>
            <w:r>
              <w:rPr>
                <w:color w:val="auto"/>
                <w:highlight w:val="none"/>
              </w:rPr>
            </w:r>
          </w:p>
        </w:tc>
      </w:tr>
      <w:tr>
        <w:trPr>
          <w:cantSplit/>
        </w:trPr>
        <w:tc>
          <w:tcPr>
            <w:tcW w:w="1102" w:type="dxa"/>
            <w:vAlign w:val="top"/>
            <w:textDirection w:val="lrTb"/>
            <w:noWrap w:val="false"/>
          </w:tcPr>
          <w:p>
            <w:pPr>
              <w:pStyle w:val="808"/>
              <w:numPr>
                <w:ilvl w:val="0"/>
                <w:numId w:val="18"/>
              </w:numPr>
              <w:ind w:left="0" w:firstLine="0"/>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c>
          <w:tcPr>
            <w:tcW w:w="2496"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5571" w:type="dxa"/>
            <w:vAlign w:val="top"/>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项目管理</w:t>
            </w:r>
            <w:r>
              <w:rPr>
                <w:color w:val="auto"/>
                <w:highlight w:val="none"/>
              </w:rPr>
            </w:r>
            <w:r>
              <w:rPr>
                <w:color w:val="auto"/>
                <w:highlight w:val="none"/>
              </w:rPr>
            </w:r>
          </w:p>
        </w:tc>
      </w:tr>
    </w:tbl>
    <w:p>
      <w:pPr>
        <w:pStyle w:val="808"/>
        <w:ind w:firstLine="480"/>
        <w:jc w:val="left"/>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3.1  </w:t>
      </w:r>
      <w:r>
        <w:rPr>
          <w:rFonts w:hint="eastAsia" w:ascii="宋体" w:hAnsi="宋体"/>
          <w:b/>
          <w:color w:val="auto"/>
          <w:sz w:val="24"/>
          <w:szCs w:val="24"/>
          <w:highlight w:val="none"/>
        </w:rPr>
        <w:t xml:space="preserve">信息系统运维服务</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3.1.1  </w:t>
      </w:r>
      <w:r>
        <w:rPr>
          <w:rFonts w:hint="eastAsia" w:ascii="宋体" w:hAnsi="宋体"/>
          <w:b/>
          <w:color w:val="auto"/>
          <w:sz w:val="24"/>
          <w:szCs w:val="24"/>
          <w:highlight w:val="none"/>
        </w:rPr>
        <w:t xml:space="preserve">“感知环境、智慧环保”无锡环境监控物联网应用示范工程信息系统一期运维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“感知环境、智慧环保”无锡环境监控物联网应用示范工程</w:t>
      </w:r>
      <w:r>
        <w:rPr>
          <w:rFonts w:hint="eastAsia" w:ascii="宋体" w:hAnsi="宋体"/>
          <w:color w:val="auto"/>
          <w:sz w:val="24"/>
          <w:szCs w:val="24"/>
          <w:highlight w:val="none"/>
        </w:rPr>
        <w:t xml:space="preserve">包含的系统：</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系统支撑平台、环境地理信息专题图应用系统、环境视频统一监控系统、放射源自动监控系统、危废监控管理系统、机动车尾气检测自动监控系统、公众门户、内网门户、环境风险防范与应急指挥系统、环境监察管理平台、无锡市主要污染物总量平衡管理系统、污染防治资金系统、协同工作系统。</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color w:val="auto"/>
          <w:highlight w:val="none"/>
        </w:rPr>
      </w:r>
      <w:bookmarkStart w:id="198" w:name="_Hlk145429599"/>
      <w:r>
        <w:rPr>
          <w:rFonts w:hint="eastAsia" w:ascii="宋体" w:hAnsi="宋体"/>
          <w:color w:val="auto"/>
          <w:sz w:val="24"/>
          <w:szCs w:val="24"/>
          <w:highlight w:val="none"/>
        </w:rPr>
        <w:t xml:space="preserve">1、</w:t>
      </w:r>
      <w:r>
        <w:rPr>
          <w:rFonts w:ascii="宋体" w:hAnsi="宋体"/>
          <w:color w:val="auto"/>
          <w:sz w:val="24"/>
          <w:szCs w:val="24"/>
          <w:highlight w:val="none"/>
        </w:rPr>
        <w:t xml:space="preserve">运维服务标准与要求</w:t>
      </w:r>
      <w:bookmarkEnd w:id="198"/>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1）每日巡检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人员每天巡检运维范围内的业务信息系统及相关的运行环境，重点检查数据的及时性、完整性、规范性，服务的稳定性、连通性，功能的可用性等指标，检查数据交换平台交换任务是否正常运行，监控服务器、数据库的相关运行参数是否正常。将巡检结果形成每日巡检记录表，记录巡检内容、巡检结果、巡检时间、巡检人员等信息。</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2）月度巡检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人员每月对运维内容进行巡检，检查各业务系统运行情况、数据交换情况、服务执行状况、服务器运行情况、每月数据备份情况、月度数据对接量、每月日志记录和人员操作记录等，将巡检结果形成月度巡检记录表，记录巡检内容、巡检结果、巡检时间、巡检人员等信息。</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3）季度巡检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人员每季度对运维内容进行巡检，检查各业务系统运行整体情况、数据交换整体情况、服务执行整体状况、服务器季度日志情况、数据库季度使用情况，统计平台季度日志记录、人员操作记录以及平台季度处理的故障和问题记录等，将巡检结果形成季度巡检记录表，记录巡检内容、巡检结果、巡检时间、巡检人员等信息。</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运维服务内容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运行监控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信息系统日常运行监控包含以下内容：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对运行服务器进行运行监控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检查服务器的CPU占用率、内存占用率、硬盘占用率、WEB服务启动情况等内容，并且对检查结果进行记录，如果发现CPU或者内存占用率过高，及时检查原因并且联系机房解决。</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对数据库进行运行监控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检查内容包括内存使用率、磁盘使用率、表空间占用率、日志备份空间占用率等，如果发现数据库表空间占用率或者日志备份空间占用率超过85%，及时扩展数据</w:t>
      </w:r>
      <w:r>
        <w:rPr>
          <w:rFonts w:hint="eastAsia" w:ascii="宋体" w:hAnsi="宋体"/>
          <w:color w:val="auto"/>
          <w:sz w:val="24"/>
          <w:szCs w:val="24"/>
          <w:highlight w:val="none"/>
        </w:rPr>
        <w:t xml:space="preserve">库空间</w:t>
      </w:r>
      <w:r>
        <w:rPr>
          <w:rFonts w:ascii="宋体" w:hAnsi="宋体"/>
          <w:color w:val="auto"/>
          <w:sz w:val="24"/>
          <w:szCs w:val="24"/>
          <w:highlight w:val="none"/>
        </w:rPr>
        <w:t xml:space="preserve">或者</w:t>
      </w:r>
      <w:r>
        <w:rPr>
          <w:rFonts w:hint="eastAsia" w:ascii="宋体" w:hAnsi="宋体"/>
          <w:color w:val="auto"/>
          <w:sz w:val="24"/>
          <w:szCs w:val="24"/>
          <w:highlight w:val="none"/>
        </w:rPr>
        <w:t xml:space="preserve">清除</w:t>
      </w:r>
      <w:r>
        <w:rPr>
          <w:rFonts w:ascii="宋体" w:hAnsi="宋体"/>
          <w:color w:val="auto"/>
          <w:sz w:val="24"/>
          <w:szCs w:val="24"/>
          <w:highlight w:val="none"/>
        </w:rPr>
        <w:t xml:space="preserve">数据库</w:t>
      </w:r>
      <w:r>
        <w:rPr>
          <w:rFonts w:hint="eastAsia" w:ascii="宋体" w:hAnsi="宋体"/>
          <w:color w:val="auto"/>
          <w:sz w:val="24"/>
          <w:szCs w:val="24"/>
          <w:highlight w:val="none"/>
        </w:rPr>
        <w:t xml:space="preserve">过期的</w:t>
      </w:r>
      <w:r>
        <w:rPr>
          <w:rFonts w:ascii="宋体" w:hAnsi="宋体"/>
          <w:color w:val="auto"/>
          <w:sz w:val="24"/>
          <w:szCs w:val="24"/>
          <w:highlight w:val="none"/>
        </w:rPr>
        <w:t xml:space="preserve">操作日志</w:t>
      </w:r>
      <w:r>
        <w:rPr>
          <w:rFonts w:hint="eastAsia" w:ascii="宋体" w:hAnsi="宋体"/>
          <w:color w:val="auto"/>
          <w:sz w:val="24"/>
          <w:szCs w:val="24"/>
          <w:highlight w:val="none"/>
        </w:rPr>
        <w:t xml:space="preserve">文件</w:t>
      </w:r>
      <w:r>
        <w:rPr>
          <w:rFonts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对数据交换平台进行运行监控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检查内容为各个数据交换任务的执行情况，检查过程中需要对检查结果进行记录，发现问题需要及时解决。</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驻场+远程，7*24。</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定期巡检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信息系统定期巡检包含以下内容：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桌面设备例行维护服务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对信息中心桌面设备进行巡检，是否可以正常使用。重点科室巡检，并随时关注工作交流群中相关人员提出的服务请求。</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基础软件例行维护服务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对操作系统、数据库系统、中间件、语言处理系统和办公软件等基础软件进行巡检的运维服务。</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各种应用软件例行维护服务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对系统支撑平台、</w:t>
      </w:r>
      <w:r>
        <w:rPr>
          <w:rFonts w:ascii="宋体" w:hAnsi="宋体"/>
          <w:color w:val="auto"/>
          <w:sz w:val="24"/>
          <w:szCs w:val="24"/>
          <w:highlight w:val="none"/>
        </w:rPr>
        <w:t xml:space="preserve">APP、各个子系统页面是否正常，数据是否及时有效，系统页面的运行状况进行例行检查。</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驻场：5*8，远程：7*24，响应时间10分钟。</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故障处理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对系统在使用过程中出现的故障问题，如数据异常、数据错误等问题进行处理，查找原因并及时修复。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驻场+远程，7*24。</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数据备份</w:t>
      </w:r>
      <w:r>
        <w:rPr>
          <w:rFonts w:hint="eastAsia" w:ascii="宋体" w:hAnsi="宋体"/>
          <w:color w:val="auto"/>
          <w:sz w:val="24"/>
          <w:szCs w:val="24"/>
          <w:highlight w:val="none"/>
        </w:rPr>
        <w:t xml:space="preserve">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备份策略</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为保障信息系统的安全性和稳定性，当系统出现操作失误或系统故障导致数据丢失时，能够依靠备份尽快的恢复系统和数据。将针对业务中不同系统的数据，采用安全完善的备份方法。根据实际情况，定期定时采用完全备份、增量备份等不同的备份策略，从而确保应用系统和数据的安全性。</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备份管理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重要系统备份将保留两份拷贝，一份在使用现场保存，保证数据的正常快速回复和数据查询，另一份异地保存，避免发生灾害事件后数据无法恢复。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加强对存储介质的安全性管理，建立介质的管理制度和废弃介质的处理制度，并符合有关保密规定。制定规范严格的介质保存和存取控制制度。</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保留规定周期的备份数据，对超过规定周期的数据进行删除销毁。</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备份校验</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安排专人对备份的数据定期检查备份日志，查看是否存在异常等情况，并定期对备份数据文件校验，以确保备份的有效性和备份恢复的可行性，对备份恢复测试的数据作明确记录，特别要详细记录出现的问题和故障，并通知相关技术人员处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每日增量备份，每周差异备份，每月全量备份。同时每三个月组织一次数据恢复演练。</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日常技术支持</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信息系统日常技术支持包含以下内容：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系统安装和配置</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包括客户电脑设备简单问题的解决以及软件系统的安装、配置、调试、操作培训、问题解决等</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系统维护和升级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包括对系统进行定期检查、维护和保养，及时修复故障，更新系统版本等</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数据库管理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包括数据库的备份、恢复、优化和安全管理等；</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安全管理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包括对系统进行定期杀毒、漏洞扫描和修补、用户权限管理等，确保信息系统的安全可靠。</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驻场：5*8，远程：7*24。</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rPr>
        <w:t xml:space="preserve">）</w:t>
      </w:r>
      <w:r>
        <w:rPr>
          <w:rFonts w:ascii="宋体" w:hAnsi="宋体"/>
          <w:color w:val="auto"/>
          <w:sz w:val="24"/>
          <w:szCs w:val="24"/>
          <w:highlight w:val="none"/>
        </w:rPr>
        <w:t xml:space="preserve">信息资产统计服务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此项服务为基本服务，包含在运行维护服务中，帮助我们对用户现有的信息资产情况进行了解，更好的提供系统的运行维护服务。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服务内容包括：</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硬件设备型号、数量、版本等信息统计记录</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软件产品型号、版本和补丁等信息统计记录</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网络结构、网络路由、网络IP地址统计记录</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综合布线系统结构图的绘制</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其它附属设备的统计记录</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驻场：5*8，远程：7*24。</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w:t>
      </w:r>
      <w:r>
        <w:rPr>
          <w:rFonts w:hint="eastAsia" w:ascii="宋体" w:hAnsi="宋体"/>
          <w:color w:val="auto"/>
          <w:sz w:val="24"/>
          <w:szCs w:val="24"/>
          <w:highlight w:val="none"/>
        </w:rPr>
        <w:t xml:space="preserve">）</w:t>
      </w:r>
      <w:r>
        <w:rPr>
          <w:rFonts w:ascii="宋体" w:hAnsi="宋体"/>
          <w:color w:val="auto"/>
          <w:sz w:val="24"/>
          <w:szCs w:val="24"/>
          <w:highlight w:val="none"/>
        </w:rPr>
        <w:t xml:space="preserve">数据库系统运维服务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日巡检内容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驻场运维人员对业务系统数据库进行日常巡检，监控数据库关键运行状态和进程等，并进行有效管理，具体服务包含：</w:t>
      </w:r>
      <w:r>
        <w:rPr>
          <w:color w:val="auto"/>
          <w:highlight w:val="none"/>
        </w:rPr>
      </w:r>
      <w:r>
        <w:rPr>
          <w:color w:val="auto"/>
          <w:highlight w:val="none"/>
        </w:rPr>
      </w:r>
    </w:p>
    <w:p>
      <w:pPr>
        <w:pStyle w:val="808"/>
        <w:numPr>
          <w:ilvl w:val="0"/>
          <w:numId w:val="20"/>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数据库实例的可用性，监控数据库实例的状态</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20"/>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空间监控：监控数据库空间、表空间的使用情况、数据文件占用或空闲空间</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20"/>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对日常数据进行检查，检查数据的及时性、正确性、完整性</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20"/>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检查数据库日志记录情况、磁盘使用情况。</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周巡检内容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驻场运维人员对业务系统基础数据进行巡检，检查数据的有效性，去除无效数据，提高数据库的运行效率。对主要表数据进行统计，统计数据量并优化，提高运行效率。</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季巡检内容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驻场运维人员检查业务系统数据交换任务，数据从来源端进行抽取、转换、加载至目的端的过程中，数据是否正确、完整、一致、完备、有效。如发现问题，及时提出解决方案，优化交换效率。</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数据安全保障</w:t>
      </w:r>
      <w:r>
        <w:rPr>
          <w:color w:val="auto"/>
          <w:highlight w:val="none"/>
        </w:rPr>
      </w:r>
      <w:r>
        <w:rPr>
          <w:color w:val="auto"/>
          <w:highlight w:val="none"/>
        </w:rPr>
      </w:r>
    </w:p>
    <w:p>
      <w:pPr>
        <w:pStyle w:val="808"/>
        <w:numPr>
          <w:ilvl w:val="0"/>
          <w:numId w:val="21"/>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数据独立性保障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不断对数据库进行优化，不会因为系统数据存储结构与数据逻辑结构的变化而影响应用程序。</w:t>
      </w:r>
      <w:r>
        <w:rPr>
          <w:color w:val="auto"/>
          <w:highlight w:val="none"/>
        </w:rPr>
      </w:r>
      <w:r>
        <w:rPr>
          <w:color w:val="auto"/>
          <w:highlight w:val="none"/>
        </w:rPr>
      </w:r>
    </w:p>
    <w:p>
      <w:pPr>
        <w:pStyle w:val="808"/>
        <w:numPr>
          <w:ilvl w:val="0"/>
          <w:numId w:val="21"/>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数据安全性保障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对系统数据做好备份工作，并且在数据存储、传输过程中保障安全保密。环境监测数据属于敏感性很强的保密数据，在其处理过程中，特别是与各级用户数据交换过程中，保证数据的安全保密性。</w:t>
      </w:r>
      <w:r>
        <w:rPr>
          <w:color w:val="auto"/>
          <w:highlight w:val="none"/>
        </w:rPr>
      </w:r>
      <w:r>
        <w:rPr>
          <w:color w:val="auto"/>
          <w:highlight w:val="none"/>
        </w:rPr>
      </w:r>
    </w:p>
    <w:p>
      <w:pPr>
        <w:pStyle w:val="808"/>
        <w:numPr>
          <w:ilvl w:val="0"/>
          <w:numId w:val="21"/>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数据并发控制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做好数据并发控制工作，对并发操作进行正确调度、保证事务的隔离性、保证数据库的一致性。</w:t>
      </w:r>
      <w:r>
        <w:rPr>
          <w:color w:val="auto"/>
          <w:highlight w:val="none"/>
        </w:rPr>
      </w:r>
      <w:r>
        <w:rPr>
          <w:color w:val="auto"/>
          <w:highlight w:val="none"/>
        </w:rPr>
      </w:r>
    </w:p>
    <w:p>
      <w:pPr>
        <w:pStyle w:val="808"/>
        <w:numPr>
          <w:ilvl w:val="0"/>
          <w:numId w:val="21"/>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数据安全威胁处置</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在数据安全受到威胁时，如硬盘驱动器损坏、人为错误、病毒、信息窃取、电源故障等因素，采取相应措施来保障数据安全。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数据应急保障</w:t>
      </w:r>
      <w:r>
        <w:rPr>
          <w:color w:val="auto"/>
          <w:highlight w:val="none"/>
        </w:rPr>
      </w:r>
      <w:r>
        <w:rPr>
          <w:color w:val="auto"/>
          <w:highlight w:val="none"/>
        </w:rPr>
      </w:r>
    </w:p>
    <w:p>
      <w:pPr>
        <w:pStyle w:val="808"/>
        <w:numPr>
          <w:ilvl w:val="0"/>
          <w:numId w:val="22"/>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编制应急方案</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针对硬件故障、服务器软件系统故障、网络故障、病毒破坏等突发事件，形成对应的知识库，当获悉出现突发事件时，技术支持人员可以立即从知识库中获取相应的应急策略，并综合用户方的具体情况，给出相关解决方案，进行快速响应和处理，在最短时间内恢复业务系统，将损失降到最低。</w:t>
      </w:r>
      <w:r>
        <w:rPr>
          <w:color w:val="auto"/>
          <w:highlight w:val="none"/>
        </w:rPr>
      </w:r>
      <w:r>
        <w:rPr>
          <w:color w:val="auto"/>
          <w:highlight w:val="none"/>
        </w:rPr>
      </w:r>
    </w:p>
    <w:p>
      <w:pPr>
        <w:pStyle w:val="808"/>
        <w:numPr>
          <w:ilvl w:val="0"/>
          <w:numId w:val="21"/>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实行应急演练</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制定详细的演练计划，来验证应急方案的可行性和正确性，检查运维人员对紧急情况的反应速度，以及对故障应急定位的准确性，达到在真正出现突发事件时能在最短的时间内解决问题，同时检查整个运维部门应对故障的联动效果。</w:t>
      </w:r>
      <w:r>
        <w:rPr>
          <w:color w:val="auto"/>
          <w:highlight w:val="none"/>
        </w:rPr>
      </w:r>
      <w:r>
        <w:rPr>
          <w:color w:val="auto"/>
          <w:highlight w:val="none"/>
        </w:rPr>
      </w:r>
    </w:p>
    <w:p>
      <w:pPr>
        <w:pStyle w:val="808"/>
        <w:numPr>
          <w:ilvl w:val="0"/>
          <w:numId w:val="21"/>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重大数据故障应急处置</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针对重大数据故障，准确判断并及时采取有效措施，迅速控制事件影响程度和范围，确保信息系统尽快恢复正常、减少损失。</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驻场：5*8，远程：7*24，响应时间10分钟。</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8</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中间件运维服务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中间件管理是指对</w:t>
      </w:r>
      <w:r>
        <w:rPr>
          <w:rFonts w:ascii="宋体" w:hAnsi="宋体"/>
          <w:color w:val="auto"/>
          <w:sz w:val="24"/>
          <w:szCs w:val="24"/>
          <w:highlight w:val="none"/>
        </w:rPr>
        <w:t xml:space="preserve">Tomcat、MQ等中间件的日常维护管理和监控工作，提高对中间件平台事件的分析解决能力，确保中间件平台持续稳定运行。中间件监控指标包括配置信息管理、故障监控、性能监控。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驻场：5*8，远程：7*24，响应时间10分钟。</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9</w:t>
      </w:r>
      <w:r>
        <w:rPr>
          <w:rFonts w:hint="eastAsia" w:ascii="宋体" w:hAnsi="宋体"/>
          <w:color w:val="auto"/>
          <w:sz w:val="24"/>
          <w:szCs w:val="24"/>
          <w:highlight w:val="none"/>
        </w:rPr>
        <w:t xml:space="preserve">）</w:t>
      </w:r>
      <w:r>
        <w:rPr>
          <w:rFonts w:ascii="宋体" w:hAnsi="宋体"/>
          <w:color w:val="auto"/>
          <w:sz w:val="24"/>
          <w:szCs w:val="24"/>
          <w:highlight w:val="none"/>
        </w:rPr>
        <w:t xml:space="preserve">应急措施服务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紧急事件的应急响应服务能力是技术服务质量的重要组成方面。当严重的信息系统故障发生，或影响信息系统的故障长时间不能得到有效解决时，对用户而言，该故障实际上就形成了紧急事件，需应急响应及时解决系统运行过程中的安全突发事件，以保证系统的正常稳定运行。具体需要提供以下服务：</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软件平台及数据中心的应急故障服务</w:t>
      </w:r>
      <w:r>
        <w:rPr>
          <w:color w:val="auto"/>
          <w:highlight w:val="none"/>
        </w:rPr>
      </w:r>
      <w:r>
        <w:rPr>
          <w:color w:val="auto"/>
          <w:highlight w:val="none"/>
        </w:rPr>
      </w:r>
    </w:p>
    <w:p>
      <w:pPr>
        <w:pStyle w:val="808"/>
        <w:numPr>
          <w:ilvl w:val="0"/>
          <w:numId w:val="23"/>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软件平台的应急故障服务</w:t>
      </w:r>
      <w:r>
        <w:rPr>
          <w:color w:val="auto"/>
          <w:highlight w:val="none"/>
        </w:rPr>
      </w:r>
      <w:r>
        <w:rPr>
          <w:color w:val="auto"/>
          <w:highlight w:val="none"/>
        </w:rPr>
      </w:r>
    </w:p>
    <w:p>
      <w:pPr>
        <w:pStyle w:val="808"/>
        <w:numPr>
          <w:ilvl w:val="0"/>
          <w:numId w:val="23"/>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数据中心的应急故障服务</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系统重大故障的应急预案</w:t>
      </w:r>
      <w:r>
        <w:rPr>
          <w:color w:val="auto"/>
          <w:highlight w:val="none"/>
        </w:rPr>
      </w:r>
      <w:r>
        <w:rPr>
          <w:color w:val="auto"/>
          <w:highlight w:val="none"/>
        </w:rPr>
      </w:r>
    </w:p>
    <w:p>
      <w:pPr>
        <w:pStyle w:val="808"/>
        <w:numPr>
          <w:ilvl w:val="0"/>
          <w:numId w:val="23"/>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网络攻击事件预案</w:t>
      </w:r>
      <w:r>
        <w:rPr>
          <w:color w:val="auto"/>
          <w:highlight w:val="none"/>
        </w:rPr>
      </w:r>
      <w:r>
        <w:rPr>
          <w:color w:val="auto"/>
          <w:highlight w:val="none"/>
        </w:rPr>
      </w:r>
    </w:p>
    <w:p>
      <w:pPr>
        <w:pStyle w:val="808"/>
        <w:numPr>
          <w:ilvl w:val="0"/>
          <w:numId w:val="23"/>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信息破坏事件预案</w:t>
      </w:r>
      <w:r>
        <w:rPr>
          <w:color w:val="auto"/>
          <w:highlight w:val="none"/>
        </w:rPr>
      </w:r>
      <w:r>
        <w:rPr>
          <w:color w:val="auto"/>
          <w:highlight w:val="none"/>
        </w:rPr>
      </w:r>
    </w:p>
    <w:p>
      <w:pPr>
        <w:pStyle w:val="808"/>
        <w:numPr>
          <w:ilvl w:val="0"/>
          <w:numId w:val="23"/>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信息内容安全事件应急预案</w:t>
      </w:r>
      <w:r>
        <w:rPr>
          <w:color w:val="auto"/>
          <w:highlight w:val="none"/>
        </w:rPr>
      </w:r>
      <w:r>
        <w:rPr>
          <w:color w:val="auto"/>
          <w:highlight w:val="none"/>
        </w:rPr>
      </w:r>
    </w:p>
    <w:p>
      <w:pPr>
        <w:pStyle w:val="808"/>
        <w:numPr>
          <w:ilvl w:val="0"/>
          <w:numId w:val="23"/>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网络故障事件应急预案</w:t>
      </w:r>
      <w:r>
        <w:rPr>
          <w:color w:val="auto"/>
          <w:highlight w:val="none"/>
        </w:rPr>
      </w:r>
      <w:r>
        <w:rPr>
          <w:color w:val="auto"/>
          <w:highlight w:val="none"/>
        </w:rPr>
      </w:r>
    </w:p>
    <w:p>
      <w:pPr>
        <w:pStyle w:val="808"/>
        <w:numPr>
          <w:ilvl w:val="0"/>
          <w:numId w:val="23"/>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服务器故障应急预案</w:t>
      </w:r>
      <w:r>
        <w:rPr>
          <w:color w:val="auto"/>
          <w:highlight w:val="none"/>
        </w:rPr>
      </w:r>
      <w:r>
        <w:rPr>
          <w:color w:val="auto"/>
          <w:highlight w:val="none"/>
        </w:rPr>
      </w:r>
    </w:p>
    <w:p>
      <w:pPr>
        <w:pStyle w:val="808"/>
        <w:numPr>
          <w:ilvl w:val="0"/>
          <w:numId w:val="23"/>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软件故障事件应急预案</w:t>
      </w:r>
      <w:r>
        <w:rPr>
          <w:color w:val="auto"/>
          <w:highlight w:val="none"/>
        </w:rPr>
      </w:r>
      <w:r>
        <w:rPr>
          <w:color w:val="auto"/>
          <w:highlight w:val="none"/>
        </w:rPr>
      </w:r>
    </w:p>
    <w:p>
      <w:pPr>
        <w:pStyle w:val="808"/>
        <w:numPr>
          <w:ilvl w:val="0"/>
          <w:numId w:val="23"/>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灾害性事件应急预案</w:t>
      </w:r>
      <w:r>
        <w:rPr>
          <w:color w:val="auto"/>
          <w:highlight w:val="none"/>
        </w:rPr>
      </w:r>
      <w:r>
        <w:rPr>
          <w:color w:val="auto"/>
          <w:highlight w:val="none"/>
        </w:rPr>
      </w:r>
    </w:p>
    <w:p>
      <w:pPr>
        <w:pStyle w:val="808"/>
        <w:numPr>
          <w:ilvl w:val="0"/>
          <w:numId w:val="23"/>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其他突发事件应急预案</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措施安排方案</w:t>
      </w:r>
      <w:r>
        <w:rPr>
          <w:color w:val="auto"/>
          <w:highlight w:val="none"/>
        </w:rPr>
      </w:r>
      <w:r>
        <w:rPr>
          <w:color w:val="auto"/>
          <w:highlight w:val="none"/>
        </w:rPr>
      </w:r>
    </w:p>
    <w:p>
      <w:pPr>
        <w:pStyle w:val="808"/>
        <w:numPr>
          <w:ilvl w:val="0"/>
          <w:numId w:val="23"/>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应急响应措施</w:t>
      </w:r>
      <w:r>
        <w:rPr>
          <w:color w:val="auto"/>
          <w:highlight w:val="none"/>
        </w:rPr>
      </w:r>
      <w:r>
        <w:rPr>
          <w:color w:val="auto"/>
          <w:highlight w:val="none"/>
        </w:rPr>
      </w:r>
    </w:p>
    <w:p>
      <w:pPr>
        <w:pStyle w:val="808"/>
        <w:numPr>
          <w:ilvl w:val="0"/>
          <w:numId w:val="23"/>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应急措施安排方法</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驻场：5*8，远程：7*24，响应时间10分钟。</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信息系统运维服务交付成果</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服务器巡检记录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业务系统巡检记录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数据交换任务巡检记录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数据巡检记录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中间件巡检记录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数据库巡检记录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数据交换记录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数据共享记录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应急处置预案</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应急事件处置记录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应急演练记录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信息资产台帐</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数据备份记录表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故障诊断分析和解决方案报告</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运维过程巡检记录</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3.1.2  </w:t>
      </w:r>
      <w:r>
        <w:rPr>
          <w:rFonts w:hint="eastAsia" w:ascii="宋体" w:hAnsi="宋体"/>
          <w:b/>
          <w:color w:val="auto"/>
          <w:sz w:val="24"/>
          <w:szCs w:val="24"/>
          <w:highlight w:val="none"/>
        </w:rPr>
        <w:t xml:space="preserve">“感知环境、智慧环保”无锡环境监控物联网应用示范工程信息系统二期运维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“感知环境、智慧环保”无锡环境监控物联网应用示范工程</w:t>
      </w:r>
      <w:r>
        <w:rPr>
          <w:rFonts w:hint="eastAsia" w:ascii="宋体" w:hAnsi="宋体"/>
          <w:color w:val="auto"/>
          <w:sz w:val="24"/>
          <w:szCs w:val="24"/>
          <w:highlight w:val="none"/>
        </w:rPr>
        <w:t xml:space="preserve">包含的系统：</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系统支撑平台、环境地理信息专题图应用系统、环境视频统一监控系统、数据资产管控平台、资源目录系统、一源一档系统、地理信息平台、无锡市生态环境综合APP。</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运维服务标准与要求</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1）每日巡检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人员每天巡检运维范围内的业务信息系统及相关的运行环境，重点检查数据的及时性、完整性、规范性，服务的稳定性、连通性，功能的可用性等指标，检查数据交换平台交换任务是否正常运行，监控服务器、数据库的相关运行参数是否正常。将巡检结果形成每日巡检记录表，记录巡检内容、巡检结果、巡检时间、巡检人员等信息。</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2）月度巡检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人员每月对运维内容进行巡检，检查各业务系统运行情况、数据交换情况、服务执行状况、服务器运行情况、每月数据备份情况、月度数据对接量、每月日志记录和人员操作记录等，将巡检结果形成月度巡检记录表，记录巡检内容、巡检结果、巡检时间、巡检人员等信息。</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3）季度巡检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人员每季度对运维内容进行巡检，检查各业务系统运行整体情况、数据交换整体情况、服务执行整体状况、服务器季度日志情况、数据库季度使用情况，统计平台季度日志记录、人员操作记录以及平台季度处理的故障和问题记录等，将巡检结果形成季度巡检记录表，记录巡检内容、巡检结果、巡检时间、巡检人员等信息。</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运维服务内容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运行监控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信息系统日常运行监控包含以下内容：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对运行服务器进行运行监控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检查服务器的CPU占用率、内存占用率、硬盘占用率、WEB服务启动情况等内容，并且对检查结果进行记录，如果发现CPU或者内存占用率过高，及时检查原因并且联系机房解决。</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对数据库进行运行监控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检查内容包括内存使用率、磁盘使用率、表空间占用率、日志备份空间占用率等，如果发现数据库表空间占用率或者日志备份空间占用率超过85%，及时扩展数据</w:t>
      </w:r>
      <w:r>
        <w:rPr>
          <w:rFonts w:hint="eastAsia" w:ascii="宋体" w:hAnsi="宋体"/>
          <w:color w:val="auto"/>
          <w:sz w:val="24"/>
          <w:szCs w:val="24"/>
          <w:highlight w:val="none"/>
        </w:rPr>
        <w:t xml:space="preserve">库空间</w:t>
      </w:r>
      <w:r>
        <w:rPr>
          <w:rFonts w:ascii="宋体" w:hAnsi="宋体"/>
          <w:color w:val="auto"/>
          <w:sz w:val="24"/>
          <w:szCs w:val="24"/>
          <w:highlight w:val="none"/>
        </w:rPr>
        <w:t xml:space="preserve">或者</w:t>
      </w:r>
      <w:r>
        <w:rPr>
          <w:rFonts w:hint="eastAsia" w:ascii="宋体" w:hAnsi="宋体"/>
          <w:color w:val="auto"/>
          <w:sz w:val="24"/>
          <w:szCs w:val="24"/>
          <w:highlight w:val="none"/>
        </w:rPr>
        <w:t xml:space="preserve">清除</w:t>
      </w:r>
      <w:r>
        <w:rPr>
          <w:rFonts w:ascii="宋体" w:hAnsi="宋体"/>
          <w:color w:val="auto"/>
          <w:sz w:val="24"/>
          <w:szCs w:val="24"/>
          <w:highlight w:val="none"/>
        </w:rPr>
        <w:t xml:space="preserve">数据库</w:t>
      </w:r>
      <w:r>
        <w:rPr>
          <w:rFonts w:hint="eastAsia" w:ascii="宋体" w:hAnsi="宋体"/>
          <w:color w:val="auto"/>
          <w:sz w:val="24"/>
          <w:szCs w:val="24"/>
          <w:highlight w:val="none"/>
        </w:rPr>
        <w:t xml:space="preserve">过期的</w:t>
      </w:r>
      <w:r>
        <w:rPr>
          <w:rFonts w:ascii="宋体" w:hAnsi="宋体"/>
          <w:color w:val="auto"/>
          <w:sz w:val="24"/>
          <w:szCs w:val="24"/>
          <w:highlight w:val="none"/>
        </w:rPr>
        <w:t xml:space="preserve">操作日志</w:t>
      </w:r>
      <w:r>
        <w:rPr>
          <w:rFonts w:hint="eastAsia" w:ascii="宋体" w:hAnsi="宋体"/>
          <w:color w:val="auto"/>
          <w:sz w:val="24"/>
          <w:szCs w:val="24"/>
          <w:highlight w:val="none"/>
        </w:rPr>
        <w:t xml:space="preserve">文件</w:t>
      </w:r>
      <w:r>
        <w:rPr>
          <w:rFonts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对数据交换平台进行运行监控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检查内容为各个数据交换任务的执行情况，检查过程中需要对检查结果进行记录，发现问题需要及时解决。</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驻场+远程，7*24。</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数据处理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信息系统日常数据处理包含生态环境数据对接、生态环境数据共享、数据报告及报表制作。</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生态环境数据对接</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运维人员根据无锡市生态环境局要求进行生态环境数据对接，数据对接内容包括数据采集、数据梳理、数据加工、数据存储及相关数据展示功能。</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本项目对接的数据涉及环境质量数据（水、气、声、渣）、空气质量预测预报数据、大气</w:t>
      </w:r>
      <w:r>
        <w:rPr>
          <w:rFonts w:ascii="宋体" w:hAnsi="宋体"/>
          <w:color w:val="auto"/>
          <w:sz w:val="24"/>
          <w:szCs w:val="24"/>
          <w:highlight w:val="none"/>
        </w:rPr>
        <w:t xml:space="preserve">VOC数据、手动监测数据、移动执法数据、用电监控数据、工况监控数据、视频监控数据、污染源自动监控数据、工地扬尘数据、港口粉尘数据、固废数据、省厅下发数据</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运维服务人员在数据对接的过程中，需要对数据进行梳理、加工后再入库，以满足生态环境局的业务需求。需要对接的数据如下：</w:t>
      </w:r>
      <w:r>
        <w:rPr>
          <w:color w:val="auto"/>
          <w:highlight w:val="none"/>
        </w:rPr>
      </w:r>
      <w:r>
        <w:rPr>
          <w:color w:val="auto"/>
          <w:highlight w:val="none"/>
        </w:rPr>
      </w:r>
    </w:p>
    <w:p>
      <w:pPr>
        <w:pStyle w:val="808"/>
        <w:numPr>
          <w:ilvl w:val="0"/>
          <w:numId w:val="24"/>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大气</w:t>
      </w:r>
      <w:r>
        <w:rPr>
          <w:rFonts w:ascii="宋体" w:hAnsi="宋体"/>
          <w:color w:val="auto"/>
          <w:sz w:val="24"/>
          <w:szCs w:val="24"/>
          <w:highlight w:val="none"/>
        </w:rPr>
        <w:t xml:space="preserve">VOC数据对接</w:t>
      </w:r>
      <w:r>
        <w:rPr>
          <w:color w:val="auto"/>
          <w:highlight w:val="none"/>
        </w:rPr>
      </w:r>
      <w:r>
        <w:rPr>
          <w:color w:val="auto"/>
          <w:highlight w:val="none"/>
        </w:rPr>
      </w:r>
    </w:p>
    <w:p>
      <w:pPr>
        <w:pStyle w:val="808"/>
        <w:numPr>
          <w:ilvl w:val="0"/>
          <w:numId w:val="24"/>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污染源工况监控数据</w:t>
      </w:r>
      <w:r>
        <w:rPr>
          <w:color w:val="auto"/>
          <w:highlight w:val="none"/>
        </w:rPr>
      </w:r>
      <w:r>
        <w:rPr>
          <w:color w:val="auto"/>
          <w:highlight w:val="none"/>
        </w:rPr>
      </w:r>
    </w:p>
    <w:p>
      <w:pPr>
        <w:pStyle w:val="808"/>
        <w:numPr>
          <w:ilvl w:val="0"/>
          <w:numId w:val="24"/>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污染源自动监控数据</w:t>
      </w:r>
      <w:r>
        <w:rPr>
          <w:color w:val="auto"/>
          <w:highlight w:val="none"/>
        </w:rPr>
      </w:r>
      <w:r>
        <w:rPr>
          <w:color w:val="auto"/>
          <w:highlight w:val="none"/>
        </w:rPr>
      </w:r>
    </w:p>
    <w:p>
      <w:pPr>
        <w:pStyle w:val="808"/>
        <w:numPr>
          <w:ilvl w:val="0"/>
          <w:numId w:val="24"/>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汽车遥感尾气数据</w:t>
      </w:r>
      <w:r>
        <w:rPr>
          <w:color w:val="auto"/>
          <w:highlight w:val="none"/>
        </w:rPr>
      </w:r>
      <w:r>
        <w:rPr>
          <w:color w:val="auto"/>
          <w:highlight w:val="none"/>
        </w:rPr>
      </w:r>
    </w:p>
    <w:p>
      <w:pPr>
        <w:pStyle w:val="808"/>
        <w:numPr>
          <w:ilvl w:val="0"/>
          <w:numId w:val="24"/>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港口粉尘数据</w:t>
      </w:r>
      <w:r>
        <w:rPr>
          <w:color w:val="auto"/>
          <w:highlight w:val="none"/>
        </w:rPr>
      </w:r>
      <w:r>
        <w:rPr>
          <w:color w:val="auto"/>
          <w:highlight w:val="none"/>
        </w:rPr>
      </w:r>
    </w:p>
    <w:p>
      <w:pPr>
        <w:pStyle w:val="808"/>
        <w:numPr>
          <w:ilvl w:val="0"/>
          <w:numId w:val="24"/>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污染源用电监控数据</w:t>
      </w:r>
      <w:r>
        <w:rPr>
          <w:color w:val="auto"/>
          <w:highlight w:val="none"/>
        </w:rPr>
      </w:r>
      <w:r>
        <w:rPr>
          <w:color w:val="auto"/>
          <w:highlight w:val="none"/>
        </w:rPr>
      </w:r>
    </w:p>
    <w:p>
      <w:pPr>
        <w:pStyle w:val="808"/>
        <w:numPr>
          <w:ilvl w:val="0"/>
          <w:numId w:val="24"/>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移动执法数据</w:t>
      </w:r>
      <w:r>
        <w:rPr>
          <w:color w:val="auto"/>
          <w:highlight w:val="none"/>
        </w:rPr>
      </w:r>
      <w:r>
        <w:rPr>
          <w:color w:val="auto"/>
          <w:highlight w:val="none"/>
        </w:rPr>
      </w:r>
    </w:p>
    <w:p>
      <w:pPr>
        <w:pStyle w:val="808"/>
        <w:numPr>
          <w:ilvl w:val="0"/>
          <w:numId w:val="24"/>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信访线索数据</w:t>
      </w:r>
      <w:r>
        <w:rPr>
          <w:color w:val="auto"/>
          <w:highlight w:val="none"/>
        </w:rPr>
      </w:r>
      <w:r>
        <w:rPr>
          <w:color w:val="auto"/>
          <w:highlight w:val="none"/>
        </w:rPr>
      </w:r>
    </w:p>
    <w:p>
      <w:pPr>
        <w:pStyle w:val="808"/>
        <w:numPr>
          <w:ilvl w:val="0"/>
          <w:numId w:val="24"/>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空气质量自动监测数据</w:t>
      </w:r>
      <w:r>
        <w:rPr>
          <w:color w:val="auto"/>
          <w:highlight w:val="none"/>
        </w:rPr>
      </w:r>
      <w:r>
        <w:rPr>
          <w:color w:val="auto"/>
          <w:highlight w:val="none"/>
        </w:rPr>
      </w:r>
    </w:p>
    <w:p>
      <w:pPr>
        <w:pStyle w:val="808"/>
        <w:numPr>
          <w:ilvl w:val="0"/>
          <w:numId w:val="24"/>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水环境质量自动监测数据</w:t>
      </w:r>
      <w:r>
        <w:rPr>
          <w:color w:val="auto"/>
          <w:highlight w:val="none"/>
        </w:rPr>
      </w:r>
      <w:r>
        <w:rPr>
          <w:color w:val="auto"/>
          <w:highlight w:val="none"/>
        </w:rPr>
      </w:r>
    </w:p>
    <w:p>
      <w:pPr>
        <w:pStyle w:val="808"/>
        <w:numPr>
          <w:ilvl w:val="0"/>
          <w:numId w:val="24"/>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空气质量预测预报数据</w:t>
      </w:r>
      <w:r>
        <w:rPr>
          <w:color w:val="auto"/>
          <w:highlight w:val="none"/>
        </w:rPr>
      </w:r>
      <w:r>
        <w:rPr>
          <w:color w:val="auto"/>
          <w:highlight w:val="none"/>
        </w:rPr>
      </w:r>
    </w:p>
    <w:p>
      <w:pPr>
        <w:pStyle w:val="808"/>
        <w:numPr>
          <w:ilvl w:val="0"/>
          <w:numId w:val="24"/>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工业园区数据</w:t>
      </w:r>
      <w:r>
        <w:rPr>
          <w:color w:val="auto"/>
          <w:highlight w:val="none"/>
        </w:rPr>
      </w:r>
      <w:r>
        <w:rPr>
          <w:color w:val="auto"/>
          <w:highlight w:val="none"/>
        </w:rPr>
      </w:r>
    </w:p>
    <w:p>
      <w:pPr>
        <w:pStyle w:val="808"/>
        <w:numPr>
          <w:ilvl w:val="0"/>
          <w:numId w:val="24"/>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工地扬尘数据</w:t>
      </w:r>
      <w:r>
        <w:rPr>
          <w:color w:val="auto"/>
          <w:highlight w:val="none"/>
        </w:rPr>
      </w:r>
      <w:r>
        <w:rPr>
          <w:color w:val="auto"/>
          <w:highlight w:val="none"/>
        </w:rPr>
      </w:r>
    </w:p>
    <w:p>
      <w:pPr>
        <w:pStyle w:val="808"/>
        <w:numPr>
          <w:ilvl w:val="0"/>
          <w:numId w:val="24"/>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油烟监测数据</w:t>
      </w:r>
      <w:r>
        <w:rPr>
          <w:color w:val="auto"/>
          <w:highlight w:val="none"/>
        </w:rPr>
      </w:r>
      <w:r>
        <w:rPr>
          <w:color w:val="auto"/>
          <w:highlight w:val="none"/>
        </w:rPr>
      </w:r>
    </w:p>
    <w:p>
      <w:pPr>
        <w:pStyle w:val="808"/>
        <w:numPr>
          <w:ilvl w:val="0"/>
          <w:numId w:val="24"/>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组分站数据</w:t>
      </w:r>
      <w:r>
        <w:rPr>
          <w:color w:val="auto"/>
          <w:highlight w:val="none"/>
        </w:rPr>
      </w:r>
      <w:r>
        <w:rPr>
          <w:color w:val="auto"/>
          <w:highlight w:val="none"/>
        </w:rPr>
      </w:r>
    </w:p>
    <w:p>
      <w:pPr>
        <w:pStyle w:val="808"/>
        <w:numPr>
          <w:ilvl w:val="0"/>
          <w:numId w:val="24"/>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固定微站数据</w:t>
      </w:r>
      <w:r>
        <w:rPr>
          <w:color w:val="auto"/>
          <w:highlight w:val="none"/>
        </w:rPr>
      </w:r>
      <w:r>
        <w:rPr>
          <w:color w:val="auto"/>
          <w:highlight w:val="none"/>
        </w:rPr>
      </w:r>
    </w:p>
    <w:p>
      <w:pPr>
        <w:pStyle w:val="808"/>
        <w:numPr>
          <w:ilvl w:val="0"/>
          <w:numId w:val="24"/>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手工监测断面数据录入</w:t>
      </w:r>
      <w:r>
        <w:rPr>
          <w:color w:val="auto"/>
          <w:highlight w:val="none"/>
        </w:rPr>
      </w:r>
      <w:r>
        <w:rPr>
          <w:color w:val="auto"/>
          <w:highlight w:val="none"/>
        </w:rPr>
      </w:r>
    </w:p>
    <w:p>
      <w:pPr>
        <w:pStyle w:val="808"/>
        <w:numPr>
          <w:ilvl w:val="0"/>
          <w:numId w:val="24"/>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无锡市生态环境局要求接入的其他数据等</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生态环境数据共享</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运维人员按无锡市生态环境局的要求进行数据共享，数据共享的单位涉及生态环境局下属各分局、中国环境监测总站以及其他第三方单位。</w:t>
      </w:r>
      <w:r>
        <w:rPr>
          <w:color w:val="auto"/>
          <w:highlight w:val="none"/>
        </w:rPr>
      </w:r>
      <w:r>
        <w:rPr>
          <w:color w:val="auto"/>
          <w:highlight w:val="none"/>
        </w:rPr>
      </w:r>
    </w:p>
    <w:p>
      <w:pPr>
        <w:pStyle w:val="808"/>
        <w:numPr>
          <w:ilvl w:val="0"/>
          <w:numId w:val="25"/>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第三方单位数据共享</w:t>
      </w:r>
      <w:r>
        <w:rPr>
          <w:color w:val="auto"/>
          <w:highlight w:val="none"/>
        </w:rPr>
      </w:r>
      <w:r>
        <w:rPr>
          <w:color w:val="auto"/>
          <w:highlight w:val="none"/>
        </w:rPr>
      </w:r>
    </w:p>
    <w:p>
      <w:pPr>
        <w:pStyle w:val="808"/>
        <w:numPr>
          <w:ilvl w:val="0"/>
          <w:numId w:val="25"/>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目标管理体系数据共享</w:t>
      </w:r>
      <w:r>
        <w:rPr>
          <w:color w:val="auto"/>
          <w:highlight w:val="none"/>
        </w:rPr>
      </w:r>
      <w:r>
        <w:rPr>
          <w:color w:val="auto"/>
          <w:highlight w:val="none"/>
        </w:rPr>
      </w:r>
    </w:p>
    <w:p>
      <w:pPr>
        <w:pStyle w:val="808"/>
        <w:numPr>
          <w:ilvl w:val="0"/>
          <w:numId w:val="25"/>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大气环境污染立体监测系统数据共享</w:t>
      </w:r>
      <w:r>
        <w:rPr>
          <w:color w:val="auto"/>
          <w:highlight w:val="none"/>
        </w:rPr>
      </w:r>
      <w:r>
        <w:rPr>
          <w:color w:val="auto"/>
          <w:highlight w:val="none"/>
        </w:rPr>
      </w:r>
    </w:p>
    <w:p>
      <w:pPr>
        <w:pStyle w:val="808"/>
        <w:numPr>
          <w:ilvl w:val="0"/>
          <w:numId w:val="25"/>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各分局数据共享</w:t>
      </w:r>
      <w:r>
        <w:rPr>
          <w:color w:val="auto"/>
          <w:highlight w:val="none"/>
        </w:rPr>
      </w:r>
      <w:r>
        <w:rPr>
          <w:color w:val="auto"/>
          <w:highlight w:val="none"/>
        </w:rPr>
      </w:r>
    </w:p>
    <w:p>
      <w:pPr>
        <w:pStyle w:val="808"/>
        <w:numPr>
          <w:ilvl w:val="0"/>
          <w:numId w:val="25"/>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新吴区城运中心数据共享</w:t>
      </w:r>
      <w:r>
        <w:rPr>
          <w:color w:val="auto"/>
          <w:highlight w:val="none"/>
        </w:rPr>
      </w:r>
      <w:r>
        <w:rPr>
          <w:color w:val="auto"/>
          <w:highlight w:val="none"/>
        </w:rPr>
      </w:r>
    </w:p>
    <w:p>
      <w:pPr>
        <w:pStyle w:val="808"/>
        <w:numPr>
          <w:ilvl w:val="0"/>
          <w:numId w:val="25"/>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惠山区城运中心数据共享</w:t>
      </w:r>
      <w:r>
        <w:rPr>
          <w:color w:val="auto"/>
          <w:highlight w:val="none"/>
        </w:rPr>
      </w:r>
      <w:r>
        <w:rPr>
          <w:color w:val="auto"/>
          <w:highlight w:val="none"/>
        </w:rPr>
      </w:r>
    </w:p>
    <w:p>
      <w:pPr>
        <w:pStyle w:val="808"/>
        <w:numPr>
          <w:ilvl w:val="0"/>
          <w:numId w:val="25"/>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锡山区城运中心数据共享</w:t>
      </w:r>
      <w:r>
        <w:rPr>
          <w:color w:val="auto"/>
          <w:highlight w:val="none"/>
        </w:rPr>
      </w:r>
      <w:r>
        <w:rPr>
          <w:color w:val="auto"/>
          <w:highlight w:val="none"/>
        </w:rPr>
      </w:r>
    </w:p>
    <w:p>
      <w:pPr>
        <w:pStyle w:val="808"/>
        <w:numPr>
          <w:ilvl w:val="0"/>
          <w:numId w:val="25"/>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经开区城运中心数据共享</w:t>
      </w:r>
      <w:r>
        <w:rPr>
          <w:color w:val="auto"/>
          <w:highlight w:val="none"/>
        </w:rPr>
      </w:r>
      <w:r>
        <w:rPr>
          <w:color w:val="auto"/>
          <w:highlight w:val="none"/>
        </w:rPr>
      </w:r>
    </w:p>
    <w:p>
      <w:pPr>
        <w:pStyle w:val="808"/>
        <w:numPr>
          <w:ilvl w:val="0"/>
          <w:numId w:val="25"/>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宜兴生态环境局数据共享</w:t>
      </w:r>
      <w:r>
        <w:rPr>
          <w:color w:val="auto"/>
          <w:highlight w:val="none"/>
        </w:rPr>
      </w:r>
      <w:r>
        <w:rPr>
          <w:color w:val="auto"/>
          <w:highlight w:val="none"/>
        </w:rPr>
      </w:r>
    </w:p>
    <w:p>
      <w:pPr>
        <w:pStyle w:val="808"/>
        <w:numPr>
          <w:ilvl w:val="0"/>
          <w:numId w:val="25"/>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江阴临港工业园区数据共享</w:t>
      </w:r>
      <w:r>
        <w:rPr>
          <w:color w:val="auto"/>
          <w:highlight w:val="none"/>
        </w:rPr>
      </w:r>
      <w:r>
        <w:rPr>
          <w:color w:val="auto"/>
          <w:highlight w:val="none"/>
        </w:rPr>
      </w:r>
    </w:p>
    <w:p>
      <w:pPr>
        <w:pStyle w:val="808"/>
        <w:numPr>
          <w:ilvl w:val="0"/>
          <w:numId w:val="25"/>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其他无锡市生态环境局要求的数据共享</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数据报告及报表制作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运维人员按照生态环境局业务科室要求，利用智慧环保数据工具制作各类环境质量监测报告，编制各类监测数据表格。</w:t>
      </w:r>
      <w:r>
        <w:rPr>
          <w:color w:val="auto"/>
          <w:highlight w:val="none"/>
        </w:rPr>
      </w:r>
      <w:r>
        <w:rPr>
          <w:color w:val="auto"/>
          <w:highlight w:val="none"/>
        </w:rPr>
      </w:r>
    </w:p>
    <w:p>
      <w:pPr>
        <w:pStyle w:val="808"/>
        <w:numPr>
          <w:ilvl w:val="0"/>
          <w:numId w:val="26"/>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大气管控涉企数据快报</w:t>
      </w:r>
      <w:r>
        <w:rPr>
          <w:color w:val="auto"/>
          <w:highlight w:val="none"/>
        </w:rPr>
      </w:r>
      <w:r>
        <w:rPr>
          <w:color w:val="auto"/>
          <w:highlight w:val="none"/>
        </w:rPr>
      </w:r>
    </w:p>
    <w:p>
      <w:pPr>
        <w:pStyle w:val="808"/>
        <w:numPr>
          <w:ilvl w:val="0"/>
          <w:numId w:val="26"/>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水质监测超标预警报告</w:t>
      </w:r>
      <w:r>
        <w:rPr>
          <w:color w:val="auto"/>
          <w:highlight w:val="none"/>
        </w:rPr>
      </w:r>
      <w:r>
        <w:rPr>
          <w:color w:val="auto"/>
          <w:highlight w:val="none"/>
        </w:rPr>
      </w:r>
    </w:p>
    <w:p>
      <w:pPr>
        <w:pStyle w:val="808"/>
        <w:numPr>
          <w:ilvl w:val="0"/>
          <w:numId w:val="26"/>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水环境质量通报</w:t>
      </w:r>
      <w:r>
        <w:rPr>
          <w:color w:val="auto"/>
          <w:highlight w:val="none"/>
        </w:rPr>
      </w:r>
      <w:r>
        <w:rPr>
          <w:color w:val="auto"/>
          <w:highlight w:val="none"/>
        </w:rPr>
      </w:r>
    </w:p>
    <w:p>
      <w:pPr>
        <w:pStyle w:val="808"/>
        <w:numPr>
          <w:ilvl w:val="0"/>
          <w:numId w:val="26"/>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环境空气质量通报</w:t>
      </w:r>
      <w:r>
        <w:rPr>
          <w:color w:val="auto"/>
          <w:highlight w:val="none"/>
        </w:rPr>
      </w:r>
      <w:r>
        <w:rPr>
          <w:color w:val="auto"/>
          <w:highlight w:val="none"/>
        </w:rPr>
      </w:r>
    </w:p>
    <w:p>
      <w:pPr>
        <w:pStyle w:val="808"/>
        <w:numPr>
          <w:ilvl w:val="0"/>
          <w:numId w:val="26"/>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其他无锡市生态环境局要求的数据报表等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驻场+远程，7*24。</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定期巡检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信息系统定期巡检包含以下内容：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桌面设备例行维护服务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对信息中心桌面设备进行巡检，是否可以正常使用。重点科室巡检，并随时关注工作交流群使用人员提出的服务请求。</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基础软件例行维护服务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对操作系统、数据库系统、中间件、语言处理系统和办公软件等基础软件进行巡检的运维服务。</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各种应用软件例行维护服务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对系统支撑平台、</w:t>
      </w:r>
      <w:r>
        <w:rPr>
          <w:rFonts w:ascii="宋体" w:hAnsi="宋体"/>
          <w:color w:val="auto"/>
          <w:sz w:val="24"/>
          <w:szCs w:val="24"/>
          <w:highlight w:val="none"/>
        </w:rPr>
        <w:t xml:space="preserve">APP、各个子系统页面是否正常，数据是否及时有效，系统页面的运行状况进行例行检查。</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驻场：5*8，远程：7*24，响应时间10分钟。</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故障处理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对系统在使用过程中出现的故障问题，如数据异常、数据错误等问题进行处理，查找原因并及时修复。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驻场+远程，7*24。</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数据备份</w:t>
      </w:r>
      <w:r>
        <w:rPr>
          <w:rFonts w:hint="eastAsia" w:ascii="宋体" w:hAnsi="宋体"/>
          <w:color w:val="auto"/>
          <w:sz w:val="24"/>
          <w:szCs w:val="24"/>
          <w:highlight w:val="none"/>
        </w:rPr>
        <w:t xml:space="preserve">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备份策略</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为保障信息系统的安全性和稳定性，当系统出现操作失误或系统故障导致数据丢失时，能够依靠备份尽快的恢复系统和数据。将针对业务中不同系统的数据，采用安全完善的备份方法。根据实际情况，定期定时采用完全备份、增量备份等不同的备份策略，从而确保应用系统和数据的安全性。</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备份管理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重要系统备份将保留两份拷贝，一份在使用现场保存，保证数据的正常快速回复和数据查询，另一份异地保存，避免发生灾害事件后数据无法恢复。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加强对存储介质的安全性管理，建立介质的管理制度和废弃介质的处理制度，并符合有关保密规定。制定规范严格的介质保存和存取控制制度。</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保留规定周期的备份数据，对超过规定周期的数据进行删除销毁。</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备份校验</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将安排专人对备份的数据定期检查备份日志，查看是否存在异常等情况，并定期对备份数据文件校验，以确保备份的有效性和备份恢复的可行性，对备份恢复测试的数据作明确记录，特别要详细记录出现的问题和故障，并通知相关技术人员处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每日增量备份，每周差异备份，每月全量备份。同时每三个月组织一次数据恢复演练。</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rPr>
        <w:t xml:space="preserve">）</w:t>
      </w:r>
      <w:r>
        <w:rPr>
          <w:rFonts w:ascii="宋体" w:hAnsi="宋体"/>
          <w:color w:val="auto"/>
          <w:sz w:val="24"/>
          <w:szCs w:val="24"/>
          <w:highlight w:val="none"/>
        </w:rPr>
        <w:t xml:space="preserve">日常技术支持</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信息系统日常技术支持包含以下内容：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系统安装和配置</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包括客户电脑设备简单问题的解决以及软件系统的安装、配置、调试、操作培训、问题解决等</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系统维护和升级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包括对系统进行定期检查、维护和保养，及时修复故障，更新系统版本等</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数据库管理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包括数据库的备份、恢复、优化和安全管理等</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安全管理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包括对系统进行定期杀毒、漏洞扫描和修补、用户权限管理等，确保信息系统的安全可靠。</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OA系统发文异常问题解决</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人员组织架构调整</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APP安装及问题解决</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入湖断面通量监测展示</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水数据查询导出</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市局</w:t>
      </w:r>
      <w:r>
        <w:rPr>
          <w:rFonts w:ascii="宋体" w:hAnsi="宋体"/>
          <w:color w:val="auto"/>
          <w:sz w:val="24"/>
          <w:szCs w:val="24"/>
          <w:highlight w:val="none"/>
        </w:rPr>
        <w:t xml:space="preserve">OA</w:t>
      </w:r>
      <w:r>
        <w:rPr>
          <w:rFonts w:hint="eastAsia" w:ascii="宋体" w:hAnsi="宋体"/>
          <w:color w:val="auto"/>
          <w:sz w:val="24"/>
          <w:szCs w:val="24"/>
          <w:highlight w:val="none"/>
        </w:rPr>
        <w:t xml:space="preserve">云文档功能的新增和维护</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水质小时数据超标预警</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其他无锡市生态环境局根据实际工作布置的任务等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驻场：5*8，远程：7*24。</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w:t>
      </w:r>
      <w:r>
        <w:rPr>
          <w:rFonts w:hint="eastAsia" w:ascii="宋体" w:hAnsi="宋体"/>
          <w:color w:val="auto"/>
          <w:sz w:val="24"/>
          <w:szCs w:val="24"/>
          <w:highlight w:val="none"/>
        </w:rPr>
        <w:t xml:space="preserve">）</w:t>
      </w:r>
      <w:r>
        <w:rPr>
          <w:rFonts w:ascii="宋体" w:hAnsi="宋体"/>
          <w:color w:val="auto"/>
          <w:sz w:val="24"/>
          <w:szCs w:val="24"/>
          <w:highlight w:val="none"/>
        </w:rPr>
        <w:t xml:space="preserve">信息资产统计服务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此项服务为基本服务，包含在运行维护服务中，帮助我们对用户现有的信息资产情况进行了解，更好的提供系统的运行维护服务。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服务内容包括：</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硬件设备型号、数量、版本等信息统计记录</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软件产品型号、版本和补丁等信息统计记录</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网络结构、网络路由、网络IP地址统计记录</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综合布线系统结构图的绘制</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其它附属设备的统计记录</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驻场：5*8，远程：7*24。</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8</w:t>
      </w:r>
      <w:r>
        <w:rPr>
          <w:rFonts w:hint="eastAsia" w:ascii="宋体" w:hAnsi="宋体"/>
          <w:color w:val="auto"/>
          <w:sz w:val="24"/>
          <w:szCs w:val="24"/>
          <w:highlight w:val="none"/>
        </w:rPr>
        <w:t xml:space="preserve">）</w:t>
      </w:r>
      <w:r>
        <w:rPr>
          <w:rFonts w:ascii="宋体" w:hAnsi="宋体"/>
          <w:color w:val="auto"/>
          <w:sz w:val="24"/>
          <w:szCs w:val="24"/>
          <w:highlight w:val="none"/>
        </w:rPr>
        <w:t xml:space="preserve">数据库系统运维服务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日巡检内容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驻场运维人员对业务系统数据库进行日常巡检，监控数据库关键运行状态和进程等，并进行有效管理，具体服务包含：</w:t>
      </w:r>
      <w:r>
        <w:rPr>
          <w:color w:val="auto"/>
          <w:highlight w:val="none"/>
        </w:rPr>
      </w:r>
      <w:r>
        <w:rPr>
          <w:color w:val="auto"/>
          <w:highlight w:val="none"/>
        </w:rPr>
      </w:r>
    </w:p>
    <w:p>
      <w:pPr>
        <w:pStyle w:val="808"/>
        <w:numPr>
          <w:ilvl w:val="0"/>
          <w:numId w:val="27"/>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数据库实例的可用性，监控数据库实例的状态</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27"/>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空间监控：监控数据库空间、表空间的使用情况、数据文件占用或空闲空间</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27"/>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对日常数据进行检查，检查数据的及时性、正确性、完整性</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27"/>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检查数据库日志记录情况、磁盘使用情况。</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周巡检内容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驻场运维人员对业务系统基础数据进行巡检，检查数据的有效性，去除无效数据，提高数据库的运行效率。对主要表数据进行统计，统计数据量并优化，提高运行效率。</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季巡检内容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驻场运维人员检查业务系统数据交换任务，数据从来源端进行抽取、转换、加载至目的端的过程中，数据是否正确、完整、一致、完备、有效。如发现问题，及时提出解决方案，优化交换效率。</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数据安全保障</w:t>
      </w:r>
      <w:r>
        <w:rPr>
          <w:color w:val="auto"/>
          <w:highlight w:val="none"/>
        </w:rPr>
      </w:r>
      <w:r>
        <w:rPr>
          <w:color w:val="auto"/>
          <w:highlight w:val="none"/>
        </w:rPr>
      </w:r>
    </w:p>
    <w:p>
      <w:pPr>
        <w:pStyle w:val="808"/>
        <w:numPr>
          <w:ilvl w:val="0"/>
          <w:numId w:val="27"/>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数据独立性保障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不断对数据库进行优化，不会因为系统数据存储结构与数据逻辑结构的变化而影响应用程序。</w:t>
      </w:r>
      <w:r>
        <w:rPr>
          <w:color w:val="auto"/>
          <w:highlight w:val="none"/>
        </w:rPr>
      </w:r>
      <w:r>
        <w:rPr>
          <w:color w:val="auto"/>
          <w:highlight w:val="none"/>
        </w:rPr>
      </w:r>
    </w:p>
    <w:p>
      <w:pPr>
        <w:pStyle w:val="808"/>
        <w:numPr>
          <w:ilvl w:val="0"/>
          <w:numId w:val="27"/>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数据安全性保障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对系统数据做好备份工作，并且在数据存储、传输过程中保障安全保密。环境监测数据属于敏感性很强的保密数据，在其处理过程中，特别是与各级用户数据交换过程中，保证数据的安全保密性。</w:t>
      </w:r>
      <w:r>
        <w:rPr>
          <w:color w:val="auto"/>
          <w:highlight w:val="none"/>
        </w:rPr>
      </w:r>
      <w:r>
        <w:rPr>
          <w:color w:val="auto"/>
          <w:highlight w:val="none"/>
        </w:rPr>
      </w:r>
    </w:p>
    <w:p>
      <w:pPr>
        <w:pStyle w:val="808"/>
        <w:numPr>
          <w:ilvl w:val="0"/>
          <w:numId w:val="27"/>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数据并发控制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做好数据并发控制工作，对并发操作进行正确调度、保证事务的隔离性、保证数据库的一致性。</w:t>
      </w:r>
      <w:r>
        <w:rPr>
          <w:color w:val="auto"/>
          <w:highlight w:val="none"/>
        </w:rPr>
      </w:r>
      <w:r>
        <w:rPr>
          <w:color w:val="auto"/>
          <w:highlight w:val="none"/>
        </w:rPr>
      </w:r>
    </w:p>
    <w:p>
      <w:pPr>
        <w:pStyle w:val="808"/>
        <w:numPr>
          <w:ilvl w:val="0"/>
          <w:numId w:val="27"/>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数据安全威胁处置</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在数据安全受到威胁时，如硬盘驱动器损坏、人为错误、病毒、信息窃取、电源故障等因素，采取相应措施来保障数据安全。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数据应急保障</w:t>
      </w:r>
      <w:r>
        <w:rPr>
          <w:color w:val="auto"/>
          <w:highlight w:val="none"/>
        </w:rPr>
      </w:r>
      <w:r>
        <w:rPr>
          <w:color w:val="auto"/>
          <w:highlight w:val="none"/>
        </w:rPr>
      </w:r>
    </w:p>
    <w:p>
      <w:pPr>
        <w:pStyle w:val="808"/>
        <w:numPr>
          <w:ilvl w:val="0"/>
          <w:numId w:val="27"/>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编制应急方案</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针对硬件故障、服务器软件系统故障、网络故障、病毒破坏等突发事件，形成对应的知识库，当获悉出现突发事件时，技术支持人员可以立即从知识库中获取相应的应急策略，并综合用户方的具体情况，给出相关解决方案，进行快速响应和处理，在最短时间内恢复业务系统，将损失降到最低。</w:t>
      </w:r>
      <w:r>
        <w:rPr>
          <w:color w:val="auto"/>
          <w:highlight w:val="none"/>
        </w:rPr>
      </w:r>
      <w:r>
        <w:rPr>
          <w:color w:val="auto"/>
          <w:highlight w:val="none"/>
        </w:rPr>
      </w:r>
    </w:p>
    <w:p>
      <w:pPr>
        <w:pStyle w:val="808"/>
        <w:numPr>
          <w:ilvl w:val="0"/>
          <w:numId w:val="27"/>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实行应急演练</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制定详细的演练计划，来验证应急方案的可行性和正确性，检查运维人员对紧急情况的反应速度，以及对故障应急定位的准确性，达到在真正出现突发事件时能在最短的时间内解决问题，同时检查整个运维部门应对故障的联动效果。</w:t>
      </w:r>
      <w:r>
        <w:rPr>
          <w:color w:val="auto"/>
          <w:highlight w:val="none"/>
        </w:rPr>
      </w:r>
      <w:r>
        <w:rPr>
          <w:color w:val="auto"/>
          <w:highlight w:val="none"/>
        </w:rPr>
      </w:r>
    </w:p>
    <w:p>
      <w:pPr>
        <w:pStyle w:val="808"/>
        <w:numPr>
          <w:ilvl w:val="0"/>
          <w:numId w:val="27"/>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重大数据故障应急处置</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针对重大数据故障，准确判断并及时采取有效措施，迅速控制事件影响程度和范围，确保信息系统尽快恢复正常、减少损失。</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驻场：5*8，远程：7*24，响应时间10分钟。</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9</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中间件运维服务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中间件管理是指对</w:t>
      </w:r>
      <w:r>
        <w:rPr>
          <w:rFonts w:ascii="宋体" w:hAnsi="宋体"/>
          <w:color w:val="auto"/>
          <w:sz w:val="24"/>
          <w:szCs w:val="24"/>
          <w:highlight w:val="none"/>
        </w:rPr>
        <w:t xml:space="preserve">Tomcat、MQ等中间件的日常维护管理和监控工作，提高对中间件平台事件的分析解决能力，确保中间件平台持续稳定运行。中间件监控指标包括配置信息管理、故障监控、性能监控。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驻场：5*8，远程：7*24，响应时间10分钟。</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w:t>
      </w:r>
      <w:r>
        <w:rPr>
          <w:rFonts w:ascii="宋体" w:hAnsi="宋体"/>
          <w:color w:val="auto"/>
          <w:sz w:val="24"/>
          <w:szCs w:val="24"/>
          <w:highlight w:val="none"/>
        </w:rPr>
        <w:t xml:space="preserve">应急措施服务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紧急事件的应急响应服务能力是技术服务质量的重要组成方面。当严重的信息系统故障发生，或影响信息系统的故障长时间不能得到有效解决时，对用户而言，该故障实际上就形成了紧急事件，需应急响应及时解决系统运行过程中的安全突发事件，以保证系统的正常稳定运行。具体需要提供以下服务：</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软件平台及数据中心的应急故障服务</w:t>
      </w:r>
      <w:r>
        <w:rPr>
          <w:color w:val="auto"/>
          <w:highlight w:val="none"/>
        </w:rPr>
      </w:r>
      <w:r>
        <w:rPr>
          <w:color w:val="auto"/>
          <w:highlight w:val="none"/>
        </w:rPr>
      </w:r>
    </w:p>
    <w:p>
      <w:pPr>
        <w:pStyle w:val="808"/>
        <w:numPr>
          <w:ilvl w:val="0"/>
          <w:numId w:val="28"/>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软件平台的应急故障服务</w:t>
      </w:r>
      <w:r>
        <w:rPr>
          <w:color w:val="auto"/>
          <w:highlight w:val="none"/>
        </w:rPr>
      </w:r>
      <w:r>
        <w:rPr>
          <w:color w:val="auto"/>
          <w:highlight w:val="none"/>
        </w:rPr>
      </w:r>
    </w:p>
    <w:p>
      <w:pPr>
        <w:pStyle w:val="808"/>
        <w:numPr>
          <w:ilvl w:val="0"/>
          <w:numId w:val="28"/>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数据中心的应急故障服务</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系统重大故障的应急预案</w:t>
      </w:r>
      <w:r>
        <w:rPr>
          <w:color w:val="auto"/>
          <w:highlight w:val="none"/>
        </w:rPr>
      </w:r>
      <w:r>
        <w:rPr>
          <w:color w:val="auto"/>
          <w:highlight w:val="none"/>
        </w:rPr>
      </w:r>
    </w:p>
    <w:p>
      <w:pPr>
        <w:pStyle w:val="808"/>
        <w:numPr>
          <w:ilvl w:val="0"/>
          <w:numId w:val="29"/>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网络攻击事件预案</w:t>
      </w:r>
      <w:r>
        <w:rPr>
          <w:color w:val="auto"/>
          <w:highlight w:val="none"/>
        </w:rPr>
      </w:r>
      <w:r>
        <w:rPr>
          <w:color w:val="auto"/>
          <w:highlight w:val="none"/>
        </w:rPr>
      </w:r>
    </w:p>
    <w:p>
      <w:pPr>
        <w:pStyle w:val="808"/>
        <w:numPr>
          <w:ilvl w:val="0"/>
          <w:numId w:val="29"/>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信息破坏事件预案</w:t>
      </w:r>
      <w:r>
        <w:rPr>
          <w:color w:val="auto"/>
          <w:highlight w:val="none"/>
        </w:rPr>
      </w:r>
      <w:r>
        <w:rPr>
          <w:color w:val="auto"/>
          <w:highlight w:val="none"/>
        </w:rPr>
      </w:r>
    </w:p>
    <w:p>
      <w:pPr>
        <w:pStyle w:val="808"/>
        <w:numPr>
          <w:ilvl w:val="0"/>
          <w:numId w:val="29"/>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信息内容安全事件应急预案</w:t>
      </w:r>
      <w:r>
        <w:rPr>
          <w:color w:val="auto"/>
          <w:highlight w:val="none"/>
        </w:rPr>
      </w:r>
      <w:r>
        <w:rPr>
          <w:color w:val="auto"/>
          <w:highlight w:val="none"/>
        </w:rPr>
      </w:r>
    </w:p>
    <w:p>
      <w:pPr>
        <w:pStyle w:val="808"/>
        <w:numPr>
          <w:ilvl w:val="0"/>
          <w:numId w:val="29"/>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网络故障事件应急预案</w:t>
      </w:r>
      <w:r>
        <w:rPr>
          <w:color w:val="auto"/>
          <w:highlight w:val="none"/>
        </w:rPr>
      </w:r>
      <w:r>
        <w:rPr>
          <w:color w:val="auto"/>
          <w:highlight w:val="none"/>
        </w:rPr>
      </w:r>
    </w:p>
    <w:p>
      <w:pPr>
        <w:pStyle w:val="808"/>
        <w:numPr>
          <w:ilvl w:val="0"/>
          <w:numId w:val="29"/>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服务器故障应急预案</w:t>
      </w:r>
      <w:r>
        <w:rPr>
          <w:color w:val="auto"/>
          <w:highlight w:val="none"/>
        </w:rPr>
      </w:r>
      <w:r>
        <w:rPr>
          <w:color w:val="auto"/>
          <w:highlight w:val="none"/>
        </w:rPr>
      </w:r>
    </w:p>
    <w:p>
      <w:pPr>
        <w:pStyle w:val="808"/>
        <w:numPr>
          <w:ilvl w:val="0"/>
          <w:numId w:val="29"/>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软件故障事件应急预案</w:t>
      </w:r>
      <w:r>
        <w:rPr>
          <w:color w:val="auto"/>
          <w:highlight w:val="none"/>
        </w:rPr>
      </w:r>
      <w:r>
        <w:rPr>
          <w:color w:val="auto"/>
          <w:highlight w:val="none"/>
        </w:rPr>
      </w:r>
    </w:p>
    <w:p>
      <w:pPr>
        <w:pStyle w:val="808"/>
        <w:numPr>
          <w:ilvl w:val="0"/>
          <w:numId w:val="29"/>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灾害性事件应急预案</w:t>
      </w:r>
      <w:r>
        <w:rPr>
          <w:color w:val="auto"/>
          <w:highlight w:val="none"/>
        </w:rPr>
      </w:r>
      <w:r>
        <w:rPr>
          <w:color w:val="auto"/>
          <w:highlight w:val="none"/>
        </w:rPr>
      </w:r>
    </w:p>
    <w:p>
      <w:pPr>
        <w:pStyle w:val="808"/>
        <w:numPr>
          <w:ilvl w:val="0"/>
          <w:numId w:val="29"/>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其他突发事件应急预案</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措施安排方案</w:t>
      </w:r>
      <w:r>
        <w:rPr>
          <w:color w:val="auto"/>
          <w:highlight w:val="none"/>
        </w:rPr>
      </w:r>
      <w:r>
        <w:rPr>
          <w:color w:val="auto"/>
          <w:highlight w:val="none"/>
        </w:rPr>
      </w:r>
    </w:p>
    <w:p>
      <w:pPr>
        <w:pStyle w:val="808"/>
        <w:numPr>
          <w:ilvl w:val="0"/>
          <w:numId w:val="30"/>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应急响应措施</w:t>
      </w:r>
      <w:r>
        <w:rPr>
          <w:color w:val="auto"/>
          <w:highlight w:val="none"/>
        </w:rPr>
      </w:r>
      <w:r>
        <w:rPr>
          <w:color w:val="auto"/>
          <w:highlight w:val="none"/>
        </w:rPr>
      </w:r>
    </w:p>
    <w:p>
      <w:pPr>
        <w:pStyle w:val="808"/>
        <w:numPr>
          <w:ilvl w:val="0"/>
          <w:numId w:val="30"/>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应急措施安排方法</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驻场：5*8，远程：7*24，响应时间10分钟。</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1</w:t>
      </w:r>
      <w:r>
        <w:rPr>
          <w:rFonts w:hint="eastAsia" w:ascii="宋体" w:hAnsi="宋体"/>
          <w:color w:val="auto"/>
          <w:sz w:val="24"/>
          <w:szCs w:val="24"/>
          <w:highlight w:val="none"/>
        </w:rPr>
        <w:t xml:space="preserve">）OA系统日常运维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对于系统的日常使用，提供多种渠道的解答和指导。</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针对各类角色制定培训课程，经</w:t>
      </w:r>
      <w:r>
        <w:rPr>
          <w:rFonts w:hint="eastAsia" w:ascii="宋体" w:hAnsi="宋体"/>
          <w:color w:val="auto"/>
          <w:sz w:val="24"/>
          <w:szCs w:val="24"/>
          <w:highlight w:val="none"/>
        </w:rPr>
        <w:t xml:space="preserve">采购人</w:t>
      </w:r>
      <w:r>
        <w:rPr>
          <w:rFonts w:ascii="宋体" w:hAnsi="宋体"/>
          <w:color w:val="auto"/>
          <w:sz w:val="24"/>
          <w:szCs w:val="24"/>
          <w:highlight w:val="none"/>
        </w:rPr>
        <w:t xml:space="preserve">组织后给各类角色人员进行系统使用培训，并录制视频和制作操作手册。</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color w:val="auto"/>
          <w:sz w:val="24"/>
          <w:szCs w:val="24"/>
          <w:highlight w:val="none"/>
        </w:rPr>
        <w:t xml:space="preserve">采购人服务</w:t>
      </w:r>
      <w:r>
        <w:rPr>
          <w:rFonts w:ascii="宋体" w:hAnsi="宋体"/>
          <w:color w:val="auto"/>
          <w:sz w:val="24"/>
          <w:szCs w:val="24"/>
          <w:highlight w:val="none"/>
        </w:rPr>
        <w:t xml:space="preserve">群中提供系统使用的技术支撑解答。</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提供专门维护人员电话，接受电话咨询系统使用方面问题。</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w:t>
      </w:r>
      <w:r>
        <w:rPr>
          <w:rFonts w:hint="eastAsia" w:ascii="宋体" w:hAnsi="宋体"/>
          <w:color w:val="auto"/>
          <w:sz w:val="24"/>
          <w:szCs w:val="24"/>
          <w:highlight w:val="none"/>
        </w:rPr>
        <w:t xml:space="preserve">采购人提出的</w:t>
      </w:r>
      <w:r>
        <w:rPr>
          <w:rFonts w:ascii="宋体" w:hAnsi="宋体"/>
          <w:color w:val="auto"/>
          <w:sz w:val="24"/>
          <w:szCs w:val="24"/>
          <w:highlight w:val="none"/>
        </w:rPr>
        <w:t xml:space="preserve">故障</w:t>
      </w:r>
      <w:r>
        <w:rPr>
          <w:rFonts w:hint="eastAsia" w:ascii="宋体" w:hAnsi="宋体"/>
          <w:color w:val="auto"/>
          <w:sz w:val="24"/>
          <w:szCs w:val="24"/>
          <w:highlight w:val="none"/>
        </w:rPr>
        <w:t xml:space="preserve">处理要求</w:t>
      </w:r>
      <w:r>
        <w:rPr>
          <w:rFonts w:ascii="宋体" w:hAnsi="宋体"/>
          <w:color w:val="auto"/>
          <w:sz w:val="24"/>
          <w:szCs w:val="24"/>
          <w:highlight w:val="none"/>
        </w:rPr>
        <w:t xml:space="preserve">提供技术支持，修复故障。</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按年度汇总运维处理情况，形成报告。</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工作日5*8小时，现场/远程。</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）OA系统巡检服务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按约定周期定期对软件运行状态进行检查和分析，完成巡检报告。</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一年4次，现场/远程。</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）OA系统数据库巡检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检查数据库大小和增长情况、附件库大小和增长情况。</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配置好数据库备份计划，如有异常，排查出备份异常原因。</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出具数据库备份巡检报告</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一年4次，现场/远程。</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rPr>
          <w:rFonts w:hint="eastAsia" w:ascii="宋体" w:hAnsi="宋体"/>
          <w:color w:val="auto"/>
          <w:sz w:val="24"/>
          <w:szCs w:val="24"/>
          <w:highlight w:val="none"/>
        </w:rPr>
        <w:t xml:space="preserve">）OA系统数据资源维护</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确保系统能够正常访问；确保系统功能应用正常，并能够提供正常的服务。确保数据库中的信息与系统中的信息一致；确保数据库数据正确，不被非法破坏，并且及时做数据库备份，当意外发生时，系统能够及时、完全恢复；未经许可，不得将平台数据泄漏给其它个人或组织；由专人负责，保证数据的安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工作日5*8小时，现场/远程。</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5</w:t>
      </w:r>
      <w:r>
        <w:rPr>
          <w:rFonts w:hint="eastAsia" w:ascii="宋体" w:hAnsi="宋体"/>
          <w:color w:val="auto"/>
          <w:sz w:val="24"/>
          <w:szCs w:val="24"/>
          <w:highlight w:val="none"/>
        </w:rPr>
        <w:t xml:space="preserve">）OA系统技术支持</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基本技术支持服务</w:t>
      </w:r>
      <w:r>
        <w:rPr>
          <w:color w:val="auto"/>
          <w:highlight w:val="none"/>
        </w:rPr>
      </w:r>
      <w:r>
        <w:rPr>
          <w:color w:val="auto"/>
          <w:highlight w:val="none"/>
        </w:rPr>
      </w:r>
    </w:p>
    <w:p>
      <w:pPr>
        <w:pStyle w:val="808"/>
        <w:numPr>
          <w:ilvl w:val="0"/>
          <w:numId w:val="31"/>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热线电话支持服务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提供专门的客户服务经理电话，并设置专用客服电话，提供7×24小时30分钟响应，提供相关管理流程说明。</w:t>
      </w:r>
      <w:r>
        <w:rPr>
          <w:color w:val="auto"/>
          <w:highlight w:val="none"/>
        </w:rPr>
      </w:r>
      <w:r>
        <w:rPr>
          <w:color w:val="auto"/>
          <w:highlight w:val="none"/>
        </w:rPr>
      </w:r>
    </w:p>
    <w:p>
      <w:pPr>
        <w:pStyle w:val="808"/>
        <w:numPr>
          <w:ilvl w:val="0"/>
          <w:numId w:val="31"/>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远程接入支持服务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在具备远程接入的情况下，提供远程接入方式对用系统问题进行检查、诊断分析和解决。运维工程师仅在客户</w:t>
      </w:r>
      <w:r>
        <w:rPr>
          <w:rFonts w:hint="eastAsia" w:ascii="宋体" w:hAnsi="宋体"/>
          <w:color w:val="auto"/>
          <w:sz w:val="24"/>
          <w:szCs w:val="24"/>
          <w:highlight w:val="none"/>
        </w:rPr>
        <w:t xml:space="preserve">知情并</w:t>
      </w:r>
      <w:r>
        <w:rPr>
          <w:rFonts w:ascii="宋体" w:hAnsi="宋体"/>
          <w:color w:val="auto"/>
          <w:sz w:val="24"/>
          <w:szCs w:val="24"/>
          <w:highlight w:val="none"/>
        </w:rPr>
        <w:t xml:space="preserve">许可的情况下访问用户系统，并且运维方确保所访问用户系统的安全，同时保证数据完整性。</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现场技术支持服务</w:t>
      </w:r>
      <w:r>
        <w:rPr>
          <w:color w:val="auto"/>
          <w:highlight w:val="none"/>
        </w:rPr>
      </w:r>
      <w:r>
        <w:rPr>
          <w:color w:val="auto"/>
          <w:highlight w:val="none"/>
        </w:rPr>
      </w:r>
    </w:p>
    <w:p>
      <w:pPr>
        <w:pStyle w:val="808"/>
        <w:numPr>
          <w:ilvl w:val="0"/>
          <w:numId w:val="31"/>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专职维护</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提供运维工程师常驻采购人现场进行专职维护工作。</w:t>
      </w:r>
      <w:r>
        <w:rPr>
          <w:color w:val="auto"/>
          <w:highlight w:val="none"/>
        </w:rPr>
      </w:r>
      <w:r>
        <w:rPr>
          <w:color w:val="auto"/>
          <w:highlight w:val="none"/>
        </w:rPr>
      </w:r>
    </w:p>
    <w:p>
      <w:pPr>
        <w:pStyle w:val="808"/>
        <w:numPr>
          <w:ilvl w:val="0"/>
          <w:numId w:val="31"/>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一般故障响应时间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接到故障通知后在30分钟内到达采购人指定现场，并在1个小时内解决一般问题。</w:t>
      </w:r>
      <w:r>
        <w:rPr>
          <w:color w:val="auto"/>
          <w:highlight w:val="none"/>
        </w:rPr>
      </w:r>
      <w:r>
        <w:rPr>
          <w:color w:val="auto"/>
          <w:highlight w:val="none"/>
        </w:rPr>
      </w:r>
    </w:p>
    <w:p>
      <w:pPr>
        <w:pStyle w:val="808"/>
        <w:numPr>
          <w:ilvl w:val="0"/>
          <w:numId w:val="31"/>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重大故障响应时间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接到故障通知后在30分钟内到达采购人指定现场，并在1个工作日内提供功能一致或优于原系统的技术解决方案。</w:t>
      </w:r>
      <w:r>
        <w:rPr>
          <w:color w:val="auto"/>
          <w:highlight w:val="none"/>
        </w:rPr>
      </w:r>
      <w:r>
        <w:rPr>
          <w:color w:val="auto"/>
          <w:highlight w:val="none"/>
        </w:rPr>
      </w:r>
    </w:p>
    <w:p>
      <w:pPr>
        <w:pStyle w:val="808"/>
        <w:numPr>
          <w:ilvl w:val="0"/>
          <w:numId w:val="31"/>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提供相关的现场维护流程说明</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紧急故障处理服务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紧急故障指：导致关键业务应用不可用的故障。当用户系统发生紧急故障时，10分钟内及时响应，并通过多种渠道提供技术支持服务。在接到用户紧急故障申告后于30分钟内由相关工程师开始处理，同时根据用户要求立即派遣工程师并赶到用户现场，提供不间断故障处理服务。提供相关紧急故障处理流程说明。</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关键时间点值守服务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在包括春节、国庆、两会一节等重要节假日或重要活动期间，在服务期内提供</w:t>
      </w:r>
      <w:r>
        <w:rPr>
          <w:rFonts w:ascii="宋体" w:hAnsi="宋体"/>
          <w:color w:val="auto"/>
          <w:sz w:val="24"/>
          <w:szCs w:val="24"/>
          <w:highlight w:val="none"/>
        </w:rPr>
        <w:t xml:space="preserve">1人/天的关键时点值守服务。</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定期巡检及预防性维护服务</w:t>
      </w:r>
      <w:r>
        <w:rPr>
          <w:color w:val="auto"/>
          <w:highlight w:val="none"/>
        </w:rPr>
      </w:r>
      <w:r>
        <w:rPr>
          <w:color w:val="auto"/>
          <w:highlight w:val="none"/>
        </w:rPr>
      </w:r>
    </w:p>
    <w:p>
      <w:pPr>
        <w:pStyle w:val="808"/>
        <w:numPr>
          <w:ilvl w:val="0"/>
          <w:numId w:val="32"/>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定期巡检服务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本项目涉及的设备进行每月的定期检测、保养，并且出具巡检报告，报告由用户确认并存档。巡检服务内容主要包括：环境检查、设备检查、操作系统与系统软件检查、外设检查、设备清洁、系统日志检查、系统配置检查、系统和数据备份检查、系统运行情况分析等。</w:t>
      </w:r>
      <w:r>
        <w:rPr>
          <w:color w:val="auto"/>
          <w:highlight w:val="none"/>
        </w:rPr>
      </w:r>
      <w:r>
        <w:rPr>
          <w:color w:val="auto"/>
          <w:highlight w:val="none"/>
        </w:rPr>
      </w:r>
    </w:p>
    <w:p>
      <w:pPr>
        <w:pStyle w:val="808"/>
        <w:numPr>
          <w:ilvl w:val="0"/>
          <w:numId w:val="32"/>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重要时段系统全面检查服务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在包括春节、国庆、两会一节等重要节假日或重要活动期间，在重点保障时段来临之前，提前对参保设备和系统进行全面检查，并出具巡检报告，确保系统稳定运行。</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应急服务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制定应急措施及相关流程，以保障系统在用户规定时间内恢复正常运行。</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日常运维检查日志</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每天对办公系统、移动办公系统检查，并分别做运维情况记录。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定期运维汇报</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提供运维总结报告，报告内容包括：系统问题汇总分析、常见故障处理、使用经验、设备维护内容等。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运维服务人员应尽可能地把所有情况记录到文档中。发生重大信息安全事件的应当在事件处理完毕后</w:t>
      </w:r>
      <w:r>
        <w:rPr>
          <w:rFonts w:ascii="宋体" w:hAnsi="宋体"/>
          <w:color w:val="auto"/>
          <w:sz w:val="24"/>
          <w:szCs w:val="24"/>
          <w:highlight w:val="none"/>
        </w:rPr>
        <w:t xml:space="preserve">5个工作日内将处理结果报给我方进行备案。</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培训服务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为用户提供培训服务，培训内容主要包括：业务培训、系统升级培训、常见故障处理培训等，向受训人员提供技术资料、参考材料、培训手册等。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工作日5*8小时，现场/远程。</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服务器巡检记录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业务系统巡检记录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数据交换任务巡检记录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数据巡检记录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中间件巡检记录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数据库巡检记录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数据交换记录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数据共享记录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应急处置预案</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应急事件处置记录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应急演练记录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信息资产台帐</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数据备份记录表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故障诊断分析和解决方案报告</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运维过程巡检记录</w:t>
      </w:r>
      <w:r>
        <w:rPr>
          <w:color w:val="auto"/>
          <w:highlight w:val="none"/>
        </w:rPr>
      </w:r>
      <w:r>
        <w:rPr>
          <w:color w:val="auto"/>
          <w:highlight w:val="none"/>
        </w:rPr>
      </w:r>
    </w:p>
    <w:p>
      <w:pPr>
        <w:pStyle w:val="808"/>
        <w:ind w:left="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6</w:t>
      </w:r>
      <w:r>
        <w:rPr>
          <w:rFonts w:hint="eastAsia" w:ascii="宋体" w:hAnsi="宋体"/>
          <w:color w:val="auto"/>
          <w:sz w:val="24"/>
          <w:szCs w:val="24"/>
          <w:highlight w:val="none"/>
        </w:rPr>
        <w:t xml:space="preserve">）无锡市生态环境综合APP日常运维</w:t>
      </w:r>
      <w:r>
        <w:rPr>
          <w:color w:val="auto"/>
          <w:highlight w:val="none"/>
        </w:rPr>
      </w:r>
      <w:r>
        <w:rPr>
          <w:color w:val="auto"/>
          <w:highlight w:val="none"/>
        </w:rPr>
      </w:r>
    </w:p>
    <w:p>
      <w:pPr>
        <w:pStyle w:val="808"/>
        <w:ind w:left="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对App出现的运行问题或用户体验问题进行及时的Bug修复；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根据用户反馈，对App进行功能的改进、升级或新增模块内容；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提供App应用商城上架服务；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协助用户进行App安装及使用培训。</w:t>
      </w:r>
      <w:r>
        <w:rPr>
          <w:color w:val="auto"/>
          <w:highlight w:val="none"/>
        </w:rPr>
      </w:r>
      <w:r>
        <w:rPr>
          <w:color w:val="auto"/>
          <w:highlight w:val="none"/>
        </w:rPr>
      </w:r>
    </w:p>
    <w:p>
      <w:pPr>
        <w:pStyle w:val="808"/>
        <w:ind w:left="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工作日5*8小时，现场/远程。</w:t>
      </w:r>
      <w:r>
        <w:rPr>
          <w:color w:val="auto"/>
          <w:highlight w:val="none"/>
        </w:rPr>
      </w:r>
      <w:r>
        <w:rPr>
          <w:color w:val="auto"/>
          <w:highlight w:val="none"/>
        </w:rPr>
      </w:r>
    </w:p>
    <w:p>
      <w:pPr>
        <w:pStyle w:val="808"/>
        <w:ind w:left="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7</w:t>
      </w:r>
      <w:r>
        <w:rPr>
          <w:rFonts w:hint="eastAsia" w:ascii="宋体" w:hAnsi="宋体"/>
          <w:color w:val="auto"/>
          <w:sz w:val="24"/>
          <w:szCs w:val="24"/>
          <w:highlight w:val="none"/>
        </w:rPr>
        <w:t xml:space="preserve">）无锡市生态环境综合APP巡检服务</w:t>
      </w:r>
      <w:r>
        <w:rPr>
          <w:color w:val="auto"/>
          <w:highlight w:val="none"/>
        </w:rPr>
      </w:r>
      <w:r>
        <w:rPr>
          <w:color w:val="auto"/>
          <w:highlight w:val="none"/>
        </w:rPr>
      </w:r>
    </w:p>
    <w:p>
      <w:pPr>
        <w:pStyle w:val="808"/>
        <w:ind w:left="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无锡市生态环境综合APP进行日常巡检，包含首页空气、水环境、污染源数据概况，环境质量模块中的水环境、气环境、声环境数据巡检，污染源模块中污染源统计、污染源监控和一源一档的数据检查，以及执法执纪模块的巡查，检查页面是否正常，数据是否及时有效，系统页面的运行状况。</w:t>
      </w:r>
      <w:r>
        <w:rPr>
          <w:color w:val="auto"/>
          <w:highlight w:val="none"/>
        </w:rPr>
      </w:r>
      <w:r>
        <w:rPr>
          <w:color w:val="auto"/>
          <w:highlight w:val="none"/>
        </w:rPr>
      </w:r>
    </w:p>
    <w:p>
      <w:pPr>
        <w:pStyle w:val="808"/>
        <w:ind w:left="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工作日5*8小时，现场/远程。</w:t>
      </w:r>
      <w:r>
        <w:rPr>
          <w:color w:val="auto"/>
          <w:highlight w:val="none"/>
        </w:rPr>
      </w:r>
      <w:r>
        <w:rPr>
          <w:color w:val="auto"/>
          <w:highlight w:val="none"/>
        </w:rPr>
      </w:r>
    </w:p>
    <w:p>
      <w:pPr>
        <w:pStyle w:val="808"/>
        <w:ind w:left="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3）交付成果</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App数据巡检概况表。</w:t>
      </w:r>
      <w:r>
        <w:rPr>
          <w:color w:val="auto"/>
          <w:highlight w:val="none"/>
        </w:rPr>
      </w:r>
      <w:r>
        <w:rPr>
          <w:color w:val="auto"/>
          <w:highlight w:val="none"/>
        </w:rPr>
      </w:r>
    </w:p>
    <w:p>
      <w:pPr>
        <w:pStyle w:val="808"/>
        <w:ind w:left="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8</w:t>
      </w:r>
      <w:r>
        <w:rPr>
          <w:rFonts w:hint="eastAsia" w:ascii="宋体" w:hAnsi="宋体"/>
          <w:color w:val="auto"/>
          <w:sz w:val="24"/>
          <w:szCs w:val="24"/>
          <w:highlight w:val="none"/>
        </w:rPr>
        <w:t xml:space="preserve">）无锡市生态环境综合APP数据维护</w:t>
      </w:r>
      <w:r>
        <w:rPr>
          <w:color w:val="auto"/>
          <w:highlight w:val="none"/>
        </w:rPr>
      </w:r>
      <w:r>
        <w:rPr>
          <w:color w:val="auto"/>
          <w:highlight w:val="none"/>
        </w:rPr>
      </w:r>
    </w:p>
    <w:p>
      <w:pPr>
        <w:pStyle w:val="808"/>
        <w:ind w:left="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根据App运行要求，运维人员每天导入江苏省1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市每日空气质量数据和7</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断面每日水质情况数据，同时对导入的数据质量进行核查，保障App模块显示正常。</w:t>
      </w:r>
      <w:r>
        <w:rPr>
          <w:color w:val="auto"/>
          <w:highlight w:val="none"/>
        </w:rPr>
      </w:r>
      <w:r>
        <w:rPr>
          <w:color w:val="auto"/>
          <w:highlight w:val="none"/>
        </w:rPr>
      </w:r>
    </w:p>
    <w:p>
      <w:pPr>
        <w:pStyle w:val="808"/>
        <w:ind w:left="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工作日5*8小时，现场/远程。</w:t>
      </w:r>
      <w:r>
        <w:rPr>
          <w:color w:val="auto"/>
          <w:highlight w:val="none"/>
        </w:rPr>
      </w:r>
      <w:r>
        <w:rPr>
          <w:color w:val="auto"/>
          <w:highlight w:val="none"/>
        </w:rPr>
      </w:r>
    </w:p>
    <w:p>
      <w:pPr>
        <w:pStyle w:val="808"/>
        <w:ind w:left="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19</w:t>
      </w:r>
      <w:r>
        <w:rPr>
          <w:rFonts w:hint="eastAsia" w:ascii="宋体" w:hAnsi="宋体"/>
          <w:color w:val="auto"/>
          <w:sz w:val="24"/>
          <w:szCs w:val="24"/>
          <w:highlight w:val="none"/>
        </w:rPr>
        <w:t xml:space="preserve">）无锡市生态环境综合APP应用集成</w:t>
      </w:r>
      <w:r>
        <w:rPr>
          <w:color w:val="auto"/>
          <w:highlight w:val="none"/>
        </w:rPr>
      </w:r>
      <w:r>
        <w:rPr>
          <w:color w:val="auto"/>
          <w:highlight w:val="none"/>
        </w:rPr>
      </w:r>
    </w:p>
    <w:p>
      <w:pPr>
        <w:pStyle w:val="808"/>
        <w:ind w:left="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根据用户需求和业务要求，在无锡市生态环境综合APP中集成应用模块，包含需求分析、模块化设计、开发与测试、部署与监控、用户培训与支持的一系列流程。</w:t>
      </w:r>
      <w:r>
        <w:rPr>
          <w:color w:val="auto"/>
          <w:highlight w:val="none"/>
        </w:rPr>
      </w:r>
      <w:r>
        <w:rPr>
          <w:color w:val="auto"/>
          <w:highlight w:val="none"/>
        </w:rPr>
      </w:r>
    </w:p>
    <w:p>
      <w:pPr>
        <w:pStyle w:val="808"/>
        <w:ind w:left="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工作日5*8小时，现场/远程。</w:t>
      </w:r>
      <w:r>
        <w:rPr>
          <w:color w:val="auto"/>
          <w:highlight w:val="none"/>
        </w:rPr>
      </w:r>
      <w:r>
        <w:rPr>
          <w:color w:val="auto"/>
          <w:highlight w:val="none"/>
        </w:rPr>
      </w:r>
    </w:p>
    <w:p>
      <w:pPr>
        <w:pStyle w:val="808"/>
        <w:ind w:left="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3）交付成果</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需求说明书。</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3.1.3  </w:t>
      </w:r>
      <w:r>
        <w:rPr>
          <w:rFonts w:hint="eastAsia" w:ascii="宋体" w:hAnsi="宋体"/>
          <w:b/>
          <w:color w:val="auto"/>
          <w:sz w:val="24"/>
          <w:szCs w:val="24"/>
          <w:highlight w:val="none"/>
        </w:rPr>
        <w:t xml:space="preserve">生态环境目标体系运维项目运维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1、运维服务标准与要求</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日常巡检的周期为按日巡检，每天登陆平台查看是否可以正常登陆，平台内所有功能页面能否正常打开</w:t>
      </w:r>
      <w:r>
        <w:rPr>
          <w:rFonts w:ascii="宋体" w:hAnsi="宋体"/>
          <w:color w:val="auto"/>
          <w:sz w:val="24"/>
          <w:szCs w:val="24"/>
          <w:highlight w:val="none"/>
        </w:rPr>
        <w:t xml:space="preserve">。当平台服务发生故障时，需及时远程处理，必要情况下需派人至现场处理</w:t>
      </w:r>
      <w:r>
        <w:rPr>
          <w:rFonts w:hint="eastAsia" w:ascii="宋体" w:hAnsi="宋体"/>
          <w:color w:val="auto"/>
          <w:sz w:val="24"/>
          <w:szCs w:val="24"/>
          <w:highlight w:val="none"/>
        </w:rPr>
        <w:t xml:space="preserve">，</w:t>
      </w:r>
      <w:r>
        <w:rPr>
          <w:rFonts w:ascii="宋体" w:hAnsi="宋体"/>
          <w:color w:val="auto"/>
          <w:sz w:val="24"/>
          <w:szCs w:val="24"/>
          <w:highlight w:val="none"/>
        </w:rPr>
        <w:t xml:space="preserve">确保系统平台的稳定运行</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2、运维服务内容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（1）定期巡检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每日安排专职人员登录系统进行检查，确保系统的正常登陆，页面正常打开无报错，查看自动站点位数据的实时性，数据的完整性等。</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每周对系统运行情况与数据库数据备份情况进行检查，确保服务器与数据备份程序的正常运行。</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每月对服务器运行情况进行检查，确保服务器磁盘空间足够，数据库正常备份,检查数据库检索性能并进行优化，以保障平台系统服务的流畅运行。</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根据实际情况记录问题并编制运维服务月报并整合年度报告。运维报告分为月报、季报、半年报及年报；通过本报告可以反应每月系统产生的运维事件及处理情况，记录系统运维变更及发布情况。</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每天、每周、每月。</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（2）维保服务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包括平台功能优化调整、性能升级、异常情况处理、数据异常维护、数据定期备份、缺陷修复、平台迁移、资源部署及调试、例行巡检、更新发布等服务。日常巡检的周期为按日巡检，每天登陆平台查看是否可以正常登陆，平台内所有功能页面能否正常打开。</w:t>
      </w:r>
      <w:r>
        <w:rPr>
          <w:rFonts w:ascii="宋体" w:hAnsi="宋体"/>
          <w:color w:val="auto"/>
          <w:sz w:val="24"/>
          <w:szCs w:val="24"/>
          <w:highlight w:val="none"/>
        </w:rPr>
        <w:t xml:space="preserve">当平台服务发生故障时，需及时远程处理，必要情况下需派人至现场处理</w:t>
      </w:r>
      <w:r>
        <w:rPr>
          <w:rFonts w:hint="eastAsia" w:ascii="宋体" w:hAnsi="宋体"/>
          <w:color w:val="auto"/>
          <w:sz w:val="24"/>
          <w:szCs w:val="24"/>
          <w:highlight w:val="none"/>
        </w:rPr>
        <w:t xml:space="preserve">，</w:t>
      </w:r>
      <w:r>
        <w:rPr>
          <w:rFonts w:ascii="宋体" w:hAnsi="宋体"/>
          <w:color w:val="auto"/>
          <w:sz w:val="24"/>
          <w:szCs w:val="24"/>
          <w:highlight w:val="none"/>
        </w:rPr>
        <w:t xml:space="preserve">确保系统平台的稳定运行</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目标管理体系、动态管理驾驶舱及大数据平台巡检内容：</w:t>
      </w:r>
      <w:r>
        <w:rPr>
          <w:color w:val="auto"/>
          <w:highlight w:val="none"/>
        </w:rPr>
      </w:r>
      <w:r>
        <w:rPr>
          <w:color w:val="auto"/>
          <w:highlight w:val="none"/>
        </w:rPr>
      </w:r>
    </w:p>
    <w:tbl>
      <w:tblPr>
        <w:tblW w:w="5438" w:type="pct"/>
        <w:tblInd w:w="-459" w:type="dxa"/>
        <w:tblLayout w:type="fixed"/>
        <w:tblCellMar>
          <w:left w:w="108" w:type="dxa"/>
          <w:top w:w="0" w:type="dxa"/>
          <w:right w:w="108" w:type="dxa"/>
          <w:bottom w:w="0" w:type="dxa"/>
        </w:tblCellMar>
        <w:tblLook w:val="04A0" w:firstRow="1" w:lastRow="0" w:firstColumn="1" w:lastColumn="0" w:noHBand="0" w:noVBand="1"/>
      </w:tblPr>
      <w:tblGrid>
        <w:gridCol w:w="708"/>
        <w:gridCol w:w="710"/>
        <w:gridCol w:w="1135"/>
        <w:gridCol w:w="3199"/>
        <w:gridCol w:w="3959"/>
        <w:gridCol w:w="261"/>
      </w:tblGrid>
      <w:tr>
        <w:trPr>
          <w:cantSplit/>
          <w:gridAfter w:val="1"/>
          <w:trHeight w:val="350"/>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序列</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系统名称</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子系统名称</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199"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一级菜单</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959"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巡检内容</w:t>
            </w:r>
            <w:r>
              <w:rPr>
                <w:color w:val="auto"/>
                <w:highlight w:val="none"/>
              </w:rPr>
            </w:r>
            <w:r>
              <w:rPr>
                <w:color w:val="auto"/>
                <w:highlight w:val="none"/>
              </w:rP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08"/>
              <w:ind w:firstLine="480"/>
              <w:jc w:val="center"/>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08"/>
              <w:ind w:firstLine="480"/>
              <w:jc w:val="center"/>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08"/>
              <w:ind w:firstLine="480"/>
              <w:jc w:val="center"/>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199" w:type="dxa"/>
            <w:vAlign w:val="center"/>
            <w:vMerge w:val="continue"/>
            <w:textDirection w:val="lrTb"/>
            <w:noWrap w:val="false"/>
          </w:tcPr>
          <w:p>
            <w:pPr>
              <w:pStyle w:val="808"/>
              <w:ind w:firstLine="480"/>
              <w:jc w:val="center"/>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959" w:type="dxa"/>
            <w:vAlign w:val="center"/>
            <w:vMerge w:val="continue"/>
            <w:textDirection w:val="lrTb"/>
            <w:noWrap w:val="false"/>
          </w:tcPr>
          <w:p>
            <w:pPr>
              <w:pStyle w:val="808"/>
              <w:ind w:firstLine="480"/>
              <w:jc w:val="center"/>
              <w:rPr>
                <w:rFonts w:ascii="宋体" w:hAnsi="宋体"/>
                <w:color w:val="000000"/>
                <w:sz w:val="18"/>
                <w:szCs w:val="18"/>
              </w:rPr>
            </w:pPr>
            <w:r>
              <w:rPr>
                <w:rFonts w:ascii="宋体" w:hAnsi="宋体"/>
                <w:color w:val="000000"/>
                <w:sz w:val="18"/>
                <w:szCs w:val="18"/>
              </w:rPr>
            </w:r>
            <w:r/>
          </w:p>
        </w:tc>
        <w:tc>
          <w:tcPr>
            <w:tcBorders>
              <w:top w:val="none" w:color="000000" w:sz="4" w:space="0"/>
              <w:left w:val="none" w:color="000000" w:sz="4" w:space="0"/>
              <w:bottom w:val="none" w:color="000000" w:sz="4" w:space="0"/>
              <w:right w:val="none" w:color="000000" w:sz="4" w:space="0"/>
            </w:tcBorders>
            <w:tcW w:w="261" w:type="dxa"/>
            <w:vAlign w:val="center"/>
            <w:textDirection w:val="lrTb"/>
            <w:noWrap/>
          </w:tcPr>
          <w:p>
            <w:pPr>
              <w:pStyle w:val="808"/>
              <w:ind w:firstLine="422"/>
              <w:jc w:val="center"/>
              <w:rPr>
                <w:rFonts w:ascii="宋体" w:hAnsi="宋体"/>
                <w:b/>
                <w:bCs/>
                <w:color w:val="auto"/>
                <w:sz w:val="18"/>
                <w:szCs w:val="18"/>
                <w:highlight w:val="none"/>
              </w:rPr>
            </w:pPr>
            <w:r>
              <w:rPr>
                <w:rFonts w:ascii="宋体" w:hAnsi="宋体"/>
                <w:b/>
                <w:bCs/>
                <w:color w:val="auto"/>
                <w:sz w:val="18"/>
                <w:szCs w:val="18"/>
                <w:highlight w:val="none"/>
              </w:rPr>
            </w:r>
            <w:r>
              <w:rPr>
                <w:color w:val="auto"/>
                <w:highlight w:val="none"/>
              </w:rPr>
            </w:r>
            <w:r>
              <w:rPr>
                <w:color w:val="auto"/>
                <w:highlight w:val="none"/>
              </w:rPr>
            </w:r>
          </w:p>
        </w:tc>
      </w:tr>
      <w:tr>
        <w:trPr>
          <w:cantSplit/>
        </w:trPr>
        <w:tc>
          <w:tcPr>
            <w:tcBorders>
              <w:top w:val="non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Borders>
              <w:top w:val="non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生态环境目标管理体系</w:t>
            </w:r>
            <w:r>
              <w:rPr>
                <w:color w:val="auto"/>
                <w:highlight w:val="none"/>
              </w:rPr>
            </w:r>
            <w:r>
              <w:rPr>
                <w:color w:val="auto"/>
                <w:highlight w:val="none"/>
              </w:rPr>
            </w:r>
          </w:p>
        </w:tc>
        <w:tc>
          <w:tcPr>
            <w:tcBorders>
              <w:top w:val="non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空气质量目标管理系统</w:t>
            </w:r>
            <w:r>
              <w:rPr>
                <w:color w:val="auto"/>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考核台账、考核分析、主题集市、监测报表、监测预警、主题报告、目标地图</w:t>
            </w:r>
            <w:r>
              <w:rPr>
                <w:color w:val="auto"/>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能否正常登录、各子模块数据是否及时和准确，查询导出功能是否正常。</w:t>
            </w:r>
            <w:r>
              <w:rPr>
                <w:color w:val="auto"/>
                <w:highlight w:val="none"/>
              </w:rPr>
            </w:r>
            <w:r>
              <w:rPr>
                <w:color w:val="auto"/>
                <w:highlight w:val="none"/>
              </w:rPr>
            </w:r>
          </w:p>
        </w:tc>
        <w:tc>
          <w:tcPr>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non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目标管理、填报管理</w:t>
            </w:r>
            <w:r>
              <w:rPr>
                <w:color w:val="auto"/>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目标管理和目标设置是否准确及时，每月审核数据是否及时和准确、未审核数据是否及时</w:t>
            </w:r>
            <w:r>
              <w:rPr>
                <w:color w:val="auto"/>
                <w:highlight w:val="none"/>
              </w:rPr>
            </w:r>
            <w:r>
              <w:rPr>
                <w:color w:val="auto"/>
                <w:highlight w:val="none"/>
              </w:rPr>
            </w:r>
          </w:p>
        </w:tc>
        <w:tc>
          <w:tcPr>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2</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水环境目标管理系统</w:t>
            </w:r>
            <w:r>
              <w:rPr>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考核台账、考核分析、主题集市、自动监测报表、异常预警、主题报告、目标地图</w:t>
            </w:r>
            <w:r>
              <w:rPr>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能否正常登录、各子模块数据是否及时和准确，查询导出功能是否正常。</w:t>
            </w:r>
            <w:r>
              <w:rPr>
                <w:color w:val="auto"/>
                <w:highlight w:val="none"/>
              </w:rPr>
            </w:r>
            <w:r>
              <w:rPr>
                <w:color w:val="auto"/>
                <w:highlight w:val="none"/>
              </w:rPr>
            </w:r>
          </w:p>
        </w:tc>
        <w:tc>
          <w:tcPr>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non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目标管理、填报管理</w:t>
            </w:r>
            <w:r>
              <w:rPr>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目标管理和目标设置是否准确及时，每月审核数据是否及时和准确、未审核数据是否及时</w:t>
            </w:r>
            <w:r>
              <w:rPr>
                <w:color w:val="auto"/>
                <w:highlight w:val="none"/>
              </w:rPr>
            </w:r>
            <w:r>
              <w:rPr>
                <w:color w:val="auto"/>
                <w:highlight w:val="none"/>
              </w:rPr>
            </w:r>
          </w:p>
        </w:tc>
        <w:tc>
          <w:tcPr>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3</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噪声目标管理系统</w:t>
            </w:r>
            <w:r>
              <w:rPr>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考核台账、考核分析、区域噪声、功能区噪声、道路交通噪声、目标地图</w:t>
            </w:r>
            <w:r>
              <w:rPr>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能否正常登录、各子模块数据是否及时和准确，查询导出功能是否正常。</w:t>
            </w:r>
            <w:r>
              <w:rPr>
                <w:color w:val="auto"/>
                <w:highlight w:val="none"/>
              </w:rPr>
            </w:r>
            <w:r>
              <w:rPr>
                <w:color w:val="auto"/>
                <w:highlight w:val="none"/>
              </w:rPr>
            </w:r>
          </w:p>
        </w:tc>
        <w:tc>
          <w:tcPr>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non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目标管理</w:t>
            </w:r>
            <w:r>
              <w:rPr>
                <w:color w:val="auto"/>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目标管理和目标设置是否准确及时</w:t>
            </w:r>
            <w:r>
              <w:rPr>
                <w:color w:val="auto"/>
                <w:highlight w:val="none"/>
              </w:rPr>
            </w:r>
            <w:r>
              <w:rPr>
                <w:color w:val="auto"/>
                <w:highlight w:val="none"/>
              </w:rPr>
            </w:r>
          </w:p>
        </w:tc>
        <w:tc>
          <w:tcPr>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4</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土壤目标管理系统</w:t>
            </w:r>
            <w:r>
              <w:rPr>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考核台账、考核报表、考核分析</w:t>
            </w:r>
            <w:r>
              <w:rPr>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能否正常登录、各子模块数据是否及时和准确，查询导出功能是否正常。</w:t>
            </w:r>
            <w:r>
              <w:rPr>
                <w:color w:val="auto"/>
                <w:highlight w:val="none"/>
              </w:rPr>
            </w:r>
            <w:r>
              <w:rPr>
                <w:color w:val="auto"/>
                <w:highlight w:val="none"/>
              </w:rPr>
            </w:r>
          </w:p>
        </w:tc>
        <w:tc>
          <w:tcPr>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non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目标管理、填报管理</w:t>
            </w:r>
            <w:r>
              <w:rPr>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目标管理和目标设置是否准确及时，每月审核数据是否及时和准确、未审核数据是否及时</w:t>
            </w:r>
            <w:r>
              <w:rPr>
                <w:color w:val="auto"/>
                <w:highlight w:val="none"/>
              </w:rPr>
            </w:r>
            <w:r>
              <w:rPr>
                <w:color w:val="auto"/>
                <w:highlight w:val="none"/>
              </w:rPr>
            </w:r>
          </w:p>
        </w:tc>
        <w:tc>
          <w:tcPr>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5</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固废目标管理系统</w:t>
            </w:r>
            <w:r>
              <w:rPr>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考核台账、考核分析、主题集市</w:t>
            </w:r>
            <w:r>
              <w:rPr>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能否正常登录、各子模块数据是否及时和准确，查询导出功能是否正常。</w:t>
            </w:r>
            <w:r>
              <w:rPr>
                <w:color w:val="auto"/>
                <w:highlight w:val="none"/>
              </w:rPr>
            </w:r>
            <w:r>
              <w:rPr>
                <w:color w:val="auto"/>
                <w:highlight w:val="none"/>
              </w:rPr>
            </w:r>
          </w:p>
        </w:tc>
        <w:tc>
          <w:tcPr>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non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目标管理、填报管理</w:t>
            </w:r>
            <w:r>
              <w:rPr>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目标管理和目标设置是否准确及时，每月审核数据是否及时和准确、未审核数据是否及时</w:t>
            </w:r>
            <w:r>
              <w:rPr>
                <w:color w:val="auto"/>
                <w:highlight w:val="none"/>
              </w:rPr>
            </w:r>
            <w:r>
              <w:rPr>
                <w:color w:val="auto"/>
                <w:highlight w:val="none"/>
              </w:rPr>
            </w:r>
          </w:p>
        </w:tc>
        <w:tc>
          <w:tcPr>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non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6</w:t>
            </w:r>
            <w:r>
              <w:rPr>
                <w:color w:val="auto"/>
                <w:highlight w:val="none"/>
              </w:rPr>
            </w:r>
            <w:r>
              <w:rPr>
                <w:color w:val="auto"/>
                <w:highlight w:val="none"/>
              </w:rPr>
            </w:r>
          </w:p>
        </w:tc>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non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环境执法目标管理系统</w:t>
            </w:r>
            <w:r>
              <w:rPr>
                <w:color w:val="auto"/>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考核台账、考核分析、行政处罚主题、移动执法主题、重点污染源主题、主题报告、目标地图</w:t>
            </w:r>
            <w:r>
              <w:rPr>
                <w:color w:val="auto"/>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能否正常登录、各子模块数据是否及时和准确，查询导出功能是否正常。</w:t>
            </w:r>
            <w:r>
              <w:rPr>
                <w:color w:val="auto"/>
                <w:highlight w:val="none"/>
              </w:rPr>
            </w:r>
            <w:r>
              <w:rPr>
                <w:color w:val="auto"/>
                <w:highlight w:val="none"/>
              </w:rPr>
            </w:r>
          </w:p>
        </w:tc>
        <w:tc>
          <w:tcPr>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non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目标管理</w:t>
            </w:r>
            <w:r>
              <w:rPr>
                <w:color w:val="auto"/>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目标管理和目标设置是否准确及时</w:t>
            </w:r>
            <w:r>
              <w:rPr>
                <w:color w:val="auto"/>
                <w:highlight w:val="none"/>
              </w:rPr>
            </w:r>
            <w:r>
              <w:rPr>
                <w:color w:val="auto"/>
                <w:highlight w:val="none"/>
              </w:rPr>
            </w:r>
          </w:p>
        </w:tc>
        <w:tc>
          <w:tcPr>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7</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环境信访目标管理系统</w:t>
            </w:r>
            <w:r>
              <w:rPr>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考核台账、考核报表、考核分析、目标地图</w:t>
            </w:r>
            <w:r>
              <w:rPr>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能否正常登录、各子模块数据是否及时和准确，查询导出功能是否正常。</w:t>
            </w:r>
            <w:r>
              <w:rPr>
                <w:color w:val="auto"/>
                <w:highlight w:val="none"/>
              </w:rPr>
            </w:r>
            <w:r>
              <w:rPr>
                <w:color w:val="auto"/>
                <w:highlight w:val="none"/>
              </w:rPr>
            </w:r>
          </w:p>
        </w:tc>
        <w:tc>
          <w:tcPr>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non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目标管理</w:t>
            </w:r>
            <w:r>
              <w:rPr>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目标管理和目标设置是否准确及时</w:t>
            </w:r>
            <w:r>
              <w:rPr>
                <w:color w:val="auto"/>
                <w:highlight w:val="none"/>
              </w:rPr>
            </w:r>
            <w:r>
              <w:rPr>
                <w:color w:val="auto"/>
                <w:highlight w:val="none"/>
              </w:rPr>
            </w:r>
          </w:p>
        </w:tc>
        <w:tc>
          <w:tcPr>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8</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污染防治攻坚目标管理系统</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考核台账、考核分析</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能否正常登录、各子模块数据是否及时和准确，查询导出功能是否正常。</w:t>
            </w:r>
            <w:r>
              <w:rPr>
                <w:color w:val="auto"/>
                <w:highlight w:val="none"/>
              </w:rPr>
            </w:r>
            <w:r>
              <w:rPr>
                <w:color w:val="auto"/>
                <w:highlight w:val="none"/>
              </w:rPr>
            </w:r>
          </w:p>
        </w:tc>
        <w:tc>
          <w:tcPr>
            <w:tcBorders>
              <w:left w:val="single" w:color="000000" w:sz="4" w:space="0"/>
            </w:tcBorders>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目标管理</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目标管理和目标设置是否准确及时</w:t>
            </w:r>
            <w:r>
              <w:rPr>
                <w:color w:val="auto"/>
                <w:highlight w:val="none"/>
              </w:rPr>
            </w:r>
            <w:r>
              <w:rPr>
                <w:color w:val="auto"/>
                <w:highlight w:val="none"/>
              </w:rPr>
            </w:r>
          </w:p>
        </w:tc>
        <w:tc>
          <w:tcPr>
            <w:tcBorders>
              <w:left w:val="single" w:color="000000" w:sz="4" w:space="0"/>
            </w:tcBorders>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9</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太湖目标管理系统</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考核台账、安全度夏、主题报告</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功能是否正常、数据是否及时和准确</w:t>
            </w:r>
            <w:r>
              <w:rPr>
                <w:color w:val="auto"/>
                <w:highlight w:val="none"/>
              </w:rPr>
            </w:r>
            <w:r>
              <w:rPr>
                <w:color w:val="auto"/>
                <w:highlight w:val="none"/>
              </w:rPr>
            </w:r>
          </w:p>
        </w:tc>
        <w:tc>
          <w:tcPr>
            <w:tcBorders>
              <w:left w:val="single" w:color="000000" w:sz="4" w:space="0"/>
            </w:tcBorders>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199" w:type="dxa"/>
            <w:vAlign w:val="center"/>
            <w:textDirection w:val="lrTb"/>
            <w:noWrap/>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目标管理、填报管理</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目标管理和目标设置是否准确及时，每月审核数据是否及时和准确、未审核数据是否及时</w:t>
            </w:r>
            <w:r>
              <w:rPr>
                <w:color w:val="auto"/>
                <w:highlight w:val="none"/>
              </w:rPr>
            </w:r>
            <w:r>
              <w:rPr>
                <w:color w:val="auto"/>
                <w:highlight w:val="none"/>
              </w:rPr>
            </w:r>
          </w:p>
        </w:tc>
        <w:tc>
          <w:tcPr>
            <w:tcBorders>
              <w:left w:val="single" w:color="000000" w:sz="4" w:space="0"/>
            </w:tcBorders>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10</w:t>
            </w:r>
            <w:r>
              <w:rPr>
                <w:color w:val="auto"/>
                <w:highlight w:val="none"/>
              </w:rPr>
            </w:r>
            <w:r>
              <w:rPr>
                <w:color w:val="auto"/>
                <w:highlight w:val="none"/>
              </w:rPr>
            </w:r>
          </w:p>
        </w:tc>
        <w:tc>
          <w:tcPr>
            <w:gridSpan w:val="2"/>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动态管理驾驶舱</w:t>
            </w:r>
            <w:r>
              <w:rPr>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空气目标管理系统动态驾驶舱</w:t>
            </w:r>
            <w:r>
              <w:rPr>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实时空气质量、空气质量预报日数据、空气环境指标的数据、废气污染源企业的数量和污染物排放量数据、涉VOCs企业的数量和TVOC排放量数据、涉气企业用电监控图数据以及空气污染防治重点工程项目表的数据是否每日更新。</w:t>
            </w:r>
            <w:r>
              <w:rPr>
                <w:color w:val="auto"/>
                <w:highlight w:val="none"/>
              </w:rPr>
            </w:r>
            <w:r>
              <w:rPr>
                <w:color w:val="auto"/>
                <w:highlight w:val="none"/>
              </w:rPr>
            </w:r>
          </w:p>
        </w:tc>
        <w:tc>
          <w:tcPr>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845"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水目标管理系统动态驾驶舱</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单月和累计月的水环境指标数据、河流断面状况数据、太湖水质状况数据、污水处理厂的数量和各个污染物排放量数据、废水直排重点企业的数量和各个污染物排放量数据以及“水十条”工程项目考核情况表的数据是否每月更新。</w:t>
            </w:r>
            <w:r>
              <w:rPr>
                <w:color w:val="auto"/>
                <w:highlight w:val="none"/>
              </w:rPr>
            </w:r>
            <w:r>
              <w:rPr>
                <w:color w:val="auto"/>
                <w:highlight w:val="none"/>
              </w:rPr>
            </w:r>
          </w:p>
        </w:tc>
        <w:tc>
          <w:tcPr>
            <w:tcBorders>
              <w:left w:val="single" w:color="000000" w:sz="4" w:space="0"/>
            </w:tcBorders>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845"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水、空气、噪声、环境执法、环境信访、生态环境之窗等目标地图</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地图数据是否可以展示以及数据是否及时准确。</w:t>
            </w:r>
            <w:r>
              <w:rPr>
                <w:color w:val="auto"/>
                <w:highlight w:val="none"/>
              </w:rPr>
            </w:r>
            <w:r>
              <w:rPr>
                <w:color w:val="auto"/>
                <w:highlight w:val="none"/>
              </w:rPr>
            </w:r>
          </w:p>
        </w:tc>
        <w:tc>
          <w:tcPr>
            <w:tcBorders>
              <w:left w:val="single" w:color="000000" w:sz="4" w:space="0"/>
            </w:tcBorders>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non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11</w:t>
            </w:r>
            <w:r>
              <w:rPr>
                <w:color w:val="auto"/>
                <w:highlight w:val="none"/>
              </w:rPr>
            </w:r>
            <w:r>
              <w:rPr>
                <w:color w:val="auto"/>
                <w:highlight w:val="none"/>
              </w:rPr>
            </w:r>
          </w:p>
        </w:tc>
        <w:tc>
          <w:tcPr>
            <w:gridSpan w:val="2"/>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大数据分析平台</w:t>
            </w:r>
            <w:r>
              <w:rPr>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数据集市、主题分析、算法模型库、数据服务</w:t>
            </w:r>
            <w:r>
              <w:rPr>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能否正常登录、各子模块数据是否及时和准确，查询导出功能是否正常。</w:t>
            </w:r>
            <w:r>
              <w:rPr>
                <w:color w:val="auto"/>
                <w:highlight w:val="none"/>
              </w:rPr>
            </w:r>
            <w:r>
              <w:rPr>
                <w:color w:val="auto"/>
                <w:highlight w:val="none"/>
              </w:rPr>
            </w:r>
          </w:p>
        </w:tc>
        <w:tc>
          <w:tcPr>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r>
        <w:trPr>
          <w:cantSplit/>
        </w:trPr>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845" w:type="dxa"/>
            <w:vAlign w:val="center"/>
            <w:vMerge w:val="continue"/>
            <w:textDirection w:val="lrTb"/>
            <w:noWrap w:val="false"/>
          </w:tcPr>
          <w:p>
            <w:pPr>
              <w:pStyle w:val="808"/>
              <w:rPr>
                <w:rFonts w:ascii="宋体" w:hAnsi="宋体"/>
                <w:color w:val="000000"/>
                <w:sz w:val="18"/>
                <w:szCs w:val="18"/>
              </w:rPr>
            </w:pPr>
            <w:r>
              <w:rPr>
                <w:rFonts w:ascii="宋体" w:hAnsi="宋体"/>
                <w:color w:val="000000"/>
                <w:sz w:val="18"/>
                <w:szCs w:val="18"/>
              </w:rPr>
            </w:r>
            <w:r/>
          </w:p>
        </w:tc>
        <w:tc>
          <w:tcPr>
            <w:tcBorders>
              <w:top w:val="none" w:color="000000" w:sz="4" w:space="0"/>
              <w:left w:val="none" w:color="000000" w:sz="4" w:space="0"/>
              <w:bottom w:val="single" w:color="000000" w:sz="4" w:space="0"/>
              <w:right w:val="single" w:color="000000" w:sz="4" w:space="0"/>
            </w:tcBorders>
            <w:tcW w:w="319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大数据管理</w:t>
            </w:r>
            <w:r>
              <w:rPr>
                <w:color w:val="auto"/>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3959"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对大数据管理中的元数据管理、模型管理、数据服务管理进行信息查看审核。</w:t>
            </w:r>
            <w:r>
              <w:rPr>
                <w:color w:val="auto"/>
                <w:highlight w:val="none"/>
              </w:rPr>
            </w:r>
            <w:r>
              <w:rPr>
                <w:color w:val="auto"/>
                <w:highlight w:val="none"/>
              </w:rPr>
            </w:r>
          </w:p>
        </w:tc>
        <w:tc>
          <w:tcPr>
            <w:tcW w:w="261" w:type="dxa"/>
            <w:vAlign w:val="center"/>
            <w:textDirection w:val="lrTb"/>
            <w:noWrap w:val="false"/>
          </w:tcPr>
          <w:p>
            <w:pPr>
              <w:pStyle w:val="808"/>
              <w:ind w:firstLine="400"/>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bl>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每天。</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）用户反馈问题处理纪答复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在日常运维过程中，对用户反馈的问题进行处理并答复；无法自行解除的问题需要通知相关人员进行处理。碰到无法处理的情况上报项目组，并做好问题的跟踪直到问题解决。</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每天。</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（3）账号管理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根据各个科室要求收资《无锡市生态环境局目标管理用户信息表》，开通、修改、删除、对应的市局、区县工作人员的账号权限，确保系统权限配置无误。</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每天。</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收资清单及运维内容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年根据要求收集不同环境要素的生态环境目标的考核指标，通过解读设定不同层级环境工作需要达成的目标。每年根据要求收资不同环境要素的生态环境工程项目清单，进行整理后导入目标系统并编制导入模版。</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（二期）生态环境目标体系收资清单及运维内容：</w:t>
      </w:r>
      <w:r>
        <w:rPr>
          <w:color w:val="auto"/>
          <w:highlight w:val="none"/>
        </w:rPr>
      </w:r>
      <w:r>
        <w:rPr>
          <w:color w:val="auto"/>
          <w:highlight w:val="none"/>
        </w:rP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1"/>
        <w:gridCol w:w="708"/>
        <w:gridCol w:w="1134"/>
        <w:gridCol w:w="1843"/>
        <w:gridCol w:w="1529"/>
        <w:gridCol w:w="1590"/>
        <w:gridCol w:w="1190"/>
      </w:tblGrid>
      <w:tr>
        <w:trPr/>
        <w:tc>
          <w:tcPr>
            <w:tcW w:w="42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序列</w:t>
            </w:r>
            <w:r>
              <w:rPr>
                <w:color w:val="auto"/>
                <w:highlight w:val="none"/>
              </w:rPr>
            </w:r>
            <w:r>
              <w:rPr>
                <w:color w:val="auto"/>
                <w:highlight w:val="none"/>
              </w:rPr>
            </w:r>
          </w:p>
        </w:tc>
        <w:tc>
          <w:tcPr>
            <w:tcW w:w="70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系统名称</w:t>
            </w:r>
            <w:r>
              <w:rPr>
                <w:color w:val="auto"/>
                <w:highlight w:val="none"/>
              </w:rPr>
            </w:r>
            <w:r>
              <w:rPr>
                <w:color w:val="auto"/>
                <w:highlight w:val="none"/>
              </w:rPr>
            </w:r>
          </w:p>
        </w:tc>
        <w:tc>
          <w:tcPr>
            <w:tcW w:w="1134"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子系统名称</w:t>
            </w:r>
            <w:r>
              <w:rPr>
                <w:color w:val="auto"/>
                <w:highlight w:val="none"/>
              </w:rPr>
            </w:r>
            <w:r>
              <w:rPr>
                <w:color w:val="auto"/>
                <w:highlight w:val="none"/>
              </w:rPr>
            </w:r>
          </w:p>
        </w:tc>
        <w:tc>
          <w:tcPr>
            <w:tcW w:w="184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收资数据清单</w:t>
            </w:r>
            <w:r>
              <w:rPr>
                <w:color w:val="auto"/>
                <w:highlight w:val="none"/>
              </w:rPr>
            </w:r>
            <w:r>
              <w:rPr>
                <w:color w:val="auto"/>
                <w:highlight w:val="none"/>
              </w:rPr>
            </w:r>
          </w:p>
        </w:tc>
        <w:tc>
          <w:tcPr>
            <w:tcW w:w="1529"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数据类型</w:t>
            </w:r>
            <w:r>
              <w:rPr>
                <w:color w:val="auto"/>
                <w:highlight w:val="none"/>
              </w:rPr>
            </w:r>
            <w:r>
              <w:rPr>
                <w:color w:val="auto"/>
                <w:highlight w:val="none"/>
              </w:rPr>
            </w:r>
          </w:p>
        </w:tc>
        <w:tc>
          <w:tcPr>
            <w:tcW w:w="1590"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运维事项</w:t>
            </w:r>
            <w:r>
              <w:rPr>
                <w:color w:val="auto"/>
                <w:highlight w:val="none"/>
              </w:rPr>
            </w:r>
            <w:r>
              <w:rPr>
                <w:color w:val="auto"/>
                <w:highlight w:val="none"/>
              </w:rPr>
            </w:r>
          </w:p>
        </w:tc>
        <w:tc>
          <w:tcPr>
            <w:tcW w:w="1190"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更新频率</w:t>
            </w:r>
            <w:r>
              <w:rPr>
                <w:color w:val="auto"/>
                <w:highlight w:val="none"/>
              </w:rPr>
            </w:r>
            <w:r>
              <w:rPr>
                <w:color w:val="auto"/>
                <w:highlight w:val="none"/>
              </w:rPr>
            </w:r>
          </w:p>
        </w:tc>
      </w:tr>
      <w:tr>
        <w:trPr>
          <w:cantSplit/>
        </w:trPr>
        <w:tc>
          <w:tcPr>
            <w:tcW w:w="421" w:type="dxa"/>
            <w:vAlign w:val="center"/>
            <w:vMerge w:val="restart"/>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708"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（二期）生态环境目标体系</w:t>
            </w:r>
            <w:r>
              <w:rPr>
                <w:color w:val="auto"/>
                <w:highlight w:val="none"/>
              </w:rPr>
            </w:r>
            <w:r>
              <w:rPr>
                <w:color w:val="auto"/>
                <w:highlight w:val="none"/>
              </w:rPr>
            </w:r>
          </w:p>
        </w:tc>
        <w:tc>
          <w:tcPr>
            <w:tcW w:w="1134"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空气质量目标管理系统</w:t>
            </w:r>
            <w:r>
              <w:rPr>
                <w:color w:val="auto"/>
                <w:highlight w:val="none"/>
              </w:rPr>
            </w:r>
            <w:r>
              <w:rPr>
                <w:color w:val="auto"/>
                <w:highlight w:val="none"/>
              </w:rP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目标文件</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目标文件解读及设置</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年/1次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温室气体填报</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数据填报</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年/1次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减排任务填报</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数据填报</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年/1次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工程清单</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工程清单导入</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年/1次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工程进度填报</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月度数据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数据维护及导出</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月/1次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降尘数据填报</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月度数据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数据维护及导出</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月/1次</w:t>
            </w:r>
            <w:r>
              <w:rPr>
                <w:color w:val="auto"/>
                <w:highlight w:val="none"/>
              </w:rPr>
            </w:r>
            <w:r>
              <w:rPr>
                <w:color w:val="auto"/>
                <w:highlight w:val="none"/>
              </w:rPr>
            </w:r>
          </w:p>
        </w:tc>
      </w:tr>
      <w:tr>
        <w:trPr>
          <w:cantSplit/>
        </w:trPr>
        <w:tc>
          <w:tcPr>
            <w:tcW w:w="421" w:type="dxa"/>
            <w:vAlign w:val="center"/>
            <w:vMerge w:val="restart"/>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2</w:t>
            </w:r>
            <w:r>
              <w:rPr>
                <w:color w:val="auto"/>
                <w:highlight w:val="none"/>
              </w:rPr>
            </w:r>
            <w:r>
              <w:rPr>
                <w:color w:val="auto"/>
                <w:highlight w:val="none"/>
              </w:rP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restart"/>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水环境目标管理系统</w:t>
            </w:r>
            <w:r>
              <w:rPr>
                <w:color w:val="auto"/>
                <w:highlight w:val="none"/>
              </w:rPr>
            </w:r>
            <w:r>
              <w:rPr>
                <w:color w:val="auto"/>
                <w:highlight w:val="none"/>
              </w:rP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目标文件</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目标文件解读及设置</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年/1次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工程清单</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工程清单导入</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年/1次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工程进度填报</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月度数据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数据维护及导出</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月/1次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污染减排填报</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数据填报</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年/1次</w:t>
            </w:r>
            <w:r>
              <w:rPr>
                <w:color w:val="auto"/>
                <w:highlight w:val="none"/>
              </w:rPr>
            </w:r>
            <w:r>
              <w:rPr>
                <w:color w:val="auto"/>
                <w:highlight w:val="none"/>
              </w:rPr>
            </w:r>
          </w:p>
        </w:tc>
      </w:tr>
      <w:tr>
        <w:trPr>
          <w:cantSplit/>
        </w:trPr>
        <w:tc>
          <w:tcPr>
            <w:tcW w:w="421" w:type="dxa"/>
            <w:vAlign w:val="center"/>
            <w:vMerge w:val="restart"/>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3</w:t>
            </w:r>
            <w:r>
              <w:rPr>
                <w:color w:val="auto"/>
                <w:highlight w:val="none"/>
              </w:rPr>
            </w:r>
            <w:r>
              <w:rPr>
                <w:color w:val="auto"/>
                <w:highlight w:val="none"/>
              </w:rP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太湖目标管理系统</w:t>
            </w:r>
            <w:r>
              <w:rPr>
                <w:color w:val="auto"/>
                <w:highlight w:val="none"/>
              </w:rPr>
            </w:r>
            <w:r>
              <w:rPr>
                <w:color w:val="auto"/>
                <w:highlight w:val="none"/>
              </w:rP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目标文件</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目标文件解读及设置</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年/1次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工程清单</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工程清单导入</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年/1次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工程进度填报</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月度数据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数据维护及导出</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月/1次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安全度夏数据填报</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日数据（4-11月）</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填报数据维护</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天/1次</w:t>
            </w:r>
            <w:r>
              <w:rPr>
                <w:color w:val="auto"/>
                <w:highlight w:val="none"/>
              </w:rPr>
            </w:r>
            <w:r>
              <w:rPr>
                <w:color w:val="auto"/>
                <w:highlight w:val="none"/>
              </w:rPr>
            </w:r>
          </w:p>
        </w:tc>
      </w:tr>
      <w:tr>
        <w:trPr>
          <w:cantSplit/>
        </w:trPr>
        <w:tc>
          <w:tcPr>
            <w:tcW w:w="421" w:type="dxa"/>
            <w:vAlign w:val="center"/>
            <w:vMerge w:val="restart"/>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4</w:t>
            </w:r>
            <w:r>
              <w:rPr>
                <w:color w:val="auto"/>
                <w:highlight w:val="none"/>
              </w:rPr>
            </w:r>
            <w:r>
              <w:rPr>
                <w:color w:val="auto"/>
                <w:highlight w:val="none"/>
              </w:rP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restart"/>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噪声目标管理系统</w:t>
            </w:r>
            <w:r>
              <w:rPr>
                <w:color w:val="auto"/>
                <w:highlight w:val="none"/>
              </w:rPr>
            </w:r>
            <w:r>
              <w:rPr>
                <w:color w:val="auto"/>
                <w:highlight w:val="none"/>
              </w:rP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目标文件</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目标文件解读及设置</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年/1次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区域噪声数据</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数据整理及导入</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年/1次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功能区噪声数据</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季度数据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数据整理及导入</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年/4次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道路交通噪声数据</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数据整理及导入</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年/1次</w:t>
            </w:r>
            <w:r>
              <w:rPr>
                <w:color w:val="auto"/>
                <w:highlight w:val="none"/>
              </w:rPr>
            </w:r>
            <w:r>
              <w:rPr>
                <w:color w:val="auto"/>
                <w:highlight w:val="none"/>
              </w:rPr>
            </w:r>
          </w:p>
        </w:tc>
      </w:tr>
      <w:tr>
        <w:trPr>
          <w:cantSplit/>
        </w:trPr>
        <w:tc>
          <w:tcPr>
            <w:tcW w:w="421" w:type="dxa"/>
            <w:vAlign w:val="center"/>
            <w:vMerge w:val="restart"/>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5</w:t>
            </w:r>
            <w:r>
              <w:rPr>
                <w:color w:val="auto"/>
                <w:highlight w:val="none"/>
              </w:rPr>
            </w:r>
            <w:r>
              <w:rPr>
                <w:color w:val="auto"/>
                <w:highlight w:val="none"/>
              </w:rP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土壤目标管理系统</w:t>
            </w:r>
            <w:r>
              <w:rPr>
                <w:color w:val="auto"/>
                <w:highlight w:val="none"/>
              </w:rPr>
            </w:r>
            <w:r>
              <w:rPr>
                <w:color w:val="auto"/>
                <w:highlight w:val="none"/>
              </w:rP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目标文件</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目标文件解读及设置</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年/1次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工程清单</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工程清单导入</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年/1次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工程进度填报</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月度数据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数据维护及导出</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月/1次</w:t>
            </w:r>
            <w:r>
              <w:rPr>
                <w:color w:val="auto"/>
                <w:highlight w:val="none"/>
              </w:rPr>
            </w:r>
            <w:r>
              <w:rPr>
                <w:color w:val="auto"/>
                <w:highlight w:val="none"/>
              </w:rPr>
            </w:r>
          </w:p>
        </w:tc>
      </w:tr>
      <w:tr>
        <w:trPr>
          <w:cantSplit/>
        </w:trPr>
        <w:tc>
          <w:tcPr>
            <w:tcW w:w="421" w:type="dxa"/>
            <w:vAlign w:val="center"/>
            <w:vMerge w:val="restart"/>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6</w:t>
            </w:r>
            <w:r>
              <w:rPr>
                <w:color w:val="auto"/>
                <w:highlight w:val="none"/>
              </w:rPr>
            </w:r>
            <w:r>
              <w:rPr>
                <w:color w:val="auto"/>
                <w:highlight w:val="none"/>
              </w:rP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固废目标管理系统</w:t>
            </w:r>
            <w:r>
              <w:rPr>
                <w:color w:val="auto"/>
                <w:highlight w:val="none"/>
              </w:rPr>
            </w:r>
            <w:r>
              <w:rPr>
                <w:color w:val="auto"/>
                <w:highlight w:val="none"/>
              </w:rP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目标文件</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目标文件解读及设置</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年/1次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工程清单</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工程清单导入</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年/1次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工程进度填报</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月度数据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工程进度维护及导出</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月/1次</w:t>
            </w:r>
            <w:r>
              <w:rPr>
                <w:color w:val="auto"/>
                <w:highlight w:val="none"/>
              </w:rPr>
            </w:r>
            <w:r>
              <w:rPr>
                <w:color w:val="auto"/>
                <w:highlight w:val="none"/>
              </w:rPr>
            </w:r>
          </w:p>
        </w:tc>
      </w:tr>
      <w:tr>
        <w:trPr>
          <w:cantSplit/>
        </w:trPr>
        <w:tc>
          <w:tcPr>
            <w:tcW w:w="421"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7</w:t>
            </w:r>
            <w:r>
              <w:rPr>
                <w:color w:val="auto"/>
                <w:highlight w:val="none"/>
              </w:rPr>
            </w:r>
            <w:r>
              <w:rPr>
                <w:color w:val="auto"/>
                <w:highlight w:val="none"/>
              </w:rP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环境执法目标管理系统</w:t>
            </w:r>
            <w:r>
              <w:rPr>
                <w:color w:val="auto"/>
                <w:highlight w:val="none"/>
              </w:rPr>
            </w:r>
            <w:r>
              <w:rPr>
                <w:color w:val="auto"/>
                <w:highlight w:val="none"/>
              </w:rP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目标文件</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目标文件解读及设置</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年/1次</w:t>
            </w:r>
            <w:r>
              <w:rPr>
                <w:color w:val="auto"/>
                <w:highlight w:val="none"/>
              </w:rPr>
            </w:r>
            <w:r>
              <w:rPr>
                <w:color w:val="auto"/>
                <w:highlight w:val="none"/>
              </w:rPr>
            </w:r>
          </w:p>
        </w:tc>
      </w:tr>
      <w:tr>
        <w:trPr>
          <w:cantSplit/>
        </w:trPr>
        <w:tc>
          <w:tcPr>
            <w:tcW w:w="421" w:type="dxa"/>
            <w:vAlign w:val="center"/>
            <w:vMerge w:val="restart"/>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8</w:t>
            </w:r>
            <w:r>
              <w:rPr>
                <w:color w:val="auto"/>
                <w:highlight w:val="none"/>
              </w:rPr>
            </w:r>
            <w:r>
              <w:rPr>
                <w:color w:val="auto"/>
                <w:highlight w:val="none"/>
              </w:rP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环境信访目标管理系统</w:t>
            </w:r>
            <w:r>
              <w:rPr>
                <w:color w:val="auto"/>
                <w:highlight w:val="none"/>
              </w:rPr>
            </w:r>
            <w:r>
              <w:rPr>
                <w:color w:val="auto"/>
                <w:highlight w:val="none"/>
              </w:rP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目标文件</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目标文件解读及设置</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年/1次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12345热线统计表</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月度数据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数据整理及导入</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月/1次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信访局交办件统计表</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月度数据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数据整理及导入</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月/1次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环境信访举报数据分类统计表</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月度数据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数据整理及导入</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月/1次</w:t>
            </w:r>
            <w:r>
              <w:rPr>
                <w:color w:val="auto"/>
                <w:highlight w:val="none"/>
              </w:rPr>
            </w:r>
            <w:r>
              <w:rPr>
                <w:color w:val="auto"/>
                <w:highlight w:val="none"/>
              </w:rPr>
            </w:r>
          </w:p>
        </w:tc>
      </w:tr>
      <w:tr>
        <w:trPr>
          <w:cantSplit/>
        </w:trPr>
        <w:tc>
          <w:tcPr>
            <w:tcW w:w="421" w:type="dxa"/>
            <w:vAlign w:val="center"/>
            <w:vMerge w:val="restart"/>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9</w:t>
            </w:r>
            <w:r>
              <w:rPr>
                <w:color w:val="auto"/>
                <w:highlight w:val="none"/>
              </w:rPr>
            </w:r>
            <w:r>
              <w:rPr>
                <w:color w:val="auto"/>
                <w:highlight w:val="none"/>
              </w:rP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污染防治攻坚目标管理系统</w:t>
            </w:r>
            <w:r>
              <w:rPr>
                <w:color w:val="auto"/>
                <w:highlight w:val="none"/>
              </w:rPr>
            </w:r>
            <w:r>
              <w:rPr>
                <w:color w:val="auto"/>
                <w:highlight w:val="none"/>
              </w:rPr>
            </w:r>
          </w:p>
        </w:tc>
        <w:tc>
          <w:tcPr>
            <w:tcW w:w="184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工程清单</w:t>
            </w:r>
            <w:r>
              <w:rPr>
                <w:color w:val="auto"/>
                <w:highlight w:val="none"/>
              </w:rPr>
            </w:r>
            <w:r>
              <w:rPr>
                <w:color w:val="auto"/>
                <w:highlight w:val="none"/>
              </w:rPr>
            </w:r>
          </w:p>
        </w:tc>
        <w:tc>
          <w:tcPr>
            <w:tcW w:w="1529"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工程清单导入</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年/1次</w:t>
            </w:r>
            <w:r>
              <w:rPr>
                <w:color w:val="auto"/>
                <w:highlight w:val="none"/>
              </w:rPr>
            </w:r>
            <w:r>
              <w:rPr>
                <w:color w:val="auto"/>
                <w:highlight w:val="none"/>
              </w:rPr>
            </w:r>
          </w:p>
        </w:tc>
      </w:tr>
      <w:tr>
        <w:trPr>
          <w:cantSplit/>
        </w:trPr>
        <w:tc>
          <w:tcPr>
            <w:tcW w:w="421"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708"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134" w:type="dxa"/>
            <w:vAlign w:val="center"/>
            <w:vMerge w:val="continue"/>
            <w:textDirection w:val="lrTb"/>
            <w:noWrap w:val="false"/>
          </w:tcPr>
          <w:p>
            <w:pPr>
              <w:pStyle w:val="808"/>
              <w:jc w:val="center"/>
              <w:rPr>
                <w:rFonts w:ascii="宋体" w:hAnsi="宋体"/>
                <w:color w:val="000000"/>
                <w:sz w:val="18"/>
                <w:szCs w:val="18"/>
              </w:rPr>
            </w:pPr>
            <w:r>
              <w:rPr>
                <w:rFonts w:ascii="宋体" w:hAnsi="宋体"/>
                <w:color w:val="000000"/>
                <w:sz w:val="18"/>
                <w:szCs w:val="18"/>
              </w:rPr>
            </w:r>
            <w:r/>
          </w:p>
        </w:tc>
        <w:tc>
          <w:tcPr>
            <w:tcW w:w="184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工程进度填报</w:t>
            </w:r>
            <w:r>
              <w:rPr>
                <w:color w:val="auto"/>
                <w:highlight w:val="none"/>
              </w:rPr>
            </w:r>
            <w:r>
              <w:rPr>
                <w:color w:val="auto"/>
                <w:highlight w:val="none"/>
              </w:rPr>
            </w:r>
          </w:p>
        </w:tc>
        <w:tc>
          <w:tcPr>
            <w:tcW w:w="1529"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月度数据</w:t>
            </w:r>
            <w:r>
              <w:rPr>
                <w:color w:val="auto"/>
                <w:highlight w:val="none"/>
              </w:rPr>
            </w:r>
            <w:r>
              <w:rPr>
                <w:color w:val="auto"/>
                <w:highlight w:val="none"/>
              </w:rPr>
            </w:r>
          </w:p>
        </w:tc>
        <w:tc>
          <w:tcPr>
            <w:tcW w:w="15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工程进度维护及导出</w:t>
            </w:r>
            <w:r>
              <w:rPr>
                <w:color w:val="auto"/>
                <w:highlight w:val="none"/>
              </w:rPr>
            </w:r>
            <w:r>
              <w:rPr>
                <w:color w:val="auto"/>
                <w:highlight w:val="none"/>
              </w:rPr>
            </w:r>
          </w:p>
        </w:tc>
        <w:tc>
          <w:tcPr>
            <w:tcW w:w="1190" w:type="dxa"/>
            <w:vAlign w:val="center"/>
            <w:textDirection w:val="lrTb"/>
            <w:noWrap/>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月/1次</w:t>
            </w:r>
            <w:r>
              <w:rPr>
                <w:color w:val="auto"/>
                <w:highlight w:val="none"/>
              </w:rPr>
            </w:r>
            <w:r>
              <w:rPr>
                <w:color w:val="auto"/>
                <w:highlight w:val="none"/>
              </w:rPr>
            </w:r>
          </w:p>
        </w:tc>
      </w:tr>
    </w:tbl>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为确保每月的工程进度填报工作正确无误，如果填报过程中遇到系统报错，漏报，需要退回重新填报等情况，需要联系中标单位进行后台运维。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确保每年4-11月的安全度夏填报工作正确无误，如果填报过程中遇到系统报错，漏报，需要退回重新填报等情况，需要联系中标单位进行后台运维。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每天。</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、信息系统运维服务交付成果</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各类型清单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运维月报</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运维季报</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运维半年报</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运维年报</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运维服务记录</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3.1.4  </w:t>
      </w:r>
      <w:r>
        <w:rPr>
          <w:rFonts w:hint="eastAsia" w:ascii="宋体" w:hAnsi="宋体"/>
          <w:b/>
          <w:color w:val="auto"/>
          <w:sz w:val="24"/>
          <w:szCs w:val="24"/>
          <w:highlight w:val="none"/>
        </w:rPr>
        <w:t xml:space="preserve">大气复合污染物综合应用平台运维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运维</w:t>
      </w:r>
      <w:r>
        <w:rPr>
          <w:rFonts w:hint="eastAsia" w:ascii="宋体" w:hAnsi="宋体"/>
          <w:color w:val="auto"/>
          <w:sz w:val="24"/>
          <w:szCs w:val="24"/>
          <w:highlight w:val="none"/>
        </w:rPr>
        <w:t xml:space="preserve">服务标准与要求</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（1）每周维护要求</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维护公共数据传输情况，确保数据正常传输，若发现数据传输异常及时跟进处理，并做好相关记录</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维护站点仪器数据传输情况，确保数据正常传输，若发现数据传输异常及时跟进处理，并做好相关记录</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查看平台系统是否可以正常访问，各个功能模块是否正常展示，并做好相关记录</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检查本周客户问题解决进度，确保本周内平台出现问题得以处理；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季度维护要求</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统计本季度数据在线率情况，对于在线率较低的数据要查明原因，及时告知业主和相关仪器运维方</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统计平台有效率，保障系统平台高效运行；</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检查剩余存储容量，核算可能需要的存储空间，若存储空间不足及时向</w:t>
      </w:r>
      <w:r>
        <w:rPr>
          <w:rFonts w:hint="eastAsia" w:ascii="宋体" w:hAnsi="宋体"/>
          <w:color w:val="auto"/>
          <w:sz w:val="24"/>
          <w:szCs w:val="24"/>
          <w:highlight w:val="none"/>
        </w:rPr>
        <w:t xml:space="preserve">采购人</w:t>
      </w:r>
      <w:r>
        <w:rPr>
          <w:rFonts w:ascii="宋体" w:hAnsi="宋体"/>
          <w:color w:val="auto"/>
          <w:sz w:val="24"/>
          <w:szCs w:val="24"/>
          <w:highlight w:val="none"/>
        </w:rPr>
        <w:t xml:space="preserve">报备扩容。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汇总本季度客户问题解决进度，确保平台出现问题得以处理</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运维服务内容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（1）定期巡检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每周维护</w:t>
      </w:r>
      <w:r>
        <w:rPr>
          <w:color w:val="auto"/>
          <w:highlight w:val="none"/>
        </w:rPr>
      </w:r>
      <w:r>
        <w:rPr>
          <w:color w:val="auto"/>
          <w:highlight w:val="none"/>
        </w:rPr>
      </w:r>
    </w:p>
    <w:p>
      <w:pPr>
        <w:pStyle w:val="808"/>
        <w:numPr>
          <w:ilvl w:val="0"/>
          <w:numId w:val="37"/>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维护公共数据传输情况，确保数据正常传输，若发现数据传输异常及时跟进处理，并做好相关记录</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37"/>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维护站点仪器数据传输情况，确保数据正常传输，若发现数据传输异常及时跟进处理，并做好相关记录</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37"/>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查看平台系统是否可以正常访问，各个功能模块是否正常展示，并做好相关记录</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37"/>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检查本周客户问题解决进度，确保本周内平台出现问题得以处理</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季度维护</w:t>
      </w:r>
      <w:r>
        <w:rPr>
          <w:color w:val="auto"/>
          <w:highlight w:val="none"/>
        </w:rPr>
      </w:r>
      <w:r>
        <w:rPr>
          <w:color w:val="auto"/>
          <w:highlight w:val="none"/>
        </w:rPr>
      </w:r>
    </w:p>
    <w:p>
      <w:pPr>
        <w:pStyle w:val="808"/>
        <w:numPr>
          <w:ilvl w:val="0"/>
          <w:numId w:val="37"/>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统计本季度数据在线率情况，对于在线率较低的数据要查明原因，及时告知业主和相关仪器运维方</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37"/>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统计平台有效率，保障系统平台高效运行</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37"/>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检查剩余存储容量，核算可能需要的存储空间，若存储空间不足及时向</w:t>
      </w:r>
      <w:r>
        <w:rPr>
          <w:rFonts w:hint="eastAsia" w:ascii="宋体" w:hAnsi="宋体"/>
          <w:color w:val="auto"/>
          <w:sz w:val="24"/>
          <w:szCs w:val="24"/>
          <w:highlight w:val="none"/>
        </w:rPr>
        <w:t xml:space="preserve">采购人</w:t>
      </w:r>
      <w:r>
        <w:rPr>
          <w:rFonts w:ascii="宋体" w:hAnsi="宋体"/>
          <w:color w:val="auto"/>
          <w:sz w:val="24"/>
          <w:szCs w:val="24"/>
          <w:highlight w:val="none"/>
        </w:rPr>
        <w:t xml:space="preserve">报备扩容。</w:t>
      </w:r>
      <w:r>
        <w:rPr>
          <w:color w:val="auto"/>
          <w:highlight w:val="none"/>
        </w:rPr>
      </w:r>
      <w:r>
        <w:rPr>
          <w:color w:val="auto"/>
          <w:highlight w:val="none"/>
        </w:rPr>
      </w:r>
    </w:p>
    <w:p>
      <w:pPr>
        <w:pStyle w:val="808"/>
        <w:numPr>
          <w:ilvl w:val="0"/>
          <w:numId w:val="37"/>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汇总本季度客户问题解决进度，确保平台出现问题得以处理</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每周巡检。</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每季度巡检。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（2）运行监控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在服务期内，提供</w:t>
      </w:r>
      <w:r>
        <w:rPr>
          <w:rFonts w:ascii="宋体" w:hAnsi="宋体"/>
          <w:color w:val="auto"/>
          <w:sz w:val="24"/>
          <w:szCs w:val="24"/>
          <w:highlight w:val="none"/>
        </w:rPr>
        <w:t xml:space="preserve">7×24小时免费技术支持，免费提供电话技术指导和咨询服务，按日对使用服务进行巡检。</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每天登陆数据库服务器查看操作系统运行状态。</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每天查看数据库服务器的 CPU 和内存使用状态。</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每天检查磁盘空间即将不足，提前向信息中心服务器管理员申请加大磁盘分配。</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坚持备份策略执行到位。</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关键时刻可考虑运维人员日常值班。</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每日巡检。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（3）网络环境巡检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在服务期内，提供</w:t>
      </w:r>
      <w:r>
        <w:rPr>
          <w:rFonts w:ascii="宋体" w:hAnsi="宋体"/>
          <w:color w:val="auto"/>
          <w:sz w:val="24"/>
          <w:szCs w:val="24"/>
          <w:highlight w:val="none"/>
        </w:rPr>
        <w:t xml:space="preserve">7×24小时免费技术支持，免费提供电话技术指导和咨询服务，按日对使用服务进行巡检。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网络环境巡检内容：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保障平台数据接入服务网络畅通，故障提前预警。</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保障平台对外访问服务网络正常。</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每日巡检。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（4）日常技术支持</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在服务期内，提供</w:t>
      </w:r>
      <w:r>
        <w:rPr>
          <w:rFonts w:ascii="宋体" w:hAnsi="宋体"/>
          <w:color w:val="auto"/>
          <w:sz w:val="24"/>
          <w:szCs w:val="24"/>
          <w:highlight w:val="none"/>
        </w:rPr>
        <w:t xml:space="preserve">7×24小时免费技术支持，免费提供电话技术指导和咨询服务，提供长期上门维修服务，免费对产品软件进行升级，定期进行系统巡检。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当发生系统故障时，中标单位需要</w:t>
      </w:r>
      <w:r>
        <w:rPr>
          <w:rFonts w:ascii="宋体" w:hAnsi="宋体"/>
          <w:color w:val="auto"/>
          <w:sz w:val="24"/>
          <w:szCs w:val="24"/>
          <w:highlight w:val="none"/>
        </w:rPr>
        <w:t xml:space="preserve">2小时内响应，4小时内到达现场处理故障，24 小时内保证修复正常。</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在项目运行期间若发生重大信息安全事故，中标单位按照相应的应急预案进行汇报和处理，并配合公安或保密等相关部门追溯记录，尽可能减少损失和影响。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电话咨询</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电子邮件</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远程系统维护</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现场维护技术服务</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中标单位定期回访</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运维服务交付成果</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平台系统运维报告</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运维服务记录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巡检记录表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问题处理说明</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3.1.5  </w:t>
      </w:r>
      <w:r>
        <w:rPr>
          <w:rFonts w:hint="eastAsia" w:ascii="宋体" w:hAnsi="宋体"/>
          <w:b/>
          <w:color w:val="auto"/>
          <w:sz w:val="24"/>
          <w:szCs w:val="24"/>
          <w:highlight w:val="none"/>
        </w:rPr>
        <w:t xml:space="preserve">噪声监测感知能力建设项目运维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1、运维服务标准与要求</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对噪声自动监测系统及噪声自动监测站进行远程自检，检查软件中的各个菜单和报表。具体措施包括：</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每天上午10点开始远程自检校准。对自检校准偏差大于0.5dB的测试点位进行登记，并在2小时内前往现场进行声校准，查明现场原因。校准步骤严格按照《质量保证期工作目标》中的仪器校准方案执行。以94dB为基准，在现场声校准偏差不大于0.5dB认为校准合格。当现场校准偏差在0.5dB-0.8dB范围内时，过10分钟后进行复核校准。复核校准值不大于0.5dB的认为校准合格，并在《巡检维护记录表》中的声校准一栏下进行登记，在后续这个点位的声校准过程中，全部采取2次或以上复核校准，加大声校准的校准频率。复核声校准值</w:t>
      </w:r>
      <w:r>
        <w:rPr>
          <w:rFonts w:hint="eastAsia" w:ascii="宋体" w:hAnsi="宋体"/>
          <w:color w:val="auto"/>
          <w:sz w:val="24"/>
          <w:szCs w:val="24"/>
          <w:highlight w:val="none"/>
        </w:rPr>
        <w:t xml:space="preserve">大于</w:t>
      </w:r>
      <w:r>
        <w:rPr>
          <w:rFonts w:ascii="宋体" w:hAnsi="宋体"/>
          <w:color w:val="auto"/>
          <w:sz w:val="24"/>
          <w:szCs w:val="24"/>
          <w:highlight w:val="none"/>
        </w:rPr>
        <w:t xml:space="preserve">0.5dB的采取更换户外传声器、更换主机备件等措施，确保噪声自动监测站工作正常。检查情况在《日常检查报表》中进行记录。</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每日上午9点开始远程检查全部噪声监测站点的数据传输情况是否正常，检查1秒钟瞬时数据的实时显示是否可以正常刷新。若发现某个站点数据传输异常，瞬时数据刷新出现停滞和卡顿，立即查明原因并排除故障。查看各子站数据采集率和各参数的有效性。保证噪声自动监测系统的数据采集率达到95 %以上。</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排除故障的措施主要有：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检查噪声监测站点的流量卡使用情况</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 2小时内前往现场查看无线数据发送的DTU工作是否正常，如有异常进行更换</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 2小时内前往现场查看流量卡是否老化或接触不良，如有异常进行更换。</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2小时内无法解决数据传输问题时，2小时内前往噪声监测站点终端处人工备份数据。</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 检查情况在《日常检查报表》中进行记录。</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每日上午10点远程查看全部噪声监测站点从前一天的噪声原始数据是否异常。异常情况包括噪声数据急剧升高、降低或连续不变等。发现异常值时，不擅自删除任何原始数据。结合仪器工作情况、噪声事件情况、噪声监测站点周围的环境情况等条件检查数据异常原因，再根据原因判断数据是否有效。检查情况在《日常检查报表》中进行记录。</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每日针对以上所有的日常检查内容进行记录，形成每个噪声监测站点的《日常检查报表》，每日按照日期和噪声监测站点名称对《日常检查报表》整理归档。</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每日上午10点开始检查环境噪声监测管理软件的维护：登陆噪声自动监测系统，保证维保期内系统能正常登陆。查验噪声自动监测系统告警信息、系统运行状态、数据库容量、日志、数据采集率、报表等功能操作正常。查验子站、显示屏、气象仪及车流量监测数据联网情况。</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2、运维服务内容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（1）每日远程巡检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对噪声自动监测系统及噪声自动监测站进行远程自检，检查软件中的各个菜单和报表。具体措施包括：</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每天上午10点开始远程自检校准。对自检校准偏差大于0.5dB的测试点位进行登记，并在2小时内前往现场进行声校准，查明现场原因。校准步骤严格按照《质量保证期工作目标》中的仪器校准方案执行。以94dB为基准，在现场声校准偏差不大于0.5dB认为校准合格。当现场校准偏差在0.5dB-0.8dB范围内时，过10分钟后进行复核校准。复核校准值不大于0.5dB的认为校准合格，并在《巡检维护记录表》中的声校准一栏下进行登记，在后续这个点位的声校准过程中，全部采取2次或以上复核校准，加大声校准的校准频率。复核声校准值</w:t>
      </w:r>
      <w:r>
        <w:rPr>
          <w:rFonts w:hint="eastAsia" w:ascii="宋体" w:hAnsi="宋体"/>
          <w:color w:val="auto"/>
          <w:sz w:val="24"/>
          <w:szCs w:val="24"/>
          <w:highlight w:val="none"/>
        </w:rPr>
        <w:t xml:space="preserve">大于</w:t>
      </w:r>
      <w:r>
        <w:rPr>
          <w:rFonts w:ascii="宋体" w:hAnsi="宋体"/>
          <w:color w:val="auto"/>
          <w:sz w:val="24"/>
          <w:szCs w:val="24"/>
          <w:highlight w:val="none"/>
        </w:rPr>
        <w:t xml:space="preserve">0.5dB的采取更换户外传声器、更换主机备件等措施，确保噪声自动监测站工作正常。检查情况在《日常检查报表》中进行记录。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每日上午9点开始远程检查全部噪声监测站点的数据传输情况是否正常，检查1秒钟瞬时数据的实时显示是否可以正常刷新。若发现某个站点数据传输异常，瞬时数据刷新出现停滞和卡顿，立即查明原因并排除故障。查看各子站数据采集率和各参数的有效性。保证噪声自动监测系统的数据采集率达到95%以上。</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排除故障的措施主要有：</w:t>
      </w:r>
      <w:r>
        <w:rPr>
          <w:color w:val="auto"/>
          <w:highlight w:val="none"/>
        </w:rPr>
      </w:r>
      <w:r>
        <w:rPr>
          <w:color w:val="auto"/>
          <w:highlight w:val="none"/>
        </w:rPr>
      </w:r>
    </w:p>
    <w:p>
      <w:pPr>
        <w:pStyle w:val="808"/>
        <w:numPr>
          <w:ilvl w:val="3"/>
          <w:numId w:val="38"/>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检查噪声监测站点的流量卡使用情况；</w:t>
      </w:r>
      <w:r>
        <w:rPr>
          <w:color w:val="auto"/>
          <w:highlight w:val="none"/>
        </w:rPr>
      </w:r>
      <w:r>
        <w:rPr>
          <w:color w:val="auto"/>
          <w:highlight w:val="none"/>
        </w:rPr>
      </w:r>
    </w:p>
    <w:p>
      <w:pPr>
        <w:pStyle w:val="808"/>
        <w:numPr>
          <w:ilvl w:val="3"/>
          <w:numId w:val="38"/>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2小时内前往现场查看无线数据发送的DTU工作是否正常，如有异常进行更换；</w:t>
      </w:r>
      <w:r>
        <w:rPr>
          <w:color w:val="auto"/>
          <w:highlight w:val="none"/>
        </w:rPr>
      </w:r>
      <w:r>
        <w:rPr>
          <w:color w:val="auto"/>
          <w:highlight w:val="none"/>
        </w:rPr>
      </w:r>
    </w:p>
    <w:p>
      <w:pPr>
        <w:pStyle w:val="808"/>
        <w:numPr>
          <w:ilvl w:val="3"/>
          <w:numId w:val="38"/>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2小时内前往现场查看流量卡是否老化或接触不良，如有异常进行更换。</w:t>
      </w:r>
      <w:r>
        <w:rPr>
          <w:color w:val="auto"/>
          <w:highlight w:val="none"/>
        </w:rPr>
      </w:r>
      <w:r>
        <w:rPr>
          <w:color w:val="auto"/>
          <w:highlight w:val="none"/>
        </w:rPr>
      </w:r>
    </w:p>
    <w:p>
      <w:pPr>
        <w:pStyle w:val="808"/>
        <w:numPr>
          <w:ilvl w:val="3"/>
          <w:numId w:val="38"/>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2小时内无法解决数据传输问题时，2小时内前往噪声监测站点终端处人工备份数据。</w:t>
      </w:r>
      <w:r>
        <w:rPr>
          <w:color w:val="auto"/>
          <w:highlight w:val="none"/>
        </w:rPr>
      </w:r>
      <w:r>
        <w:rPr>
          <w:color w:val="auto"/>
          <w:highlight w:val="none"/>
        </w:rPr>
      </w:r>
    </w:p>
    <w:p>
      <w:pPr>
        <w:pStyle w:val="808"/>
        <w:numPr>
          <w:ilvl w:val="3"/>
          <w:numId w:val="38"/>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检查情况在《日常检查报表》中进行记录。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每日上午10点远程查看全部噪声监测站点从前一天的噪声原始数据是否异常。异常情况包括噪声数据急剧升高、降低或连续不变等。发现异常值时，不擅自删除任何原始数据。结合仪器工作情况、噪声事件情况、噪声监测站点周围的环境情况等条件检查数据异常原因，再根据原因判断数据是否有效。检查情况在《日常检查报表》中进行记录。</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每日针对以上所有的日常检查内容进行记录，形成每个噪声监测站点的《日常检查报表》，每日按照日期和噪声监测站点名称对《日常检查报表》整理归档。</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每日上午10点开始检查环境噪声监测管理软件的维护：登陆噪声自动监测系统，保证维保期内系统能正常登陆。查验噪声自动监测系统告警信息、系统运行状态、数据库容量、日志、数据采集率、报表等功能操作正常。查验子站、显示屏、气象仪及车流量监测数据联网情况</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每天巡检，远程。</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（2）每周现场巡检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周一次子站例行巡检、维护和检修，查看各设备运行、网络等情况，提供维护所需备品备件；巡检期间完成噪声仪表的户外防风罩清洁或更换、户外设备喷涂防锈漆等工作，确保子站的电源系统、防护箱等运行正常。</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设备齐全性</w:t>
      </w:r>
      <w:r>
        <w:rPr>
          <w:color w:val="auto"/>
          <w:highlight w:val="none"/>
        </w:rPr>
      </w:r>
      <w:r>
        <w:rPr>
          <w:color w:val="auto"/>
          <w:highlight w:val="none"/>
        </w:rPr>
      </w:r>
    </w:p>
    <w:p>
      <w:pPr>
        <w:pStyle w:val="808"/>
        <w:numPr>
          <w:ilvl w:val="0"/>
          <w:numId w:val="39"/>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检查所有的环境噪声自动监测系统主机、显示屏是否齐全，如有不全被盗及时与用户沟通，检查供电电缆和传输电缆是否连接正常。</w:t>
      </w:r>
      <w:r>
        <w:rPr>
          <w:color w:val="auto"/>
          <w:highlight w:val="none"/>
        </w:rPr>
      </w:r>
      <w:r>
        <w:rPr>
          <w:color w:val="auto"/>
          <w:highlight w:val="none"/>
        </w:rPr>
      </w:r>
    </w:p>
    <w:p>
      <w:pPr>
        <w:pStyle w:val="808"/>
        <w:numPr>
          <w:ilvl w:val="0"/>
          <w:numId w:val="39"/>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检查仪器的连接线，主要包括电源连接线、通信设备连接线、传声器连接线等。</w:t>
      </w:r>
      <w:r>
        <w:rPr>
          <w:color w:val="auto"/>
          <w:highlight w:val="none"/>
        </w:rPr>
      </w:r>
      <w:r>
        <w:rPr>
          <w:color w:val="auto"/>
          <w:highlight w:val="none"/>
        </w:rPr>
      </w:r>
    </w:p>
    <w:p>
      <w:pPr>
        <w:pStyle w:val="808"/>
        <w:numPr>
          <w:ilvl w:val="0"/>
          <w:numId w:val="39"/>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检查无线模块电源、采集模块电源、</w:t>
      </w:r>
      <w:r>
        <w:rPr>
          <w:rFonts w:ascii="宋体" w:hAnsi="宋体"/>
          <w:color w:val="auto"/>
          <w:sz w:val="24"/>
          <w:szCs w:val="24"/>
          <w:highlight w:val="none"/>
        </w:rPr>
        <w:t xml:space="preserve">220V市电输入等电源连接线，确保电源连接线接口正确，连接线无任何破损，连接可靠、紧密。</w:t>
      </w:r>
      <w:r>
        <w:rPr>
          <w:color w:val="auto"/>
          <w:highlight w:val="none"/>
        </w:rPr>
      </w:r>
      <w:r>
        <w:rPr>
          <w:color w:val="auto"/>
          <w:highlight w:val="none"/>
        </w:rPr>
      </w:r>
    </w:p>
    <w:p>
      <w:pPr>
        <w:pStyle w:val="808"/>
        <w:numPr>
          <w:ilvl w:val="0"/>
          <w:numId w:val="39"/>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通讯模块检查</w:t>
      </w:r>
      <w:r>
        <w:rPr>
          <w:rFonts w:ascii="宋体" w:hAnsi="宋体"/>
          <w:color w:val="auto"/>
          <w:sz w:val="24"/>
          <w:szCs w:val="24"/>
          <w:highlight w:val="none"/>
        </w:rPr>
        <w:t xml:space="preserve">SIM卡卡座、RS232接口、天线接口等连接线，SIM卡卡座无松动、接触良好，RS232连接线、天线接口与仪器之间连接正确、可靠、紧密无松动，连接线无任何破损。</w:t>
      </w:r>
      <w:r>
        <w:rPr>
          <w:color w:val="auto"/>
          <w:highlight w:val="none"/>
        </w:rPr>
      </w:r>
      <w:r>
        <w:rPr>
          <w:color w:val="auto"/>
          <w:highlight w:val="none"/>
        </w:rPr>
      </w:r>
    </w:p>
    <w:p>
      <w:pPr>
        <w:pStyle w:val="808"/>
        <w:numPr>
          <w:ilvl w:val="0"/>
          <w:numId w:val="39"/>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根据传声器连接示意图检查传声器的连接线，确保传声器与主机箱之间连接紧密、可靠，连接线无任何破损。</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检查噪声监测站点现场进行外观检查和清洁</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检查噪声自动监测的外观是否完好。发现有破损的进行更换；检查户外传声器、延伸电缆、等外部设备是否被损坏，是否附有异物。对有破损的进行更换，发现附有异物的进行清理。对噪声自动监测站点机箱内、外进行清洁。检查户外设备喷涂防锈漆，发现异常及时处理。</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检查系统工作情况</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查看采集模块是否工作正常，查看数据是否保存完整；查看电压输出是否正常；测试使用蓄电池供电，仪器工作是否正常；如有电池不能达到要求直接更换电池。检查维护的具体内容：</w:t>
      </w:r>
      <w:r>
        <w:rPr>
          <w:color w:val="auto"/>
          <w:highlight w:val="none"/>
        </w:rPr>
      </w:r>
      <w:r>
        <w:rPr>
          <w:color w:val="auto"/>
          <w:highlight w:val="none"/>
        </w:rPr>
      </w:r>
    </w:p>
    <w:p>
      <w:pPr>
        <w:pStyle w:val="808"/>
        <w:numPr>
          <w:ilvl w:val="0"/>
          <w:numId w:val="40"/>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传声器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检查传声器外观情况，排除传声器变形。检查传声器膜片的平滑度和光洁度，排除破损。检查传声器的防风罩的灰尘附着情况和风化情况，灰尘较少在现场用软毛刷轻轻拭去，也可用气喷嘴从侧面轻轻吹去，灰尘附着较多或有风化的现象立即在现场用备件进行替代。</w:t>
      </w:r>
      <w:r>
        <w:rPr>
          <w:color w:val="auto"/>
          <w:highlight w:val="none"/>
        </w:rPr>
      </w:r>
      <w:r>
        <w:rPr>
          <w:color w:val="auto"/>
          <w:highlight w:val="none"/>
        </w:rPr>
      </w:r>
    </w:p>
    <w:p>
      <w:pPr>
        <w:pStyle w:val="808"/>
        <w:numPr>
          <w:ilvl w:val="0"/>
          <w:numId w:val="41"/>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噪声分析仪</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检查分析仪所有电参数的设置，主要包括：频率计权、时间计权，积分统计时间、采样间隔、数据上传间隔等关键参数。检查现场空开工作情况，如发现跳闸现象立即查明原因。检查路由器的工作状态和数据通讯情况，查看现场路由器的</w:t>
      </w:r>
      <w:r>
        <w:rPr>
          <w:rFonts w:ascii="宋体" w:hAnsi="宋体"/>
          <w:color w:val="auto"/>
          <w:sz w:val="24"/>
          <w:szCs w:val="24"/>
          <w:highlight w:val="none"/>
        </w:rPr>
        <w:t xml:space="preserve">IP地址和端口号设置，查看路由器现场工作指示灯，指示灯绿灯闪烁表明通讯正常。</w:t>
      </w:r>
      <w:r>
        <w:rPr>
          <w:color w:val="auto"/>
          <w:highlight w:val="none"/>
        </w:rPr>
      </w:r>
      <w:r>
        <w:rPr>
          <w:color w:val="auto"/>
          <w:highlight w:val="none"/>
        </w:rPr>
      </w:r>
    </w:p>
    <w:p>
      <w:pPr>
        <w:pStyle w:val="808"/>
        <w:numPr>
          <w:ilvl w:val="0"/>
          <w:numId w:val="42"/>
        </w:num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辅助设备</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检查蓄电池的外观，如发现漏液、发黑等现象立即使用备件进行替代，用电压表检查蓄电池电压（电源输出的黄线），若该电压小于</w:t>
      </w:r>
      <w:r>
        <w:rPr>
          <w:rFonts w:ascii="宋体" w:hAnsi="宋体"/>
          <w:color w:val="auto"/>
          <w:sz w:val="24"/>
          <w:szCs w:val="24"/>
          <w:highlight w:val="none"/>
        </w:rPr>
        <w:t xml:space="preserve">12V但大于5V表示电池电量不足，需要充电；若该电压小于5V，表示蓄电池损坏，立即使用备件进行替代。检查气象仪的外观，发现灰尘或其他附着物立即进行清洁，发现外观有变形、破损立即使用备件进行替代。</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根据巡检维护的情况，对巡检维护记录表进行记录。对于巡检的问题</w:t>
      </w:r>
      <w:r>
        <w:rPr>
          <w:rFonts w:ascii="宋体" w:hAnsi="宋体"/>
          <w:color w:val="auto"/>
          <w:sz w:val="24"/>
          <w:szCs w:val="24"/>
          <w:highlight w:val="none"/>
        </w:rPr>
        <w:t xml:space="preserve">2小时内处理完毕，保证系统安全、可靠运行</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每周巡检，现场。</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（3）每月现场运维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清理户外传声器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户外传声器风罩灰尘进行清理；如有户外风罩以不能满足监测要求的直接更换，对于传声器不能满足监测要求的传声器进行直接更换。为了保证运维的质量，提供1只原厂原配的传声器（不含设备上的传感器），提供1只原厂原配的风罩（不含设备上的风罩），</w:t>
      </w:r>
      <w:r>
        <w:rPr>
          <w:rFonts w:hint="eastAsia" w:ascii="宋体" w:hAnsi="宋体"/>
          <w:color w:val="auto"/>
          <w:sz w:val="24"/>
          <w:szCs w:val="24"/>
          <w:highlight w:val="none"/>
        </w:rPr>
        <w:t xml:space="preserve">作</w:t>
      </w:r>
      <w:r>
        <w:rPr>
          <w:rFonts w:ascii="宋体" w:hAnsi="宋体"/>
          <w:color w:val="auto"/>
          <w:sz w:val="24"/>
          <w:szCs w:val="24"/>
          <w:highlight w:val="none"/>
        </w:rPr>
        <w:t xml:space="preserve">为备品备件。</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定期数据备份</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每个月1次定期对噪声自动监测站点现场的数据进行备份，进行现场备份数据与上传至平台的数据进行核对，确保数据一致。同时做好数据保密工作，防止数据外泄。</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备份内容包括：</w:t>
      </w:r>
      <w:r>
        <w:rPr>
          <w:color w:val="auto"/>
          <w:highlight w:val="none"/>
        </w:rPr>
      </w:r>
      <w:r>
        <w:rPr>
          <w:color w:val="auto"/>
          <w:highlight w:val="none"/>
        </w:rPr>
      </w:r>
    </w:p>
    <w:p>
      <w:pPr>
        <w:pStyle w:val="808"/>
        <w:numPr>
          <w:ilvl w:val="0"/>
          <w:numId w:val="42"/>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噪声数据</w:t>
      </w:r>
      <w:r>
        <w:rPr>
          <w:color w:val="auto"/>
          <w:highlight w:val="none"/>
        </w:rPr>
      </w:r>
      <w:r>
        <w:rPr>
          <w:color w:val="auto"/>
          <w:highlight w:val="none"/>
        </w:rPr>
      </w:r>
    </w:p>
    <w:p>
      <w:pPr>
        <w:pStyle w:val="808"/>
        <w:numPr>
          <w:ilvl w:val="0"/>
          <w:numId w:val="42"/>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气象数据</w:t>
      </w:r>
      <w:r>
        <w:rPr>
          <w:color w:val="auto"/>
          <w:highlight w:val="none"/>
        </w:rPr>
      </w:r>
      <w:r>
        <w:rPr>
          <w:color w:val="auto"/>
          <w:highlight w:val="none"/>
        </w:rPr>
      </w:r>
    </w:p>
    <w:p>
      <w:pPr>
        <w:pStyle w:val="808"/>
        <w:numPr>
          <w:ilvl w:val="0"/>
          <w:numId w:val="42"/>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车流量数据</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定期声校准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每个月1次定期前往每个噪声自动监测站点现场进行定期声校准，对达不到校准值合理误差范围内（正负0.5dB）的传声器进行更换。</w:t>
      </w:r>
      <w:r>
        <w:rPr>
          <w:color w:val="auto"/>
          <w:highlight w:val="none"/>
        </w:rPr>
      </w:r>
      <w:r>
        <w:rPr>
          <w:color w:val="auto"/>
          <w:highlight w:val="none"/>
        </w:rPr>
      </w:r>
    </w:p>
    <w:p>
      <w:pPr>
        <w:pStyle w:val="808"/>
        <w:numPr>
          <w:ilvl w:val="0"/>
          <w:numId w:val="42"/>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前置放大器加热驱潮</w:t>
      </w:r>
      <w:r>
        <w:rPr>
          <w:color w:val="auto"/>
          <w:highlight w:val="none"/>
        </w:rPr>
      </w:r>
      <w:r>
        <w:rPr>
          <w:color w:val="auto"/>
          <w:highlight w:val="none"/>
        </w:rPr>
      </w:r>
    </w:p>
    <w:p>
      <w:pPr>
        <w:pStyle w:val="808"/>
        <w:numPr>
          <w:ilvl w:val="0"/>
          <w:numId w:val="42"/>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声校准</w:t>
      </w:r>
      <w:r>
        <w:rPr>
          <w:color w:val="auto"/>
          <w:highlight w:val="none"/>
        </w:rPr>
      </w:r>
      <w:r>
        <w:rPr>
          <w:color w:val="auto"/>
          <w:highlight w:val="none"/>
        </w:rPr>
      </w:r>
    </w:p>
    <w:p>
      <w:pPr>
        <w:pStyle w:val="808"/>
        <w:numPr>
          <w:ilvl w:val="0"/>
          <w:numId w:val="42"/>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电信号调整</w:t>
      </w:r>
      <w:r>
        <w:rPr>
          <w:color w:val="auto"/>
          <w:highlight w:val="none"/>
        </w:rPr>
      </w:r>
      <w:r>
        <w:rPr>
          <w:color w:val="auto"/>
          <w:highlight w:val="none"/>
        </w:rPr>
      </w:r>
    </w:p>
    <w:p>
      <w:pPr>
        <w:pStyle w:val="808"/>
        <w:numPr>
          <w:ilvl w:val="0"/>
          <w:numId w:val="42"/>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电校准</w:t>
      </w:r>
      <w:r>
        <w:rPr>
          <w:color w:val="auto"/>
          <w:highlight w:val="none"/>
        </w:rPr>
      </w:r>
      <w:r>
        <w:rPr>
          <w:color w:val="auto"/>
          <w:highlight w:val="none"/>
        </w:rPr>
      </w:r>
    </w:p>
    <w:p>
      <w:pPr>
        <w:pStyle w:val="808"/>
        <w:numPr>
          <w:ilvl w:val="0"/>
          <w:numId w:val="42"/>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声校准复检</w:t>
      </w:r>
      <w:r>
        <w:rPr>
          <w:color w:val="auto"/>
          <w:highlight w:val="none"/>
        </w:rPr>
      </w:r>
      <w:r>
        <w:rPr>
          <w:color w:val="auto"/>
          <w:highlight w:val="none"/>
        </w:rPr>
      </w:r>
    </w:p>
    <w:p>
      <w:pPr>
        <w:pStyle w:val="808"/>
        <w:numPr>
          <w:ilvl w:val="0"/>
          <w:numId w:val="42"/>
        </w:num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在台风、暴雪、冰雹等恶劣天气后前往现场进行声校准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每月巡检，现场。</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（4）年度维护</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在每年的</w:t>
      </w:r>
      <w:r>
        <w:rPr>
          <w:rFonts w:ascii="宋体" w:hAnsi="宋体"/>
          <w:color w:val="auto"/>
          <w:sz w:val="24"/>
          <w:szCs w:val="24"/>
          <w:highlight w:val="none"/>
        </w:rPr>
        <w:t xml:space="preserve">12月份到每个噪声自动监测站现场进行年度维护工作，主要内容包括：</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进行年度备件库存盘点，保证噪声自动监测系统正常运行。</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严格按照《仪器故障维修手册》的要求，根据仪器配件的使用状态，在年度维护、日常检查、定期巡检及维护工作中更换监测仪器中的风罩、路由器等配件。</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根据老化程度对机箱、支架等外部件进行保养。发现机箱锁、机箱把手、支架抱箍等零部有损坏的进行更换，发现机箱和支架有掉漆现象的喷涂防锈漆，确保站点的安全稳固。</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对电路板、电线、各种接头的老化程度进行检测，发现问题和安全隐患及时更换。</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对服务器、系统软件等进行全面检查，检查服务器运行情况、系统安全漏洞、占用资源情况、剩余储存空间、病毒感染情况等，发现系统软件漏洞进行免费升级。主要操作步骤包括：</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对年度维护情况、配件更换情况进行记录，形成备件库存表、备品备件购置记录表、备品备件更换记录表、机箱支架保养记录表、仪器老化情况记录表、服务器检查记录表。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整理每月巡检备份的噪声原始监测数据、气象原始数据、车流量原始数据，形成年度原始监测数据文件并统一备份。</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对所有噪声站点进行声级计计量检定。</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每年12月份维护，现场。</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（5）其他运维服务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在每月、季、年度统计全部噪声自动监测站点的运维情况，填写系统故障统计表、站点数据捕获率统计表，站点数据捕获率统计值是噪声自动监测站点实际记录下来的原始数据个数与理论上应采集的噪声自动监测原始数据个数的百分比。在系统故障统计表中分别按照噪声自动监测站点名称和故障原因进行分类，故障原因主要类别包括噪声监测仪器故障、网络数据传输故障、传声器故障、机箱外壳故障、监控故障、车流量仪器故障、气象仪器故障。在系统故障统计表中进行故障现象、故障解决方案等文字说明，说明内容超出表格范围的另附一页进行故障文字说明。对本月</w:t>
      </w:r>
      <w:r>
        <w:rPr>
          <w:rFonts w:hint="eastAsia" w:ascii="宋体" w:hAnsi="宋体"/>
          <w:color w:val="auto"/>
          <w:sz w:val="24"/>
          <w:szCs w:val="24"/>
          <w:highlight w:val="none"/>
        </w:rPr>
        <w:t xml:space="preserve">、季、年度系统发生的主要问题提供文字解决方案。解决方案、报表、报表的文字说明在每个月、季、年度结束后提交。</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不定期提交针对专项问题的维护报告，每月维护结束后</w:t>
      </w:r>
      <w:r>
        <w:rPr>
          <w:rFonts w:ascii="宋体" w:hAnsi="宋体"/>
          <w:color w:val="auto"/>
          <w:sz w:val="24"/>
          <w:szCs w:val="24"/>
          <w:highlight w:val="none"/>
        </w:rPr>
        <w:t xml:space="preserve">5日内提交维护状况汇整统计表及报告；每季维护结束后15日内提交季度维护报告；一年维护结束后15日内提交年度维护报告。</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每月、季度、年统计填表。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3、运维服务交付成果</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color w:val="auto"/>
          <w:highlight w:val="none"/>
        </w:rPr>
      </w:r>
      <w:bookmarkStart w:id="199" w:name="_Toc143500138"/>
      <w:r>
        <w:rPr>
          <w:rFonts w:hint="eastAsia" w:ascii="宋体" w:hAnsi="宋体"/>
          <w:color w:val="auto"/>
          <w:sz w:val="24"/>
          <w:szCs w:val="24"/>
          <w:highlight w:val="none"/>
        </w:rPr>
        <w:t xml:space="preserve">日常检查报表</w:t>
      </w:r>
      <w:bookmarkEnd w:id="199"/>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color w:val="auto"/>
          <w:highlight w:val="none"/>
        </w:rPr>
      </w:r>
      <w:bookmarkStart w:id="200" w:name="_Toc143500139"/>
      <w:r>
        <w:rPr>
          <w:rFonts w:hint="eastAsia" w:ascii="宋体" w:hAnsi="宋体"/>
          <w:color w:val="auto"/>
          <w:sz w:val="24"/>
          <w:szCs w:val="24"/>
          <w:highlight w:val="none"/>
        </w:rPr>
        <w:t xml:space="preserve">周巡检记录表</w:t>
      </w:r>
      <w:bookmarkEnd w:id="200"/>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月巡检记录表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环境噪声监测管理系统维护记录表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备件库存表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备品备件购置记录表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备品备件更换记录表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机箱支架保养记录表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仪器老化情况记录表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服务器检查记录表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系统故障统计表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站点数据捕获率统计表</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3.1.6  </w:t>
      </w:r>
      <w:r>
        <w:rPr>
          <w:rFonts w:hint="eastAsia" w:ascii="宋体" w:hAnsi="宋体"/>
          <w:b/>
          <w:color w:val="auto"/>
          <w:sz w:val="24"/>
          <w:szCs w:val="24"/>
          <w:highlight w:val="none"/>
        </w:rPr>
        <w:t xml:space="preserve">重点污染源视频平台运维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视频监控系统是整个重点污染源综合信息平台建设的重点，实现视频图像的预览、回放、存储、上墙，以及云台设备的云台控制等业务，提供安全监视、设备监控、案发后查、证据提取等有效的技术手段，为快速有效的指挥决策提供可视化支撑，使管理人员能远程实时掌握区域内各重要地点发生的情况，加强执法监测监控、促进精细化管理和精准治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视频监控已覆盖全市</w:t>
      </w:r>
      <w:r>
        <w:rPr>
          <w:rFonts w:ascii="宋体" w:hAnsi="宋体"/>
          <w:color w:val="auto"/>
          <w:sz w:val="24"/>
          <w:szCs w:val="24"/>
          <w:highlight w:val="none"/>
        </w:rPr>
        <w:t xml:space="preserve">135家重点污染源企业（包括已经接入江阴市和宜兴市已建成视频监控平台的企业），每个重点排污单位现场端主要覆盖企业的自动监控站房、采样区及排污口、以及治理设施区域，其中新建接入企业10家。视频监控总路数为687个。  </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1、运维服务标准与要求</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1）开放性   </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污染源自动监控视频设施必须具有开放性，设备的控制码、控制信号、视频编码解码压缩的具体算法或接口应向用户开放。使相关联的系统能调用相应功能和视频数据。</w:t>
      </w:r>
      <w:r>
        <w:rPr>
          <w:rFonts w:ascii="宋体" w:hAnsi="宋体"/>
          <w:color w:val="auto"/>
          <w:sz w:val="24"/>
          <w:szCs w:val="24"/>
          <w:highlight w:val="none"/>
        </w:rPr>
        <w:t xml:space="preserve">   </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2）同步性   </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前端监控系统和视频监控软件平台具有时钟同步的功能。</w:t>
      </w:r>
      <w:r>
        <w:rPr>
          <w:rFonts w:ascii="宋体" w:hAnsi="宋体"/>
          <w:color w:val="auto"/>
          <w:sz w:val="24"/>
          <w:szCs w:val="24"/>
          <w:highlight w:val="none"/>
        </w:rPr>
        <w:t xml:space="preserve">  </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3）安全性   </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前端监控系统和视频监控软件平台具有安全保护措施、防止非法接入、病毒感染、防雷击、过载、断电、电磁干扰，部分特殊环境下具有防水防爆要求。</w:t>
      </w:r>
      <w:r>
        <w:rPr>
          <w:rFonts w:ascii="宋体" w:hAnsi="宋体"/>
          <w:color w:val="auto"/>
          <w:sz w:val="24"/>
          <w:szCs w:val="24"/>
          <w:highlight w:val="none"/>
        </w:rPr>
        <w:t xml:space="preserve">   </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4）稳定性   </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现场监视点设备对传输时延、丢包率、吞吐率、时延抖动、响应时间等稳定性要求应满足</w:t>
      </w:r>
      <w:r>
        <w:rPr>
          <w:rFonts w:ascii="宋体" w:hAnsi="宋体"/>
          <w:color w:val="auto"/>
          <w:sz w:val="24"/>
          <w:szCs w:val="24"/>
          <w:highlight w:val="none"/>
        </w:rPr>
        <w:t xml:space="preserve">GB∕T28181的要求。 </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5）智能性   </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前端监控系统应支持伴线入侵、徘徊、视频遮挡等侦测功能，对可疑情况进行记录、报警和录像存储。</w:t>
      </w:r>
      <w:r>
        <w:rPr>
          <w:rFonts w:ascii="宋体" w:hAnsi="宋体"/>
          <w:color w:val="auto"/>
          <w:sz w:val="24"/>
          <w:szCs w:val="24"/>
          <w:highlight w:val="none"/>
        </w:rPr>
        <w:t xml:space="preserve">   </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6）数据叠加   </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系统支持视频图像数据叠加中文文字和符合信息，叠加信息的位置、字符大小应该符合</w:t>
      </w:r>
      <w:r>
        <w:rPr>
          <w:rFonts w:ascii="宋体" w:hAnsi="宋体"/>
          <w:color w:val="auto"/>
          <w:sz w:val="24"/>
          <w:szCs w:val="24"/>
          <w:highlight w:val="none"/>
        </w:rPr>
        <w:t xml:space="preserve"> GA/T 751 中的相关规定。</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7）存储   </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前端监控系统应对实时视频图像信息进行</w:t>
      </w:r>
      <w:r>
        <w:rPr>
          <w:rFonts w:ascii="宋体" w:hAnsi="宋体"/>
          <w:color w:val="auto"/>
          <w:sz w:val="24"/>
          <w:szCs w:val="24"/>
          <w:highlight w:val="none"/>
        </w:rPr>
        <w:t xml:space="preserve"> 24 小时不间断存储，应当具备完善的查询、对比、归档和存储功能，存储时间至少达1个月。</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8）平台对接</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实现与“感知环境、智慧环保”</w:t>
      </w:r>
      <w:r>
        <w:rPr>
          <w:rFonts w:ascii="宋体" w:hAnsi="宋体"/>
          <w:color w:val="auto"/>
          <w:sz w:val="24"/>
          <w:szCs w:val="24"/>
          <w:highlight w:val="none"/>
        </w:rPr>
        <w:t xml:space="preserve"> 无锡环境监控物联网应用示范工程（二期）支撑平台的单点登录。按照《江苏省污染源视频监控系统建设技术指南（试行）》文件中的要求对所有摄像机（包括江阴和宜兴原平台对接的摄像机）的命名和编码工作进行维护，为实现污染源企业综合展示、智能分析、统计分析、企业画像、污染源综合管控驾驶舱等功能提供基数数据。</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实现与省级重点污染源视频平台承建单位合作联调，对无锡市重点污染源视频平台与省级平台间对接进行维护，确保无锡市涉污单位的监测视频实时传输至省级平台。</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对平台的在线率进行监控，负责离线视频的原因分析。首先检测是否专线链路的物理中断，其次检查是否为平台间或网络设备问题，最后检查是否为前端摄像机的损坏。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2、运维服务内容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（1）视频平台运维服务内容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主动巡检服务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提供</w:t>
      </w:r>
      <w:r>
        <w:rPr>
          <w:rFonts w:ascii="宋体" w:hAnsi="宋体"/>
          <w:color w:val="auto"/>
          <w:sz w:val="24"/>
          <w:szCs w:val="24"/>
          <w:highlight w:val="none"/>
        </w:rPr>
        <w:t xml:space="preserve">5*8小时的巡检服务，主要对平台的在线率进行监控，负责离线视频的原因分析。首先检测是否专线链路的物理中断，其次检查是否为平台间或网络设备问题，最后检查是否为前端摄像机的损坏。</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报修服务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初步分析出原因后，运维经理及时向客户汇报并说明原因，安排相关专业人员对故障进行及时确认，一旦确认问题点立刻进行解决和恢复。</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视频优化服务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周对正常视频画面进行抽检，及时发现画面有问题的视频，例如：角度被人为调整，视野被异物遮挡，画面模糊有灰尘等情况，通知运维服务团队对问题点视频进行处理和修复，如果需要重新安装时，择期安排运维服务团队到现场处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（2）平台机房运维服务内容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提供业务咨询，提供用户对新增业务或者有关业务优化方面的信息咨询；提供定期回访，为保证用户业务使用正常，定期安排人员进行回访，检查用户端设备运行情况，确保与用户沟通渠道通畅，听取用户的意见和建议，根据用户要求改善服务工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提供</w:t>
      </w:r>
      <w:r>
        <w:rPr>
          <w:rFonts w:ascii="宋体" w:hAnsi="宋体"/>
          <w:color w:val="auto"/>
          <w:sz w:val="24"/>
          <w:szCs w:val="24"/>
          <w:highlight w:val="none"/>
        </w:rPr>
        <w:t xml:space="preserve">7×24小时机房基础设施（供配电、环境温度控制、网络配线等）实时维护，提供7×24小时ICT设备一线运维值班条件，由客户负责授权相关人员进行运维。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建立专门维护档案，建立完善详细的维护资料，内容涉及接入设备型号、电路和业务配置信息、地址、联系方式和业务明细等内容，并在维护工作中随时更新，保证维护资料准确。</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对部分业务更新，配合和协助完成业务变更等工作，对平台软件和服务进行不定期的更新，满足无锡市生态环境局对于信息化系统的使用和审核要求。</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7*24小时。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（3）网络及设备运维服务内容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主动监控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提供</w:t>
      </w:r>
      <w:r>
        <w:rPr>
          <w:rFonts w:ascii="宋体" w:hAnsi="宋体"/>
          <w:color w:val="auto"/>
          <w:sz w:val="24"/>
          <w:szCs w:val="24"/>
          <w:highlight w:val="none"/>
        </w:rPr>
        <w:t xml:space="preserve">7*24小时网络流量及监控，负责网络线路的全程运行监控，及时掌握网络运行性能。</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网络测试</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定期测试线路的光缆衰耗、光功率，定期测试电路的误码率、丢包率、抖动情况，以及设备的环路倒换情况、板卡老化情况等指标，确保网络的的稳定运行。</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网络巡检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每半年到所有互联点对提供的所有端到端电路、设备、线缆等进行巡检，如发现问题及时反馈，择期整改。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网络安全设备</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每月按计划到现场对网络安全设备进行安全巡检服务，对设备运行的参数、运行状态、故障情况、安全策略，以及备份数据等进行检查，确保网络安全设备运行状态良好，为平台提供安全保障服务。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7*24小时。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（4）应急服务响应内容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当光缆线路发生障碍时，抢修在相关部门的密切配合下进行。用最快的速度和方法，抢通用备用纤芯或通过其它光缆线路调通，临时恢复正常通信。光缆障碍未排除时，抢修不得中止。</w:t>
      </w:r>
      <w:r>
        <w:rPr>
          <w:rFonts w:ascii="宋体" w:hAnsi="宋体"/>
          <w:color w:val="auto"/>
          <w:sz w:val="24"/>
          <w:szCs w:val="24"/>
          <w:highlight w:val="none"/>
        </w:rPr>
        <w:t xml:space="preserve"> </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确定故障位置</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如确定是光缆线路故障时，应该立刻通知维修人员。当接到抢修光缆的命令时，维护人员的抢修队应及时带</w:t>
      </w:r>
      <w:r>
        <w:rPr>
          <w:rFonts w:ascii="宋体" w:hAnsi="宋体"/>
          <w:color w:val="auto"/>
          <w:sz w:val="24"/>
          <w:szCs w:val="24"/>
          <w:highlight w:val="none"/>
        </w:rPr>
        <w:t xml:space="preserve">OTDR到相关机房进行测试。并以最快速度判定光缆障碍位置，同时上报客户（电信运营商）光缆线路主管部门，迅速组织抢修队伍将光缆抢修所需仪表、器具、材料装车出发。光缆线路抢修准备时间应按规定执行。 </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建立通信联络系统</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抢修人员到达故障点后，立即与传输机房建立起通信联络系统。</w:t>
      </w:r>
      <w:r>
        <w:rPr>
          <w:rFonts w:ascii="宋体" w:hAnsi="宋体"/>
          <w:color w:val="auto"/>
          <w:sz w:val="24"/>
          <w:szCs w:val="24"/>
          <w:highlight w:val="none"/>
        </w:rPr>
        <w:t xml:space="preserve"> </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光缆线路的抢修</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抢修队伍到达现场后，迅速组织查找障碍点。当障碍点找到时应认真分析现场障碍情况、原因，并做好记录，必要时应对现场进行拍照。及时做好修复工作，在修复过程中应根据当时当地的地形要求，及时完成布缆和接头。在接头中严格控制接头损耗在允许范围之内，接头完成以后应进行纤芯对号，并进行全程测试，记录接头脉冲距离，打印结果。</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业务恢复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现场光缆抢修完毕后，应及时通知平台端、机房进行测试，确认掉线点位恢复上线。</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每天。</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3、运维服务交付成果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专线链路故障抢修达到如果出现因企业、市政施工原因、绿化改造施工等原因导致物理线路被挖断，导致视频信号中断不能正常预览视频。针对此种情况，发现后立即对现场情况进行勘察，分析原因后快速启动故障处理机制，可恢复故障处理时限为</w:t>
      </w:r>
      <w:r>
        <w:rPr>
          <w:rFonts w:ascii="宋体" w:hAnsi="宋体"/>
          <w:color w:val="auto"/>
          <w:sz w:val="24"/>
          <w:szCs w:val="24"/>
          <w:highlight w:val="none"/>
        </w:rPr>
        <w:t xml:space="preserve">12小时。其他非短期可恢复故障，向</w:t>
      </w:r>
      <w:r>
        <w:rPr>
          <w:rFonts w:hint="eastAsia" w:ascii="宋体" w:hAnsi="宋体"/>
          <w:color w:val="auto"/>
          <w:sz w:val="24"/>
          <w:szCs w:val="24"/>
          <w:highlight w:val="none"/>
        </w:rPr>
        <w:t xml:space="preserve">用户</w:t>
      </w:r>
      <w:r>
        <w:rPr>
          <w:rFonts w:ascii="宋体" w:hAnsi="宋体"/>
          <w:color w:val="auto"/>
          <w:sz w:val="24"/>
          <w:szCs w:val="24"/>
          <w:highlight w:val="none"/>
        </w:rPr>
        <w:t xml:space="preserve">报备原因后，跟踪现场情况待具备恢复条件时立即处理。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平台故障抢修，在服务期内，及时安排运维人员排查后进行解决。</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故障反馈，在故障处理过程中，中标单位服务人员需要每小时通过短信、微信等方式向接口人反馈故障处理进展，及时了解故障处理情况。故障总结，故障处理结束后，及时对故障进行总结（包括所故障详细原因、故障解决措施、后期避免故障发生措施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中标单位需要对平台视频进行定期备份，实现视频信息可预览、可调阅、可追溯，为客户提供数据依据，提升管理质量和治理手段。</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中标单位需要建立备品备件库，包括：光纤设备、网络设备、视频摄像机等硬件，最大条件的提升故障处理能力。</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3.1.7  </w:t>
      </w:r>
      <w:r>
        <w:rPr>
          <w:rFonts w:hint="eastAsia" w:ascii="宋体" w:hAnsi="宋体"/>
          <w:b/>
          <w:color w:val="auto"/>
          <w:sz w:val="24"/>
          <w:szCs w:val="24"/>
          <w:highlight w:val="none"/>
        </w:rPr>
        <w:t xml:space="preserve">无锡市重点污染源综合信息平台及排放过程（工况）监控系统项目运维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1、运维服务标准与要求</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采用现场驻场和远程协助的方式开展系统日常巡检工作的周期服务响应时间5*8小时</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2、运维服务内容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（1）运行监控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系统功能及运行环境监测。</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（2）数据处理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32家企业接入数据的更新及调整。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（3）定期巡检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定期对系统功能、系统运行环境及系统数据交换进行巡检。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（4）故障处理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处理系统无法访问，功能响应延迟问题。</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（5）数据备份协助</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对接入企业名单及异常数据进行备份。</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（6）日常技术支持</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白名单设置及系统功能培训。</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3、运维服务交付成果</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超标报表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恒值报表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排放量异常大表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排放量统计表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监测报警报表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企业联网率报表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运维服务记录</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3.1.8  </w:t>
      </w:r>
      <w:r>
        <w:rPr>
          <w:rFonts w:hint="eastAsia" w:ascii="宋体" w:hAnsi="宋体"/>
          <w:b/>
          <w:color w:val="auto"/>
          <w:sz w:val="24"/>
          <w:szCs w:val="24"/>
          <w:highlight w:val="none"/>
        </w:rPr>
        <w:t xml:space="preserve">无锡市环境质量自动监测（控）平台运维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1、运维服务标准与要求</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系统软件平台提供例行巡检及突发故障维护服务，保障各软件平台的功能模块、数据传输等能正常使用。系统的运行维护工作主要包括日常运行的管理、运行情况的记录以及对系统运行情况进行检查与评价等。中标单位定期进行平台巡检、数据备份、软件维护等保障性工作。发生的</w:t>
      </w:r>
      <w:r>
        <w:rPr>
          <w:rFonts w:ascii="宋体" w:hAnsi="宋体"/>
          <w:color w:val="auto"/>
          <w:sz w:val="24"/>
          <w:szCs w:val="24"/>
          <w:highlight w:val="none"/>
        </w:rPr>
        <w:t xml:space="preserve">BUG及时与</w:t>
      </w:r>
      <w:r>
        <w:rPr>
          <w:rFonts w:hint="eastAsia" w:ascii="宋体" w:hAnsi="宋体"/>
          <w:color w:val="auto"/>
          <w:sz w:val="24"/>
          <w:szCs w:val="24"/>
          <w:highlight w:val="none"/>
        </w:rPr>
        <w:t xml:space="preserve">中标单位</w:t>
      </w:r>
      <w:r>
        <w:rPr>
          <w:rFonts w:ascii="宋体" w:hAnsi="宋体"/>
          <w:color w:val="auto"/>
          <w:sz w:val="24"/>
          <w:szCs w:val="24"/>
          <w:highlight w:val="none"/>
        </w:rPr>
        <w:t xml:space="preserve">协调解决，以保障日常工作正常开展。</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运维服务</w:t>
      </w:r>
      <w:r>
        <w:rPr>
          <w:rFonts w:hint="eastAsia" w:ascii="宋体" w:hAnsi="宋体"/>
          <w:color w:val="auto"/>
          <w:sz w:val="24"/>
          <w:szCs w:val="24"/>
          <w:highlight w:val="none"/>
        </w:rPr>
        <w:t xml:space="preserve">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（1）常规巡检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工作日5*8小时进行运维，使用系统运维账号，登录系统平台，查看平台是否能正常打开及登录。中标单位如发现系统存在登录问题，第一时间进行问题记录，并协调技术支持人员解决，保障系统正常运行。</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检查系统平台站点的在线、离线情况，系统功能是否正常，中标单位如发现系统使用或功能异常，及时对系统进行检修处理，并告知采购人恢复进度。</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（2）故障处理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平台发生故障或出现影响系统基础功能使用的缺陷时，由中标单位进行处理，紧急问题当天需处理完成，如无法处理完成的需要与采购人达成一致，给出解决时间节点。平台发生故障或出现影响系统基础功能使用的缺陷时，需要进行记录，并定期跟踪直至任务关闭。</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（3）账号开设服务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提供账号开设或密码重置等服务，由采购人按照中标单位要求提供相应资料，中标单位经过采购人授权后，方可进行账号开设处理，完成后反馈至采购人。原则上未经授权中标单位不接触采购人已开设的账号。中标单位有义务告知采购人账号开设后使用人需要修改初始密码，中标单位需遵守相应保密条款。</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（4）平台操作指导服务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中标单位提供工作日期间系统常规的操作指导服务。由运维人员对平台操作等流程进行指导。系统如涉及其他维护单位使用的，原则上由采购人统一下发系统操作手册和操作视频，如确实需要培训的，中标单位每年组织一次集体培训或远程解答。</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（5）配合联网接入服务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涉及中标单位需要配合的新增点位联网接入服务，优先由采购人发起，与中标单位确认后，提供并确认接入的点位信息和需要授权该点位的账号信息；填写点位联网确认单后，由中标单位进行点位联调接入服务，中标单位负责点位信息的新增、点位授权、审核流程配置工作，用户进行数据一致性核对工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（6）系统运行环境检查服务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中标单位需每月对平台所部署的服务器进行远程安全检查，检查系统平台的环境是否正常，磁盘空间大小，本地数据库备份情况，如发现异常情况，及时进行处理并通知采购人。</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（7）数据备份服务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需对时序数据库采用每周完整备份，其他数据库采用每日差异备份和每周完整备份的方式对平台数据进行保障。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无论因何种原因造成的系统无法使用需要重新部署的，中标单位都需无条件配合，采购人将提供系统部署环境。</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（8）全市自动监测站点软件维护服务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中标单位需要保障安装了“无锡市环境质量自动监测（控）系统”的自动监测站点软件维护工作（不包含硬件设备故障）。对于采购人报修或维护人员自主发现的故障点位，及时做好远程盘查和修复工作。对于硬件设备上的故障，需及时通知采购人处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（9）提供平台优化咨询服务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依据国家和地方的最新政策、规范、标准，结合采购人及运维过程中遇到的各类升级需求，应提供平台优化的咨询服务及方案建议。由采购人负责人发起，与中标单位商务人员协商一致后另行处理。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）点位相关保障服务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中标单位需要提供工作日点位在线情况巡检服务，国控数据同步异常及接口数据同步/推送异常相关技术咨询服务和处理服务。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因采集软件故障导致的数据传输问题，可由第三方站点运维或采购人通知中标单位，中标单位统一安排技术工程师排除故障，及时保障数据上传。</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）日常维护管理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制定详细的维护计划，在日常维护中做好维护记录。日常维护计划分为例行维护和报修响应维护。例行维护做好每日系统检查、每月服务器环境巡检，并做好巡检记录；报修响应维护严格执行服务响应流程，并做好报修记录。</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）建立健全的维护技术资料</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妥善保管各种图纸、说明书和有关资料，集中存放，由专人定期整理。设备调拨时有关资料随机转移，不扣留或抽取插页。</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建立定期维护记录表及维护日志，妥善保存文档。</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各种记录在每年运维工作完成后及时整理。每年报表和记录装订成册，标识明确。</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妥善保存各种维护报表、值班记录。</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对于不包含在运维范围以及运维合同中的其他服务（如数据对接、较大新增功能与升级、非产品导致的系统安全性问题），将根据客户的实际需求，双方另行协商。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3、运维服务交付成果</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定期向采购人发布维护工作报告，报告的工作内容包括系统总体运行情况说明、例行维护工作内容、故障记录、运维服务记录等。</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对系统的日常维护情况，产生的问题，形成月报</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对系统的每月服务器运行情况进行记录并存档，形成月报</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对无锡市环境质量自动监测（监控）系统的运维整体情况，完成年度运维报告，形成年报。</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3.1.9  </w:t>
      </w:r>
      <w:r>
        <w:rPr>
          <w:rFonts w:hint="eastAsia" w:ascii="宋体" w:hAnsi="宋体"/>
          <w:b/>
          <w:color w:val="auto"/>
          <w:sz w:val="24"/>
          <w:szCs w:val="24"/>
          <w:highlight w:val="none"/>
        </w:rPr>
        <w:t xml:space="preserve">空气质量预测预报系统运维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1、运维服务标准与要求</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维护采取远程</w:t>
      </w:r>
      <w:r>
        <w:rPr>
          <w:rFonts w:ascii="宋体" w:hAnsi="宋体"/>
          <w:color w:val="auto"/>
          <w:sz w:val="24"/>
          <w:szCs w:val="24"/>
          <w:highlight w:val="none"/>
        </w:rPr>
        <w:t xml:space="preserve">+现场结合的方式，工作日保障5*8小时正常维护，对于不能远程解决的问题，现场解决。</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2、运维服务内容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系统平台维护</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rFonts w:ascii="宋体" w:hAnsi="宋体"/>
          <w:color w:val="auto"/>
          <w:sz w:val="24"/>
          <w:szCs w:val="24"/>
          <w:highlight w:val="none"/>
        </w:rPr>
        <w:t xml:space="preserve"> </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保证操作系统、数据库系统、中间件、其他支撑系统应用的软件系统及网络协议等安全性、可靠性和可用性而实施的维护与管理﹔及时排除系统故障；工作日每天对系统平台进行一次巡检，检查平台是否能够正常使用，相关功能是否正常。每周对系统平台所涉及的服务器进行巡检，检查服务器相关资源使用情况，以便及时消除故障隐患，保障系统的安全、稳定、持续运行。</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应用系统管理和维护 </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在系统维护过程中采取各种技术手段及时排除系统故障，保证系统及相应接口的安全性、可靠性和可用性。及时消除系统可能存在的安全隐患和威胁、根据需求更新或变更系统功能。</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数据储存设施管理和维护</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为保证数据存储设施、如服务器设备、集群系统、存储网络及支撑数据存储设施运行的软件平台的安全性、可靠性和可用性，保证存储数据的安全。定期对系统的性能，确认数据存储的安全，及时消除故障隐患，保障系统安全、稳定、持续运行。需每周对系统的数据库进行本地全量备份，并将备份文件上传备份服务器，保留两个数据库副本，以防在硬件出现突发异常时能快速恢复相应数据。</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数据管理和维护</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数据管理是系统应用的核心。为保证数据存储、数据访问、数据通信、数据交换的安全，每月对数据的完整性、安全性、可靠性进行检查。</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故障处理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对系统在使用过程中出现的故障问题，如数据异常、数据错误等问题进行处理，查找原因并及时修复。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BUG修复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对在系统使用过程中，因数据问题或者其他问题导致的</w:t>
      </w:r>
      <w:r>
        <w:rPr>
          <w:rFonts w:ascii="宋体" w:hAnsi="宋体"/>
          <w:color w:val="auto"/>
          <w:sz w:val="24"/>
          <w:szCs w:val="24"/>
          <w:highlight w:val="none"/>
        </w:rPr>
        <w:t xml:space="preserve">BUG,及时进行解决。</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技术支持</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解决用户在系统使用中遇到的各种问题，提供咨询、答疑等相关技术支持服务。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（8）</w:t>
      </w:r>
      <w:r>
        <w:rPr>
          <w:rFonts w:ascii="宋体" w:hAnsi="宋体"/>
          <w:color w:val="auto"/>
          <w:sz w:val="24"/>
          <w:szCs w:val="24"/>
          <w:highlight w:val="none"/>
        </w:rPr>
        <w:t xml:space="preserve">功能扩展升级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新增功能</w:t>
      </w:r>
      <w:r>
        <w:rPr>
          <w:rFonts w:ascii="宋体" w:hAnsi="宋体"/>
          <w:color w:val="auto"/>
          <w:sz w:val="24"/>
          <w:szCs w:val="24"/>
          <w:highlight w:val="none"/>
        </w:rPr>
        <w:t xml:space="preserve">"站点预报评估"，多种模式(CAMX,WRF-Chem,CMAQ,NAQPMS)污染物预报数据和实测值对比分析。</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3、运维服务交付成果</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周报表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color w:val="auto"/>
          <w:highlight w:val="none"/>
        </w:rPr>
      </w:r>
      <w:bookmarkStart w:id="201" w:name="_Toc142920400"/>
      <w:r>
        <w:rPr>
          <w:rFonts w:hint="eastAsia" w:ascii="宋体" w:hAnsi="宋体"/>
          <w:color w:val="auto"/>
          <w:sz w:val="24"/>
          <w:szCs w:val="24"/>
          <w:highlight w:val="none"/>
        </w:rPr>
        <w:t xml:space="preserve">月报表</w:t>
      </w:r>
      <w:bookmarkEnd w:id="201"/>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运维服务记录</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3.1.10  </w:t>
      </w:r>
      <w:r>
        <w:rPr>
          <w:rFonts w:hint="eastAsia" w:ascii="宋体" w:hAnsi="宋体"/>
          <w:b/>
          <w:color w:val="auto"/>
          <w:sz w:val="24"/>
          <w:szCs w:val="24"/>
          <w:highlight w:val="none"/>
        </w:rPr>
        <w:t xml:space="preserve">LIMS（实验室信息管理）系统运维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1、运维服务标准与要求</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建立一套完善的日常巡检制度，对服务器、存储设备、系统软件、网络安全、应用系统的运行状况等进行每两周一次日常巡检，并填写巡检记录，定期报无锡环境监测中心。通过定期检查设备、网络安全、系统软件及应用系统的运行日志和状态，及时查出存在的故障隐患，并及时排除潜在的故障隐患，从而保证系统的性能、安全、稳定性都处于最佳状态。</w:t>
      </w:r>
      <w:r>
        <w:rPr>
          <w:color w:val="auto"/>
          <w:highlight w:val="none"/>
        </w:rPr>
      </w:r>
      <w:r>
        <w:rPr>
          <w:color w:val="auto"/>
          <w:highlight w:val="none"/>
        </w:rPr>
      </w:r>
    </w:p>
    <w:p>
      <w:pPr>
        <w:pStyle w:val="808"/>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巡查内容至少包含如下内容：</w:t>
      </w:r>
      <w:r>
        <w:rPr>
          <w:color w:val="auto"/>
          <w:highlight w:val="none"/>
        </w:rPr>
      </w:r>
      <w:r>
        <w:rPr>
          <w:color w:val="auto"/>
          <w:highlight w:val="none"/>
        </w:rPr>
      </w:r>
    </w:p>
    <w:p>
      <w:pPr>
        <w:pStyle w:val="808"/>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1）查看系统日志信息。</w:t>
      </w:r>
      <w:r>
        <w:rPr>
          <w:color w:val="auto"/>
          <w:highlight w:val="none"/>
        </w:rPr>
      </w:r>
      <w:r>
        <w:rPr>
          <w:color w:val="auto"/>
          <w:highlight w:val="none"/>
        </w:rPr>
      </w:r>
    </w:p>
    <w:p>
      <w:pPr>
        <w:pStyle w:val="808"/>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2）查看有无新的操作系统更新。</w:t>
      </w:r>
      <w:r>
        <w:rPr>
          <w:color w:val="auto"/>
          <w:highlight w:val="none"/>
        </w:rPr>
      </w:r>
      <w:r>
        <w:rPr>
          <w:color w:val="auto"/>
          <w:highlight w:val="none"/>
        </w:rPr>
      </w:r>
    </w:p>
    <w:p>
      <w:pPr>
        <w:pStyle w:val="808"/>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3）查看杀毒软件病毒库是否最新。</w:t>
      </w:r>
      <w:r>
        <w:rPr>
          <w:color w:val="auto"/>
          <w:highlight w:val="none"/>
        </w:rPr>
      </w:r>
      <w:r>
        <w:rPr>
          <w:color w:val="auto"/>
          <w:highlight w:val="none"/>
        </w:rPr>
      </w:r>
    </w:p>
    <w:p>
      <w:pPr>
        <w:pStyle w:val="808"/>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4）检查磁盘空间是否异常。</w:t>
      </w:r>
      <w:r>
        <w:rPr>
          <w:color w:val="auto"/>
          <w:highlight w:val="none"/>
        </w:rPr>
      </w:r>
      <w:r>
        <w:rPr>
          <w:color w:val="auto"/>
          <w:highlight w:val="none"/>
        </w:rPr>
      </w:r>
    </w:p>
    <w:p>
      <w:pPr>
        <w:pStyle w:val="808"/>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 检查系统服务是否正常。</w:t>
      </w:r>
      <w:r>
        <w:rPr>
          <w:color w:val="auto"/>
          <w:highlight w:val="none"/>
        </w:rPr>
      </w:r>
      <w:r>
        <w:rPr>
          <w:color w:val="auto"/>
          <w:highlight w:val="none"/>
        </w:rPr>
      </w:r>
    </w:p>
    <w:p>
      <w:pPr>
        <w:pStyle w:val="808"/>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6）检查系统安全补丁是否正常。</w:t>
      </w:r>
      <w:r>
        <w:rPr>
          <w:color w:val="auto"/>
          <w:highlight w:val="none"/>
        </w:rPr>
      </w:r>
      <w:r>
        <w:rPr>
          <w:color w:val="auto"/>
          <w:highlight w:val="none"/>
        </w:rPr>
      </w:r>
    </w:p>
    <w:p>
      <w:pPr>
        <w:pStyle w:val="808"/>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 检查有无可疑进程、进行性能调优。</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8）根据运维月报、周巡检、用户反馈的结果，分析服务器运行的健康状态，提出合理建议并实施，每季度1次。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2、信息系统运维服务内容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运行监控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信息系统日常运行监控包含以下内容：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对运行服务器进行运行监控，检查服务器的CPU占用率、内存占用率、硬盘占用率、WEB服务启动情况等内容，并且对检查结果进行记录，如果发现CPU或者内存占用率过高，及时检查原因并且联系机房解决。</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数据库进行运行监控，检查内容包括内存使用率、磁盘使用率、表空间占用率、日志备份空间占用率等，如果发现数据库表空间占用率或者日志备份空间占用率超过85%，及时扩展数据文件或者清楚数据库操作日志。</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对数据交换平台进行运行监控，检查内容为各个数据交换任务的执行情况，检查过程中需要对检查结果进行记录，发现问题需要及时解决。</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远程，7*24。</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定期巡检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建立一套完善的日常巡检制度，对服务器、存储设备、系统软件、网络安全、应用系统的运行状况等进行每两周一次日常巡检，并填写巡检记录，定期报环境监测站。通过定期检查设备、网络安全、系统软件及应用系统的运行日志和状态，及时查出存在的故障隐患，并及时排除潜在的故障隐患，从而保证系统的性能、安全、稳定性都处于最佳状态。巡查内容至少包含如下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查看系统日志信息</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查看有无新的操作系统更新</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查看杀毒软件病毒库是否最新</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检查磁盘空间是否异常</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检查系统服务是否正常</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检查系统安全补丁是否正常</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检查有无可疑进程、进行性能调优</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根据运维月报、周巡检、用户反馈的结果，分析服务器运行的健康状态，提出合理建议并实施，每季度1次。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远程：7*24，响应时间10分钟。</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故障处理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E-mail服务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提供</w:t>
      </w:r>
      <w:r>
        <w:rPr>
          <w:rFonts w:ascii="宋体" w:hAnsi="宋体"/>
          <w:color w:val="auto"/>
          <w:sz w:val="24"/>
          <w:szCs w:val="24"/>
          <w:highlight w:val="none"/>
        </w:rPr>
        <w:t xml:space="preserve">E-mail支持服务，保证在收到Email后即时对于</w:t>
      </w:r>
      <w:r>
        <w:rPr>
          <w:rFonts w:hint="eastAsia" w:ascii="宋体" w:hAnsi="宋体"/>
          <w:color w:val="auto"/>
          <w:sz w:val="24"/>
          <w:szCs w:val="24"/>
          <w:highlight w:val="none"/>
        </w:rPr>
        <w:t xml:space="preserve">采购人</w:t>
      </w:r>
      <w:r>
        <w:rPr>
          <w:rFonts w:ascii="宋体" w:hAnsi="宋体"/>
          <w:color w:val="auto"/>
          <w:sz w:val="24"/>
          <w:szCs w:val="24"/>
          <w:highlight w:val="none"/>
        </w:rPr>
        <w:t xml:space="preserve">提出的问题予以解答。</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电话服务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提供“远程支持”服务以解决遇到的一些系统软件问题，</w:t>
      </w:r>
      <w:r>
        <w:rPr>
          <w:rFonts w:hint="eastAsia" w:ascii="宋体" w:hAnsi="宋体"/>
          <w:color w:val="auto"/>
          <w:sz w:val="24"/>
          <w:szCs w:val="24"/>
          <w:highlight w:val="none"/>
        </w:rPr>
        <w:t xml:space="preserve">中标单位</w:t>
      </w:r>
      <w:r>
        <w:rPr>
          <w:rFonts w:hint="eastAsia" w:ascii="宋体" w:hAnsi="宋体"/>
          <w:color w:val="auto"/>
          <w:sz w:val="24"/>
          <w:szCs w:val="24"/>
          <w:highlight w:val="none"/>
        </w:rPr>
        <w:t xml:space="preserve">应以热情态度快速提供答案，减少等待时间及系统不正常运行所带来的损失，所有电话资料将被登记并及时给予口答，不便电话讨论的将以传真或到访的方式加以解决。</w:t>
      </w:r>
      <w:r>
        <w:rPr>
          <w:rFonts w:hint="eastAsia" w:ascii="宋体" w:hAnsi="宋体"/>
          <w:color w:val="auto"/>
          <w:sz w:val="24"/>
          <w:szCs w:val="24"/>
          <w:highlight w:val="none"/>
        </w:rPr>
        <w:t xml:space="preserve">中标单位</w:t>
      </w:r>
      <w:r>
        <w:rPr>
          <w:rFonts w:hint="eastAsia" w:ascii="宋体" w:hAnsi="宋体"/>
          <w:color w:val="auto"/>
          <w:sz w:val="24"/>
          <w:szCs w:val="24"/>
          <w:highlight w:val="none"/>
        </w:rPr>
        <w:t xml:space="preserve">应提供每周</w:t>
      </w:r>
      <w:r>
        <w:rPr>
          <w:rFonts w:ascii="宋体" w:hAnsi="宋体"/>
          <w:color w:val="auto"/>
          <w:sz w:val="24"/>
          <w:szCs w:val="24"/>
          <w:highlight w:val="none"/>
        </w:rPr>
        <w:t xml:space="preserve">7 * 24小时电话支持。</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远程维护</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提供远程维护中心，主要是针对基础软件支持平台配置故障、系统设置故障、用户误操作以及由于特殊原因不方便或不能亲自到现场排除故障的情况下，维护人员可以通过网络远程登陆用户系统，作为远程系统管理员进行故障诊断和排除。</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系统故障支持</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对于不能明确是否是硬件出现故障时，需要尽力配合有关方面进行检查、诊断及故障恢复。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远程系统接入。</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数据备份协助</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提供自动备份和异地备份两种数据库备份方式。自动备份保证系统每天凌晨12点以及中午12点对系统的数据做一次自动备份；异地备份保证系统管理员每月将系统最新的自动备份转存在其他终端，保证服务器瘫痪之后可以回到最近的工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自动备份保证系统每天凌晨12点以及中午12点对系统的数据做一次自动备份；异地备份保证运维人员每月将系统最新的自动备份转存在其他终端，保证服务器瘫痪之后可以回到最近的工作。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日常技术支持</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环境监测站环境监测业务信息管理系统（</w:t>
      </w:r>
      <w:r>
        <w:rPr>
          <w:rFonts w:ascii="宋体" w:hAnsi="宋体"/>
          <w:color w:val="auto"/>
          <w:sz w:val="24"/>
          <w:szCs w:val="24"/>
          <w:highlight w:val="none"/>
        </w:rPr>
        <w:t xml:space="preserve">LIMS）的维护和数据库运行服务</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处理用户在使用环境监测业务信息管理系统（</w:t>
      </w:r>
      <w:r>
        <w:rPr>
          <w:rFonts w:ascii="宋体" w:hAnsi="宋体"/>
          <w:color w:val="auto"/>
          <w:sz w:val="24"/>
          <w:szCs w:val="24"/>
          <w:highlight w:val="none"/>
        </w:rPr>
        <w:t xml:space="preserve">LIMS）中的遇到的问题</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提供必要的技术、应用培训服务。</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环境监测业务信息管理系统（</w:t>
      </w:r>
      <w:r>
        <w:rPr>
          <w:rFonts w:ascii="宋体" w:hAnsi="宋体"/>
          <w:color w:val="auto"/>
          <w:sz w:val="24"/>
          <w:szCs w:val="24"/>
          <w:highlight w:val="none"/>
        </w:rPr>
        <w:t xml:space="preserve">LIMS）维护范围以</w:t>
      </w:r>
      <w:r>
        <w:rPr>
          <w:rFonts w:hint="eastAsia" w:ascii="宋体" w:hAnsi="宋体"/>
          <w:color w:val="auto"/>
          <w:sz w:val="24"/>
          <w:szCs w:val="24"/>
          <w:highlight w:val="none"/>
        </w:rPr>
        <w:t xml:space="preserve">用户</w:t>
      </w:r>
      <w:r>
        <w:rPr>
          <w:rFonts w:ascii="宋体" w:hAnsi="宋体"/>
          <w:color w:val="auto"/>
          <w:sz w:val="24"/>
          <w:szCs w:val="24"/>
          <w:highlight w:val="none"/>
        </w:rPr>
        <w:t xml:space="preserve">最终确认的技术协议中所包括的软件系统功能为准。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提供方式</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E-mail 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中标单位</w:t>
      </w:r>
      <w:r>
        <w:rPr>
          <w:rFonts w:hint="eastAsia" w:ascii="宋体" w:hAnsi="宋体"/>
          <w:color w:val="auto"/>
          <w:sz w:val="24"/>
          <w:szCs w:val="24"/>
          <w:highlight w:val="none"/>
        </w:rPr>
        <w:t xml:space="preserve">应提供</w:t>
      </w:r>
      <w:r>
        <w:rPr>
          <w:rFonts w:ascii="宋体" w:hAnsi="宋体"/>
          <w:color w:val="auto"/>
          <w:sz w:val="24"/>
          <w:szCs w:val="24"/>
          <w:highlight w:val="none"/>
        </w:rPr>
        <w:t xml:space="preserve">E-mail支持服务，保证在收到Email后即时对于</w:t>
      </w:r>
      <w:r>
        <w:rPr>
          <w:rFonts w:hint="eastAsia" w:ascii="宋体" w:hAnsi="宋体"/>
          <w:color w:val="auto"/>
          <w:sz w:val="24"/>
          <w:szCs w:val="24"/>
          <w:highlight w:val="none"/>
        </w:rPr>
        <w:t xml:space="preserve">采购人</w:t>
      </w:r>
      <w:r>
        <w:rPr>
          <w:rFonts w:ascii="宋体" w:hAnsi="宋体"/>
          <w:color w:val="auto"/>
          <w:sz w:val="24"/>
          <w:szCs w:val="24"/>
          <w:highlight w:val="none"/>
        </w:rPr>
        <w:t xml:space="preserve">提出的问题予以解答。</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电话服务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提供“远程支持”服务以解决遇到的一些系统软件问题，以热情态度快速提供答案，减少等待时间及系统不正常运行所带来的损失，所有电话资料将被登记并及时给予口答，不便电话讨论的将以传真或到访的方式加以解决。</w:t>
      </w:r>
      <w:r>
        <w:rPr>
          <w:rFonts w:hint="eastAsia" w:ascii="宋体" w:hAnsi="宋体"/>
          <w:color w:val="auto"/>
          <w:sz w:val="24"/>
          <w:szCs w:val="24"/>
          <w:highlight w:val="none"/>
        </w:rPr>
        <w:t xml:space="preserve">中标单位</w:t>
      </w:r>
      <w:r>
        <w:rPr>
          <w:rFonts w:hint="eastAsia" w:ascii="宋体" w:hAnsi="宋体"/>
          <w:color w:val="auto"/>
          <w:sz w:val="24"/>
          <w:szCs w:val="24"/>
          <w:highlight w:val="none"/>
        </w:rPr>
        <w:t xml:space="preserve">应提供每周</w:t>
      </w:r>
      <w:r>
        <w:rPr>
          <w:rFonts w:ascii="宋体" w:hAnsi="宋体"/>
          <w:color w:val="auto"/>
          <w:sz w:val="24"/>
          <w:szCs w:val="24"/>
          <w:highlight w:val="none"/>
        </w:rPr>
        <w:t xml:space="preserve">7*24小时电话支持。</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远程维护</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建设远程维护中心，主要是针对基础软件支持平台配置故障、系统设置故障、用户误操作以及由于特殊原因不方便或不能亲自到现场排除故障的情况下，维护人员可以通过网络远程登陆用户系统，作为远程系统管理员进行故障诊断和排除。</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信息系统运维服务交付成果</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业务系统巡检记录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数据巡检记录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数据库巡检记录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应急处置预案</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应急事件处置记录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应急演练记录</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数据备份记录表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故障诊断分析和解决方案报告</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运维过程巡检记录</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3.1.11  </w:t>
      </w:r>
      <w:r>
        <w:rPr>
          <w:rFonts w:hint="eastAsia" w:ascii="宋体" w:hAnsi="宋体"/>
          <w:b/>
          <w:color w:val="auto"/>
          <w:sz w:val="24"/>
          <w:szCs w:val="24"/>
          <w:highlight w:val="none"/>
        </w:rPr>
        <w:t xml:space="preserve">环境监测数据采集系统运维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运维服务标准与要求</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维护采取远程</w:t>
      </w:r>
      <w:r>
        <w:rPr>
          <w:rFonts w:ascii="宋体" w:hAnsi="宋体"/>
          <w:color w:val="auto"/>
          <w:sz w:val="24"/>
          <w:szCs w:val="24"/>
          <w:highlight w:val="none"/>
        </w:rPr>
        <w:t xml:space="preserve">+现场结合的方式，工作日保障5*8小时正常维护，对于不能远程解决的问题，现场解决。</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信息系统运维服务</w:t>
      </w:r>
      <w:r>
        <w:rPr>
          <w:rFonts w:hint="eastAsia" w:ascii="宋体" w:hAnsi="宋体"/>
          <w:color w:val="auto"/>
          <w:sz w:val="24"/>
          <w:szCs w:val="24"/>
          <w:highlight w:val="none"/>
        </w:rPr>
        <w:t xml:space="preserve">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系统平台维护</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保证操作系统、数据库系统、中间件、其他支撑系统应用的软件系统及网络协议等安全性、可靠性和可用性而实施的维护与管理﹔及时排除系统故障；工作日每天对系统平台进行一次巡检，检查平台是否能够正常使用，相关功能是否正常。每周对系统平台所涉及的服务器进行巡检，检查服务器相关资源使用情况，以便及时消除故障隐患，保障系统的安全、稳定、持续运行。</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应用系统管理和维护</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在系统维护过程中采取各种技术手段及时排除系统故障，保证系统及相应接口的安全性、可靠性和可用性。及时消除系统可能存在的安全隐患和威胁、根据需求更新或变更系统功能。</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数据储存设施管理和维护</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为保证数据存储设施、如服务器设备、集群系统、存储网络及支撑数据存储设施运行的软件平台的安全性、可靠性和可用性，保证存储数据的安全。定期对系统的性能，确认数据存储的安全，及时消除故障隐患，保障系统安全、稳定、持续运行。需每周对系统的数据库进行本地全量备份，并将备份文件上传备份服务器，保留两个数据库副本，以防在硬件出现突发异常时能快速恢复相应数据。</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数据管理和维护</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数据管理是系统应用的核心。为保证数据存储、数据访问、数据通信、数据交换的安全，每月对数据的完整性、安全性、可靠性进行检查。</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故障处理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对系统在使用过程中出现的故障问题，如数据异常、数据错误等问题进行处理，查找原因并及时修复。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BUG修复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对在系统使用过程中，因数据问题或者其他问题导致的</w:t>
      </w:r>
      <w:r>
        <w:rPr>
          <w:rFonts w:ascii="宋体" w:hAnsi="宋体"/>
          <w:color w:val="auto"/>
          <w:sz w:val="24"/>
          <w:szCs w:val="24"/>
          <w:highlight w:val="none"/>
        </w:rPr>
        <w:t xml:space="preserve">BUG,及时进行解决。</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技术支持</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解决用户在系统使用中遇到的各种问题，提供咨询、答疑等相关技术支持服务。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工作日，5*8小时。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运维服务</w:t>
      </w:r>
      <w:r>
        <w:rPr>
          <w:rFonts w:hint="eastAsia" w:ascii="宋体" w:hAnsi="宋体"/>
          <w:color w:val="auto"/>
          <w:sz w:val="24"/>
          <w:szCs w:val="24"/>
          <w:highlight w:val="none"/>
        </w:rPr>
        <w:t xml:space="preserve">交付成果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定期向采购人发布维护工作报告，报告的工作内容包括系统总体运行情况说明、例行维护工作内容、故障记录、运维服务记录等。</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对系统的日常维护情况，产生的问题，形成周报月报；</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对系统的每月服务器运行情况进行记录并存档，形成月报；</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对无锡市环境质量自动监测（监控）系统的运维整体情况，完成年度运维报告，形成年报</w:t>
      </w:r>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3.1.12  </w:t>
      </w:r>
      <w:r>
        <w:rPr>
          <w:rFonts w:hint="eastAsia" w:ascii="宋体" w:hAnsi="宋体"/>
          <w:b/>
          <w:color w:val="auto"/>
          <w:sz w:val="24"/>
          <w:szCs w:val="24"/>
          <w:highlight w:val="none"/>
        </w:rPr>
        <w:t xml:space="preserve">无锡市污染防治综合监管平台运维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1、运维服务标准与要求</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对主机、存储系统及业务系统的进行日常巡检运维，日常巡检内容包括系统日常巡检、服务巡检、日常监控。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2、运维服务内容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（1）日</w:t>
      </w:r>
      <w:r>
        <w:rPr>
          <w:rFonts w:ascii="宋体" w:hAnsi="宋体"/>
          <w:color w:val="auto"/>
          <w:sz w:val="24"/>
          <w:szCs w:val="24"/>
          <w:highlight w:val="none"/>
        </w:rPr>
        <w:t xml:space="preserve">常巡检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每天巡查系统各菜单、功能模块、各插件是否正常运行，数据接入是否正常，各接口对接运行是否正常。检查服务器磁盘、内存、</w:t>
      </w:r>
      <w:r>
        <w:rPr>
          <w:rFonts w:ascii="宋体" w:hAnsi="宋体"/>
          <w:color w:val="auto"/>
          <w:sz w:val="24"/>
          <w:szCs w:val="24"/>
          <w:highlight w:val="none"/>
        </w:rPr>
        <w:t xml:space="preserve">CPU使用量等情况。数据库、应用程序等。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每天。</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服务巡检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每日各插件是否正常，检查</w:t>
      </w:r>
      <w:r>
        <w:rPr>
          <w:rFonts w:ascii="宋体" w:hAnsi="宋体"/>
          <w:color w:val="auto"/>
          <w:sz w:val="24"/>
          <w:szCs w:val="24"/>
          <w:highlight w:val="none"/>
        </w:rPr>
        <w:t xml:space="preserve">Tomcat服务运行是否正常，各接口及数据对接运行是否正常；检查服务器磁盘、内存、CPU使用量等情况。数据库、应用程序等是否正常。</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每天。</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日常监控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每日远程查看服务器</w:t>
      </w:r>
      <w:r>
        <w:rPr>
          <w:rFonts w:ascii="宋体" w:hAnsi="宋体"/>
          <w:color w:val="auto"/>
          <w:sz w:val="24"/>
          <w:szCs w:val="24"/>
          <w:highlight w:val="none"/>
        </w:rPr>
        <w:t xml:space="preserve">CPU使用率、内存使用率、服务器、存储磁盘使用情况；服务进程是否正常；是否有异常用户登录。提供运行状态监控，监控服务器各项性能指标数据（主要包括：CPU使用率、内存使用率、进程数量监控、进程运行状况监控。存储各项性能指标包括存储设备状态、端口状态、传输速度、性能）。每周检查操作系统日志，查看应用、安全、系统、日志中工作状态。</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每天。</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服务器端软件</w:t>
      </w:r>
      <w:r>
        <w:rPr>
          <w:rFonts w:hint="eastAsia" w:ascii="宋体" w:hAnsi="宋体"/>
          <w:color w:val="auto"/>
          <w:sz w:val="24"/>
          <w:szCs w:val="24"/>
          <w:highlight w:val="none"/>
        </w:rPr>
        <w:t xml:space="preserve">运维服务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对服务器端软件进行维护服务，内容包括问题咨询、权限调整、系统</w:t>
      </w:r>
      <w:r>
        <w:rPr>
          <w:rFonts w:ascii="宋体" w:hAnsi="宋体"/>
          <w:color w:val="auto"/>
          <w:sz w:val="24"/>
          <w:szCs w:val="24"/>
          <w:highlight w:val="none"/>
        </w:rPr>
        <w:t xml:space="preserve">BUG修复、数据调整、数据统计、工作配合、表单管理、软件部署、应急保障、接口运维、其他工作。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对系统软件运行维护服务具体内容如下：</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问题咨询</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客户咨询系统操作、流程流转、字段含义、系统功能使用、咨询某项想做新功能的相关业务、技术实现情况，包括系统的操作使用。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权限调整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客户部门、人员等工作变动引起的菜单权限，工作流程等变动，包括新增用户。</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系统BUG修复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客户在使用过程中出现的非正常状态，或由于系统代码造成的问题。</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数据调整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客户、企业使用系统存在录入错误、数据调整信息，需要修改、删除数据。</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数据统计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配合客户提供所需的各类统计数据和表格。</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工作配合</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协助客户处理一些表格、文档的编写、流程退回、查询流程处理人，提供操作手册等。</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表单管理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包括表单删改：如表头修改、表单编辑功能优化等。</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软件部署</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帮客户安装部署系统各个端。</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应急保障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配合用户完成各项应急服务工作等。</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接口运维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监控运维公司所开发的系统接口是否正常。</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其他工作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浏览器兼容问题，系统访问问题。</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每天。</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支撑软件</w:t>
      </w:r>
      <w:r>
        <w:rPr>
          <w:rFonts w:hint="eastAsia" w:ascii="宋体" w:hAnsi="宋体"/>
          <w:color w:val="auto"/>
          <w:sz w:val="24"/>
          <w:szCs w:val="24"/>
          <w:highlight w:val="none"/>
        </w:rPr>
        <w:t xml:space="preserve">运维服务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对系统支撑软件进行维护，主要包括配套软件升级调配、中间件服务巡检、数据同步软件巡检、故障处理、监控运行日志、定期输出运维报告。</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配套软件升级调配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对系统采购时配套部署的支撑软件进行统一的升级管理。</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中间件服务巡检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检查中间件是否正常运行，端口监听，站点配置访问路径是否正确、站点有无访问权限等。</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故障处理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处理系统使用中出现的各类异常情况，找出原因，汇报详细情况，并解决。</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监控运行日志</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定期检查操作系统日志，查看应用、安全、系统、日志中工作状态；</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定期输出运维报告</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建立月报表机制，统计每月服务器运行工作情况，分析总结当月运维事件，并提出合理化建议。</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每天。</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平台升级优化服务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提供平台升级优化服务，提供表单删改功能，在原有功能上进行修改的内容，包括流程的修改，业务需求小幅度变化调整，表单、模板等变化，但不包括流程的配置（单次一个工作日）。</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每天。</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数据备份</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主要包括制定数据备份策略、数据还原恢复，按规范进行数据备份工作。保证数据备份的可用性和完整性，在用户提供数据库备份所有资源的前提下，定期开展数据恢复性测试，保证系统在发生突发故障导致数据库崩溃或数据丢失时快速恢复以正常运行。</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数据备份策略（定期全备份）</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针对不同的服务器制定不同类型的备份，明确增量备份、全备份的策略。设定备份频率、数据备份方式以及系统备份方案的具体实施细则。一般备份策略设置为每日两次全量本地、异地备份，在计划制订完毕后，严格按照程序进行备份。对数据备份情况进行跟踪，检查频率为每月一次。定期提交数据备份的工作报告。</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备份数据包括污染源数据、业务数据，图片、视频等非结构化数据等。可根据数据内容的不同分为人工手动备份和备份软件自动备份。最长备份周期不超过一个月。</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数据还原恢复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系统崩溃或遇到其他不可恢复系统正常状态情况时，先对上次系统备份后发生的一些更改事件如应用程序、安全策略等的设置做好备份，恢复完系统后再恢复这些更改数据。</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应用程序出错则采用最近一次的备份数据恢复相关内容。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每天。</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8</w:t>
      </w:r>
      <w:r>
        <w:rPr>
          <w:rFonts w:hint="eastAsia" w:ascii="宋体" w:hAnsi="宋体"/>
          <w:color w:val="auto"/>
          <w:sz w:val="24"/>
          <w:szCs w:val="24"/>
          <w:highlight w:val="none"/>
        </w:rPr>
        <w:t xml:space="preserve">）</w:t>
      </w:r>
      <w:r>
        <w:rPr>
          <w:rFonts w:ascii="宋体" w:hAnsi="宋体"/>
          <w:color w:val="auto"/>
          <w:sz w:val="24"/>
          <w:szCs w:val="24"/>
          <w:highlight w:val="none"/>
        </w:rPr>
        <w:t xml:space="preserve">数据库监控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对数据库进行监控，保证数据库系统安全、稳定及性能优化，进行健康检查。完善数据库存活和性能监控，及时了解数据库运行状态及故障。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每天。</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数据库安全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建设数据库账号体系，严格控制账号权限与开放范围，降低误操作和数据泄露的风险；加强离线备份数据的管理，降低数据泄露的风险。</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每天。</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3、运维服务交付成果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在系统运行维护期内做好运维记录，按时提交月报和年度运维报告。</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3.1.13  </w:t>
      </w:r>
      <w:r>
        <w:rPr>
          <w:rFonts w:hint="eastAsia" w:ascii="宋体" w:hAnsi="宋体"/>
          <w:b/>
          <w:color w:val="auto"/>
          <w:sz w:val="24"/>
          <w:szCs w:val="24"/>
          <w:highlight w:val="none"/>
        </w:rPr>
        <w:t xml:space="preserve">无锡市低碳信息平台运维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1、运维服务标准与要求</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应对气候变化平台系统的功能、业务流程进行监控和管理，及时掌握应对气候变化平台项目系统的运行情况，反映系统资源的可用性情况和健康状况，创建一个可知可控的系统运行环境，从而保证应对气候变化平台项目系统的可靠、高效、持续、安全运行。</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2、运维服务内容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（1）运行监控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对服务网络进行定期巡检，服务响应时间要求：7*8小时。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每天。</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（2）定期巡检</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对服务器与存储进行定期巡查，维护人员会根据用户的反馈信息，将问题记录在问题跟踪系统，然后将信息记录在问题管理报告中。</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每天。</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（3）故障处理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中标单位专门提供技术服务工程师，通过完备的服务体系，提供7×24小时不间断多方位的、多渠道的服务保障，接到故障通知后在6小时内到达并解决故障。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每天。</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3、信息系统运维服务交付成果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在系统运行维护期内做好运维记录，按时提交月报和年度运维报告。</w:t>
      </w:r>
      <w:r>
        <w:rPr>
          <w:color w:val="auto"/>
          <w:highlight w:val="none"/>
        </w:rPr>
      </w:r>
      <w:r>
        <w:rPr>
          <w:color w:val="auto"/>
          <w:highlight w:val="none"/>
        </w:rPr>
      </w:r>
    </w:p>
    <w:p>
      <w:pPr>
        <w:pStyle w:val="808"/>
        <w:ind w:firstLine="48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3.1.14  </w:t>
      </w:r>
      <w:r>
        <w:rPr>
          <w:rFonts w:hint="eastAsia" w:ascii="宋体" w:hAnsi="宋体"/>
          <w:b/>
          <w:color w:val="auto"/>
          <w:sz w:val="24"/>
          <w:szCs w:val="24"/>
          <w:highlight w:val="none"/>
        </w:rPr>
        <w:t xml:space="preserve">无锡市重点污染源自动监控平台运维</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、运维服务标准与要求</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（1）针对我市污染源自动监控平台工作要求，对各区县涉及所有重点排污单位的信息填报情况进行核对。核对内容包括企业基本信息、联系人信息、自动监控设备信息、型号，数采仪的编号等内容。</w:t>
      </w:r>
      <w:r>
        <w:rPr>
          <w:color w:val="auto"/>
          <w:highlight w:val="none"/>
        </w:rPr>
      </w:r>
      <w:r>
        <w:rPr>
          <w:color w:val="auto"/>
          <w:highlight w:val="none"/>
        </w:rPr>
      </w:r>
    </w:p>
    <w:p>
      <w:pPr>
        <w:pStyle w:val="808"/>
        <w:ind w:firstLine="480"/>
        <w:spacing w:line="360" w:lineRule="auto"/>
        <w:rPr>
          <w:color w:val="auto"/>
          <w:highlight w:val="none"/>
        </w:rPr>
      </w:pPr>
      <w:r>
        <w:rPr>
          <w:rFonts w:hint="eastAsia" w:ascii="宋体" w:hAnsi="宋体"/>
          <w:color w:val="auto"/>
          <w:sz w:val="24"/>
          <w:szCs w:val="24"/>
          <w:highlight w:val="none"/>
        </w:rPr>
        <w:t xml:space="preserve">（2）针对目前的服务器状况，加强数据查漏补缺工作，每天检查平台运行状况，查看数据缺失情况，并形成报告。核对大批量的缺失数据情况，并对数据补采、修约等情况进行后续跟踪。负责审核汇总企业数据修约情况，对存在异常数据的企业进行审核分析，确保相关异常数据及时处理；负责统计相关企业数据超标情况，制作各类自动监控月报。</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（3）每月对软件数据库进行一次人工备份，备份数据包括数据库文件、数据库日志文件、通讯数据包文件等，备份文件保存至少2年。</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定期开展数据分析，及时发现平台或现场端传输故障，及时处理解决；建立数据异常筛查机制，及时发现数据缺失、数据超标、数据长期稳定在某一数值或在某一固定小范围内波动的情况，通知直属局现场处理。</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（5）根据我局工作实际，提交重点污染源自动监控日常报表，报告形式为周报、月报、年报，以及定制的专项报表，比如大气管控期间的废气污染源特定报表、污水处理厂专项报表等。</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（6）对各类新部署的版本软件，在全市组织专项业务培训，结合当前国家政策，讲解考核相关注意事项，以便监控工作及相关企业人员更高效地开展工作。</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（7）每周汇总数据缺失和无效情况，向各地公布，直至平台可以自动预警。</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（8）配合完成污染源监控日常工作，保障自动监控数据正常接收和相关数据及时上报省厅及软件平台。</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（9）对我市的日常运维工作进行技术指导，并对相关人员进行培训，每年不少于2次的现场培训，其他培训方式按需要进行。</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（10）与国家、省级部门同步升级平台软件，根据我市的需要，配合实施平台有关的迁移、调整、维护等。</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（11）配合区县运维人员、仪器厂商等解决数据接入软件平台的过程中遇到的各种问题。</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（12）按照相关要求，定期在市生态环境局官方网站公布审核后的相关自动监控数据报表。</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（13）为我市生态环境各业务部门提供各类系统数据相关的报表，包括但不限于“重点污染源自动监控与基础数据库系统”的报表。</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（14）结合污染源自动监控平台和非现场执法平台，辅助执法部门进行异常线索审核。</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（15）结合污染源自动监控平台和非现场执法平台，辅助执法部门进行企业处置反馈审核。</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（16）结合污染源自动监控平台和非现场执法平台，辅助执法部门进行违法线索审核。</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（17）结合污染源自动监控平台和非现场执法平台，辅助执法部门进行启动现场检查审核。</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、运维服务内容</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（1）各类数据运维报表制作</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每月定期将各类数据运维报表提交至监测三科，供领导查阅。</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每月定期。</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（2）各项报表统计服务</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根据中心工作实际，提交重点污染源自动监控日常报表，报告形式为周报、月报、年报，以及定制的专项报表。</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根据无锡市局工作实际需求，提交重点污染源自动监控日常报表，报告形式为周报、月报、年报等。</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无锡市大气管控期间，制作废气污染源特定报表，具体形式以实际需求为依据，中央督查、回头看等检查中，同样也会定制特定报表供领导查阅。</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按报表实际需求提供。</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（3）培训服务</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对各类新部署的版本软件，在全市组织专项业务培训，结合当前国家政策，讲解考核相关注意事项，以便监控工作及相关企业人员更高效地开展工作。</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新版软件的操作使用，需要靠系统化的培训来完成，培训的目的是提高使用人员的技能，加强对系统的理解，使他们能够有效地熟悉系统的操作和系统的管理职责。</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）提供方式</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现场讲解和授课相结合：现场的工程师给予现场指导，解答系统使用的任何技术询问和软件系统的操作使用方法。</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、信息系统运维服务交付成果</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数据库备份记录表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连通率统计表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现场端数采仪配置登记表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重点源增补记录表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用电数据统计分析表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废气污染源特定报表</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培训记录表</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3.1.15  </w:t>
      </w:r>
      <w:r>
        <w:rPr>
          <w:rFonts w:hint="eastAsia" w:ascii="宋体" w:hAnsi="宋体"/>
          <w:b/>
          <w:color w:val="auto"/>
          <w:sz w:val="24"/>
          <w:szCs w:val="24"/>
          <w:highlight w:val="none"/>
        </w:rPr>
        <w:t xml:space="preserve">无锡市生态环境局网络安全综合服务项目运维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en-US"/>
        </w:rPr>
        <w:t xml:space="preserve">运维服务内容</w:t>
      </w:r>
      <w:r>
        <w:rPr>
          <w:color w:val="auto"/>
          <w:highlight w:val="none"/>
        </w:rPr>
      </w:r>
      <w:r>
        <w:rPr>
          <w:color w:val="auto"/>
          <w:highlight w:val="none"/>
        </w:rPr>
      </w:r>
    </w:p>
    <w:p>
      <w:pPr>
        <w:pStyle w:val="808"/>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本次综合安全服务项目主要涉及的检查内容和业务量如下：</w:t>
      </w:r>
      <w:r>
        <w:rPr>
          <w:color w:val="auto"/>
          <w:highlight w:val="none"/>
        </w:rPr>
      </w:r>
      <w:r>
        <w:rPr>
          <w:color w:val="auto"/>
          <w:highlight w:val="none"/>
        </w:rPr>
      </w:r>
    </w:p>
    <w:tbl>
      <w:tblPr>
        <w:tblW w:w="5250" w:type="pct"/>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9"/>
        <w:gridCol w:w="1030"/>
        <w:gridCol w:w="5108"/>
        <w:gridCol w:w="580"/>
        <w:gridCol w:w="1920"/>
      </w:tblGrid>
      <w:tr>
        <w:trPr/>
        <w:tc>
          <w:tcPr>
            <w:tcW w:w="989"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编号</w:t>
            </w:r>
            <w:r>
              <w:rPr>
                <w:color w:val="auto"/>
                <w:highlight w:val="none"/>
              </w:rPr>
            </w:r>
            <w:r>
              <w:rPr>
                <w:color w:val="auto"/>
                <w:highlight w:val="none"/>
              </w:rPr>
            </w:r>
          </w:p>
        </w:tc>
        <w:tc>
          <w:tcPr>
            <w:tcW w:w="103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服务项目</w:t>
            </w:r>
            <w:r>
              <w:rPr>
                <w:color w:val="auto"/>
                <w:highlight w:val="none"/>
              </w:rPr>
            </w:r>
            <w:r>
              <w:rPr>
                <w:color w:val="auto"/>
                <w:highlight w:val="none"/>
              </w:rPr>
            </w:r>
          </w:p>
        </w:tc>
        <w:tc>
          <w:tcPr>
            <w:tcW w:w="5108"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服务内容</w:t>
            </w:r>
            <w:r>
              <w:rPr>
                <w:color w:val="auto"/>
                <w:highlight w:val="none"/>
              </w:rPr>
            </w:r>
            <w:r>
              <w:rPr>
                <w:color w:val="auto"/>
                <w:highlight w:val="none"/>
              </w:rPr>
            </w:r>
          </w:p>
        </w:tc>
        <w:tc>
          <w:tcPr>
            <w:tcW w:w="58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数量</w:t>
            </w:r>
            <w:r>
              <w:rPr>
                <w:color w:val="auto"/>
                <w:highlight w:val="none"/>
              </w:rPr>
            </w:r>
            <w:r>
              <w:rPr>
                <w:color w:val="auto"/>
                <w:highlight w:val="none"/>
              </w:rPr>
            </w:r>
          </w:p>
        </w:tc>
        <w:tc>
          <w:tcPr>
            <w:tcW w:w="192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备注</w:t>
            </w:r>
            <w:r>
              <w:rPr>
                <w:color w:val="auto"/>
                <w:highlight w:val="none"/>
              </w:rPr>
            </w:r>
            <w:r>
              <w:rPr>
                <w:color w:val="auto"/>
                <w:highlight w:val="none"/>
              </w:rPr>
            </w:r>
          </w:p>
        </w:tc>
      </w:tr>
      <w:tr>
        <w:trPr/>
        <w:tc>
          <w:tcPr>
            <w:tcW w:w="989"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color w:val="auto"/>
                <w:highlight w:val="none"/>
              </w:rPr>
            </w:r>
            <w:r>
              <w:rPr>
                <w:color w:val="auto"/>
                <w:highlight w:val="none"/>
              </w:rPr>
            </w:r>
          </w:p>
        </w:tc>
        <w:tc>
          <w:tcPr>
            <w:tcW w:w="103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网络安全资产梳理</w:t>
            </w:r>
            <w:r>
              <w:rPr>
                <w:color w:val="auto"/>
                <w:highlight w:val="none"/>
              </w:rPr>
            </w:r>
            <w:r>
              <w:rPr>
                <w:color w:val="auto"/>
                <w:highlight w:val="none"/>
              </w:rPr>
            </w:r>
          </w:p>
        </w:tc>
        <w:tc>
          <w:tcPr>
            <w:tcW w:w="5108"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进行资产探测扫描，梳理出资产的IP、开放端口、安装服务、各类指纹信息（操作系统、开发语言、中间件、Web应用平台/框架及第三方软件等）等资产信息。资产数量不低于500个。</w:t>
            </w:r>
            <w:r>
              <w:rPr>
                <w:color w:val="auto"/>
                <w:highlight w:val="none"/>
              </w:rPr>
            </w:r>
            <w:r>
              <w:rPr>
                <w:color w:val="auto"/>
                <w:highlight w:val="none"/>
              </w:rPr>
            </w:r>
          </w:p>
        </w:tc>
        <w:tc>
          <w:tcPr>
            <w:tcW w:w="58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2次/年</w:t>
            </w:r>
            <w:r>
              <w:rPr>
                <w:color w:val="auto"/>
                <w:highlight w:val="none"/>
              </w:rPr>
            </w:r>
            <w:r>
              <w:rPr>
                <w:color w:val="auto"/>
                <w:highlight w:val="none"/>
              </w:rPr>
            </w:r>
          </w:p>
        </w:tc>
        <w:tc>
          <w:tcPr>
            <w:tcW w:w="192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每半年提交一次资产梳理报告，全年共2份报告</w:t>
            </w:r>
            <w:r>
              <w:rPr>
                <w:color w:val="auto"/>
                <w:highlight w:val="none"/>
              </w:rPr>
            </w:r>
            <w:r>
              <w:rPr>
                <w:color w:val="auto"/>
                <w:highlight w:val="none"/>
              </w:rPr>
            </w:r>
          </w:p>
        </w:tc>
      </w:tr>
      <w:tr>
        <w:trPr/>
        <w:tc>
          <w:tcPr>
            <w:tcW w:w="989"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2</w:t>
            </w:r>
            <w:r>
              <w:rPr>
                <w:color w:val="auto"/>
                <w:highlight w:val="none"/>
              </w:rPr>
            </w:r>
            <w:r>
              <w:rPr>
                <w:color w:val="auto"/>
                <w:highlight w:val="none"/>
              </w:rPr>
            </w:r>
          </w:p>
        </w:tc>
        <w:tc>
          <w:tcPr>
            <w:tcW w:w="103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安全渗透测试</w:t>
            </w:r>
            <w:r>
              <w:rPr>
                <w:color w:val="auto"/>
                <w:highlight w:val="none"/>
              </w:rPr>
            </w:r>
            <w:r>
              <w:rPr>
                <w:color w:val="auto"/>
                <w:highlight w:val="none"/>
              </w:rPr>
            </w:r>
          </w:p>
        </w:tc>
        <w:tc>
          <w:tcPr>
            <w:tcW w:w="5108"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模拟入侵者所用的常见手段对测试目标发起模拟入侵，通过利用各种已知漏洞识别手段充分挖掘网络层、系统层、应用层乃至业务逻辑层中可能存在且被利用的潜在威胁点，并根据实际测试情况给出切实可行的系统安全加固建议及漏洞修复建议。系统数量不低于40个。</w:t>
            </w:r>
            <w:r>
              <w:rPr>
                <w:color w:val="auto"/>
                <w:highlight w:val="none"/>
              </w:rPr>
            </w:r>
            <w:r>
              <w:rPr>
                <w:color w:val="auto"/>
                <w:highlight w:val="none"/>
              </w:rPr>
            </w:r>
          </w:p>
        </w:tc>
        <w:tc>
          <w:tcPr>
            <w:tcW w:w="58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2次/年</w:t>
            </w:r>
            <w:r>
              <w:rPr>
                <w:color w:val="auto"/>
                <w:highlight w:val="none"/>
              </w:rPr>
            </w:r>
            <w:r>
              <w:rPr>
                <w:color w:val="auto"/>
                <w:highlight w:val="none"/>
              </w:rPr>
            </w:r>
          </w:p>
        </w:tc>
        <w:tc>
          <w:tcPr>
            <w:tcW w:w="192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每半年提交一次渗透测试报告和复测报告，全年共4份报告</w:t>
            </w:r>
            <w:r>
              <w:rPr>
                <w:color w:val="auto"/>
                <w:highlight w:val="none"/>
              </w:rPr>
            </w:r>
            <w:r>
              <w:rPr>
                <w:color w:val="auto"/>
                <w:highlight w:val="none"/>
              </w:rPr>
            </w:r>
          </w:p>
        </w:tc>
      </w:tr>
      <w:tr>
        <w:trPr/>
        <w:tc>
          <w:tcPr>
            <w:tcW w:w="989"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3</w:t>
            </w:r>
            <w:r>
              <w:rPr>
                <w:color w:val="auto"/>
                <w:highlight w:val="none"/>
              </w:rPr>
            </w:r>
            <w:r>
              <w:rPr>
                <w:color w:val="auto"/>
                <w:highlight w:val="none"/>
              </w:rPr>
            </w:r>
          </w:p>
        </w:tc>
        <w:tc>
          <w:tcPr>
            <w:tcW w:w="103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漏洞扫描</w:t>
            </w:r>
            <w:r>
              <w:rPr>
                <w:color w:val="auto"/>
                <w:highlight w:val="none"/>
              </w:rPr>
            </w:r>
            <w:r>
              <w:rPr>
                <w:color w:val="auto"/>
                <w:highlight w:val="none"/>
              </w:rPr>
            </w:r>
          </w:p>
        </w:tc>
        <w:tc>
          <w:tcPr>
            <w:tcW w:w="5108"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利用漏洞扫描工具，通过对信息系统及应用的扫描、探测等操作，直接获取到目标系统本身存在的系统、应用等方面的漏洞，并根据扫描结果形成漏洞扫描报告，为管理员指出系统所存在的漏洞及修补漏洞的解决方案。</w:t>
            </w:r>
            <w:r>
              <w:rPr>
                <w:color w:val="auto"/>
                <w:highlight w:val="none"/>
              </w:rPr>
            </w:r>
            <w:r>
              <w:rPr>
                <w:color w:val="auto"/>
                <w:highlight w:val="none"/>
              </w:rPr>
            </w:r>
          </w:p>
        </w:tc>
        <w:tc>
          <w:tcPr>
            <w:tcW w:w="58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4次/年</w:t>
            </w:r>
            <w:r>
              <w:rPr>
                <w:color w:val="auto"/>
                <w:highlight w:val="none"/>
              </w:rPr>
            </w:r>
            <w:r>
              <w:rPr>
                <w:color w:val="auto"/>
                <w:highlight w:val="none"/>
              </w:rPr>
            </w:r>
          </w:p>
        </w:tc>
        <w:tc>
          <w:tcPr>
            <w:tcW w:w="192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每季度提交一次安全检测报告，全年共4份，同时配合协助整改。</w:t>
            </w:r>
            <w:r>
              <w:rPr>
                <w:color w:val="auto"/>
                <w:highlight w:val="none"/>
              </w:rPr>
            </w:r>
            <w:r>
              <w:rPr>
                <w:color w:val="auto"/>
                <w:highlight w:val="none"/>
              </w:rPr>
            </w:r>
          </w:p>
        </w:tc>
      </w:tr>
      <w:tr>
        <w:trPr/>
        <w:tc>
          <w:tcPr>
            <w:tcW w:w="989"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4</w:t>
            </w:r>
            <w:r>
              <w:rPr>
                <w:color w:val="auto"/>
                <w:highlight w:val="none"/>
              </w:rPr>
            </w:r>
            <w:r>
              <w:rPr>
                <w:color w:val="auto"/>
                <w:highlight w:val="none"/>
              </w:rPr>
            </w:r>
          </w:p>
        </w:tc>
        <w:tc>
          <w:tcPr>
            <w:tcW w:w="103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安全加固建议及验证</w:t>
            </w:r>
            <w:r>
              <w:rPr>
                <w:color w:val="auto"/>
                <w:highlight w:val="none"/>
              </w:rPr>
            </w:r>
            <w:r>
              <w:rPr>
                <w:color w:val="auto"/>
                <w:highlight w:val="none"/>
              </w:rPr>
            </w:r>
          </w:p>
        </w:tc>
        <w:tc>
          <w:tcPr>
            <w:tcW w:w="5108"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根据安全检测服务结果，提供一年4次的网站源代码加固辅导、服务器系统加固、数据库加固服务，全面的安全加固，提升系统整体安全性。</w:t>
            </w:r>
            <w:r>
              <w:rPr>
                <w:color w:val="auto"/>
                <w:highlight w:val="none"/>
              </w:rPr>
            </w:r>
            <w:r>
              <w:rPr>
                <w:color w:val="auto"/>
                <w:highlight w:val="none"/>
              </w:rPr>
            </w:r>
          </w:p>
        </w:tc>
        <w:tc>
          <w:tcPr>
            <w:tcW w:w="58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4次/年</w:t>
            </w:r>
            <w:r>
              <w:rPr>
                <w:color w:val="auto"/>
                <w:highlight w:val="none"/>
              </w:rPr>
            </w:r>
            <w:r>
              <w:rPr>
                <w:color w:val="auto"/>
                <w:highlight w:val="none"/>
              </w:rPr>
            </w:r>
          </w:p>
        </w:tc>
        <w:tc>
          <w:tcPr>
            <w:tcW w:w="192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w:t>
            </w:r>
            <w:r>
              <w:rPr>
                <w:color w:val="auto"/>
                <w:highlight w:val="none"/>
              </w:rPr>
            </w:r>
            <w:r>
              <w:rPr>
                <w:color w:val="auto"/>
                <w:highlight w:val="none"/>
              </w:rPr>
            </w:r>
          </w:p>
        </w:tc>
      </w:tr>
      <w:tr>
        <w:trPr/>
        <w:tc>
          <w:tcPr>
            <w:tcW w:w="989"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5</w:t>
            </w:r>
            <w:r>
              <w:rPr>
                <w:color w:val="auto"/>
                <w:highlight w:val="none"/>
              </w:rPr>
            </w:r>
            <w:r>
              <w:rPr>
                <w:color w:val="auto"/>
                <w:highlight w:val="none"/>
              </w:rPr>
            </w:r>
          </w:p>
        </w:tc>
        <w:tc>
          <w:tcPr>
            <w:tcW w:w="103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安全咨询服务</w:t>
            </w:r>
            <w:r>
              <w:rPr>
                <w:color w:val="auto"/>
                <w:highlight w:val="none"/>
              </w:rPr>
            </w:r>
            <w:r>
              <w:rPr>
                <w:color w:val="auto"/>
                <w:highlight w:val="none"/>
              </w:rPr>
            </w:r>
          </w:p>
        </w:tc>
        <w:tc>
          <w:tcPr>
            <w:tcW w:w="5108"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协助用户网络安全工作正常开展；提供信息安全规划、方针、策略和管理制度体系咨询服务，为信息系统安全整改和加固提供咨询和技术服务。</w:t>
            </w:r>
            <w:r>
              <w:rPr>
                <w:color w:val="auto"/>
                <w:highlight w:val="none"/>
              </w:rPr>
            </w:r>
            <w:r>
              <w:rPr>
                <w:color w:val="auto"/>
                <w:highlight w:val="none"/>
              </w:rPr>
            </w:r>
          </w:p>
        </w:tc>
        <w:tc>
          <w:tcPr>
            <w:tcW w:w="58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1次</w:t>
            </w:r>
            <w:r>
              <w:rPr>
                <w:color w:val="auto"/>
                <w:highlight w:val="none"/>
              </w:rPr>
            </w:r>
            <w:r>
              <w:rPr>
                <w:color w:val="auto"/>
                <w:highlight w:val="none"/>
              </w:rPr>
            </w:r>
          </w:p>
        </w:tc>
        <w:tc>
          <w:tcPr>
            <w:tcW w:w="192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提供安全建设建议报告1份</w:t>
            </w:r>
            <w:r>
              <w:rPr>
                <w:color w:val="auto"/>
                <w:highlight w:val="none"/>
              </w:rPr>
            </w:r>
            <w:r>
              <w:rPr>
                <w:color w:val="auto"/>
                <w:highlight w:val="none"/>
              </w:rPr>
            </w:r>
          </w:p>
        </w:tc>
      </w:tr>
      <w:tr>
        <w:trPr/>
        <w:tc>
          <w:tcPr>
            <w:tcW w:w="989"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6</w:t>
            </w:r>
            <w:r>
              <w:rPr>
                <w:color w:val="auto"/>
                <w:highlight w:val="none"/>
              </w:rPr>
            </w:r>
            <w:r>
              <w:rPr>
                <w:color w:val="auto"/>
                <w:highlight w:val="none"/>
              </w:rPr>
            </w:r>
          </w:p>
        </w:tc>
        <w:tc>
          <w:tcPr>
            <w:tcW w:w="103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应急响应服务</w:t>
            </w:r>
            <w:r>
              <w:rPr>
                <w:color w:val="auto"/>
                <w:highlight w:val="none"/>
              </w:rPr>
            </w:r>
            <w:r>
              <w:rPr>
                <w:color w:val="auto"/>
                <w:highlight w:val="none"/>
              </w:rPr>
            </w:r>
          </w:p>
        </w:tc>
        <w:tc>
          <w:tcPr>
            <w:tcW w:w="5108"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当发生病毒传播、黑客攻击、网络入侵和安全故障等安全威胁事件后，迅速采取措施和行动，快速恢复系统的保密性、完整性和可用性，阻止和降低安全威胁事件带来的严重性影响。</w:t>
            </w:r>
            <w:r>
              <w:rPr>
                <w:color w:val="auto"/>
                <w:highlight w:val="none"/>
              </w:rPr>
            </w:r>
            <w:r>
              <w:rPr>
                <w:color w:val="auto"/>
                <w:highlight w:val="none"/>
              </w:rPr>
            </w:r>
          </w:p>
        </w:tc>
        <w:tc>
          <w:tcPr>
            <w:tcW w:w="58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4次/年</w:t>
            </w:r>
            <w:r>
              <w:rPr>
                <w:color w:val="auto"/>
                <w:highlight w:val="none"/>
              </w:rPr>
            </w:r>
            <w:r>
              <w:rPr>
                <w:color w:val="auto"/>
                <w:highlight w:val="none"/>
              </w:rPr>
            </w:r>
          </w:p>
        </w:tc>
        <w:tc>
          <w:tcPr>
            <w:tcW w:w="192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每年不少于4次应急响应，并根据实际情况出具安全事件处置及分析报告</w:t>
            </w:r>
            <w:r>
              <w:rPr>
                <w:color w:val="auto"/>
                <w:highlight w:val="none"/>
              </w:rPr>
            </w:r>
            <w:r>
              <w:rPr>
                <w:color w:val="auto"/>
                <w:highlight w:val="none"/>
              </w:rPr>
            </w:r>
          </w:p>
        </w:tc>
      </w:tr>
      <w:tr>
        <w:trPr/>
        <w:tc>
          <w:tcPr>
            <w:tcW w:w="989"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7</w:t>
            </w:r>
            <w:r>
              <w:rPr>
                <w:color w:val="auto"/>
                <w:highlight w:val="none"/>
              </w:rPr>
            </w:r>
            <w:r>
              <w:rPr>
                <w:color w:val="auto"/>
                <w:highlight w:val="none"/>
              </w:rPr>
            </w:r>
          </w:p>
        </w:tc>
        <w:tc>
          <w:tcPr>
            <w:tcW w:w="103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应急演练</w:t>
            </w:r>
            <w:r>
              <w:rPr>
                <w:color w:val="auto"/>
                <w:highlight w:val="none"/>
              </w:rPr>
            </w:r>
            <w:r>
              <w:rPr>
                <w:color w:val="auto"/>
                <w:highlight w:val="none"/>
              </w:rPr>
            </w:r>
          </w:p>
        </w:tc>
        <w:tc>
          <w:tcPr>
            <w:tcW w:w="5108"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为增强用户单位人员的安全意识，定期对信息网开展安全应急演练，提高应对网络安全突发事件的组织指挥能力和应急处置能力。</w:t>
            </w:r>
            <w:r>
              <w:rPr>
                <w:color w:val="auto"/>
                <w:highlight w:val="none"/>
              </w:rPr>
            </w:r>
            <w:r>
              <w:rPr>
                <w:color w:val="auto"/>
                <w:highlight w:val="none"/>
              </w:rPr>
            </w:r>
          </w:p>
        </w:tc>
        <w:tc>
          <w:tcPr>
            <w:tcW w:w="58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4次/年</w:t>
            </w:r>
            <w:r>
              <w:rPr>
                <w:color w:val="auto"/>
                <w:highlight w:val="none"/>
              </w:rPr>
            </w:r>
            <w:r>
              <w:rPr>
                <w:color w:val="auto"/>
                <w:highlight w:val="none"/>
              </w:rPr>
            </w:r>
          </w:p>
        </w:tc>
        <w:tc>
          <w:tcPr>
            <w:tcW w:w="192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每年不少于4次应急演练，提供四次应急演练报告</w:t>
            </w:r>
            <w:r>
              <w:rPr>
                <w:color w:val="auto"/>
                <w:highlight w:val="none"/>
              </w:rPr>
            </w:r>
            <w:r>
              <w:rPr>
                <w:color w:val="auto"/>
                <w:highlight w:val="none"/>
              </w:rPr>
            </w:r>
          </w:p>
        </w:tc>
      </w:tr>
      <w:tr>
        <w:trPr/>
        <w:tc>
          <w:tcPr>
            <w:tcW w:w="989"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8</w:t>
            </w:r>
            <w:r>
              <w:rPr>
                <w:color w:val="auto"/>
                <w:highlight w:val="none"/>
              </w:rPr>
            </w:r>
            <w:r>
              <w:rPr>
                <w:color w:val="auto"/>
                <w:highlight w:val="none"/>
              </w:rPr>
            </w:r>
          </w:p>
        </w:tc>
        <w:tc>
          <w:tcPr>
            <w:tcW w:w="103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安全迎检协助</w:t>
            </w:r>
            <w:r>
              <w:rPr>
                <w:color w:val="auto"/>
                <w:highlight w:val="none"/>
              </w:rPr>
            </w:r>
            <w:r>
              <w:rPr>
                <w:color w:val="auto"/>
                <w:highlight w:val="none"/>
              </w:rPr>
            </w:r>
          </w:p>
        </w:tc>
        <w:tc>
          <w:tcPr>
            <w:tcW w:w="5108"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针对上级或其他单位组织的网络安全专项工作检查，协助进行网络和数据安全检查，排查安全风险隐患，做好安全保障工作。</w:t>
            </w:r>
            <w:r>
              <w:rPr>
                <w:color w:val="auto"/>
                <w:highlight w:val="none"/>
              </w:rPr>
            </w:r>
            <w:r>
              <w:rPr>
                <w:color w:val="auto"/>
                <w:highlight w:val="none"/>
              </w:rPr>
            </w:r>
          </w:p>
        </w:tc>
        <w:tc>
          <w:tcPr>
            <w:tcW w:w="58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2次/年</w:t>
            </w:r>
            <w:r>
              <w:rPr>
                <w:color w:val="auto"/>
                <w:highlight w:val="none"/>
              </w:rPr>
            </w:r>
            <w:r>
              <w:rPr>
                <w:color w:val="auto"/>
                <w:highlight w:val="none"/>
              </w:rPr>
            </w:r>
          </w:p>
        </w:tc>
        <w:tc>
          <w:tcPr>
            <w:tcW w:w="1920"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r>
            <w:r>
              <w:rPr>
                <w:color w:val="auto"/>
                <w:highlight w:val="none"/>
              </w:rPr>
            </w:r>
            <w:r>
              <w:rPr>
                <w:color w:val="auto"/>
                <w:highlight w:val="none"/>
              </w:rPr>
            </w:r>
          </w:p>
        </w:tc>
      </w:tr>
      <w:tr>
        <w:trPr/>
        <w:tc>
          <w:tcPr>
            <w:tcW w:w="989"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9</w:t>
            </w:r>
            <w:r>
              <w:rPr>
                <w:color w:val="auto"/>
                <w:highlight w:val="none"/>
              </w:rPr>
            </w:r>
            <w:r>
              <w:rPr>
                <w:color w:val="auto"/>
                <w:highlight w:val="none"/>
              </w:rPr>
            </w:r>
          </w:p>
        </w:tc>
        <w:tc>
          <w:tcPr>
            <w:tcW w:w="103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网络安全意识教育培训</w:t>
            </w:r>
            <w:r>
              <w:rPr>
                <w:color w:val="auto"/>
                <w:highlight w:val="none"/>
              </w:rPr>
            </w:r>
            <w:r>
              <w:rPr>
                <w:color w:val="auto"/>
                <w:highlight w:val="none"/>
              </w:rPr>
            </w:r>
          </w:p>
        </w:tc>
        <w:tc>
          <w:tcPr>
            <w:tcW w:w="5108"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基于对网络安全产品和丰富的安全运维服务经验，提供2次全面深入的信息安全知识或技术方面培训，每次不低于2课时。 </w:t>
            </w:r>
            <w:r>
              <w:rPr>
                <w:color w:val="auto"/>
                <w:highlight w:val="none"/>
              </w:rPr>
            </w:r>
            <w:r>
              <w:rPr>
                <w:color w:val="auto"/>
                <w:highlight w:val="none"/>
              </w:rPr>
            </w:r>
          </w:p>
        </w:tc>
        <w:tc>
          <w:tcPr>
            <w:tcW w:w="58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2次</w:t>
            </w:r>
            <w:r>
              <w:rPr>
                <w:color w:val="auto"/>
                <w:highlight w:val="none"/>
              </w:rPr>
            </w:r>
            <w:r>
              <w:rPr>
                <w:color w:val="auto"/>
                <w:highlight w:val="none"/>
              </w:rPr>
            </w:r>
          </w:p>
        </w:tc>
        <w:tc>
          <w:tcPr>
            <w:tcW w:w="192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不少于4课时</w:t>
            </w:r>
            <w:r>
              <w:rPr>
                <w:color w:val="auto"/>
                <w:highlight w:val="none"/>
              </w:rPr>
            </w:r>
            <w:r>
              <w:rPr>
                <w:color w:val="auto"/>
                <w:highlight w:val="none"/>
              </w:rPr>
            </w:r>
          </w:p>
        </w:tc>
      </w:tr>
    </w:tbl>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1）网络安全资产梳理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随着互联网+的快速发展，组织越来越多的信息系统需要对互联网提供服务。而在组织安全中，互联网入口的数量增加无疑大大提升了组织在互联网上暴露的可打击面积。现在，发现、管理组织互联网边界已成为信息安全的刚性需求。</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基于网络扫描、搜索引擎、互联网基础数据引擎主动探测组织用户在互联网上暴露的资产，可以形成明确的资产清单。帮助组织用户发现自己的未知资产。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互联网资产发现是利用互联网安全大数据进行组织互联网资产梳理与暴露面筛查的服务。该服务通过数据挖掘和调研的方式确定单位资产范围，之后进行主动精准探测深度发现单位暴露在外的IT设备、端口以及应用服务，并由安全专家对每个业务梳理分析，结合业务特点对资产重要程度、业务安全需求进行归纳，最终针对性的形成组织用户的资产画像，精准探测单位互联网暴露面。</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中标单位提供的服务可以针对所有需要发现确认的业务系统输出互联网资产发现报告，该报告内容是通过互联网发现后与组织用户确认后的真实资产。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2）漏洞扫描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无锡市生态环境局运行的办公终端、服务器、数据库、中间件、网络设备、网站及应用系统，可能存在硬件、软件、协议的具体实现或系统安全策略上的缺陷，这些缺陷可能被攻击者所利用从而产生不利影响，这些缺陷就是安全漏洞。</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中标单位提供的服务可以通过安全漏洞扫描评估，及时发现服务器、应用系统等设备中存在的安全漏洞，指导运维人员进行修复和加固。</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3）安全渗透测试</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渗透测试</w:t>
      </w:r>
      <w:bookmarkStart w:id="202" w:name="OLE_LINK21"/>
      <w:r>
        <w:rPr>
          <w:color w:val="auto"/>
          <w:highlight w:val="none"/>
        </w:rPr>
      </w:r>
      <w:bookmarkStart w:id="203" w:name="OLE_LINK22"/>
      <w:r>
        <w:rPr>
          <w:rFonts w:hint="eastAsia" w:ascii="宋体" w:hAnsi="宋体"/>
          <w:color w:val="auto"/>
          <w:sz w:val="24"/>
          <w:szCs w:val="24"/>
          <w:highlight w:val="none"/>
        </w:rPr>
        <w:t xml:space="preserve">采用各种手段模拟真实的安全攻击</w:t>
      </w:r>
      <w:bookmarkEnd w:id="202"/>
      <w:r>
        <w:rPr>
          <w:color w:val="auto"/>
          <w:highlight w:val="none"/>
        </w:rPr>
      </w:r>
      <w:bookmarkEnd w:id="203"/>
      <w:r>
        <w:rPr>
          <w:rFonts w:hint="eastAsia" w:ascii="宋体" w:hAnsi="宋体"/>
          <w:color w:val="auto"/>
          <w:sz w:val="24"/>
          <w:szCs w:val="24"/>
          <w:highlight w:val="none"/>
        </w:rPr>
        <w:t xml:space="preserve">，从而发现黑客入侵信息系统的潜在可能途径。渗透测试工作以人工渗透为主，辅助以攻击工具的使用。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主要的渗透测试方法包括：</w:t>
      </w:r>
      <w:bookmarkStart w:id="204" w:name="OLE_LINK23"/>
      <w:r>
        <w:rPr>
          <w:rFonts w:hint="eastAsia" w:ascii="宋体" w:hAnsi="宋体"/>
          <w:color w:val="auto"/>
          <w:sz w:val="24"/>
          <w:szCs w:val="24"/>
          <w:highlight w:val="none"/>
        </w:rPr>
        <w:t xml:space="preserve">信息收集、端口扫描、远程溢出、口令猜测、本地溢出、单位用户端攻击、中间人攻击、web脚本渗透、B/S或C/S应用程序测试、社会工程等</w:t>
      </w:r>
      <w:bookmarkEnd w:id="204"/>
      <w:r>
        <w:rPr>
          <w:rFonts w:hint="eastAsia" w:ascii="宋体" w:hAnsi="宋体"/>
          <w:color w:val="auto"/>
          <w:sz w:val="24"/>
          <w:szCs w:val="24"/>
          <w:highlight w:val="none"/>
        </w:rPr>
        <w:t xml:space="preserve">。</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中标单位提供的服务可以针对所有渗透测试系统输出渗透测试报告描述其发现的问题并给出相应的解决方案。</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4）应急响应服务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为单位用户提供安全事件应急响应和处置服务，在发生信息破坏事件（篡改、泄露、窃取、丢失等）、大规模病毒事件、网站漏洞事件等信息安全事件时，提供应急响应专家协助处置。</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中标单位提供的服务可以使安全事件处置完成，系统得到恢复。找到安全事件发生原因并提供安全解决方案。提供交付物为《系统（事件）应急响应报告》，得到用户相关负责人的书面确认。</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应急响应服务现场实施需要用户相关接口人提供现场实施环境，包括：办公环境、网络接入环境、网络/安全设备访问权限等。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应急响应部分工作需要相关接口人提供事件相关日志，包括：系统访问日志、系统操作日志、应用日志等。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应急响应过程中可能涉及系统配置更改、系统敏感操作，中标单位将提供操作建议由相关系统负责人确认执行。</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5）信息安全风险评估</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为单位用户提供安全事件应急响应和处置服务，在发生信息破坏事件（篡改、泄露、窃取、丢失等）、大规模病毒事件、网站漏洞事件等信息安全事件时，提供应急响应专家协助处置。</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中标单位提供的服务可以使安全事件处置完成，系统得到恢复。找到安全事件发生原因并提供安全解决方案。提供交付物为《系统（事件）应急响应报告》，得到用户相关负责人的书面确认。</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应急响应服务现场实施需要用户相关接口人提供现场实施环境，包括：办公环境、网络接入环境、网络/安全设备访问权限等。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应急响应部分工作需要相关接口人提供事件相关日志，包括：系统访问日志、系统操作日志、应用日志等。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应急响应过程中可能涉及系统配置更改、系统敏感操作，中标单位将提供操作建议由相关系统负责人确认执行。</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6）安全加固</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根据安全检测服务结果，提供一年4次的网站源代码加固辅导、服务器系统加固、数据库加固服务，全面的安全加固，提升系统整体安全性。</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web源代码安全加固建议</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网站提供通过对源代码层级的加固建议，可有效防范危险字符提交、权限绕过、允许上传、远程包含等漏洞，并可以有效修复如SQL注入漏洞、XSS跨站漏洞、恶意代码上传漏洞、Cookie注入漏洞及网页Webshell等类型漏洞。</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系统加固</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解决在检测中发现的系统的安全问题，包括系统的进程、服务的开放性及安全研究机构发现的系统问题等，提高系统的整体安全性能。同时也包括防病毒的加强、系统安全策略的加强等。</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数据库安全性加固建议</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协助修复数据库系统本身存在的安全漏洞、纠正数据库系统使用中构成安全威胁的错误策略、加强数据库系统账号、权限等带有安全风险的配置，从整体上提升数据库系统的安全性。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7）应急演练</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网络安全应急演练有多种形式，一般通过组织应急演练参演团队，通常分为攻击方、防守方和监管方（按需），以安全事件攻击、发现与应急响应处置为场景开展应急演练工作，而演练形式一般包括小规模桌面推演、中等规模搭建测试环境参观演练、大型规模采取录播/直播参观演练形式展现。</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网络安全应急演练解决方案依托丰富的应急演练经验，覆盖演练准备工作、演练环境搭建、演练剧本编写、演练彩排工作、正式演练大会、应急演练总结等各个阶段，帮助各组织单位实现全面有效的应急演练。</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（8）网络安全意识教育培训</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提供一年两次，每次不少于2小时的培训服务。安全意识培训是针对信息系统的所有合法用户进行的，目的是使其了解信息安全的基本常识、信息安全的重要性以及个人对信息安全应负的责任，确保其在工作中自觉地遵守相关安全制度，维护信息系统安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1）根据信息系统的特定安全要求，制订具有针对性的安全教育内容，确保所有人员在被授权访问信息系统之前已进行了基本的信息安全教育。</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2）通过安全教育活动，相关人员应具备基本的信息安全意识，了解信息安全常识、熟悉信息系统使用规范、安全职责和惩戒措施等。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运维服务交付成果</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互联网资产发现报告</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漏洞扫描服务技术方案</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漏洞扫描分析报告</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漏洞扫描复测处置报告</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渗透测试报告</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系统（事件）应急响应报告</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应急演练剧本</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应急演练方案</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应急演练总结报告</w:t>
      </w:r>
      <w:r>
        <w:rPr>
          <w:color w:val="auto"/>
          <w:highlight w:val="none"/>
        </w:rPr>
      </w:r>
      <w:r>
        <w:rPr>
          <w:color w:val="auto"/>
          <w:highlight w:val="none"/>
        </w:rPr>
      </w:r>
    </w:p>
    <w:p>
      <w:pPr>
        <w:pStyle w:val="808"/>
        <w:ind w:left="178" w:firstLine="480"/>
        <w:jc w:val="left"/>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3.1.16  </w:t>
      </w:r>
      <w:r>
        <w:rPr>
          <w:rFonts w:hint="eastAsia" w:ascii="宋体" w:hAnsi="宋体"/>
          <w:b/>
          <w:color w:val="auto"/>
          <w:sz w:val="24"/>
          <w:szCs w:val="24"/>
          <w:highlight w:val="none"/>
        </w:rPr>
        <w:t xml:space="preserve">增量数据应用服务</w:t>
      </w:r>
      <w:r>
        <w:rPr>
          <w:color w:val="auto"/>
          <w:highlight w:val="none"/>
        </w:rPr>
      </w:r>
      <w:r>
        <w:rPr>
          <w:color w:val="auto"/>
          <w:highlight w:val="none"/>
        </w:rPr>
      </w:r>
    </w:p>
    <w:p>
      <w:pPr>
        <w:pStyle w:val="808"/>
        <w:numPr>
          <w:ilvl w:val="0"/>
          <w:numId w:val="43"/>
        </w:numPr>
        <w:ind w:left="8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运维服务标准与要求</w:t>
      </w:r>
      <w:r>
        <w:rPr>
          <w:color w:val="auto"/>
          <w:highlight w:val="none"/>
        </w:rPr>
      </w:r>
      <w:r>
        <w:rPr>
          <w:color w:val="auto"/>
          <w:highlight w:val="none"/>
        </w:rPr>
      </w:r>
    </w:p>
    <w:p>
      <w:pPr>
        <w:pStyle w:val="808"/>
        <w:ind w:left="178"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根据用户业务需求，完成数据增量应用服务，服务内容包含但不限于临时委派任务的数据支持服务、数据综合分析服务、业主需要的数据整理分析服务、各类突发环境状况的数据支持及应对任务。</w:t>
      </w:r>
      <w:r>
        <w:rPr>
          <w:color w:val="auto"/>
          <w:highlight w:val="none"/>
        </w:rPr>
      </w:r>
      <w:r>
        <w:rPr>
          <w:color w:val="auto"/>
          <w:highlight w:val="none"/>
        </w:rPr>
      </w:r>
    </w:p>
    <w:p>
      <w:pPr>
        <w:pStyle w:val="808"/>
        <w:numPr>
          <w:ilvl w:val="0"/>
          <w:numId w:val="43"/>
        </w:numPr>
        <w:ind w:left="8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运维服务内容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1）服务内容</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临时委派任务的数据支持服务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根据用户业务需求，及时完成用户临时委派的数据支持任务。</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支撑平台组织架构体系维护服务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根据用户业务需求，调整组织架构，包括部门的划分、角色的明确、人员的人调配等；同时定期对支撑平台组织架构进行检查和维护，及时解决用户出现的问题。</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支撑平台消息中心改造及维护服务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对支撑平台消息中心现有功能进行优化，提高效率和用户体验；保障消息中心稳定运行，包括监控系统性能、及时响应故障、备份重要数据和制定应急恢复计划等措施。</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数据综合分析服务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收集生态环境相关的各类数据，如气候要素、生物多样性、污染排放等，并将这些数据进行整合，形成统一的数据集；对收集到的数据进行清洗、标准化和质量控制，确保数据的准确性和一致性；利用统计学、数据科学和生态模型等方法对数据进行深入分析，以揭示生态系统的状态、趋势和潜在的环境问题;将分析结果通过图表、地图和其他可视化手段呈现出来，使决策者和公众能够直观理解环境状况。同时，编写分析报告，为政策制定和环境管理提供科学依据。</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其他</w:t>
      </w:r>
      <w:bookmarkStart w:id="205" w:name="_Hlk160465480"/>
      <w:r>
        <w:rPr>
          <w:rFonts w:hint="eastAsia" w:ascii="宋体" w:hAnsi="宋体"/>
          <w:color w:val="auto"/>
          <w:sz w:val="24"/>
          <w:szCs w:val="24"/>
          <w:highlight w:val="none"/>
        </w:rPr>
        <w:t xml:space="preserve">业主需要的数据整理分析服务</w:t>
      </w:r>
      <w:bookmarkEnd w:id="205"/>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根据用户需求，提供基于生态环境相关数据的数据整理和分析服务。</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各类突发环境状况的数据支持及应对任务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根据用户需求，协助用户处理各类突发环境状况，提供数据支持，同时开展相应的应对任务。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2）提供方式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驻场+远程，7*24。</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3）交付成果</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根据用户需求，出具各类数据清单和任务报告。</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3.2  </w:t>
      </w:r>
      <w:r>
        <w:rPr>
          <w:rFonts w:hint="eastAsia" w:ascii="宋体" w:hAnsi="宋体"/>
          <w:b/>
          <w:color w:val="auto"/>
          <w:sz w:val="24"/>
          <w:szCs w:val="24"/>
          <w:highlight w:val="none"/>
        </w:rPr>
        <w:t xml:space="preserve">数据资源运维服务</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3.2.1  </w:t>
      </w:r>
      <w:r>
        <w:rPr>
          <w:rFonts w:hint="eastAsia" w:ascii="宋体" w:hAnsi="宋体"/>
          <w:b/>
          <w:color w:val="auto"/>
          <w:sz w:val="24"/>
          <w:szCs w:val="24"/>
          <w:highlight w:val="none"/>
        </w:rPr>
        <w:t xml:space="preserve">“感知环境、智慧环保”无锡环境监控物联网应用示范工程数据资源运维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数据资源日常维护</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维护时间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工作日上午</w:t>
      </w:r>
      <w:r>
        <w:rPr>
          <w:rFonts w:ascii="宋体" w:hAnsi="宋体"/>
          <w:color w:val="auto"/>
          <w:sz w:val="24"/>
          <w:szCs w:val="24"/>
          <w:highlight w:val="none"/>
        </w:rPr>
        <w:t xml:space="preserve">9点和下午5点；非工作日下午5点。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维护要求</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1）数据完整性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确保数据记录的完整性，避免数据丢失或损坏。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2）数据准确性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保证数据记录的准确性和一致性，包括数据格式、标准和规范的遵循。</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3）数据安全性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保护数据资源免受未经授权的访问、篡改或泄露。</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）数据可用性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确保数据资源能够及时、有效地被需要的用户或系统访问和利用。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）数据备份和恢复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定期备份数据，并确保能够进行快速和可靠的数据恢复。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维护方法</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数据资源维护方法如下：</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1）数据访问控制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实施适当的访问控制策略和权限管理，确保只有授权人员可以访问和操作数据资源。</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）数据备份和恢复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制定备份策略，定期备份数据，并进行测试以验证备份的完整性和可恢复性。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）数据质量管理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实施数据质量管理流程，包括数据清洗、验证、纠错和监测，以确保数据质量符合要求。</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）数据分类和标记</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对数据进行分类和标记，根据敏感性和重要性确定适当的保护级别和处理方法。</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）数据加密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对敏感数据进行加密，确保数据在存储和传输过程中的安全性。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）数据审计和监测</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建立数据审计和监测机制，追踪数据访问和操作，并及时发现异常行为。</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维护依据</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数据资源维护依据是</w:t>
      </w:r>
      <w:r>
        <w:rPr>
          <w:rFonts w:ascii="宋体" w:hAnsi="宋体"/>
          <w:color w:val="auto"/>
          <w:sz w:val="24"/>
          <w:szCs w:val="24"/>
          <w:highlight w:val="none"/>
        </w:rPr>
        <w:t xml:space="preserve">ISO27001信息安全管理标准。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维护范围及指标</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数据资源维护范围涉及</w:t>
      </w:r>
      <w:r>
        <w:rPr>
          <w:rFonts w:ascii="宋体" w:hAnsi="宋体"/>
          <w:color w:val="auto"/>
          <w:sz w:val="24"/>
          <w:szCs w:val="24"/>
          <w:highlight w:val="none"/>
        </w:rPr>
        <w:t xml:space="preserve">环境质量、预测预报、大气VOC、手动监测数据、污染防治攻坚战项目信息、移动执法、用电监控、工况监控、视频监控、综合采集、污染源自动监控、工地扬尘、港口粉尘、信访线索、固废数据、省厅下发数据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数据资源维护指标有：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数据准确率</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衡量数据集中准确数据的比例。</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数据一致性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衡量数据在不同系统或环境中的一致性。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缺失值比例</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衡量数据集中缺失值的比例。</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重复记录比例</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衡量数据集中重复记录的比例。</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异常值比例</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衡量数据集中异常值的比例。</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（6）考</w:t>
      </w:r>
      <w:r>
        <w:rPr>
          <w:rFonts w:ascii="宋体" w:hAnsi="宋体"/>
          <w:color w:val="auto"/>
          <w:sz w:val="24"/>
          <w:szCs w:val="24"/>
          <w:highlight w:val="none"/>
        </w:rPr>
        <w:t xml:space="preserve">核指标</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数据资源考核指标如下：</w:t>
      </w:r>
      <w:r>
        <w:rPr>
          <w:color w:val="auto"/>
          <w:highlight w:val="none"/>
        </w:rPr>
      </w:r>
      <w:r>
        <w:rPr>
          <w:color w:val="auto"/>
          <w:highlight w:val="none"/>
        </w:rP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5"/>
        <w:gridCol w:w="5655"/>
        <w:gridCol w:w="1429"/>
      </w:tblGrid>
      <w:tr>
        <w:trPr/>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序号</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说明</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目标值</w:t>
            </w:r>
            <w:r>
              <w:rPr>
                <w:color w:val="auto"/>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数据准确率</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pStyle w:val="808"/>
              <w:ind w:firstLine="480"/>
              <w:jc w:val="center"/>
              <w:rPr>
                <w:rFonts w:ascii="宋体" w:hAnsi="宋体"/>
                <w:color w:val="auto"/>
                <w:sz w:val="18"/>
                <w:szCs w:val="18"/>
                <w:highlight w:val="none"/>
              </w:rPr>
            </w:pPr>
            <w:r>
              <w:rPr>
                <w:rFonts w:hint="eastAsia" w:ascii="宋体" w:hAnsi="宋体"/>
                <w:color w:val="auto"/>
                <w:sz w:val="18"/>
                <w:szCs w:val="18"/>
                <w:highlight w:val="none"/>
              </w:rPr>
              <w:t xml:space="preserve">衡量数据集中准确数据的比例</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808"/>
              <w:ind w:firstLine="199"/>
              <w:rPr>
                <w:rFonts w:ascii="宋体" w:hAnsi="宋体"/>
                <w:color w:val="auto"/>
                <w:sz w:val="18"/>
                <w:szCs w:val="18"/>
                <w:highlight w:val="none"/>
              </w:rPr>
            </w:pPr>
            <w:r>
              <w:rPr>
                <w:rFonts w:hint="eastAsia" w:ascii="宋体" w:hAnsi="宋体"/>
                <w:color w:val="auto"/>
                <w:sz w:val="18"/>
                <w:szCs w:val="18"/>
                <w:highlight w:val="none"/>
              </w:rPr>
              <w:t xml:space="preserve">&gt;99%</w:t>
            </w:r>
            <w:r>
              <w:rPr>
                <w:color w:val="auto"/>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数据一致性</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衡量数据在不同系统或环境中的一致性</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&gt;99%</w:t>
            </w:r>
            <w:r>
              <w:rPr>
                <w:color w:val="auto"/>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缺失值比例</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衡量数据集中缺失值的比例</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&lt;1%</w:t>
            </w:r>
            <w:r>
              <w:rPr>
                <w:color w:val="auto"/>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重复记录比例</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衡量数据集中重复记录的比例</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&lt;1%</w:t>
            </w:r>
            <w:r>
              <w:rPr>
                <w:color w:val="auto"/>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异常值比例</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衡量数据集中异常值的比例</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&lt;1%</w:t>
            </w:r>
            <w:r>
              <w:rPr>
                <w:color w:val="auto"/>
                <w:highlight w:val="none"/>
              </w:rPr>
            </w:r>
            <w:r>
              <w:rPr>
                <w:color w:val="auto"/>
                <w:highlight w:val="none"/>
              </w:rPr>
            </w:r>
          </w:p>
        </w:tc>
      </w:tr>
    </w:tbl>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数据备份和恢复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数据备份和恢复是保证数据安全和可靠性的关键措施，包括备份策略、备份周期、备份介质、备份恢复测试等内容。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（8）</w:t>
      </w:r>
      <w:r>
        <w:rPr>
          <w:rFonts w:ascii="宋体" w:hAnsi="宋体"/>
          <w:color w:val="auto"/>
          <w:sz w:val="24"/>
          <w:szCs w:val="24"/>
          <w:highlight w:val="none"/>
        </w:rPr>
        <w:t xml:space="preserve">数据质量管理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数据质量管理是保障数据准确性和完整性的关键措施，包括数据清洗、数据校验、数据标准化等工作。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数据库日常维护</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数据库管理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数据库是数据资源的核心，包括数据库的安装、配置、备份、恢复和优化等工作。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数据库性能优化</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数据库性能优化是提高数据访问效率和响应速度的关键措施，包括索引优化、查询优化、硬件优化等方面。</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常用的数据库性能优化工作如下：</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硬件优化</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包括CPU、内存、磁盘、网络等硬件设备的优化，例如增加内存、使用高速磁盘、优化网络带宽等。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2）数据库设计优化</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包括表结构设计、索引设计、查询优化等，例如规范化表结构、建立合适的索引、避免使用复杂的查询语句等。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3）SQL语句优化</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包括优化查询语句、使用存储过程等，例如避免使用SELECT *查询、使用BETWEEN代替IN等。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4）数据库参数优化</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包括数据库参数的调整、缓存设置等，例如调整缓存大小、优化日志设置等。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5）数据库日志优化</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包括事务日志、错误日志、慢查询日志等，例如定期清理日志、设置合适的日志级别等。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6）数据库备份和恢复优化</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包括备份策略、恢复策略等，例如定期备份数据库、测试备份恢复过程等。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数据库安全管理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数据库安全管理是保障数据安全的关键措施，包括用户权限管理、数据加密、审计跟踪等方面。</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数据库安全管理主要包括以下内容：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1）访问控制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通过用户认证和授权机制，限制用户对数据库的访问权限，确保只有授权用户才能访问数据库，防止未经授权访问和恶意攻击。</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2）数据加密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对数据库中的敏感数据进行加密，保护数据的机密性，防止数据泄露和非法篡改。</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3）审计日志</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记录数据库的操作日志，包括登录、查询、修改、删除等操作，以便进行安全审计和追踪，发现和防范安全事件和威胁。</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4）备份和恢复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建立完备的数据库备份和恢复机制，以便在发生数据丢失、损坏或其他安全事件时能够及时恢复数据库。</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5）强密码策略</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采用强密码策略，要求用户使用复杂、随机的密码，并定期更换密码，以提高密码的安全性。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6）安全审计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定期对数据库进行安全审计，检查数据库的安全性和完整性，发现和修复安全漏洞和风险。</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7）数据备份和恢复测试</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定期进行数据备份和恢复测试，以确保备份和恢复机制的有效性和可靠性。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数据库监控和诊断</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数据库监控和诊断是实时监控数据库状态和解决问题的关键措施，包括监控指标、监控工具、告警策略等工作。</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数据库升级和迁移</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数据库升级和迁移是保证数据资源不断更新和迁移的关键措施。数据库升级和迁移的内容如下：</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1）数据库版本升级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将现有的数据库系统升级到新版本，可以提高数据库的性能、安全性和功能，同时也可以修复已知的问题和漏洞。</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2）数据库平台迁移</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将数据库从一个平台迁移至另一个平台，可以提高数据库的稳定性和可靠性，同时也可以降低成本和维护难度。</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3）数据库结构升级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将数据库结构从一个版本升级到另一个版本，例如增加、删除或修改表、字段、索引等，可以满足业务需求和提高数据库的性能和可用性。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4）数据库数据迁移</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将现有的数据迁移到新的数据库系统中，例如从Oracle数据库迁移到MySQL数据库，可以保留现有业务数据，同时也可以利用新系统的优势。</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5）数据库应用程序升级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将现有的数据库应用程序升级到新版本，可以提高应用程序的性能、安全性和功能，同时也可以修复已知的问题和漏洞。</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3.2.2  </w:t>
      </w:r>
      <w:r>
        <w:rPr>
          <w:rFonts w:hint="eastAsia" w:ascii="宋体" w:hAnsi="宋体"/>
          <w:b/>
          <w:color w:val="auto"/>
          <w:sz w:val="24"/>
          <w:szCs w:val="24"/>
          <w:highlight w:val="none"/>
        </w:rPr>
        <w:t xml:space="preserve">无锡市重点污染源综合信息平台及排放过程（工况）监控系统项目运维</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针对考核的</w:t>
      </w:r>
      <w:r>
        <w:rPr>
          <w:rFonts w:hint="eastAsia" w:ascii="宋体" w:hAnsi="宋体"/>
          <w:color w:val="auto"/>
          <w:sz w:val="24"/>
          <w:szCs w:val="24"/>
          <w:highlight w:val="none"/>
        </w:rPr>
        <w:t xml:space="preserve">32</w:t>
      </w:r>
      <w:r>
        <w:rPr>
          <w:rFonts w:ascii="宋体" w:hAnsi="宋体"/>
          <w:color w:val="auto"/>
          <w:sz w:val="24"/>
          <w:szCs w:val="24"/>
          <w:highlight w:val="none"/>
        </w:rPr>
        <w:t xml:space="preserve">家国控重点污染源进行全维度数据监控分析，围绕各项考核任务及调度要求，提供数据实时发布服务，权威保障数据质量。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能够实现32家国控</w:t>
      </w:r>
      <w:r>
        <w:rPr>
          <w:rFonts w:ascii="宋体" w:hAnsi="宋体"/>
          <w:color w:val="auto"/>
          <w:sz w:val="24"/>
          <w:szCs w:val="24"/>
          <w:highlight w:val="none"/>
        </w:rPr>
        <w:t xml:space="preserve">重点污染源监测数据、数据标记、超标数据、异常数据等</w:t>
      </w:r>
      <w:r>
        <w:rPr>
          <w:rFonts w:hint="eastAsia" w:ascii="宋体" w:hAnsi="宋体"/>
          <w:color w:val="auto"/>
          <w:sz w:val="24"/>
          <w:szCs w:val="24"/>
          <w:highlight w:val="none"/>
        </w:rPr>
        <w:t xml:space="preserve">的实时对接，保证数据的同步和更新；配套专业的技术人员，能够快速有效的对各类数据进行结构化整合、</w:t>
      </w:r>
      <w:r>
        <w:rPr>
          <w:rFonts w:ascii="宋体" w:hAnsi="宋体"/>
          <w:color w:val="auto"/>
          <w:sz w:val="24"/>
          <w:szCs w:val="24"/>
          <w:highlight w:val="none"/>
        </w:rPr>
        <w:t xml:space="preserve">匹配</w:t>
      </w:r>
      <w:r>
        <w:rPr>
          <w:rFonts w:hint="eastAsia" w:ascii="宋体" w:hAnsi="宋体"/>
          <w:color w:val="auto"/>
          <w:sz w:val="24"/>
          <w:szCs w:val="24"/>
          <w:highlight w:val="none"/>
        </w:rPr>
        <w:t xml:space="preserve">，保证数据质量符合分析要求；具备</w:t>
      </w:r>
      <w:r>
        <w:rPr>
          <w:rFonts w:ascii="宋体" w:hAnsi="宋体"/>
          <w:color w:val="auto"/>
          <w:sz w:val="24"/>
          <w:szCs w:val="24"/>
          <w:highlight w:val="none"/>
        </w:rPr>
        <w:t xml:space="preserve">各类实时数据及异常问题的查看及分析</w:t>
      </w:r>
      <w:r>
        <w:rPr>
          <w:rFonts w:hint="eastAsia" w:ascii="宋体" w:hAnsi="宋体"/>
          <w:color w:val="auto"/>
          <w:sz w:val="24"/>
          <w:szCs w:val="24"/>
          <w:highlight w:val="none"/>
        </w:rPr>
        <w:t xml:space="preserve">功能；具备</w:t>
      </w:r>
      <w:r>
        <w:rPr>
          <w:rFonts w:ascii="宋体" w:hAnsi="宋体"/>
          <w:color w:val="auto"/>
          <w:sz w:val="24"/>
          <w:szCs w:val="24"/>
          <w:highlight w:val="none"/>
        </w:rPr>
        <w:t xml:space="preserve">异常问题的报表追溯分析，配套各类相关重要信息汇总展示</w:t>
      </w:r>
      <w:r>
        <w:rPr>
          <w:rFonts w:hint="eastAsia" w:ascii="宋体" w:hAnsi="宋体"/>
          <w:color w:val="auto"/>
          <w:sz w:val="24"/>
          <w:szCs w:val="24"/>
          <w:highlight w:val="none"/>
        </w:rPr>
        <w:t xml:space="preserve">；提供超标报表、恒值报表、排放量异常大表、排放量统计表、监测报警报表、企业联网率报表统计分析服务及白名单设置工作6项以上；能对于现场的运维工作进行信息化的管理，保障在线监控数据的稳定和有效用于执法管控。</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1、数据资源运维内容</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实现32家重点污染源提供超标报表、恒值报表、排放量异常报表、排放量统计表、监测报警报表、企业联网率报表汇总统计分析服务各类例行报表如下：</w:t>
      </w:r>
      <w:r>
        <w:rPr>
          <w:color w:val="auto"/>
          <w:highlight w:val="none"/>
        </w:rPr>
      </w:r>
      <w:r>
        <w:rPr>
          <w:color w:val="auto"/>
          <w:highlight w:val="none"/>
        </w:rP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2650"/>
        <w:gridCol w:w="5606"/>
      </w:tblGrid>
      <w:tr>
        <w:trPr>
          <w:trHeight w:val="260"/>
        </w:trPr>
        <w:tc>
          <w:tcPr>
            <w:tcW w:w="913" w:type="dxa"/>
            <w:vAlign w:val="center"/>
            <w:textDirection w:val="lrTb"/>
            <w:noWrap/>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序号</w:t>
            </w:r>
            <w:r>
              <w:rPr>
                <w:color w:val="auto"/>
                <w:highlight w:val="none"/>
              </w:rPr>
            </w:r>
            <w:r>
              <w:rPr>
                <w:color w:val="auto"/>
                <w:highlight w:val="none"/>
              </w:rPr>
            </w:r>
          </w:p>
        </w:tc>
        <w:tc>
          <w:tcPr>
            <w:tcW w:w="2650" w:type="dxa"/>
            <w:vAlign w:val="center"/>
            <w:textDirection w:val="lrTb"/>
            <w:noWrap/>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报表类别</w:t>
            </w:r>
            <w:r>
              <w:rPr>
                <w:color w:val="auto"/>
                <w:highlight w:val="none"/>
              </w:rPr>
            </w:r>
            <w:r>
              <w:rPr>
                <w:color w:val="auto"/>
                <w:highlight w:val="none"/>
              </w:rPr>
            </w:r>
          </w:p>
        </w:tc>
        <w:tc>
          <w:tcPr>
            <w:tcW w:w="5606" w:type="dxa"/>
            <w:vAlign w:val="center"/>
            <w:textDirection w:val="lrTb"/>
            <w:noWrap/>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报表名称</w:t>
            </w:r>
            <w:r>
              <w:rPr>
                <w:color w:val="auto"/>
                <w:highlight w:val="none"/>
              </w:rPr>
            </w:r>
            <w:r>
              <w:rPr>
                <w:color w:val="auto"/>
                <w:highlight w:val="none"/>
              </w:rPr>
            </w:r>
          </w:p>
        </w:tc>
      </w:tr>
      <w:tr>
        <w:trPr>
          <w:cantSplit/>
          <w:trHeight w:val="250"/>
        </w:trPr>
        <w:tc>
          <w:tcPr>
            <w:tcW w:w="913" w:type="dxa"/>
            <w:vAlign w:val="center"/>
            <w:vMerge w:val="restart"/>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1</w:t>
            </w:r>
            <w:r>
              <w:rPr>
                <w:color w:val="auto"/>
                <w:highlight w:val="none"/>
              </w:rPr>
            </w:r>
            <w:r>
              <w:rPr>
                <w:color w:val="auto"/>
                <w:highlight w:val="none"/>
              </w:rPr>
            </w:r>
          </w:p>
        </w:tc>
        <w:tc>
          <w:tcPr>
            <w:tcW w:w="2650" w:type="dxa"/>
            <w:vAlign w:val="center"/>
            <w:vMerge w:val="restart"/>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污染物排放超标报表</w:t>
            </w:r>
            <w:r>
              <w:rPr>
                <w:color w:val="auto"/>
                <w:highlight w:val="none"/>
              </w:rPr>
            </w:r>
            <w:r>
              <w:rPr>
                <w:color w:val="auto"/>
                <w:highlight w:val="none"/>
              </w:rPr>
            </w:r>
          </w:p>
        </w:tc>
        <w:tc>
          <w:tcPr>
            <w:tcW w:w="5606"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废水排放企业每周日超标记录</w:t>
            </w:r>
            <w:r>
              <w:rPr>
                <w:color w:val="auto"/>
                <w:highlight w:val="none"/>
              </w:rPr>
            </w:r>
            <w:r>
              <w:rPr>
                <w:color w:val="auto"/>
                <w:highlight w:val="none"/>
              </w:rPr>
            </w:r>
          </w:p>
        </w:tc>
      </w:tr>
      <w:tr>
        <w:trPr>
          <w:cantSplit/>
          <w:trHeight w:val="250"/>
        </w:trPr>
        <w:tc>
          <w:tcPr>
            <w:tcW w:w="913"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2650"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5606"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废气排放重点企业每日小时超标记录</w:t>
            </w:r>
            <w:r>
              <w:rPr>
                <w:color w:val="auto"/>
                <w:highlight w:val="none"/>
              </w:rPr>
            </w:r>
            <w:r>
              <w:rPr>
                <w:color w:val="auto"/>
                <w:highlight w:val="none"/>
              </w:rPr>
            </w:r>
          </w:p>
        </w:tc>
      </w:tr>
      <w:tr>
        <w:trPr>
          <w:cantSplit/>
          <w:trHeight w:val="250"/>
        </w:trPr>
        <w:tc>
          <w:tcPr>
            <w:tcW w:w="913"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2650"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5606"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废气排放重点企业每日累计3小时及以上超标记录</w:t>
            </w:r>
            <w:r>
              <w:rPr>
                <w:color w:val="auto"/>
                <w:highlight w:val="none"/>
              </w:rPr>
            </w:r>
            <w:r>
              <w:rPr>
                <w:color w:val="auto"/>
                <w:highlight w:val="none"/>
              </w:rPr>
            </w:r>
          </w:p>
        </w:tc>
      </w:tr>
      <w:tr>
        <w:trPr>
          <w:cantSplit/>
          <w:trHeight w:val="250"/>
        </w:trPr>
        <w:tc>
          <w:tcPr>
            <w:tcW w:w="913"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2650"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5606"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废气排放重点企业夜间超标记录</w:t>
            </w:r>
            <w:r>
              <w:rPr>
                <w:color w:val="auto"/>
                <w:highlight w:val="none"/>
              </w:rPr>
            </w:r>
            <w:r>
              <w:rPr>
                <w:color w:val="auto"/>
                <w:highlight w:val="none"/>
              </w:rPr>
            </w:r>
          </w:p>
        </w:tc>
      </w:tr>
      <w:tr>
        <w:trPr>
          <w:trHeight w:val="250"/>
        </w:trPr>
        <w:tc>
          <w:tcPr>
            <w:tcW w:w="913"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2</w:t>
            </w:r>
            <w:r>
              <w:rPr>
                <w:color w:val="auto"/>
                <w:highlight w:val="none"/>
              </w:rPr>
            </w:r>
            <w:r>
              <w:rPr>
                <w:color w:val="auto"/>
                <w:highlight w:val="none"/>
              </w:rPr>
            </w:r>
          </w:p>
        </w:tc>
        <w:tc>
          <w:tcPr>
            <w:tcW w:w="2650"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恒值报表</w:t>
            </w:r>
            <w:r>
              <w:rPr>
                <w:color w:val="auto"/>
                <w:highlight w:val="none"/>
              </w:rPr>
            </w:r>
            <w:r>
              <w:rPr>
                <w:color w:val="auto"/>
                <w:highlight w:val="none"/>
              </w:rPr>
            </w:r>
          </w:p>
        </w:tc>
        <w:tc>
          <w:tcPr>
            <w:tcW w:w="5606"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废水排放重点企业恒值记录</w:t>
            </w:r>
            <w:r>
              <w:rPr>
                <w:color w:val="auto"/>
                <w:highlight w:val="none"/>
              </w:rPr>
            </w:r>
            <w:r>
              <w:rPr>
                <w:color w:val="auto"/>
                <w:highlight w:val="none"/>
              </w:rPr>
            </w:r>
          </w:p>
        </w:tc>
      </w:tr>
      <w:tr>
        <w:trPr>
          <w:cantSplit/>
          <w:trHeight w:val="250"/>
        </w:trPr>
        <w:tc>
          <w:tcPr>
            <w:tcW w:w="913" w:type="dxa"/>
            <w:vAlign w:val="center"/>
            <w:vMerge w:val="restart"/>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3</w:t>
            </w:r>
            <w:r>
              <w:rPr>
                <w:color w:val="auto"/>
                <w:highlight w:val="none"/>
              </w:rPr>
            </w:r>
            <w:r>
              <w:rPr>
                <w:color w:val="auto"/>
                <w:highlight w:val="none"/>
              </w:rPr>
            </w:r>
          </w:p>
        </w:tc>
        <w:tc>
          <w:tcPr>
            <w:tcW w:w="2650" w:type="dxa"/>
            <w:vAlign w:val="center"/>
            <w:vMerge w:val="restart"/>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排放量异常报表</w:t>
            </w:r>
            <w:r>
              <w:rPr>
                <w:color w:val="auto"/>
                <w:highlight w:val="none"/>
              </w:rPr>
            </w:r>
            <w:r>
              <w:rPr>
                <w:color w:val="auto"/>
                <w:highlight w:val="none"/>
              </w:rPr>
            </w:r>
          </w:p>
        </w:tc>
        <w:tc>
          <w:tcPr>
            <w:tcW w:w="5606"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废气排放企业零值记录</w:t>
            </w:r>
            <w:r>
              <w:rPr>
                <w:color w:val="auto"/>
                <w:highlight w:val="none"/>
              </w:rPr>
            </w:r>
            <w:r>
              <w:rPr>
                <w:color w:val="auto"/>
                <w:highlight w:val="none"/>
              </w:rPr>
            </w:r>
          </w:p>
        </w:tc>
      </w:tr>
      <w:tr>
        <w:trPr>
          <w:cantSplit/>
          <w:trHeight w:val="250"/>
        </w:trPr>
        <w:tc>
          <w:tcPr>
            <w:tcW w:w="913"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2650"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5606"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废气排放企业负值记录</w:t>
            </w:r>
            <w:r>
              <w:rPr>
                <w:color w:val="auto"/>
                <w:highlight w:val="none"/>
              </w:rPr>
            </w:r>
            <w:r>
              <w:rPr>
                <w:color w:val="auto"/>
                <w:highlight w:val="none"/>
              </w:rPr>
            </w:r>
          </w:p>
        </w:tc>
      </w:tr>
      <w:tr>
        <w:trPr>
          <w:cantSplit/>
          <w:trHeight w:val="250"/>
        </w:trPr>
        <w:tc>
          <w:tcPr>
            <w:tcW w:w="913"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2650"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5606"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废气排放企业时长连续大于10小时及以上恒值记录</w:t>
            </w:r>
            <w:r>
              <w:rPr>
                <w:color w:val="auto"/>
                <w:highlight w:val="none"/>
              </w:rPr>
            </w:r>
            <w:r>
              <w:rPr>
                <w:color w:val="auto"/>
                <w:highlight w:val="none"/>
              </w:rPr>
            </w:r>
          </w:p>
        </w:tc>
      </w:tr>
      <w:tr>
        <w:trPr>
          <w:cantSplit/>
          <w:trHeight w:val="250"/>
        </w:trPr>
        <w:tc>
          <w:tcPr>
            <w:tcW w:w="913"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2650"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5606"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废气排放企业每周流量、浓度、排放量负值记录</w:t>
            </w:r>
            <w:r>
              <w:rPr>
                <w:color w:val="auto"/>
                <w:highlight w:val="none"/>
              </w:rPr>
            </w:r>
            <w:r>
              <w:rPr>
                <w:color w:val="auto"/>
                <w:highlight w:val="none"/>
              </w:rPr>
            </w:r>
          </w:p>
        </w:tc>
      </w:tr>
      <w:tr>
        <w:trPr>
          <w:cantSplit/>
          <w:trHeight w:val="250"/>
        </w:trPr>
        <w:tc>
          <w:tcPr>
            <w:tcW w:w="913"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2650"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5606"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废水排放企业每月排放量异常大记录</w:t>
            </w:r>
            <w:r>
              <w:rPr>
                <w:color w:val="auto"/>
                <w:highlight w:val="none"/>
              </w:rPr>
            </w:r>
            <w:r>
              <w:rPr>
                <w:color w:val="auto"/>
                <w:highlight w:val="none"/>
              </w:rPr>
            </w:r>
          </w:p>
        </w:tc>
      </w:tr>
      <w:tr>
        <w:trPr>
          <w:cantSplit/>
          <w:trHeight w:val="250"/>
        </w:trPr>
        <w:tc>
          <w:tcPr>
            <w:tcW w:w="913"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2650"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5606"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废气排放重点企业每月排放量异常大次数大于20次及以上记录</w:t>
            </w:r>
            <w:r>
              <w:rPr>
                <w:color w:val="auto"/>
                <w:highlight w:val="none"/>
              </w:rPr>
            </w:r>
            <w:r>
              <w:rPr>
                <w:color w:val="auto"/>
                <w:highlight w:val="none"/>
              </w:rPr>
            </w:r>
          </w:p>
        </w:tc>
      </w:tr>
      <w:tr>
        <w:trPr>
          <w:cantSplit/>
          <w:trHeight w:val="250"/>
        </w:trPr>
        <w:tc>
          <w:tcPr>
            <w:tcW w:w="913" w:type="dxa"/>
            <w:vAlign w:val="center"/>
            <w:vMerge w:val="restart"/>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4</w:t>
            </w:r>
            <w:r>
              <w:rPr>
                <w:color w:val="auto"/>
                <w:highlight w:val="none"/>
              </w:rPr>
            </w:r>
            <w:r>
              <w:rPr>
                <w:color w:val="auto"/>
                <w:highlight w:val="none"/>
              </w:rPr>
            </w:r>
          </w:p>
        </w:tc>
        <w:tc>
          <w:tcPr>
            <w:tcW w:w="2650" w:type="dxa"/>
            <w:vAlign w:val="center"/>
            <w:vMerge w:val="restart"/>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排放量统计报表</w:t>
            </w:r>
            <w:r>
              <w:rPr>
                <w:color w:val="auto"/>
                <w:highlight w:val="none"/>
              </w:rPr>
            </w:r>
            <w:r>
              <w:rPr>
                <w:color w:val="auto"/>
                <w:highlight w:val="none"/>
              </w:rPr>
            </w:r>
          </w:p>
        </w:tc>
        <w:tc>
          <w:tcPr>
            <w:tcW w:w="5606"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重点企业年度累计排放情况统计</w:t>
            </w:r>
            <w:r>
              <w:rPr>
                <w:color w:val="auto"/>
                <w:highlight w:val="none"/>
              </w:rPr>
            </w:r>
            <w:r>
              <w:rPr>
                <w:color w:val="auto"/>
                <w:highlight w:val="none"/>
              </w:rPr>
            </w:r>
          </w:p>
        </w:tc>
      </w:tr>
      <w:tr>
        <w:trPr>
          <w:cantSplit/>
          <w:trHeight w:val="250"/>
        </w:trPr>
        <w:tc>
          <w:tcPr>
            <w:tcW w:w="913"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2650"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5606"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重点企业污染物排放前</w:t>
            </w:r>
            <w:r>
              <w:rPr>
                <w:rFonts w:hint="eastAsia" w:ascii="宋体" w:hAnsi="宋体"/>
                <w:bCs/>
                <w:color w:val="auto"/>
                <w:sz w:val="18"/>
                <w:szCs w:val="18"/>
                <w:highlight w:val="none"/>
              </w:rPr>
              <w:t xml:space="preserve">10</w:t>
            </w:r>
            <w:r>
              <w:rPr>
                <w:rFonts w:ascii="宋体" w:hAnsi="宋体"/>
                <w:bCs/>
                <w:color w:val="auto"/>
                <w:sz w:val="18"/>
                <w:szCs w:val="18"/>
                <w:highlight w:val="none"/>
              </w:rPr>
              <w:t xml:space="preserve">名统计</w:t>
            </w:r>
            <w:r>
              <w:rPr>
                <w:color w:val="auto"/>
                <w:highlight w:val="none"/>
              </w:rPr>
            </w:r>
            <w:r>
              <w:rPr>
                <w:color w:val="auto"/>
                <w:highlight w:val="none"/>
              </w:rPr>
            </w:r>
          </w:p>
        </w:tc>
      </w:tr>
      <w:tr>
        <w:trPr>
          <w:cantSplit/>
          <w:trHeight w:val="250"/>
        </w:trPr>
        <w:tc>
          <w:tcPr>
            <w:tcW w:w="913"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2650"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5606"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全市（区）主要污染物月度排放量统计</w:t>
            </w:r>
            <w:r>
              <w:rPr>
                <w:color w:val="auto"/>
                <w:highlight w:val="none"/>
              </w:rPr>
            </w:r>
            <w:r>
              <w:rPr>
                <w:color w:val="auto"/>
                <w:highlight w:val="none"/>
              </w:rPr>
            </w:r>
          </w:p>
        </w:tc>
      </w:tr>
      <w:tr>
        <w:trPr>
          <w:cantSplit/>
          <w:trHeight w:val="250"/>
        </w:trPr>
        <w:tc>
          <w:tcPr>
            <w:tcW w:w="913"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2650"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c>
          <w:tcPr>
            <w:tcW w:w="5606"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废气（水）主要污染物排放量最大的行业统计</w:t>
            </w:r>
            <w:r>
              <w:rPr>
                <w:color w:val="auto"/>
                <w:highlight w:val="none"/>
              </w:rPr>
            </w:r>
            <w:r>
              <w:rPr>
                <w:color w:val="auto"/>
                <w:highlight w:val="none"/>
              </w:rPr>
            </w:r>
          </w:p>
        </w:tc>
      </w:tr>
      <w:tr>
        <w:trPr>
          <w:trHeight w:val="835"/>
        </w:trPr>
        <w:tc>
          <w:tcPr>
            <w:tcW w:w="913"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5</w:t>
            </w:r>
            <w:r>
              <w:rPr>
                <w:color w:val="auto"/>
                <w:highlight w:val="none"/>
              </w:rPr>
            </w:r>
            <w:r>
              <w:rPr>
                <w:color w:val="auto"/>
                <w:highlight w:val="none"/>
              </w:rPr>
            </w:r>
          </w:p>
        </w:tc>
        <w:tc>
          <w:tcPr>
            <w:tcW w:w="265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监测报警报表</w:t>
            </w:r>
            <w:r>
              <w:rPr>
                <w:color w:val="auto"/>
                <w:highlight w:val="none"/>
              </w:rPr>
            </w:r>
            <w:r>
              <w:rPr>
                <w:color w:val="auto"/>
                <w:highlight w:val="none"/>
              </w:rPr>
            </w:r>
          </w:p>
        </w:tc>
        <w:tc>
          <w:tcPr>
            <w:tcW w:w="5606"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重点企业</w:t>
            </w:r>
            <w:r>
              <w:rPr>
                <w:rFonts w:ascii="宋体" w:hAnsi="宋体"/>
                <w:bCs/>
                <w:color w:val="auto"/>
                <w:sz w:val="18"/>
                <w:szCs w:val="18"/>
                <w:highlight w:val="none"/>
              </w:rPr>
              <w:t xml:space="preserve">排放</w:t>
            </w:r>
            <w:r>
              <w:rPr>
                <w:rFonts w:hint="eastAsia" w:ascii="宋体" w:hAnsi="宋体"/>
                <w:bCs/>
                <w:color w:val="auto"/>
                <w:sz w:val="18"/>
                <w:szCs w:val="18"/>
                <w:highlight w:val="none"/>
              </w:rPr>
              <w:t xml:space="preserve">监测预警统计</w:t>
            </w:r>
            <w:r>
              <w:rPr>
                <w:color w:val="auto"/>
                <w:highlight w:val="none"/>
              </w:rPr>
            </w:r>
            <w:r>
              <w:rPr>
                <w:color w:val="auto"/>
                <w:highlight w:val="none"/>
              </w:rPr>
            </w:r>
          </w:p>
        </w:tc>
      </w:tr>
      <w:tr>
        <w:trPr>
          <w:trHeight w:val="761"/>
        </w:trPr>
        <w:tc>
          <w:tcPr>
            <w:tcW w:w="913"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6</w:t>
            </w:r>
            <w:r>
              <w:rPr>
                <w:color w:val="auto"/>
                <w:highlight w:val="none"/>
              </w:rPr>
            </w:r>
            <w:r>
              <w:rPr>
                <w:color w:val="auto"/>
                <w:highlight w:val="none"/>
              </w:rPr>
            </w:r>
          </w:p>
        </w:tc>
        <w:tc>
          <w:tcPr>
            <w:tcW w:w="2650"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企业联网率报表</w:t>
            </w:r>
            <w:r>
              <w:rPr>
                <w:color w:val="auto"/>
                <w:highlight w:val="none"/>
              </w:rPr>
            </w:r>
            <w:r>
              <w:rPr>
                <w:color w:val="auto"/>
                <w:highlight w:val="none"/>
              </w:rPr>
            </w:r>
          </w:p>
          <w:p>
            <w:pPr>
              <w:pStyle w:val="808"/>
              <w:jc w:val="center"/>
              <w:rPr>
                <w:rFonts w:ascii="宋体" w:hAnsi="宋体"/>
                <w:bCs/>
                <w:color w:val="auto"/>
                <w:sz w:val="18"/>
                <w:szCs w:val="18"/>
                <w:highlight w:val="none"/>
              </w:rPr>
            </w:pPr>
            <w:r>
              <w:rPr>
                <w:rFonts w:ascii="宋体" w:hAnsi="宋体"/>
                <w:bCs/>
                <w:color w:val="auto"/>
                <w:sz w:val="18"/>
                <w:szCs w:val="18"/>
                <w:highlight w:val="none"/>
              </w:rPr>
            </w:r>
            <w:r>
              <w:rPr>
                <w:color w:val="auto"/>
                <w:highlight w:val="none"/>
              </w:rPr>
            </w:r>
            <w:r>
              <w:rPr>
                <w:color w:val="auto"/>
                <w:highlight w:val="none"/>
              </w:rPr>
            </w:r>
          </w:p>
        </w:tc>
        <w:tc>
          <w:tcPr>
            <w:tcW w:w="5606"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重点企业</w:t>
            </w:r>
            <w:r>
              <w:rPr>
                <w:rFonts w:ascii="宋体" w:hAnsi="宋体"/>
                <w:bCs/>
                <w:color w:val="auto"/>
                <w:sz w:val="18"/>
                <w:szCs w:val="18"/>
                <w:highlight w:val="none"/>
              </w:rPr>
              <w:t xml:space="preserve">排放</w:t>
            </w:r>
            <w:r>
              <w:rPr>
                <w:rFonts w:hint="eastAsia" w:ascii="宋体" w:hAnsi="宋体"/>
                <w:bCs/>
                <w:color w:val="auto"/>
                <w:sz w:val="18"/>
                <w:szCs w:val="18"/>
                <w:highlight w:val="none"/>
              </w:rPr>
              <w:t xml:space="preserve">联网率统计</w:t>
            </w:r>
            <w:r>
              <w:rPr>
                <w:color w:val="auto"/>
                <w:highlight w:val="none"/>
              </w:rPr>
            </w:r>
            <w:r>
              <w:rPr>
                <w:color w:val="auto"/>
                <w:highlight w:val="none"/>
              </w:rPr>
            </w:r>
          </w:p>
        </w:tc>
      </w:tr>
    </w:tbl>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）污染物排放超标报表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定制污染物排放超标统计报表，基于所有企业的小时污染物超标数据，在基础条件（时间段、行政区、企业名录、排放类型、污染物、企业名称、数据类型）下，额外通过连续超标小时数以及是否剔除标记数据等查询条件实现某段时间内企业日数据超标情况的定制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）按企业名录定制超标报表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按企业名录（全部企业/重点排污企业）定制污染物排放超标情况的报表，条件包括时间段、行政区、排放类型、污染物、企业名称、数据类型，是否剔除标记数据，每日累计超标/连续超标小时数。</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w:t>
        <w:tab/>
        <w:t xml:space="preserve">按排放类型定制超标报表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按排放类型（废气/废水企业）定制污染物超标情况的报表，查询条件包括时间段、行政区、企业名录、污染物、企业名称、数据类型，是否剔除标记数据，每日累计超标/连续超标小时数。</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）按行政区定制超标报表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行政区分为无锡市和两市六区，定制各行政区排污企业超标情况的报表，条件包括时间段、企业名录、排放类型、污染物、企业名称、数据类型，是否剔除标记数据，每日累计超标/连续超标小时数。</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）按污染物定制超标报表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废气企业监测污染物包括：二氧化硫、氮氧化物、一氧化碳、氯化氢、铅及其化合物、氨、非甲烷总烃、颗粒物（其他）、甲苯、氟化物(气)等，可全选；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废水企业监测污染物包括：化学需氧量、氨氮、总磷、总氮、总镍、总锌、生化需氧量(BOD5)、总银、氟化物(水)、总铜、pH、总铅、六价铬、悬浮物(SS)、总铬，可全选；</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按照需求定制污染物超标报表，条件包括时间段、行政区、企业名录、排放类型、企业名称、数据类型，是否剔除标记数据，每日累计超标/连续超标小时数。</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rPr>
        <w:t xml:space="preserve">）按数据类型定制超标报表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定制日数据/小时数据污染物超标报表，条件包括时间段、行政区、企业名录、污染物、企业名称是否剔除标记数据，每日累计超标/连续超标小时数。</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w:t>
      </w:r>
      <w:r>
        <w:rPr>
          <w:rFonts w:hint="eastAsia" w:ascii="宋体" w:hAnsi="宋体"/>
          <w:color w:val="auto"/>
          <w:sz w:val="24"/>
          <w:szCs w:val="24"/>
          <w:highlight w:val="none"/>
        </w:rPr>
        <w:t xml:space="preserve">）是否剔除标记数据超标报表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定制剔除、非剔除标记数据超标报表，条件包括时间段、行政区、企业名录、排放类型、污染物、企业名称、数据类型，每日累计超标/连续超标小时数。</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8</w:t>
      </w:r>
      <w:r>
        <w:rPr>
          <w:rFonts w:hint="eastAsia" w:ascii="宋体" w:hAnsi="宋体"/>
          <w:color w:val="auto"/>
          <w:sz w:val="24"/>
          <w:szCs w:val="24"/>
          <w:highlight w:val="none"/>
        </w:rPr>
        <w:t xml:space="preserve">）累计超标天数/连续超标天数报表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定制累计超标天数/连续超标天数报表，例如每日连续超标三小时的报表，条件包括时间段、行政区、企业名录、排放类型、污染物、企业名称、数据类型，是否剔除标记数据。</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9</w:t>
      </w:r>
      <w:r>
        <w:rPr>
          <w:rFonts w:hint="eastAsia" w:ascii="宋体" w:hAnsi="宋体"/>
          <w:color w:val="auto"/>
          <w:sz w:val="24"/>
          <w:szCs w:val="24"/>
          <w:highlight w:val="none"/>
        </w:rPr>
        <w:t xml:space="preserve">）恒值报表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定制污染物排放浓度恒值统计报表，在基础条件（时间段、行政区、企业名录、排放类型、污染物、企业名称、恒值类型、恒值时间大于等于）下，是否剔除间歇性排水单位、是否剔除数据标记等查询条件实现某段时间内企业污染物恒值排放情况的定制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）按恒值类型定制报表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按恒值类型（零值、负值、正值）定制污染物浓度恒值报表，条件包括时间段、行政区、企业名录、排放类型、污染物、企业名称、恒值时间大于等于、是否剔除间歇性排水单位、是否剔除数据标记）。</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11</w:t>
      </w:r>
      <w:r>
        <w:rPr>
          <w:rFonts w:hint="eastAsia" w:ascii="宋体" w:hAnsi="宋体"/>
          <w:color w:val="auto"/>
          <w:sz w:val="24"/>
          <w:szCs w:val="24"/>
          <w:highlight w:val="none"/>
        </w:rPr>
        <w:t xml:space="preserve">）按恒值时间大于等于定制报表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按恒值时间大于等于小时整数、限值范围大于等于3定制报表，条件包括（时间段、行政区、企业名录、排放类型、污染物、企业名称、恒值类型、是否剔除间歇性排水单位、是否剔除数据标记）。</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）排放异常报表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生成企业排放异常报表。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13</w:t>
      </w:r>
      <w:r>
        <w:rPr>
          <w:rFonts w:hint="eastAsia" w:ascii="宋体" w:hAnsi="宋体"/>
          <w:color w:val="auto"/>
          <w:sz w:val="24"/>
          <w:szCs w:val="24"/>
          <w:highlight w:val="none"/>
        </w:rPr>
        <w:t xml:space="preserve">）零值负值异常表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定制污染物排放零值负值异常统计报表，小时排放浓度、流量、排放量数据出现零值、负值的情况统计，在基础条件（时间段、行政区、企业名录、异常类型、零负值异常项目、排放类型、污染物、企业名称、异常次数、是否剔除数据标记等查询条件实现某段时间内企业污染物恒值排放情况的定制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14</w:t>
      </w:r>
      <w:r>
        <w:rPr>
          <w:rFonts w:hint="eastAsia" w:ascii="宋体" w:hAnsi="宋体"/>
          <w:color w:val="auto"/>
          <w:sz w:val="24"/>
          <w:szCs w:val="24"/>
          <w:highlight w:val="none"/>
        </w:rPr>
        <w:t xml:space="preserve">）按异常类型定制报表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可选全部、零值、负值，在基础条件（时间段、行政区、企业名录、零负值异常项目、排放类型、污染物、企业名称、异常次数、是否剔除数据标记等查询条件实现某段时间内企业污染物恒值排放情况的定制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15</w:t>
      </w:r>
      <w:r>
        <w:rPr>
          <w:rFonts w:hint="eastAsia" w:ascii="宋体" w:hAnsi="宋体"/>
          <w:color w:val="auto"/>
          <w:sz w:val="24"/>
          <w:szCs w:val="24"/>
          <w:highlight w:val="none"/>
        </w:rPr>
        <w:t xml:space="preserve">）按零负值异常项目定制报表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可选排放浓度、流量、排放量，在基础条件（时间段、行政区、企业名录、异常类型、排放类型、污染物、企业名称、异常次数、是否剔除数据标记等查询条件实现某段时间内企业污染物恒值排放情况的定制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16</w:t>
      </w:r>
      <w:r>
        <w:rPr>
          <w:rFonts w:hint="eastAsia" w:ascii="宋体" w:hAnsi="宋体"/>
          <w:color w:val="auto"/>
          <w:sz w:val="24"/>
          <w:szCs w:val="24"/>
          <w:highlight w:val="none"/>
        </w:rPr>
        <w:t xml:space="preserve">）按异常次数定制报表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按异常次数大于等于多少次定制报表，在基础条件（时间段、行政区、企业名录、零负值异常项目、异常类型、排放类型、污染物、企业名称、是否剔除数据标记等查询条件实现某段时间内企业污染物恒值排放情况的定制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17</w:t>
      </w:r>
      <w:r>
        <w:rPr>
          <w:rFonts w:hint="eastAsia" w:ascii="宋体" w:hAnsi="宋体"/>
          <w:color w:val="auto"/>
          <w:sz w:val="24"/>
          <w:szCs w:val="24"/>
          <w:highlight w:val="none"/>
        </w:rPr>
        <w:t xml:space="preserve">）排放异常大报表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定制污染物排放异常大统计报表，排放量数据出现异常大的情况统计，在基础条件（行政区、企业名录、企业名称、异常次数、时间段）等查询条件实现某段时间内企业污染物恒值排放情况的定制报表。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18</w:t>
      </w:r>
      <w:r>
        <w:rPr>
          <w:rFonts w:hint="eastAsia" w:ascii="宋体" w:hAnsi="宋体"/>
          <w:color w:val="auto"/>
          <w:sz w:val="24"/>
          <w:szCs w:val="24"/>
          <w:highlight w:val="none"/>
        </w:rPr>
        <w:t xml:space="preserve">）排放量统计报表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统计企业排放量，生成报表。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19</w:t>
      </w:r>
      <w:r>
        <w:rPr>
          <w:rFonts w:hint="eastAsia" w:ascii="宋体" w:hAnsi="宋体"/>
          <w:color w:val="auto"/>
          <w:sz w:val="24"/>
          <w:szCs w:val="24"/>
          <w:highlight w:val="none"/>
        </w:rPr>
        <w:t xml:space="preserve">）企业排放量统计表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通过行政区、企业名录、主要污染物统计某段时间内所有企业的废气主要污染物累计排放量。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）区域排放量统计表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按照不同区划统计某时间段内的废气企业主要污染物排放量。</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）行业排放量统计表</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按照不同行业统计某时间段内的废气/水主要污染物排放量及排放占比</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1）预警分析</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以工况监控、末端监控、用电监控的运行状态为基础， 结合大数据分析模型，为企业末端的排放异常状态做初步预警分析。</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）设备联网率</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对系统中维护的设备进行联网率统计，统计依据为该设备关联的监测因子是否有数据上传，若超过30分钟无数据上传，则认为该设备掉线；</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2、关键指标</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（1）中长期目标</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确保稳定对接“江苏省工况系统”，灵活适应无锡市重点污染源自动监控各项考核任务及调度要求，提供专业、快速、高效、准确的统计分析功能。</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（2）年度目标</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考核国控重点污染源数量32家，提供各类例行报表统计分析服务6项以上，例行统计分析任务在1小时内完成，其他临时性任务不超过24小时。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（3）绩效指标</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考核国控重点污染源数量32家，提供各类例行报表统计分析服务6项以上，例行统计分析任务在1小时内完成，其他临时性任务不超过24小时。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color w:val="auto"/>
          <w:highlight w:val="none"/>
        </w:rPr>
      </w:r>
      <w:bookmarkStart w:id="206" w:name="_Toc132357592"/>
      <w:r>
        <w:rPr>
          <w:rFonts w:hint="eastAsia" w:ascii="宋体" w:hAnsi="宋体"/>
          <w:color w:val="auto"/>
          <w:sz w:val="24"/>
          <w:szCs w:val="24"/>
          <w:highlight w:val="none"/>
        </w:rPr>
        <w:t xml:space="preserve">3、考核里程碑</w:t>
      </w:r>
      <w:bookmarkEnd w:id="206"/>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本项目将按照月度、季度、年度以及重要管控节点设置考核里程碑，具体如下：</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（1）月度考核</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针对国控重点污染源数量32家，基于日常服务、调度要求，每个月底提供污染物排放超标统计、恒值统计、排放量异常统计、排放量统计、分析报告。</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（2）季度考核</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针对国控重点污染源数量32家，每个季度末提供重点企业该季度季度累计排放情况统计、重点企业污染物该季度内排放前10名统计、主要污染物该季度排放量最大的行业统计分析报告。</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（3）年度考核</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针对国控重点污染源数量32家，年末提供重点企业污染物该年度内排放前10名统计、主要污染物该年度排放量最大的行业统计汇总分析报告；</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（4）特定任务考核</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针对特定任务调度，如秋冬季大气管控，面向重点污染源企业中排放大户，提供日、周、月等不同维度的分析，包括废气排放企业主要污染物排放量与管控前排放量环比情况统计、全市（区）废气主要污染物排放量与管控前排放量比较情况统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考核里程表列表：</w:t>
      </w:r>
      <w:r>
        <w:rPr>
          <w:color w:val="auto"/>
          <w:highlight w:val="none"/>
        </w:rPr>
      </w:r>
      <w:r>
        <w:rPr>
          <w:color w:val="auto"/>
          <w:highlight w:val="none"/>
        </w:rP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4"/>
        <w:gridCol w:w="1682"/>
        <w:gridCol w:w="6913"/>
      </w:tblGrid>
      <w:tr>
        <w:trPr/>
        <w:tc>
          <w:tcPr>
            <w:tcW w:w="574"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序号</w:t>
            </w:r>
            <w:r>
              <w:rPr>
                <w:color w:val="auto"/>
                <w:highlight w:val="none"/>
              </w:rPr>
            </w:r>
            <w:r>
              <w:rPr>
                <w:color w:val="auto"/>
                <w:highlight w:val="none"/>
              </w:rPr>
            </w:r>
          </w:p>
        </w:tc>
        <w:tc>
          <w:tcPr>
            <w:tcW w:w="1682"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服务类别</w:t>
            </w:r>
            <w:r>
              <w:rPr>
                <w:color w:val="auto"/>
                <w:highlight w:val="none"/>
              </w:rPr>
            </w:r>
            <w:r>
              <w:rPr>
                <w:color w:val="auto"/>
                <w:highlight w:val="none"/>
              </w:rPr>
            </w:r>
          </w:p>
        </w:tc>
        <w:tc>
          <w:tcPr>
            <w:tcW w:w="691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服务名称</w:t>
            </w:r>
            <w:r>
              <w:rPr>
                <w:color w:val="auto"/>
                <w:highlight w:val="none"/>
              </w:rPr>
            </w:r>
            <w:r>
              <w:rPr>
                <w:color w:val="auto"/>
                <w:highlight w:val="none"/>
              </w:rPr>
            </w:r>
          </w:p>
        </w:tc>
      </w:tr>
      <w:tr>
        <w:trPr/>
        <w:tc>
          <w:tcPr>
            <w:gridSpan w:val="3"/>
            <w:tcW w:w="9169" w:type="dxa"/>
            <w:vAlign w:val="top"/>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月度/季度/年度考核</w:t>
            </w:r>
            <w:r>
              <w:rPr>
                <w:color w:val="auto"/>
                <w:highlight w:val="none"/>
              </w:rPr>
            </w:r>
            <w:r>
              <w:rPr>
                <w:color w:val="auto"/>
                <w:highlight w:val="none"/>
              </w:rPr>
            </w:r>
          </w:p>
        </w:tc>
      </w:tr>
      <w:tr>
        <w:trPr/>
        <w:tc>
          <w:tcPr>
            <w:tcW w:w="574"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682"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污染物排放超标统计</w:t>
            </w:r>
            <w:r>
              <w:rPr>
                <w:color w:val="auto"/>
                <w:highlight w:val="none"/>
              </w:rPr>
            </w:r>
            <w:r>
              <w:rPr>
                <w:color w:val="auto"/>
                <w:highlight w:val="none"/>
              </w:rPr>
            </w:r>
          </w:p>
        </w:tc>
        <w:tc>
          <w:tcPr>
            <w:tcW w:w="6913" w:type="dxa"/>
            <w:vAlign w:val="top"/>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废水/废气排污企业每月/每季度/每年超标记录</w:t>
            </w:r>
            <w:r>
              <w:rPr>
                <w:color w:val="auto"/>
                <w:highlight w:val="none"/>
              </w:rPr>
            </w:r>
            <w:r>
              <w:rPr>
                <w:color w:val="auto"/>
                <w:highlight w:val="none"/>
              </w:rPr>
            </w:r>
          </w:p>
        </w:tc>
      </w:tr>
      <w:tr>
        <w:trPr/>
        <w:tc>
          <w:tcPr>
            <w:tcW w:w="574"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2</w:t>
            </w:r>
            <w:r>
              <w:rPr>
                <w:color w:val="auto"/>
                <w:highlight w:val="none"/>
              </w:rPr>
            </w:r>
            <w:r>
              <w:rPr>
                <w:color w:val="auto"/>
                <w:highlight w:val="none"/>
              </w:rPr>
            </w:r>
          </w:p>
        </w:tc>
        <w:tc>
          <w:tcPr>
            <w:tcW w:w="1682"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恒值统计</w:t>
            </w:r>
            <w:r>
              <w:rPr>
                <w:color w:val="auto"/>
                <w:highlight w:val="none"/>
              </w:rPr>
            </w:r>
            <w:r>
              <w:rPr>
                <w:color w:val="auto"/>
                <w:highlight w:val="none"/>
              </w:rPr>
            </w:r>
          </w:p>
        </w:tc>
        <w:tc>
          <w:tcPr>
            <w:tcW w:w="6913" w:type="dxa"/>
            <w:vAlign w:val="top"/>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废水排放重点企业每月/每季度/每年恒值记录</w:t>
            </w:r>
            <w:r>
              <w:rPr>
                <w:color w:val="auto"/>
                <w:highlight w:val="none"/>
              </w:rPr>
            </w:r>
            <w:r>
              <w:rPr>
                <w:color w:val="auto"/>
                <w:highlight w:val="none"/>
              </w:rPr>
            </w:r>
          </w:p>
        </w:tc>
      </w:tr>
      <w:tr>
        <w:trPr>
          <w:cantSplit/>
        </w:trPr>
        <w:tc>
          <w:tcPr>
            <w:tcW w:w="574"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3</w:t>
            </w:r>
            <w:r>
              <w:rPr>
                <w:color w:val="auto"/>
                <w:highlight w:val="none"/>
              </w:rPr>
            </w:r>
            <w:r>
              <w:rPr>
                <w:color w:val="auto"/>
                <w:highlight w:val="none"/>
              </w:rPr>
            </w:r>
          </w:p>
        </w:tc>
        <w:tc>
          <w:tcPr>
            <w:tcW w:w="1682"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排放量异常统计</w:t>
            </w:r>
            <w:r>
              <w:rPr>
                <w:color w:val="auto"/>
                <w:highlight w:val="none"/>
              </w:rPr>
            </w:r>
            <w:r>
              <w:rPr>
                <w:color w:val="auto"/>
                <w:highlight w:val="none"/>
              </w:rPr>
            </w:r>
          </w:p>
        </w:tc>
        <w:tc>
          <w:tcPr>
            <w:tcW w:w="691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废气排放企业每月/每季度/每年零值记录</w:t>
            </w:r>
            <w:r>
              <w:rPr>
                <w:color w:val="auto"/>
                <w:highlight w:val="none"/>
              </w:rPr>
            </w:r>
            <w:r>
              <w:rPr>
                <w:color w:val="auto"/>
                <w:highlight w:val="none"/>
              </w:rPr>
            </w:r>
          </w:p>
        </w:tc>
      </w:tr>
      <w:tr>
        <w:trPr>
          <w:cantSplit/>
        </w:trPr>
        <w:tc>
          <w:tcPr>
            <w:tcW w:w="574"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4</w:t>
            </w:r>
            <w:r>
              <w:rPr>
                <w:color w:val="auto"/>
                <w:highlight w:val="none"/>
              </w:rPr>
            </w:r>
            <w:r>
              <w:rPr>
                <w:color w:val="auto"/>
                <w:highlight w:val="none"/>
              </w:rPr>
            </w:r>
          </w:p>
        </w:tc>
        <w:tc>
          <w:tcPr>
            <w:tcW w:w="1682" w:type="dxa"/>
            <w:vAlign w:val="center"/>
            <w:vMerge w:val="continue"/>
            <w:textDirection w:val="lrTb"/>
            <w:noWrap w:val="false"/>
          </w:tcPr>
          <w:p>
            <w:pPr>
              <w:pStyle w:val="808"/>
              <w:jc w:val="center"/>
              <w:rPr>
                <w:rFonts w:ascii="宋体" w:hAnsi="宋体"/>
                <w:sz w:val="18"/>
                <w:szCs w:val="18"/>
              </w:rPr>
            </w:pPr>
            <w:r>
              <w:rPr>
                <w:rFonts w:ascii="宋体" w:hAnsi="宋体"/>
                <w:sz w:val="18"/>
                <w:szCs w:val="18"/>
              </w:rPr>
            </w:r>
            <w:r/>
          </w:p>
        </w:tc>
        <w:tc>
          <w:tcPr>
            <w:tcW w:w="691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废气排放企业每月/每季度/每年负值记录</w:t>
            </w:r>
            <w:r>
              <w:rPr>
                <w:color w:val="auto"/>
                <w:highlight w:val="none"/>
              </w:rPr>
            </w:r>
            <w:r>
              <w:rPr>
                <w:color w:val="auto"/>
                <w:highlight w:val="none"/>
              </w:rPr>
            </w:r>
          </w:p>
        </w:tc>
      </w:tr>
      <w:tr>
        <w:trPr>
          <w:cantSplit/>
        </w:trPr>
        <w:tc>
          <w:tcPr>
            <w:tcW w:w="574"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5</w:t>
            </w:r>
            <w:r>
              <w:rPr>
                <w:color w:val="auto"/>
                <w:highlight w:val="none"/>
              </w:rPr>
            </w:r>
            <w:r>
              <w:rPr>
                <w:color w:val="auto"/>
                <w:highlight w:val="none"/>
              </w:rPr>
            </w:r>
          </w:p>
        </w:tc>
        <w:tc>
          <w:tcPr>
            <w:tcW w:w="1682" w:type="dxa"/>
            <w:vAlign w:val="center"/>
            <w:vMerge w:val="continue"/>
            <w:textDirection w:val="lrTb"/>
            <w:noWrap w:val="false"/>
          </w:tcPr>
          <w:p>
            <w:pPr>
              <w:pStyle w:val="808"/>
              <w:jc w:val="center"/>
              <w:rPr>
                <w:rFonts w:ascii="宋体" w:hAnsi="宋体"/>
                <w:sz w:val="18"/>
                <w:szCs w:val="18"/>
              </w:rPr>
            </w:pPr>
            <w:r>
              <w:rPr>
                <w:rFonts w:ascii="宋体" w:hAnsi="宋体"/>
                <w:sz w:val="18"/>
                <w:szCs w:val="18"/>
              </w:rPr>
            </w:r>
            <w:r/>
          </w:p>
        </w:tc>
        <w:tc>
          <w:tcPr>
            <w:tcW w:w="691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废气排放企业每月/每季度/每年流量、浓度、排放量负值记录</w:t>
            </w:r>
            <w:r>
              <w:rPr>
                <w:color w:val="auto"/>
                <w:highlight w:val="none"/>
              </w:rPr>
            </w:r>
            <w:r>
              <w:rPr>
                <w:color w:val="auto"/>
                <w:highlight w:val="none"/>
              </w:rPr>
            </w:r>
          </w:p>
        </w:tc>
      </w:tr>
      <w:tr>
        <w:trPr>
          <w:cantSplit/>
        </w:trPr>
        <w:tc>
          <w:tcPr>
            <w:tcW w:w="574"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6</w:t>
            </w:r>
            <w:r>
              <w:rPr>
                <w:color w:val="auto"/>
                <w:highlight w:val="none"/>
              </w:rPr>
            </w:r>
            <w:r>
              <w:rPr>
                <w:color w:val="auto"/>
                <w:highlight w:val="none"/>
              </w:rPr>
            </w:r>
          </w:p>
        </w:tc>
        <w:tc>
          <w:tcPr>
            <w:tcW w:w="1682" w:type="dxa"/>
            <w:vAlign w:val="center"/>
            <w:vMerge w:val="continue"/>
            <w:textDirection w:val="lrTb"/>
            <w:noWrap w:val="false"/>
          </w:tcPr>
          <w:p>
            <w:pPr>
              <w:pStyle w:val="808"/>
              <w:jc w:val="center"/>
              <w:rPr>
                <w:rFonts w:ascii="宋体" w:hAnsi="宋体"/>
                <w:sz w:val="18"/>
                <w:szCs w:val="18"/>
              </w:rPr>
            </w:pPr>
            <w:r>
              <w:rPr>
                <w:rFonts w:ascii="宋体" w:hAnsi="宋体"/>
                <w:sz w:val="18"/>
                <w:szCs w:val="18"/>
              </w:rPr>
            </w:r>
            <w:r/>
          </w:p>
        </w:tc>
        <w:tc>
          <w:tcPr>
            <w:tcW w:w="691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废水排放企业每月/每季度/每年排放量异常大记录</w:t>
            </w:r>
            <w:r>
              <w:rPr>
                <w:color w:val="auto"/>
                <w:highlight w:val="none"/>
              </w:rPr>
            </w:r>
            <w:r>
              <w:rPr>
                <w:color w:val="auto"/>
                <w:highlight w:val="none"/>
              </w:rPr>
            </w:r>
          </w:p>
        </w:tc>
      </w:tr>
      <w:tr>
        <w:trPr>
          <w:cantSplit/>
        </w:trPr>
        <w:tc>
          <w:tcPr>
            <w:tcW w:w="574"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7</w:t>
            </w:r>
            <w:r>
              <w:rPr>
                <w:color w:val="auto"/>
                <w:highlight w:val="none"/>
              </w:rPr>
            </w:r>
            <w:r>
              <w:rPr>
                <w:color w:val="auto"/>
                <w:highlight w:val="none"/>
              </w:rPr>
            </w:r>
          </w:p>
        </w:tc>
        <w:tc>
          <w:tcPr>
            <w:tcW w:w="1682" w:type="dxa"/>
            <w:vAlign w:val="center"/>
            <w:vMerge w:val="continue"/>
            <w:textDirection w:val="lrTb"/>
            <w:noWrap w:val="false"/>
          </w:tcPr>
          <w:p>
            <w:pPr>
              <w:pStyle w:val="808"/>
              <w:jc w:val="center"/>
              <w:rPr>
                <w:rFonts w:ascii="宋体" w:hAnsi="宋体"/>
                <w:sz w:val="18"/>
                <w:szCs w:val="18"/>
              </w:rPr>
            </w:pPr>
            <w:r>
              <w:rPr>
                <w:rFonts w:ascii="宋体" w:hAnsi="宋体"/>
                <w:sz w:val="18"/>
                <w:szCs w:val="18"/>
              </w:rPr>
            </w:r>
            <w:r/>
          </w:p>
        </w:tc>
        <w:tc>
          <w:tcPr>
            <w:tcW w:w="691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废气排放重点企业每月/每季度/每年排放量异常大次数大于20/60/240次及以上记录</w:t>
            </w:r>
            <w:r>
              <w:rPr>
                <w:color w:val="auto"/>
                <w:highlight w:val="none"/>
              </w:rPr>
            </w:r>
            <w:r>
              <w:rPr>
                <w:color w:val="auto"/>
                <w:highlight w:val="none"/>
              </w:rPr>
            </w:r>
          </w:p>
        </w:tc>
      </w:tr>
      <w:tr>
        <w:trPr>
          <w:cantSplit/>
        </w:trPr>
        <w:tc>
          <w:tcPr>
            <w:tcW w:w="574"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8</w:t>
            </w:r>
            <w:r>
              <w:rPr>
                <w:color w:val="auto"/>
                <w:highlight w:val="none"/>
              </w:rPr>
            </w:r>
            <w:r>
              <w:rPr>
                <w:color w:val="auto"/>
                <w:highlight w:val="none"/>
              </w:rPr>
            </w:r>
          </w:p>
        </w:tc>
        <w:tc>
          <w:tcPr>
            <w:tcW w:w="1682"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排放量统计</w:t>
            </w:r>
            <w:r>
              <w:rPr>
                <w:color w:val="auto"/>
                <w:highlight w:val="none"/>
              </w:rPr>
            </w:r>
            <w:r>
              <w:rPr>
                <w:color w:val="auto"/>
                <w:highlight w:val="none"/>
              </w:rPr>
            </w:r>
          </w:p>
        </w:tc>
        <w:tc>
          <w:tcPr>
            <w:tcW w:w="691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重点企业每月/每季度/每年累计排放情况统计</w:t>
            </w:r>
            <w:r>
              <w:rPr>
                <w:color w:val="auto"/>
                <w:highlight w:val="none"/>
              </w:rPr>
            </w:r>
            <w:r>
              <w:rPr>
                <w:color w:val="auto"/>
                <w:highlight w:val="none"/>
              </w:rPr>
            </w:r>
          </w:p>
        </w:tc>
      </w:tr>
      <w:tr>
        <w:trPr>
          <w:cantSplit/>
        </w:trPr>
        <w:tc>
          <w:tcPr>
            <w:tcW w:w="574"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9</w:t>
            </w:r>
            <w:r>
              <w:rPr>
                <w:color w:val="auto"/>
                <w:highlight w:val="none"/>
              </w:rPr>
            </w:r>
            <w:r>
              <w:rPr>
                <w:color w:val="auto"/>
                <w:highlight w:val="none"/>
              </w:rPr>
            </w:r>
          </w:p>
        </w:tc>
        <w:tc>
          <w:tcPr>
            <w:tcW w:w="1682" w:type="dxa"/>
            <w:vAlign w:val="center"/>
            <w:vMerge w:val="continue"/>
            <w:textDirection w:val="lrTb"/>
            <w:noWrap w:val="false"/>
          </w:tcPr>
          <w:p>
            <w:pPr>
              <w:pStyle w:val="808"/>
              <w:ind w:firstLine="480"/>
              <w:rPr>
                <w:rFonts w:ascii="宋体" w:hAnsi="宋体"/>
                <w:sz w:val="18"/>
                <w:szCs w:val="18"/>
              </w:rPr>
            </w:pPr>
            <w:r>
              <w:rPr>
                <w:rFonts w:ascii="宋体" w:hAnsi="宋体"/>
                <w:sz w:val="18"/>
                <w:szCs w:val="18"/>
              </w:rPr>
            </w:r>
            <w:r/>
          </w:p>
        </w:tc>
        <w:tc>
          <w:tcPr>
            <w:tcW w:w="691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重点企业污染物每月/每季度/每年排放前50名统计</w:t>
            </w:r>
            <w:r>
              <w:rPr>
                <w:color w:val="auto"/>
                <w:highlight w:val="none"/>
              </w:rPr>
            </w:r>
            <w:r>
              <w:rPr>
                <w:color w:val="auto"/>
                <w:highlight w:val="none"/>
              </w:rPr>
            </w:r>
          </w:p>
        </w:tc>
      </w:tr>
      <w:tr>
        <w:trPr>
          <w:cantSplit/>
        </w:trPr>
        <w:tc>
          <w:tcPr>
            <w:tcW w:w="574"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10</w:t>
            </w:r>
            <w:r>
              <w:rPr>
                <w:color w:val="auto"/>
                <w:highlight w:val="none"/>
              </w:rPr>
            </w:r>
            <w:r>
              <w:rPr>
                <w:color w:val="auto"/>
                <w:highlight w:val="none"/>
              </w:rPr>
            </w:r>
          </w:p>
        </w:tc>
        <w:tc>
          <w:tcPr>
            <w:tcW w:w="1682" w:type="dxa"/>
            <w:vAlign w:val="center"/>
            <w:vMerge w:val="continue"/>
            <w:textDirection w:val="lrTb"/>
            <w:noWrap w:val="false"/>
          </w:tcPr>
          <w:p>
            <w:pPr>
              <w:pStyle w:val="808"/>
              <w:ind w:firstLine="480"/>
              <w:rPr>
                <w:rFonts w:ascii="宋体" w:hAnsi="宋体"/>
                <w:sz w:val="18"/>
                <w:szCs w:val="18"/>
              </w:rPr>
            </w:pPr>
            <w:r>
              <w:rPr>
                <w:rFonts w:ascii="宋体" w:hAnsi="宋体"/>
                <w:sz w:val="18"/>
                <w:szCs w:val="18"/>
              </w:rPr>
            </w:r>
            <w:r/>
          </w:p>
        </w:tc>
        <w:tc>
          <w:tcPr>
            <w:tcW w:w="691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全市（区）主要污染物每月/每季度/每年排放量统计</w:t>
            </w:r>
            <w:r>
              <w:rPr>
                <w:color w:val="auto"/>
                <w:highlight w:val="none"/>
              </w:rPr>
            </w:r>
            <w:r>
              <w:rPr>
                <w:color w:val="auto"/>
                <w:highlight w:val="none"/>
              </w:rPr>
            </w:r>
          </w:p>
        </w:tc>
      </w:tr>
      <w:tr>
        <w:trPr>
          <w:cantSplit/>
        </w:trPr>
        <w:tc>
          <w:tcPr>
            <w:tcW w:w="574"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11</w:t>
            </w:r>
            <w:r>
              <w:rPr>
                <w:color w:val="auto"/>
                <w:highlight w:val="none"/>
              </w:rPr>
            </w:r>
            <w:r>
              <w:rPr>
                <w:color w:val="auto"/>
                <w:highlight w:val="none"/>
              </w:rPr>
            </w:r>
          </w:p>
        </w:tc>
        <w:tc>
          <w:tcPr>
            <w:tcW w:w="1682" w:type="dxa"/>
            <w:vAlign w:val="center"/>
            <w:vMerge w:val="continue"/>
            <w:textDirection w:val="lrTb"/>
            <w:noWrap w:val="false"/>
          </w:tcPr>
          <w:p>
            <w:pPr>
              <w:pStyle w:val="808"/>
              <w:ind w:firstLine="480"/>
              <w:rPr>
                <w:rFonts w:ascii="宋体" w:hAnsi="宋体"/>
                <w:sz w:val="18"/>
                <w:szCs w:val="18"/>
              </w:rPr>
            </w:pPr>
            <w:r>
              <w:rPr>
                <w:rFonts w:ascii="宋体" w:hAnsi="宋体"/>
                <w:sz w:val="18"/>
                <w:szCs w:val="18"/>
              </w:rPr>
            </w:r>
            <w:r/>
          </w:p>
        </w:tc>
        <w:tc>
          <w:tcPr>
            <w:tcW w:w="691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废气（水）主要污染物每月/每季度/每年排放量最大的行业统计</w:t>
            </w:r>
            <w:r>
              <w:rPr>
                <w:color w:val="auto"/>
                <w:highlight w:val="none"/>
              </w:rPr>
            </w:r>
            <w:r>
              <w:rPr>
                <w:color w:val="auto"/>
                <w:highlight w:val="none"/>
              </w:rPr>
            </w:r>
          </w:p>
        </w:tc>
      </w:tr>
      <w:tr>
        <w:trPr/>
        <w:tc>
          <w:tcPr>
            <w:gridSpan w:val="3"/>
            <w:tcW w:w="9169"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秋冬季考核</w:t>
            </w:r>
            <w:r>
              <w:rPr>
                <w:color w:val="auto"/>
                <w:highlight w:val="none"/>
              </w:rPr>
            </w:r>
            <w:r>
              <w:rPr>
                <w:color w:val="auto"/>
                <w:highlight w:val="none"/>
              </w:rPr>
            </w:r>
          </w:p>
        </w:tc>
      </w:tr>
      <w:tr>
        <w:trPr>
          <w:cantSplit/>
        </w:trPr>
        <w:tc>
          <w:tcPr>
            <w:tcW w:w="574"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12</w:t>
            </w:r>
            <w:r>
              <w:rPr>
                <w:color w:val="auto"/>
                <w:highlight w:val="none"/>
              </w:rPr>
            </w:r>
            <w:r>
              <w:rPr>
                <w:color w:val="auto"/>
                <w:highlight w:val="none"/>
              </w:rPr>
            </w:r>
          </w:p>
        </w:tc>
        <w:tc>
          <w:tcPr>
            <w:tcW w:w="1682" w:type="dxa"/>
            <w:vAlign w:val="center"/>
            <w:vMerge w:val="restart"/>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大气管控排放统计</w:t>
            </w:r>
            <w:r>
              <w:rPr>
                <w:color w:val="auto"/>
                <w:highlight w:val="none"/>
              </w:rPr>
            </w:r>
            <w:r>
              <w:rPr>
                <w:color w:val="auto"/>
                <w:highlight w:val="none"/>
              </w:rPr>
            </w:r>
          </w:p>
        </w:tc>
        <w:tc>
          <w:tcPr>
            <w:tcW w:w="691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废气排放企业主要污染物排放量与管控前排放量环比情况统计</w:t>
            </w:r>
            <w:r>
              <w:rPr>
                <w:color w:val="auto"/>
                <w:highlight w:val="none"/>
              </w:rPr>
            </w:r>
            <w:r>
              <w:rPr>
                <w:color w:val="auto"/>
                <w:highlight w:val="none"/>
              </w:rPr>
            </w:r>
          </w:p>
        </w:tc>
      </w:tr>
      <w:tr>
        <w:trPr>
          <w:cantSplit/>
        </w:trPr>
        <w:tc>
          <w:tcPr>
            <w:tcW w:w="574"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13</w:t>
            </w:r>
            <w:r>
              <w:rPr>
                <w:color w:val="auto"/>
                <w:highlight w:val="none"/>
              </w:rPr>
            </w:r>
            <w:r>
              <w:rPr>
                <w:color w:val="auto"/>
                <w:highlight w:val="none"/>
              </w:rPr>
            </w:r>
          </w:p>
        </w:tc>
        <w:tc>
          <w:tcPr>
            <w:tcW w:w="1682" w:type="dxa"/>
            <w:vAlign w:val="center"/>
            <w:vMerge w:val="continue"/>
            <w:textDirection w:val="lrTb"/>
            <w:noWrap w:val="false"/>
          </w:tcPr>
          <w:p>
            <w:pPr>
              <w:pStyle w:val="808"/>
              <w:ind w:firstLine="480"/>
              <w:rPr>
                <w:rFonts w:ascii="宋体" w:hAnsi="宋体"/>
                <w:sz w:val="18"/>
                <w:szCs w:val="18"/>
              </w:rPr>
            </w:pPr>
            <w:r>
              <w:rPr>
                <w:rFonts w:ascii="宋体" w:hAnsi="宋体"/>
                <w:sz w:val="18"/>
                <w:szCs w:val="18"/>
              </w:rPr>
            </w:r>
            <w:r/>
          </w:p>
        </w:tc>
        <w:tc>
          <w:tcPr>
            <w:tcW w:w="6913"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全市（区）废气主要污染物排放量与管控前排放量比较情况统计</w:t>
            </w:r>
            <w:r>
              <w:rPr>
                <w:color w:val="auto"/>
                <w:highlight w:val="none"/>
              </w:rPr>
            </w:r>
            <w:r>
              <w:rPr>
                <w:color w:val="auto"/>
                <w:highlight w:val="none"/>
              </w:rPr>
            </w:r>
          </w:p>
        </w:tc>
      </w:tr>
    </w:tbl>
    <w:p>
      <w:pPr>
        <w:pStyle w:val="808"/>
        <w:ind w:firstLine="48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3.3  </w:t>
      </w:r>
      <w:r>
        <w:rPr>
          <w:rFonts w:hint="eastAsia" w:ascii="宋体" w:hAnsi="宋体"/>
          <w:b/>
          <w:color w:val="auto"/>
          <w:sz w:val="24"/>
          <w:szCs w:val="24"/>
          <w:highlight w:val="none"/>
        </w:rPr>
        <w:t xml:space="preserve">其他类运维服务</w:t>
      </w:r>
      <w:r>
        <w:rPr>
          <w:color w:val="auto"/>
          <w:highlight w:val="none"/>
        </w:rPr>
      </w:r>
      <w:r>
        <w:rPr>
          <w:color w:val="auto"/>
          <w:highlight w:val="none"/>
        </w:rPr>
      </w:r>
    </w:p>
    <w:p>
      <w:pPr>
        <w:pStyle w:val="808"/>
        <w:ind w:firstLine="48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3.3.1  </w:t>
      </w:r>
      <w:r>
        <w:rPr>
          <w:rFonts w:hint="eastAsia" w:ascii="宋体" w:hAnsi="宋体"/>
          <w:b/>
          <w:color w:val="auto"/>
          <w:sz w:val="24"/>
          <w:szCs w:val="24"/>
          <w:highlight w:val="none"/>
        </w:rPr>
        <w:t xml:space="preserve">数据服务</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、数据备份与恢复</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制定数据备份策略，定期备份数据，以便在数据丢失或故障时能够及时恢复数据。</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、数据质量标准</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确保数据的准确性、完整性、一致性和及时性，制定数据质量评估指标和方法，定期监控和评估数据质量。</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、数据安全标准：</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制定数据安全策略和控制措施，确保数据的机密性、完整性和可用性，保护数据免受未经授权访问、泄露或损坏。</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、数据隐私标准：</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遵守相关法规和法律要求，保护个人数据的隐私，限制对敏感数据的访问和使用。</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、数据备份与恢复标准：</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设计数据备份策略，规定备份频率、存储位置和恢复过程，以确保数据在丢失或故障时能够及时恢复。</w:t>
      </w:r>
      <w:r>
        <w:rPr>
          <w:color w:val="auto"/>
          <w:highlight w:val="none"/>
        </w:rPr>
      </w:r>
      <w:r>
        <w:rPr>
          <w:color w:val="auto"/>
          <w:highlight w:val="none"/>
        </w:rPr>
      </w:r>
    </w:p>
    <w:p>
      <w:pPr>
        <w:pStyle w:val="808"/>
        <w:ind w:firstLine="48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3.3.2  </w:t>
      </w:r>
      <w:r>
        <w:rPr>
          <w:rFonts w:hint="eastAsia" w:ascii="宋体" w:hAnsi="宋体"/>
          <w:b/>
          <w:color w:val="auto"/>
          <w:sz w:val="24"/>
          <w:szCs w:val="24"/>
          <w:highlight w:val="none"/>
        </w:rPr>
        <w:t xml:space="preserve">安全服务</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、安全风险评估与咨询</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对组织的信息系统和网络进行安全风险评估，发现潜在的安全漏洞和风险，并提供相应的咨询建议和改进方案。</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2、网络安全防护</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配置和管理防火墙、入侵检测系统（IDS）、入侵防御系统（IPS）等网络安全设备，防范未经授权的访问和网络攻击。</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、安全事件监测与响应</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实时监测安全事件和异常行为，快速响应安全事件，采取必要的措施进行应对和处置。</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、数据安全与加密</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确保数据的机密性和完整性，采用数据加密技术保护敏感数据，在数据传输和存储过程中进行加密处理。</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、身份认证与访问控制</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配置和管理身份认证系统，确保用户合法身份，并限制用户访问权限，防止未授权访问。</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、安全培训与意识</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提供员工安全培训和意识教育，增强员工对安全风险和安全措施的认识，防范社会工程学攻击。</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、恶意软件防护</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使用防病毒软件、反恶意软件等工具，检测和阻止恶意软件的传播和感染。</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8</w:t>
      </w:r>
      <w:r>
        <w:rPr>
          <w:rFonts w:hint="eastAsia" w:ascii="宋体" w:hAnsi="宋体"/>
          <w:color w:val="auto"/>
          <w:sz w:val="24"/>
          <w:szCs w:val="24"/>
          <w:highlight w:val="none"/>
        </w:rPr>
        <w:t xml:space="preserve">、安全合规与审计</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确保组织遵守相关法规和安全标准，进行安全合规审计，发现和解决安全合规问题。</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9</w:t>
      </w:r>
      <w:r>
        <w:rPr>
          <w:rFonts w:hint="eastAsia" w:ascii="宋体" w:hAnsi="宋体"/>
          <w:color w:val="auto"/>
          <w:sz w:val="24"/>
          <w:szCs w:val="24"/>
          <w:highlight w:val="none"/>
        </w:rPr>
        <w:t xml:space="preserve">、物理安全措施</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设计和实施物理安全措施，如门禁、监控系统等，保护设备和数据中心的安全。</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10</w:t>
      </w:r>
      <w:r>
        <w:rPr>
          <w:rFonts w:hint="eastAsia" w:ascii="宋体" w:hAnsi="宋体"/>
          <w:color w:val="auto"/>
          <w:sz w:val="24"/>
          <w:szCs w:val="24"/>
          <w:highlight w:val="none"/>
        </w:rPr>
        <w:t xml:space="preserve">、灾难恢复计划与备份</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制定灾难恢复计划，确保在安全事件或灾难发生时能够快速恢复业务，同时进行数据备份以防止数据丢失。</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11</w:t>
      </w:r>
      <w:r>
        <w:rPr>
          <w:rFonts w:hint="eastAsia" w:ascii="宋体" w:hAnsi="宋体"/>
          <w:color w:val="auto"/>
          <w:sz w:val="24"/>
          <w:szCs w:val="24"/>
          <w:highlight w:val="none"/>
        </w:rPr>
        <w:t xml:space="preserve">、移动设备安全</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管理和保护移动设备的安全，包括远程锁定、数据擦除、移动设备管理（MDM）等措施。</w:t>
      </w:r>
      <w:r>
        <w:rPr>
          <w:color w:val="auto"/>
          <w:highlight w:val="none"/>
        </w:rPr>
      </w:r>
      <w:r>
        <w:rPr>
          <w:color w:val="auto"/>
          <w:highlight w:val="none"/>
        </w:rPr>
      </w:r>
    </w:p>
    <w:p>
      <w:pPr>
        <w:pStyle w:val="808"/>
        <w:ind w:firstLine="48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3.3.3  </w:t>
      </w:r>
      <w:r>
        <w:rPr>
          <w:rFonts w:hint="eastAsia" w:ascii="宋体" w:hAnsi="宋体"/>
          <w:b/>
          <w:color w:val="auto"/>
          <w:sz w:val="24"/>
          <w:szCs w:val="24"/>
          <w:highlight w:val="none"/>
        </w:rPr>
        <w:t xml:space="preserve">运维咨询</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、运维流程优化</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分析客户的运维流程，发现流程中的瓶颈和问题，提出优化建议，帮助客户实施更高效的运维流程。</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、运维策略和规范</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制定运维策略和规范，包括硬件设备的选择、配置管理、备份与恢复策略、安全策略等，确保运维工作有条不紊地进行。</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、故障预防与处理</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帮助客户建立故障预防机制，通过监控、告警、巡检等手段，及早发现潜在故障并采取措施进行处理，最大程度地减少系统故障对业务的影响。</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4、系统性能优化</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分析客户的系统性能瓶颈，针对性地优化系统配置和参数，提高系统的响应速度和性能表现。</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、备份与灾难恢复</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评估客户的备份与灾难恢复计划，提供备份策略和恢复方案，确保数据安全和业务连续性。</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、安全与合规咨询</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提供安全与合规方面的咨询，包括网络安全、数据安全、合规性要求等，帮助客户建立健全的安全体系和合规机制。</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、资源管理与优化</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分析客户的资源使用情况，推荐资源管理策略，避免资源浪费和不必要的成本开支。</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8</w:t>
      </w:r>
      <w:r>
        <w:rPr>
          <w:rFonts w:hint="eastAsia" w:ascii="宋体" w:hAnsi="宋体"/>
          <w:color w:val="auto"/>
          <w:sz w:val="24"/>
          <w:szCs w:val="24"/>
          <w:highlight w:val="none"/>
        </w:rPr>
        <w:t xml:space="preserve">、技术选型和方案设计</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根据客户的业务需求，提供合适的技术选型和系统方案设计，确保系统能够满足业务发展和扩展的要求。</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9</w:t>
      </w:r>
      <w:r>
        <w:rPr>
          <w:rFonts w:hint="eastAsia" w:ascii="宋体" w:hAnsi="宋体"/>
          <w:color w:val="auto"/>
          <w:sz w:val="24"/>
          <w:szCs w:val="24"/>
          <w:highlight w:val="none"/>
        </w:rPr>
        <w:t xml:space="preserve">、持续改进</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提供持续改进的建议和实施方案，帮助客户不断提升运维管理水平和服务质量。</w:t>
      </w:r>
      <w:r>
        <w:rPr>
          <w:color w:val="auto"/>
          <w:highlight w:val="none"/>
        </w:rPr>
      </w:r>
      <w:r>
        <w:rPr>
          <w:color w:val="auto"/>
          <w:highlight w:val="none"/>
        </w:rPr>
      </w:r>
    </w:p>
    <w:p>
      <w:pPr>
        <w:pStyle w:val="808"/>
        <w:ind w:firstLine="48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3.3.4  </w:t>
      </w:r>
      <w:r>
        <w:rPr>
          <w:rFonts w:hint="eastAsia" w:ascii="宋体" w:hAnsi="宋体"/>
          <w:b/>
          <w:color w:val="auto"/>
          <w:sz w:val="24"/>
          <w:szCs w:val="24"/>
          <w:highlight w:val="none"/>
        </w:rPr>
        <w:t xml:space="preserve">项目管理</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、项目立项与规划</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确定项目目标和范围，明确项目的可交付成果，制定项目计划和时间表，明确项目的资源需求和风险评估。</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、团队组建与管理</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组建项目团队，明确团队成员的职责和角色，协调团队成员的工作，建立有效的团队合作机制。</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、项目需求分析</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分析和明确项目的需求和功能要求，与利益相关者进行沟通，确保对需求的理解和共识。</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、项目进度管理</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监控项目进度，及时识别延期和偏差，并采取措施进行调整，确保项目按时交付。</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、项目成本管理</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控制项目成本，进行成本估算和预算编制，定期进行成本核算和费用分析。</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、风险管理</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识别项目风险，进行风险评估和优先级排序，制定风险应对计划，降低项目风险对项目目标的影响。</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、质量管理</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确保项目交付的成果符合预期质量要求，建立质量标准和验收标准，进行质量检查和测试。</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8</w:t>
      </w:r>
      <w:r>
        <w:rPr>
          <w:rFonts w:hint="eastAsia" w:ascii="宋体" w:hAnsi="宋体"/>
          <w:color w:val="auto"/>
          <w:sz w:val="24"/>
          <w:szCs w:val="24"/>
          <w:highlight w:val="none"/>
        </w:rPr>
        <w:t xml:space="preserve">、沟通与沟通管理</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建立有效的沟通机制，与项目团队和利益相关者进行及时、准确的沟通，解决问题和决策。</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9</w:t>
      </w:r>
      <w:r>
        <w:rPr>
          <w:rFonts w:hint="eastAsia" w:ascii="宋体" w:hAnsi="宋体"/>
          <w:color w:val="auto"/>
          <w:sz w:val="24"/>
          <w:szCs w:val="24"/>
          <w:highlight w:val="none"/>
        </w:rPr>
        <w:t xml:space="preserve">、变更管理</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管理项目的变更请求，评估变更对项目的影响，确保变更得到适当的批准和实施。</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10</w:t>
      </w:r>
      <w:r>
        <w:rPr>
          <w:rFonts w:hint="eastAsia" w:ascii="宋体" w:hAnsi="宋体"/>
          <w:color w:val="auto"/>
          <w:sz w:val="24"/>
          <w:szCs w:val="24"/>
          <w:highlight w:val="none"/>
        </w:rPr>
        <w:t xml:space="preserve">、项目文档管理</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管理项目的相关文档，确保文档的准确性和及时性，便于项目团队的查阅和使用。</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11</w:t>
      </w:r>
      <w:r>
        <w:rPr>
          <w:rFonts w:hint="eastAsia" w:ascii="宋体" w:hAnsi="宋体"/>
          <w:color w:val="auto"/>
          <w:sz w:val="24"/>
          <w:szCs w:val="24"/>
          <w:highlight w:val="none"/>
        </w:rPr>
        <w:t xml:space="preserve">、项目交付与验收</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对项目交付的成果进行验收，确保项目交付的成果符合预期要求和验收标准。</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12</w:t>
      </w:r>
      <w:r>
        <w:rPr>
          <w:rFonts w:hint="eastAsia" w:ascii="宋体" w:hAnsi="宋体"/>
          <w:color w:val="auto"/>
          <w:sz w:val="24"/>
          <w:szCs w:val="24"/>
          <w:highlight w:val="none"/>
        </w:rPr>
        <w:t xml:space="preserve">、项目总结与复盘</w:t>
      </w:r>
      <w:r>
        <w:rPr>
          <w:color w:val="auto"/>
          <w:highlight w:val="none"/>
        </w:rPr>
      </w:r>
      <w:r>
        <w:rPr>
          <w:color w:val="auto"/>
          <w:highlight w:val="none"/>
        </w:rPr>
      </w:r>
    </w:p>
    <w:p>
      <w:pPr>
        <w:pStyle w:val="808"/>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在项目结束后，进行项目总结和复盘，总结项目经验教训，为以后的项目提供借鉴和改进。</w:t>
      </w:r>
      <w:r>
        <w:rPr>
          <w:color w:val="auto"/>
          <w:highlight w:val="none"/>
        </w:rPr>
      </w:r>
      <w:r>
        <w:rPr>
          <w:color w:val="auto"/>
          <w:highlight w:val="none"/>
        </w:rPr>
      </w:r>
    </w:p>
    <w:p>
      <w:pPr>
        <w:pStyle w:val="808"/>
        <w:numPr>
          <w:ilvl w:val="0"/>
          <w:numId w:val="34"/>
        </w:numPr>
        <w:spacing w:line="360" w:lineRule="auto"/>
        <w:rPr>
          <w:rFonts w:ascii="宋体" w:hAnsi="宋体"/>
          <w:b/>
          <w:bCs/>
          <w:color w:val="auto"/>
          <w:sz w:val="24"/>
          <w:szCs w:val="24"/>
          <w:highlight w:val="none"/>
        </w:rPr>
        <w:outlineLvl w:val="0"/>
      </w:pPr>
      <w:r>
        <w:rPr>
          <w:color w:val="auto"/>
          <w:highlight w:val="none"/>
        </w:rPr>
      </w:r>
      <w:bookmarkStart w:id="207" w:name="_Toc149578846"/>
      <w:r>
        <w:rPr>
          <w:rFonts w:ascii="宋体" w:hAnsi="宋体"/>
          <w:b/>
          <w:bCs/>
          <w:color w:val="auto"/>
          <w:sz w:val="24"/>
          <w:szCs w:val="24"/>
          <w:highlight w:val="none"/>
        </w:rPr>
        <w:t xml:space="preserve">运维服务质量考核</w:t>
      </w:r>
      <w:bookmarkEnd w:id="207"/>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考核周期：本考核办法采用半年考核的方式，每年进行一次综合考核。</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具体的考核指标和标准包含服务可靠性（故障率）、服务台响应速度、故障处理时间、服务台解决时间、服务台客户满意度。</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color w:val="auto"/>
          <w:highlight w:val="none"/>
        </w:rPr>
      </w:r>
      <w:bookmarkStart w:id="208" w:name="_Toc149578847"/>
      <w:r>
        <w:rPr>
          <w:rFonts w:hint="eastAsia" w:ascii="宋体" w:hAnsi="宋体"/>
          <w:b/>
          <w:color w:val="auto"/>
          <w:sz w:val="24"/>
          <w:szCs w:val="24"/>
          <w:highlight w:val="none"/>
        </w:rPr>
        <w:t xml:space="preserve">4.1  </w:t>
      </w:r>
      <w:r>
        <w:rPr>
          <w:rFonts w:ascii="宋体" w:hAnsi="宋体"/>
          <w:b/>
          <w:color w:val="auto"/>
          <w:sz w:val="24"/>
          <w:szCs w:val="24"/>
          <w:highlight w:val="none"/>
        </w:rPr>
        <w:t xml:space="preserve">服务可靠性（故障率）</w:t>
      </w:r>
      <w:bookmarkEnd w:id="208"/>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考核软件项目运维的稳定性和可靠性，以及团队对故障的预防和处理能力。要求服务中断不能超过</w:t>
      </w:r>
      <w:r>
        <w:rPr>
          <w:rFonts w:ascii="宋体" w:hAnsi="宋体"/>
          <w:color w:val="auto"/>
          <w:sz w:val="24"/>
          <w:szCs w:val="24"/>
          <w:highlight w:val="none"/>
        </w:rPr>
        <w:t xml:space="preserve">2次，每次中断不能超过2小时。服务中断超过2次（不含2次），每多一次扣1分。</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中断时间超过</w:t>
      </w:r>
      <w:r>
        <w:rPr>
          <w:rFonts w:ascii="宋体" w:hAnsi="宋体"/>
          <w:color w:val="auto"/>
          <w:sz w:val="24"/>
          <w:szCs w:val="24"/>
          <w:highlight w:val="none"/>
        </w:rPr>
        <w:t xml:space="preserve">2小时扣1分，如有客观情况，则需要与用户协商一致并记录。此项最多扣20分。</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color w:val="auto"/>
          <w:highlight w:val="none"/>
        </w:rPr>
      </w:r>
      <w:bookmarkStart w:id="209" w:name="_Toc149578848"/>
      <w:r>
        <w:rPr>
          <w:rFonts w:hint="eastAsia" w:ascii="宋体" w:hAnsi="宋体"/>
          <w:b/>
          <w:color w:val="auto"/>
          <w:sz w:val="24"/>
          <w:szCs w:val="24"/>
          <w:highlight w:val="none"/>
        </w:rPr>
        <w:t xml:space="preserve">4.2  </w:t>
      </w:r>
      <w:r>
        <w:rPr>
          <w:rFonts w:ascii="宋体" w:hAnsi="宋体"/>
          <w:b/>
          <w:color w:val="auto"/>
          <w:sz w:val="24"/>
          <w:szCs w:val="24"/>
          <w:highlight w:val="none"/>
        </w:rPr>
        <w:t xml:space="preserve">服务台响应速度</w:t>
      </w:r>
      <w:bookmarkEnd w:id="209"/>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考核服务台在接收用户请求或问题时的响应速度和处理效率。要求服务台响应速度不超过</w:t>
      </w:r>
      <w:r>
        <w:rPr>
          <w:rFonts w:ascii="宋体" w:hAnsi="宋体"/>
          <w:color w:val="auto"/>
          <w:sz w:val="24"/>
          <w:szCs w:val="24"/>
          <w:highlight w:val="none"/>
        </w:rPr>
        <w:t xml:space="preserve">2小时。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服务台响应速度超过</w:t>
      </w:r>
      <w:r>
        <w:rPr>
          <w:rFonts w:ascii="宋体" w:hAnsi="宋体"/>
          <w:color w:val="auto"/>
          <w:sz w:val="24"/>
          <w:szCs w:val="24"/>
          <w:highlight w:val="none"/>
        </w:rPr>
        <w:t xml:space="preserve">2小时（不含）扣1分，如有客观情况，则需要与用户协商一致并记录。此项最多扣20分。</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color w:val="auto"/>
          <w:highlight w:val="none"/>
        </w:rPr>
      </w:r>
      <w:bookmarkStart w:id="210" w:name="_Toc149578849"/>
      <w:r>
        <w:rPr>
          <w:rFonts w:hint="eastAsia" w:ascii="宋体" w:hAnsi="宋体"/>
          <w:b/>
          <w:color w:val="auto"/>
          <w:sz w:val="24"/>
          <w:szCs w:val="24"/>
          <w:highlight w:val="none"/>
        </w:rPr>
        <w:t xml:space="preserve">4.3  </w:t>
      </w:r>
      <w:r>
        <w:rPr>
          <w:rFonts w:ascii="宋体" w:hAnsi="宋体"/>
          <w:b/>
          <w:color w:val="auto"/>
          <w:sz w:val="24"/>
          <w:szCs w:val="24"/>
          <w:highlight w:val="none"/>
        </w:rPr>
        <w:t xml:space="preserve">故障处理时间</w:t>
      </w:r>
      <w:bookmarkEnd w:id="210"/>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考核团队在处理故障时的响应速度和处理效率。</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要求一级故障服务请求后30分钟内给予答复（含工作日、非工作日），提供初步故障诊断分析和解决方案。</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要求二级故障服务请求后1小时内给予答复（含工作日、非工作日），提供故障诊断分析和解决方案。</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要求三级故障服务请求后，在工作日，2小时内给予答复，提供故障诊断分析和解决方案；在非工作日，5小时内给予答复，提供故障诊断分析和解决方案。</w:t>
      </w:r>
      <w:r>
        <w:rPr>
          <w:color w:val="auto"/>
          <w:highlight w:val="none"/>
        </w:rPr>
      </w:r>
      <w:r>
        <w:rPr>
          <w:color w:val="auto"/>
          <w:highlight w:val="none"/>
        </w:rPr>
      </w:r>
    </w:p>
    <w:p>
      <w:pPr>
        <w:pStyle w:val="808"/>
        <w:numPr>
          <w:ilvl w:val="0"/>
          <w:numId w:val="19"/>
        </w:numPr>
        <w:ind w:left="924" w:hanging="442"/>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要求四级故障服务请求后，在工作日，24小时内给予答复，提供故障诊断分析和解决方案；在非工作日，第2个工作日内给予答复，提供故障诊断分析和解决方案。</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根据不同故障级别，每超过一次相应级别的故障处理时间扣</w:t>
      </w:r>
      <w:r>
        <w:rPr>
          <w:rFonts w:ascii="宋体" w:hAnsi="宋体"/>
          <w:color w:val="auto"/>
          <w:sz w:val="24"/>
          <w:szCs w:val="24"/>
          <w:highlight w:val="none"/>
        </w:rPr>
        <w:t xml:space="preserve">1分，如有客观情况，则需要与用户协商一致并记录。此项最多扣20分。</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color w:val="auto"/>
          <w:highlight w:val="none"/>
        </w:rPr>
      </w:r>
      <w:bookmarkStart w:id="211" w:name="_Toc149578850"/>
      <w:r>
        <w:rPr>
          <w:rFonts w:hint="eastAsia" w:ascii="宋体" w:hAnsi="宋体"/>
          <w:b/>
          <w:color w:val="auto"/>
          <w:sz w:val="24"/>
          <w:szCs w:val="24"/>
          <w:highlight w:val="none"/>
        </w:rPr>
        <w:t xml:space="preserve">4.4  </w:t>
      </w:r>
      <w:r>
        <w:rPr>
          <w:rFonts w:ascii="宋体" w:hAnsi="宋体"/>
          <w:b/>
          <w:color w:val="auto"/>
          <w:sz w:val="24"/>
          <w:szCs w:val="24"/>
          <w:highlight w:val="none"/>
        </w:rPr>
        <w:t xml:space="preserve">服务台解决时间</w:t>
      </w:r>
      <w:bookmarkEnd w:id="211"/>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考核服务台在解决用户问题或请求时的处理效率和用户满意度。要求服务台解决时间不超过</w:t>
      </w:r>
      <w:r>
        <w:rPr>
          <w:rFonts w:ascii="宋体" w:hAnsi="宋体"/>
          <w:color w:val="auto"/>
          <w:sz w:val="24"/>
          <w:szCs w:val="24"/>
          <w:highlight w:val="none"/>
        </w:rPr>
        <w:t xml:space="preserve">4小时。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如果解决时间超过</w:t>
      </w:r>
      <w:r>
        <w:rPr>
          <w:rFonts w:ascii="宋体" w:hAnsi="宋体"/>
          <w:color w:val="auto"/>
          <w:sz w:val="24"/>
          <w:szCs w:val="24"/>
          <w:highlight w:val="none"/>
        </w:rPr>
        <w:t xml:space="preserve">4小时（不含）扣1分，如有客观情况，则需要与用户协商一致并记录。此项最多扣20分。</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color w:val="auto"/>
          <w:highlight w:val="none"/>
        </w:rPr>
      </w:r>
      <w:bookmarkStart w:id="212" w:name="_Toc149578851"/>
      <w:r>
        <w:rPr>
          <w:rFonts w:hint="eastAsia" w:ascii="宋体" w:hAnsi="宋体"/>
          <w:b/>
          <w:color w:val="auto"/>
          <w:sz w:val="24"/>
          <w:szCs w:val="24"/>
          <w:highlight w:val="none"/>
        </w:rPr>
        <w:t xml:space="preserve">4.5  </w:t>
      </w:r>
      <w:r>
        <w:rPr>
          <w:rFonts w:ascii="宋体" w:hAnsi="宋体"/>
          <w:b/>
          <w:color w:val="auto"/>
          <w:sz w:val="24"/>
          <w:szCs w:val="24"/>
          <w:highlight w:val="none"/>
        </w:rPr>
        <w:t xml:space="preserve">服务台客户满意度</w:t>
      </w:r>
      <w:bookmarkEnd w:id="212"/>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考核服务台的服务质量和用户满意度。要求服务台客户满意度不低于</w:t>
      </w:r>
      <w:r>
        <w:rPr>
          <w:rFonts w:ascii="宋体" w:hAnsi="宋体"/>
          <w:color w:val="auto"/>
          <w:sz w:val="24"/>
          <w:szCs w:val="24"/>
          <w:highlight w:val="none"/>
        </w:rPr>
        <w:t xml:space="preserve">95%。</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客户满意度低于</w:t>
      </w:r>
      <w:r>
        <w:rPr>
          <w:rFonts w:ascii="宋体" w:hAnsi="宋体"/>
          <w:color w:val="auto"/>
          <w:sz w:val="24"/>
          <w:szCs w:val="24"/>
          <w:highlight w:val="none"/>
        </w:rPr>
        <w:t xml:space="preserve">95%（不含），每低1%。扣1分，此项最多扣10分，如有客观情况，则需要与用户协商一致并记录。此项最多扣20分。</w:t>
      </w:r>
      <w:r>
        <w:rPr>
          <w:color w:val="auto"/>
          <w:highlight w:val="none"/>
        </w:rPr>
      </w:r>
      <w:r>
        <w:rPr>
          <w:color w:val="auto"/>
          <w:highlight w:val="none"/>
        </w:rPr>
      </w:r>
    </w:p>
    <w:p>
      <w:pPr>
        <w:pStyle w:val="808"/>
        <w:ind w:firstLine="480"/>
        <w:jc w:val="left"/>
        <w:spacing w:line="360" w:lineRule="auto"/>
        <w:widowControl/>
        <w:rPr>
          <w:rFonts w:ascii="宋体" w:hAnsi="宋体"/>
          <w:b/>
          <w:color w:val="auto"/>
          <w:sz w:val="24"/>
          <w:szCs w:val="24"/>
          <w:highlight w:val="none"/>
        </w:rPr>
      </w:pPr>
      <w:r>
        <w:rPr>
          <w:color w:val="auto"/>
          <w:highlight w:val="none"/>
        </w:rPr>
      </w:r>
      <w:bookmarkStart w:id="213" w:name="_Toc149578852"/>
      <w:r>
        <w:rPr>
          <w:rFonts w:hint="eastAsia" w:ascii="宋体" w:hAnsi="宋体"/>
          <w:b/>
          <w:color w:val="auto"/>
          <w:sz w:val="24"/>
          <w:szCs w:val="24"/>
          <w:highlight w:val="none"/>
        </w:rPr>
        <w:t xml:space="preserve">4.6  </w:t>
      </w:r>
      <w:r>
        <w:rPr>
          <w:rFonts w:ascii="宋体" w:hAnsi="宋体"/>
          <w:b/>
          <w:color w:val="auto"/>
          <w:sz w:val="24"/>
          <w:szCs w:val="24"/>
          <w:highlight w:val="none"/>
        </w:rPr>
        <w:t xml:space="preserve">考核结果</w:t>
      </w:r>
      <w:bookmarkEnd w:id="213"/>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每半年对项目开展一次运行维护工作考核，满分为</w:t>
      </w:r>
      <w:r>
        <w:rPr>
          <w:rFonts w:ascii="宋体" w:hAnsi="宋体"/>
          <w:color w:val="auto"/>
          <w:sz w:val="24"/>
          <w:szCs w:val="24"/>
          <w:highlight w:val="none"/>
        </w:rPr>
        <w:t xml:space="preserve">100分，大于等于85分为合格，大于等于70分小于85分为基本合格，小于70分为不合格。因运维工作不到位出现重大网络安全问题、重大数据安全问题、重大业务工作失误、重大数据损失、重要系统故障修复不及时等情况的，直接判定为不合格。用户对考核细则和考核结果保留最终解释权。</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考核结果为合格的，全额支付当期合同款，限期整改存在问题；考核结果为基本合格的，支付当期合同款的</w:t>
      </w:r>
      <w:r>
        <w:rPr>
          <w:rFonts w:ascii="宋体" w:hAnsi="宋体"/>
          <w:color w:val="auto"/>
          <w:sz w:val="24"/>
          <w:szCs w:val="24"/>
          <w:highlight w:val="none"/>
        </w:rPr>
        <w:t xml:space="preserve">70%（剩余30%合同款予以扣除），限期整改存在问题；考核结果为不合格的，当期合同款全部予以扣除，限期整改存在问题；连续两次考核结果为不合格的，解除合同。</w:t>
      </w:r>
      <w:r>
        <w:rPr>
          <w:color w:val="auto"/>
          <w:highlight w:val="none"/>
        </w:rPr>
      </w:r>
      <w:r>
        <w:rPr>
          <w:color w:val="auto"/>
          <w:highlight w:val="none"/>
        </w:rPr>
      </w:r>
    </w:p>
    <w:p>
      <w:pPr>
        <w:pStyle w:val="808"/>
        <w:numPr>
          <w:ilvl w:val="0"/>
          <w:numId w:val="34"/>
        </w:numPr>
        <w:spacing w:line="360" w:lineRule="auto"/>
        <w:rPr>
          <w:rFonts w:ascii="宋体" w:hAnsi="宋体"/>
          <w:b/>
          <w:bCs/>
          <w:color w:val="auto"/>
          <w:sz w:val="24"/>
          <w:szCs w:val="24"/>
          <w:highlight w:val="none"/>
        </w:rPr>
        <w:outlineLvl w:val="0"/>
      </w:pPr>
      <w:r>
        <w:rPr>
          <w:rFonts w:hint="eastAsia" w:ascii="宋体" w:hAnsi="宋体"/>
          <w:b/>
          <w:bCs/>
          <w:color w:val="auto"/>
          <w:sz w:val="24"/>
          <w:szCs w:val="24"/>
          <w:highlight w:val="none"/>
        </w:rPr>
        <w:t xml:space="preserve">运维整体服务要求</w:t>
      </w:r>
      <w:r>
        <w:rPr>
          <w:color w:val="auto"/>
          <w:highlight w:val="none"/>
        </w:rPr>
      </w:r>
      <w:r>
        <w:rPr>
          <w:color w:val="auto"/>
          <w:highlight w:val="none"/>
        </w:rPr>
      </w:r>
    </w:p>
    <w:p>
      <w:pPr>
        <w:pStyle w:val="808"/>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、本项目服务地址为无锡市生态环境局（观山路1</w:t>
      </w:r>
      <w:r>
        <w:rPr>
          <w:rFonts w:ascii="宋体" w:hAnsi="宋体"/>
          <w:bCs/>
          <w:color w:val="auto"/>
          <w:sz w:val="24"/>
          <w:szCs w:val="24"/>
          <w:highlight w:val="none"/>
        </w:rPr>
        <w:t xml:space="preserve">99</w:t>
      </w:r>
      <w:r>
        <w:rPr>
          <w:rFonts w:hint="eastAsia" w:ascii="宋体" w:hAnsi="宋体"/>
          <w:bCs/>
          <w:color w:val="auto"/>
          <w:sz w:val="24"/>
          <w:szCs w:val="24"/>
          <w:highlight w:val="none"/>
        </w:rPr>
        <w:t xml:space="preserve">号市民中心1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号楼3层）和无锡市生态环境监控中心（周新东路1</w:t>
      </w:r>
      <w:r>
        <w:rPr>
          <w:rFonts w:ascii="宋体" w:hAnsi="宋体"/>
          <w:bCs/>
          <w:color w:val="auto"/>
          <w:sz w:val="24"/>
          <w:szCs w:val="24"/>
          <w:highlight w:val="none"/>
        </w:rPr>
        <w:t xml:space="preserve">23</w:t>
      </w:r>
      <w:r>
        <w:rPr>
          <w:rFonts w:hint="eastAsia" w:ascii="宋体" w:hAnsi="宋体"/>
          <w:bCs/>
          <w:color w:val="auto"/>
          <w:sz w:val="24"/>
          <w:szCs w:val="24"/>
          <w:highlight w:val="none"/>
        </w:rPr>
        <w:t xml:space="preserve">号）。</w:t>
      </w:r>
      <w:r>
        <w:rPr>
          <w:color w:val="auto"/>
          <w:highlight w:val="none"/>
        </w:rPr>
      </w:r>
      <w:r>
        <w:rPr>
          <w:color w:val="auto"/>
          <w:highlight w:val="none"/>
        </w:rPr>
      </w:r>
    </w:p>
    <w:p>
      <w:pPr>
        <w:pStyle w:val="808"/>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、中标单位需建立专门的运行维护档案，要做出系统的详细配置清单、系统版本号、系统使用情况，每次巡检应填写巡检表，记录系统的运行情况、出现过的问题和解决办法、系统的配置变动情况等。</w:t>
      </w:r>
      <w:r>
        <w:rPr>
          <w:color w:val="auto"/>
          <w:highlight w:val="none"/>
        </w:rPr>
      </w:r>
      <w:r>
        <w:rPr>
          <w:color w:val="auto"/>
          <w:highlight w:val="none"/>
        </w:rPr>
      </w:r>
    </w:p>
    <w:p>
      <w:pPr>
        <w:pStyle w:val="808"/>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中标单位须有5名（含）以上具有综合软件开发、数据库开发或环境保护专业运维背景的专职运维工程师驻场，驻场工程师具有3年（含）以上相关工作经验，熟悉现有软件系统部署，精通系统维护工作，熟练掌握各系统配置方法，能够独立完成操作及系统保障工作。驻场工程师接受采购单位的考勤管理，承担系统运行维护工作及采购单位分派的其他相关业务工作。</w:t>
      </w:r>
      <w:r>
        <w:rPr>
          <w:color w:val="auto"/>
          <w:highlight w:val="none"/>
        </w:rPr>
      </w:r>
      <w:r>
        <w:rPr>
          <w:color w:val="auto"/>
          <w:highlight w:val="none"/>
        </w:rPr>
      </w:r>
    </w:p>
    <w:p>
      <w:pPr>
        <w:pStyle w:val="808"/>
        <w:ind w:firstLine="480"/>
        <w:spacing w:line="360" w:lineRule="auto"/>
        <w:rPr>
          <w:rFonts w:ascii="宋体" w:hAnsi="宋体"/>
          <w:b/>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中标</w:t>
      </w:r>
      <w:r>
        <w:rPr>
          <w:rFonts w:hint="eastAsia" w:ascii="宋体" w:hAnsi="宋体"/>
          <w:bCs/>
          <w:color w:val="auto"/>
          <w:sz w:val="24"/>
          <w:szCs w:val="24"/>
          <w:highlight w:val="none"/>
        </w:rPr>
        <w:t xml:space="preserve">单位</w:t>
      </w:r>
      <w:r>
        <w:rPr>
          <w:rFonts w:ascii="宋体" w:hAnsi="宋体"/>
          <w:bCs/>
          <w:color w:val="auto"/>
          <w:sz w:val="24"/>
          <w:szCs w:val="24"/>
          <w:highlight w:val="none"/>
        </w:rPr>
        <w:t xml:space="preserve">派驻人员</w:t>
      </w:r>
      <w:r>
        <w:rPr>
          <w:rFonts w:hint="eastAsia" w:ascii="宋体" w:hAnsi="宋体"/>
          <w:bCs/>
          <w:color w:val="auto"/>
          <w:sz w:val="24"/>
          <w:szCs w:val="24"/>
          <w:highlight w:val="none"/>
        </w:rPr>
        <w:t xml:space="preserve">需要保持稳定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如确需更换，需提前一个月向采购单位提出申请，经采购单位批准，新派驻人员需要和调离人员并行最少半个月时间做工作交接，以确保运维工作的无缝衔接和运维质量的稳定。同时</w:t>
      </w:r>
      <w:r>
        <w:rPr>
          <w:rFonts w:ascii="宋体" w:hAnsi="宋体"/>
          <w:bCs/>
          <w:color w:val="auto"/>
          <w:sz w:val="24"/>
          <w:szCs w:val="24"/>
          <w:highlight w:val="none"/>
        </w:rPr>
        <w:t xml:space="preserve">中标</w:t>
      </w:r>
      <w:r>
        <w:rPr>
          <w:rFonts w:hint="eastAsia" w:ascii="宋体" w:hAnsi="宋体"/>
          <w:bCs/>
          <w:color w:val="auto"/>
          <w:sz w:val="24"/>
          <w:szCs w:val="24"/>
          <w:highlight w:val="none"/>
        </w:rPr>
        <w:t xml:space="preserve">单位</w:t>
      </w:r>
      <w:r>
        <w:rPr>
          <w:rFonts w:ascii="宋体" w:hAnsi="宋体"/>
          <w:bCs/>
          <w:color w:val="auto"/>
          <w:sz w:val="24"/>
          <w:szCs w:val="24"/>
          <w:highlight w:val="none"/>
        </w:rPr>
        <w:t xml:space="preserve">必须将有关</w:t>
      </w:r>
      <w:r>
        <w:rPr>
          <w:rFonts w:hint="eastAsia" w:ascii="宋体" w:hAnsi="宋体"/>
          <w:bCs/>
          <w:color w:val="auto"/>
          <w:sz w:val="24"/>
          <w:szCs w:val="24"/>
          <w:highlight w:val="none"/>
        </w:rPr>
        <w:t xml:space="preserve">运维现场管理</w:t>
      </w:r>
      <w:r>
        <w:rPr>
          <w:rFonts w:ascii="宋体" w:hAnsi="宋体"/>
          <w:bCs/>
          <w:color w:val="auto"/>
          <w:sz w:val="24"/>
          <w:szCs w:val="24"/>
          <w:highlight w:val="none"/>
        </w:rPr>
        <w:t xml:space="preserve">规定明确告知新进人员，并要求其严格执行。</w:t>
      </w:r>
      <w:r>
        <w:rPr>
          <w:color w:val="auto"/>
          <w:highlight w:val="none"/>
        </w:rPr>
      </w:r>
      <w:r>
        <w:rPr>
          <w:color w:val="auto"/>
          <w:highlight w:val="none"/>
        </w:rPr>
      </w:r>
    </w:p>
    <w:p>
      <w:pPr>
        <w:pStyle w:val="808"/>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中标</w:t>
      </w:r>
      <w:r>
        <w:rPr>
          <w:rFonts w:hint="eastAsia" w:ascii="宋体" w:hAnsi="宋体"/>
          <w:bCs/>
          <w:color w:val="auto"/>
          <w:sz w:val="24"/>
          <w:szCs w:val="24"/>
          <w:highlight w:val="none"/>
        </w:rPr>
        <w:t xml:space="preserve">单位</w:t>
      </w:r>
      <w:r>
        <w:rPr>
          <w:rFonts w:ascii="宋体" w:hAnsi="宋体"/>
          <w:bCs/>
          <w:color w:val="auto"/>
          <w:sz w:val="24"/>
          <w:szCs w:val="24"/>
          <w:highlight w:val="none"/>
        </w:rPr>
        <w:t xml:space="preserve">派驻人员不得在内</w:t>
      </w:r>
      <w:r>
        <w:rPr>
          <w:rFonts w:hint="eastAsia" w:ascii="宋体" w:hAnsi="宋体"/>
          <w:bCs/>
          <w:color w:val="auto"/>
          <w:sz w:val="24"/>
          <w:szCs w:val="24"/>
          <w:highlight w:val="none"/>
        </w:rPr>
        <w:t xml:space="preserve">网</w:t>
      </w:r>
      <w:r>
        <w:rPr>
          <w:rFonts w:ascii="宋体" w:hAnsi="宋体"/>
          <w:bCs/>
          <w:color w:val="auto"/>
          <w:sz w:val="24"/>
          <w:szCs w:val="24"/>
          <w:highlight w:val="none"/>
        </w:rPr>
        <w:t xml:space="preserve">机上使用上网卡等无线设备非法连接互联网</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中标</w:t>
      </w:r>
      <w:r>
        <w:rPr>
          <w:rFonts w:hint="eastAsia" w:ascii="宋体" w:hAnsi="宋体"/>
          <w:bCs/>
          <w:color w:val="auto"/>
          <w:sz w:val="24"/>
          <w:szCs w:val="24"/>
          <w:highlight w:val="none"/>
        </w:rPr>
        <w:t xml:space="preserve">单位</w:t>
      </w:r>
      <w:r>
        <w:rPr>
          <w:rFonts w:ascii="宋体" w:hAnsi="宋体"/>
          <w:bCs/>
          <w:color w:val="auto"/>
          <w:sz w:val="24"/>
          <w:szCs w:val="24"/>
          <w:highlight w:val="none"/>
        </w:rPr>
        <w:t xml:space="preserve">派驻人员未经许可，不得擅自将自己携带的存有我局数据、敏感信息的计算机（含笔记本电脑）非法接入互联网</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 </w:t>
      </w:r>
      <w:r>
        <w:rPr>
          <w:color w:val="auto"/>
          <w:highlight w:val="none"/>
        </w:rPr>
      </w:r>
      <w:r>
        <w:rPr>
          <w:color w:val="auto"/>
          <w:highlight w:val="none"/>
        </w:rPr>
      </w:r>
    </w:p>
    <w:p>
      <w:pPr>
        <w:pStyle w:val="808"/>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本项目的运行维护目标为：7*24小时运维服务，法定节假日或重大活动期间，中标单位应主动提前提供值班工程师名单及联系电话，客户呼叫即时响应并及时到达现场；局部故障24小时内修复，平台级重大故障72小时修复，全年无重大损失性硬件故障（网络瘫痪、数据丢失等）；中标单位须每季度提交系统巡检报告、运维工作总结、下阶段工作计划、系统升级改造建议报告等书面材料，采购单位根据日常运维工作开展情况及书面报告总结材料，对中标单位的工作质效整体评估，评估结果较差的将扣减相应合同款。</w:t>
      </w:r>
      <w:r>
        <w:rPr>
          <w:color w:val="auto"/>
          <w:highlight w:val="none"/>
        </w:rPr>
      </w:r>
      <w:r>
        <w:rPr>
          <w:color w:val="auto"/>
          <w:highlight w:val="none"/>
        </w:rPr>
      </w:r>
    </w:p>
    <w:p>
      <w:pPr>
        <w:pStyle w:val="808"/>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中标单位在提供服务的过程中，对获悉的一切资讯均须严格保密，不得私自拷贝用户数据，不得将数据给自己或他人使用，如因泄漏数据、擅自使用、允许他人使用数据信息造成损失或社会危害的，中标单位需承担相应的法律责任。</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8、中标单位对</w:t>
      </w:r>
      <w:r>
        <w:rPr>
          <w:rFonts w:hint="eastAsia" w:ascii="宋体" w:hAnsi="宋体"/>
          <w:color w:val="auto"/>
          <w:sz w:val="24"/>
          <w:szCs w:val="24"/>
          <w:highlight w:val="none"/>
        </w:rPr>
        <w:t xml:space="preserve">无锡市生态环境局正在运行使用的信息化应用系统均遵循</w:t>
      </w:r>
      <w:r>
        <w:rPr>
          <w:rFonts w:ascii="宋体" w:hAnsi="宋体"/>
          <w:color w:val="auto"/>
          <w:sz w:val="24"/>
          <w:szCs w:val="24"/>
          <w:highlight w:val="none"/>
        </w:rPr>
        <w:t xml:space="preserve">ITSS</w:t>
      </w:r>
      <w:r>
        <w:rPr>
          <w:rFonts w:hint="eastAsia" w:ascii="宋体" w:hAnsi="宋体"/>
          <w:color w:val="auto"/>
          <w:sz w:val="24"/>
          <w:szCs w:val="24"/>
          <w:highlight w:val="none"/>
        </w:rPr>
        <w:t xml:space="preserve">信息技术服务标准</w:t>
      </w:r>
      <w:r>
        <w:rPr>
          <w:rFonts w:ascii="宋体" w:hAnsi="宋体"/>
          <w:color w:val="auto"/>
          <w:sz w:val="24"/>
          <w:szCs w:val="24"/>
          <w:highlight w:val="none"/>
        </w:rPr>
        <w:t xml:space="preserve">方法和要求。对运维人员在工作中的每一个方面都进行严格的规定。</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1）中标单位</w:t>
      </w:r>
      <w:r>
        <w:rPr>
          <w:rFonts w:hint="eastAsia" w:ascii="宋体" w:hAnsi="宋体"/>
          <w:color w:val="auto"/>
          <w:sz w:val="24"/>
          <w:szCs w:val="24"/>
          <w:highlight w:val="none"/>
        </w:rPr>
        <w:t xml:space="preserve">均按照如下服务体系工作流程为无锡市生态环境局提供服务：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指定专人负责具体的售后服务与技术支持工作，负责售后服务与技术支持工作的均为项目现场实施人员，以便快速提出问题的解决方案。</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有专人值守热线服务电话和技术支持Email信箱，以保证及时沟通，以最快的速度受理和解决所遇到的各种问题。</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定期通过主动给业务科室打电话、发电子邮件以及上门拜访等多种方式沟通，了解系统运行情况，对发现的问题及时解决，收集整理业务科室新的需求和建议，提交相关部门加以解决并及时回复。</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）在技术服务质量保障方面，提供以下服务：</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为每次现场服务和业务科室咨询建立详细的服务记录。</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建立客户投诉机制，业务科室对</w:t>
      </w:r>
      <w:r>
        <w:rPr>
          <w:rFonts w:hint="eastAsia" w:ascii="宋体" w:hAnsi="宋体"/>
          <w:bCs/>
          <w:color w:val="auto"/>
          <w:sz w:val="24"/>
          <w:szCs w:val="24"/>
          <w:highlight w:val="none"/>
        </w:rPr>
        <w:t xml:space="preserve">中标单位</w:t>
      </w:r>
      <w:r>
        <w:rPr>
          <w:rFonts w:ascii="宋体" w:hAnsi="宋体"/>
          <w:color w:val="auto"/>
          <w:sz w:val="24"/>
          <w:szCs w:val="24"/>
          <w:highlight w:val="none"/>
        </w:rPr>
        <w:t xml:space="preserve">运维人员服务不满意可以向</w:t>
      </w:r>
      <w:r>
        <w:rPr>
          <w:rFonts w:hint="eastAsia" w:ascii="宋体" w:hAnsi="宋体"/>
          <w:color w:val="auto"/>
          <w:sz w:val="24"/>
          <w:szCs w:val="24"/>
          <w:highlight w:val="none"/>
        </w:rPr>
        <w:t xml:space="preserve">中标</w:t>
      </w:r>
      <w:r>
        <w:rPr>
          <w:rFonts w:ascii="宋体" w:hAnsi="宋体"/>
          <w:color w:val="auto"/>
          <w:sz w:val="24"/>
          <w:szCs w:val="24"/>
          <w:highlight w:val="none"/>
        </w:rPr>
        <w:t xml:space="preserve">单位投诉，</w:t>
      </w:r>
      <w:r>
        <w:rPr>
          <w:rFonts w:hint="eastAsia" w:ascii="宋体" w:hAnsi="宋体"/>
          <w:bCs/>
          <w:color w:val="auto"/>
          <w:sz w:val="24"/>
          <w:szCs w:val="24"/>
          <w:highlight w:val="none"/>
        </w:rPr>
        <w:t xml:space="preserve">中标单位</w:t>
      </w:r>
      <w:r>
        <w:rPr>
          <w:rFonts w:ascii="宋体" w:hAnsi="宋体"/>
          <w:color w:val="auto"/>
          <w:sz w:val="24"/>
          <w:szCs w:val="24"/>
          <w:highlight w:val="none"/>
        </w:rPr>
        <w:t xml:space="preserve">对每一个投诉都</w:t>
      </w:r>
      <w:r>
        <w:rPr>
          <w:rFonts w:hint="eastAsia" w:ascii="宋体" w:hAnsi="宋体"/>
          <w:color w:val="auto"/>
          <w:sz w:val="24"/>
          <w:szCs w:val="24"/>
          <w:highlight w:val="none"/>
        </w:rPr>
        <w:t xml:space="preserve">需要</w:t>
      </w:r>
      <w:r>
        <w:rPr>
          <w:rFonts w:ascii="宋体" w:hAnsi="宋体"/>
          <w:color w:val="auto"/>
          <w:sz w:val="24"/>
          <w:szCs w:val="24"/>
          <w:highlight w:val="none"/>
        </w:rPr>
        <w:t xml:space="preserve">给</w:t>
      </w:r>
      <w:r>
        <w:rPr>
          <w:rFonts w:hint="eastAsia" w:ascii="宋体" w:hAnsi="宋体"/>
          <w:color w:val="auto"/>
          <w:sz w:val="24"/>
          <w:szCs w:val="24"/>
          <w:highlight w:val="none"/>
        </w:rPr>
        <w:t xml:space="preserve">采购人做出</w:t>
      </w:r>
      <w:r>
        <w:rPr>
          <w:rFonts w:ascii="宋体" w:hAnsi="宋体"/>
          <w:color w:val="auto"/>
          <w:sz w:val="24"/>
          <w:szCs w:val="24"/>
          <w:highlight w:val="none"/>
        </w:rPr>
        <w:t xml:space="preserve">响应。</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每年4次，每季度编制季度运维总结报告，形成《季度运维总结报告》。</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每年一次，每年编制年度运维总结报告，形成《年度运维总结报告》。</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具有完善的故障通报机制。</w:t>
      </w:r>
      <w:r>
        <w:rPr>
          <w:color w:val="auto"/>
          <w:highlight w:val="none"/>
        </w:rPr>
      </w:r>
      <w:r>
        <w:rPr>
          <w:color w:val="auto"/>
          <w:highlight w:val="none"/>
        </w:rPr>
      </w:r>
    </w:p>
    <w:p>
      <w:pPr>
        <w:pStyle w:val="808"/>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（6）中标单位</w:t>
      </w:r>
      <w:r>
        <w:rPr>
          <w:rFonts w:hint="eastAsia" w:ascii="宋体" w:hAnsi="宋体"/>
          <w:color w:val="auto"/>
          <w:sz w:val="24"/>
          <w:szCs w:val="24"/>
          <w:highlight w:val="none"/>
        </w:rPr>
        <w:t xml:space="preserve">根据无锡市生态环境局的需要，提供远程维护（采用电话指导或远程登录）和现场故障抢修两种技术支援方式。</w:t>
      </w:r>
      <w:r>
        <w:rPr>
          <w:color w:val="auto"/>
          <w:highlight w:val="none"/>
        </w:rPr>
      </w:r>
      <w:r>
        <w:rPr>
          <w:color w:val="auto"/>
          <w:highlight w:val="none"/>
        </w:rPr>
      </w:r>
    </w:p>
    <w:p>
      <w:pPr>
        <w:pStyle w:val="808"/>
        <w:numPr>
          <w:ilvl w:val="0"/>
          <w:numId w:val="34"/>
        </w:numPr>
        <w:spacing w:line="360" w:lineRule="auto"/>
        <w:rPr>
          <w:rFonts w:ascii="宋体" w:hAnsi="宋体"/>
          <w:b/>
          <w:bCs/>
          <w:color w:val="auto"/>
          <w:sz w:val="24"/>
          <w:szCs w:val="24"/>
          <w:highlight w:val="none"/>
        </w:rPr>
        <w:outlineLvl w:val="0"/>
      </w:pPr>
      <w:r>
        <w:rPr>
          <w:rFonts w:hint="eastAsia" w:ascii="宋体" w:hAnsi="宋体"/>
          <w:b/>
          <w:bCs/>
          <w:color w:val="auto"/>
          <w:sz w:val="24"/>
          <w:szCs w:val="24"/>
          <w:highlight w:val="none"/>
        </w:rPr>
        <w:t xml:space="preserve">其他</w:t>
      </w:r>
      <w:r>
        <w:rPr>
          <w:rFonts w:hint="eastAsia" w:ascii="宋体" w:hAnsi="宋体"/>
          <w:b/>
          <w:bCs/>
          <w:color w:val="auto"/>
          <w:sz w:val="24"/>
          <w:szCs w:val="24"/>
          <w:highlight w:val="none"/>
        </w:rPr>
        <w:t xml:space="preserve">要求</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服务期：自合同签订生效之日起一年。</w:t>
      </w:r>
      <w:r>
        <w:rPr>
          <w:color w:val="auto"/>
          <w:highlight w:val="none"/>
        </w:rPr>
      </w:r>
      <w:r>
        <w:rPr>
          <w:color w:val="auto"/>
          <w:highlight w:val="none"/>
        </w:rPr>
      </w:r>
    </w:p>
    <w:p>
      <w:pPr>
        <w:pStyle w:val="808"/>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付款方式：</w:t>
      </w:r>
      <w:r>
        <w:rPr>
          <w:rFonts w:hint="eastAsia" w:ascii="宋体" w:hAnsi="宋体"/>
          <w:bCs/>
          <w:color w:val="auto"/>
          <w:sz w:val="24"/>
          <w:szCs w:val="24"/>
          <w:highlight w:val="none"/>
        </w:rPr>
        <w:t xml:space="preserve">合同签订生效后支付合同总价的50%；一年服务期满后，运维服务满足合同要求，中标单位提交年度运行维护总结报告，经采购单位审核通过后支付合同总价的50%。</w:t>
      </w:r>
      <w:r>
        <w:rPr>
          <w:color w:val="auto"/>
          <w:highlight w:val="none"/>
        </w:rPr>
      </w:r>
      <w:r>
        <w:rPr>
          <w:color w:val="auto"/>
          <w:highlight w:val="none"/>
        </w:rPr>
      </w:r>
    </w:p>
    <w:p>
      <w:pPr>
        <w:pStyle w:val="808"/>
        <w:numPr>
          <w:ilvl w:val="0"/>
          <w:numId w:val="17"/>
        </w:numPr>
        <w:ind w:left="0" w:firstLine="480"/>
        <w:spacing w:line="360" w:lineRule="auto"/>
        <w:rPr>
          <w:rFonts w:hint="eastAsia" w:ascii="宋体" w:hAnsi="宋体"/>
          <w:b/>
          <w:color w:val="auto"/>
          <w:sz w:val="30"/>
          <w:szCs w:val="30"/>
          <w:highlight w:val="none"/>
        </w:rPr>
      </w:pPr>
      <w:r>
        <w:rPr>
          <w:rFonts w:ascii="宋体" w:hAnsi="宋体"/>
          <w:bCs/>
          <w:color w:val="auto"/>
          <w:sz w:val="24"/>
          <w:szCs w:val="24"/>
          <w:highlight w:val="none"/>
        </w:rPr>
        <w:br w:type="page" w:clear="all"/>
      </w:r>
      <w:r>
        <w:rPr>
          <w:rFonts w:hint="eastAsia" w:ascii="宋体" w:hAnsi="宋体"/>
          <w:b/>
          <w:color w:val="auto"/>
          <w:sz w:val="30"/>
          <w:szCs w:val="30"/>
          <w:highlight w:val="none"/>
        </w:rPr>
        <w:t xml:space="preserve">采购包</w:t>
      </w:r>
      <w:r>
        <w:rPr>
          <w:rFonts w:hint="eastAsia" w:ascii="宋体" w:hAnsi="宋体"/>
          <w:b/>
          <w:color w:val="auto"/>
          <w:sz w:val="30"/>
          <w:szCs w:val="30"/>
          <w:highlight w:val="none"/>
        </w:rPr>
        <w:t xml:space="preserve">2：</w:t>
      </w:r>
      <w:r>
        <w:rPr>
          <w:rFonts w:hint="eastAsia" w:ascii="宋体" w:hAnsi="宋体"/>
          <w:b/>
          <w:color w:val="auto"/>
          <w:sz w:val="30"/>
          <w:szCs w:val="30"/>
          <w:highlight w:val="none"/>
        </w:rPr>
        <w:t xml:space="preserve">“感知环境、智慧环保”无锡环境监控物联网应用示范工程硬件运行维护服务（2024年—2025年）</w:t>
      </w:r>
      <w:r>
        <w:rPr>
          <w:color w:val="auto"/>
          <w:highlight w:val="none"/>
        </w:rPr>
      </w:r>
      <w:r>
        <w:rPr>
          <w:color w:val="auto"/>
          <w:highlight w:val="none"/>
        </w:rPr>
      </w:r>
    </w:p>
    <w:p>
      <w:pPr>
        <w:pStyle w:val="808"/>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1.项目背景</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“感知环境、智慧环保”无锡环境监控物联网应用示范工程包含一期建设和二期建设，“感知环境、智慧环保”无锡环境监控物联网应用示范工程（一期）从2015年1月开始建设，2016年3月</w:t>
      </w:r>
      <w:r>
        <w:rPr>
          <w:rFonts w:hint="eastAsia" w:ascii="宋体" w:hAnsi="宋体"/>
          <w:bCs/>
          <w:color w:val="auto"/>
          <w:sz w:val="24"/>
          <w:szCs w:val="24"/>
          <w:highlight w:val="none"/>
        </w:rPr>
        <w:t xml:space="preserve">开始试运行，2017年1月正式上线；“感知环境、智慧环保”无锡环境监控物联网应用示范工程（二期）从2019年12月开始建设，2021年9月份验收完成。2017年2月—2020年1月为“感知环境、智慧环保”无锡环境监控物联网应用示范工程（一期）三年免费质保运维期，运维期间，较好完成了软、硬件运行环境保障。2020-2024年，市生态环境局通过采购第三方服务，继续做好软、硬件运维各项工作。本次拟采购后续一年的硬件运行维护服务，保障物联网机房、政务云硬件资源持续稳定运行，继续为市生态环境局各软件平台提供硬件支撑。</w:t>
      </w:r>
      <w:r>
        <w:rPr>
          <w:color w:val="auto"/>
          <w:highlight w:val="none"/>
        </w:rPr>
      </w:r>
      <w:r>
        <w:rPr>
          <w:color w:val="auto"/>
          <w:highlight w:val="none"/>
        </w:rPr>
      </w:r>
    </w:p>
    <w:p>
      <w:pPr>
        <w:pStyle w:val="808"/>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2.服务内容</w:t>
      </w:r>
      <w:r>
        <w:rPr>
          <w:color w:val="auto"/>
          <w:highlight w:val="none"/>
        </w:rPr>
      </w:r>
      <w:r>
        <w:rPr>
          <w:color w:val="auto"/>
          <w:highlight w:val="none"/>
        </w:rPr>
      </w:r>
    </w:p>
    <w:tbl>
      <w:tblPr>
        <w:tblW w:w="0" w:type="auto"/>
        <w:jc w:val="center"/>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085"/>
        <w:gridCol w:w="4261"/>
        <w:gridCol w:w="1038"/>
      </w:tblGrid>
      <w:tr>
        <w:trPr/>
        <w:tc>
          <w:tcPr>
            <w:tcW w:w="838"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序号</w:t>
            </w:r>
            <w:r>
              <w:rPr>
                <w:color w:val="auto"/>
                <w:highlight w:val="none"/>
              </w:rPr>
            </w:r>
            <w:r>
              <w:rPr>
                <w:color w:val="auto"/>
                <w:highlight w:val="none"/>
              </w:rPr>
            </w:r>
          </w:p>
        </w:tc>
        <w:tc>
          <w:tcPr>
            <w:tcW w:w="208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运维服务类别</w:t>
            </w:r>
            <w:r>
              <w:rPr>
                <w:color w:val="auto"/>
                <w:highlight w:val="none"/>
              </w:rPr>
            </w:r>
            <w:r>
              <w:rPr>
                <w:color w:val="auto"/>
                <w:highlight w:val="none"/>
              </w:rPr>
            </w:r>
          </w:p>
        </w:tc>
        <w:tc>
          <w:tcPr>
            <w:tcW w:w="426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运维服务内容</w:t>
            </w:r>
            <w:r>
              <w:rPr>
                <w:color w:val="auto"/>
                <w:highlight w:val="none"/>
              </w:rPr>
            </w:r>
            <w:r>
              <w:rPr>
                <w:color w:val="auto"/>
                <w:highlight w:val="none"/>
              </w:rPr>
            </w:r>
          </w:p>
        </w:tc>
        <w:tc>
          <w:tcPr>
            <w:tcW w:w="1038"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服务期</w:t>
            </w:r>
            <w:r>
              <w:rPr>
                <w:color w:val="auto"/>
                <w:highlight w:val="none"/>
              </w:rPr>
            </w:r>
            <w:r>
              <w:rPr>
                <w:color w:val="auto"/>
                <w:highlight w:val="none"/>
              </w:rPr>
            </w:r>
          </w:p>
        </w:tc>
      </w:tr>
      <w:tr>
        <w:trPr>
          <w:cantSplit/>
        </w:trPr>
        <w:tc>
          <w:tcPr>
            <w:tcW w:w="838"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2.</w:t>
            </w:r>
            <w:r>
              <w:rPr>
                <w:rFonts w:hint="eastAsia" w:ascii="宋体" w:hAnsi="宋体"/>
                <w:bCs/>
                <w:color w:val="auto"/>
                <w:sz w:val="18"/>
                <w:szCs w:val="18"/>
                <w:highlight w:val="none"/>
              </w:rPr>
              <w:t xml:space="preserve">1</w:t>
            </w:r>
            <w:r>
              <w:rPr>
                <w:color w:val="auto"/>
                <w:highlight w:val="none"/>
              </w:rPr>
            </w:r>
            <w:r>
              <w:rPr>
                <w:color w:val="auto"/>
                <w:highlight w:val="none"/>
              </w:rPr>
            </w:r>
          </w:p>
        </w:tc>
        <w:tc>
          <w:tcPr>
            <w:tcW w:w="2085"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物联网机房硬件运维</w:t>
            </w:r>
            <w:r>
              <w:rPr>
                <w:color w:val="auto"/>
                <w:highlight w:val="none"/>
              </w:rPr>
            </w:r>
            <w:r>
              <w:rPr>
                <w:color w:val="auto"/>
                <w:highlight w:val="none"/>
              </w:rPr>
            </w:r>
          </w:p>
        </w:tc>
        <w:tc>
          <w:tcPr>
            <w:tcW w:w="4261"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计算资源、存储资源、网络资源、网络安全资源、虚拟化平台、机房环境等运维服务</w:t>
            </w:r>
            <w:r>
              <w:rPr>
                <w:color w:val="auto"/>
                <w:highlight w:val="none"/>
              </w:rPr>
            </w:r>
            <w:r>
              <w:rPr>
                <w:color w:val="auto"/>
                <w:highlight w:val="none"/>
              </w:rPr>
            </w:r>
          </w:p>
        </w:tc>
        <w:tc>
          <w:tcPr>
            <w:tcW w:w="1038" w:type="dxa"/>
            <w:vAlign w:val="center"/>
            <w:vMerge w:val="restart"/>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一年</w:t>
            </w:r>
            <w:r>
              <w:rPr>
                <w:color w:val="auto"/>
                <w:highlight w:val="none"/>
              </w:rPr>
            </w:r>
            <w:r>
              <w:rPr>
                <w:color w:val="auto"/>
                <w:highlight w:val="none"/>
              </w:rPr>
            </w:r>
          </w:p>
        </w:tc>
      </w:tr>
      <w:tr>
        <w:trPr>
          <w:cantSplit/>
        </w:trPr>
        <w:tc>
          <w:tcPr>
            <w:tcW w:w="838"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2.</w:t>
            </w:r>
            <w:r>
              <w:rPr>
                <w:rFonts w:hint="eastAsia" w:ascii="宋体" w:hAnsi="宋体"/>
                <w:bCs/>
                <w:color w:val="auto"/>
                <w:sz w:val="18"/>
                <w:szCs w:val="18"/>
                <w:highlight w:val="none"/>
              </w:rPr>
              <w:t xml:space="preserve">2</w:t>
            </w:r>
            <w:r>
              <w:rPr>
                <w:color w:val="auto"/>
                <w:highlight w:val="none"/>
              </w:rPr>
            </w:r>
            <w:r>
              <w:rPr>
                <w:color w:val="auto"/>
                <w:highlight w:val="none"/>
              </w:rPr>
            </w:r>
          </w:p>
        </w:tc>
        <w:tc>
          <w:tcPr>
            <w:tcW w:w="2085"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政务云资源服务</w:t>
            </w:r>
            <w:r>
              <w:rPr>
                <w:color w:val="auto"/>
                <w:highlight w:val="none"/>
              </w:rPr>
            </w:r>
            <w:r>
              <w:rPr>
                <w:color w:val="auto"/>
                <w:highlight w:val="none"/>
              </w:rPr>
            </w:r>
          </w:p>
        </w:tc>
        <w:tc>
          <w:tcPr>
            <w:tcW w:w="4261"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配合业务部门上线进一步完成上云迁移以及云上资源的运维管理</w:t>
            </w:r>
            <w:r>
              <w:rPr>
                <w:color w:val="auto"/>
                <w:highlight w:val="none"/>
              </w:rPr>
            </w:r>
            <w:r>
              <w:rPr>
                <w:color w:val="auto"/>
                <w:highlight w:val="none"/>
              </w:rPr>
            </w:r>
          </w:p>
        </w:tc>
        <w:tc>
          <w:tcPr>
            <w:tcW w:w="1038"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r>
      <w:tr>
        <w:trPr>
          <w:cantSplit/>
        </w:trPr>
        <w:tc>
          <w:tcPr>
            <w:tcW w:w="838"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2</w:t>
            </w:r>
            <w:r>
              <w:rPr>
                <w:rFonts w:ascii="宋体" w:hAnsi="宋体"/>
                <w:bCs/>
                <w:color w:val="auto"/>
                <w:sz w:val="18"/>
                <w:szCs w:val="18"/>
                <w:highlight w:val="none"/>
              </w:rPr>
              <w:t xml:space="preserve">.3</w:t>
            </w:r>
            <w:r>
              <w:rPr>
                <w:color w:val="auto"/>
                <w:highlight w:val="none"/>
              </w:rPr>
            </w:r>
            <w:r>
              <w:rPr>
                <w:color w:val="auto"/>
                <w:highlight w:val="none"/>
              </w:rPr>
            </w:r>
          </w:p>
        </w:tc>
        <w:tc>
          <w:tcPr>
            <w:tcW w:w="2085"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办公终端运维</w:t>
            </w:r>
            <w:r>
              <w:rPr>
                <w:color w:val="auto"/>
                <w:highlight w:val="none"/>
              </w:rPr>
            </w:r>
            <w:r>
              <w:rPr>
                <w:color w:val="auto"/>
                <w:highlight w:val="none"/>
              </w:rPr>
            </w:r>
          </w:p>
        </w:tc>
        <w:tc>
          <w:tcPr>
            <w:tcW w:w="4261"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办公设备的管理运维</w:t>
            </w:r>
            <w:r>
              <w:rPr>
                <w:color w:val="auto"/>
                <w:highlight w:val="none"/>
              </w:rPr>
            </w:r>
            <w:r>
              <w:rPr>
                <w:color w:val="auto"/>
                <w:highlight w:val="none"/>
              </w:rPr>
            </w:r>
          </w:p>
        </w:tc>
        <w:tc>
          <w:tcPr>
            <w:tcW w:w="1038" w:type="dxa"/>
            <w:vAlign w:val="center"/>
            <w:vMerge w:val="continue"/>
            <w:textDirection w:val="lrTb"/>
            <w:noWrap w:val="false"/>
          </w:tcPr>
          <w:p>
            <w:pPr>
              <w:pStyle w:val="808"/>
              <w:jc w:val="center"/>
              <w:rPr>
                <w:rFonts w:ascii="宋体" w:hAnsi="宋体"/>
                <w:bCs/>
                <w:sz w:val="18"/>
                <w:szCs w:val="18"/>
              </w:rPr>
            </w:pPr>
            <w:r>
              <w:rPr>
                <w:rFonts w:ascii="宋体" w:hAnsi="宋体"/>
                <w:bCs/>
                <w:sz w:val="18"/>
                <w:szCs w:val="18"/>
              </w:rPr>
            </w:r>
            <w:r/>
          </w:p>
        </w:tc>
      </w:tr>
      <w:tr>
        <w:trPr>
          <w:cantSplit/>
        </w:trPr>
        <w:tc>
          <w:tcPr>
            <w:tcW w:w="838"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2.4</w:t>
            </w:r>
            <w:r>
              <w:rPr>
                <w:color w:val="auto"/>
                <w:highlight w:val="none"/>
              </w:rPr>
            </w:r>
            <w:r>
              <w:rPr>
                <w:color w:val="auto"/>
                <w:highlight w:val="none"/>
              </w:rPr>
            </w:r>
          </w:p>
        </w:tc>
        <w:tc>
          <w:tcPr>
            <w:tcW w:w="2085"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安全软件授权延期</w:t>
            </w:r>
            <w:r>
              <w:rPr>
                <w:color w:val="auto"/>
                <w:highlight w:val="none"/>
              </w:rPr>
            </w:r>
            <w:r>
              <w:rPr>
                <w:color w:val="auto"/>
                <w:highlight w:val="none"/>
              </w:rPr>
            </w:r>
          </w:p>
        </w:tc>
        <w:tc>
          <w:tcPr>
            <w:tcW w:w="4261"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杀毒软件、安全运维软件授权延期及部署</w:t>
            </w:r>
            <w:r>
              <w:rPr>
                <w:color w:val="auto"/>
                <w:highlight w:val="none"/>
              </w:rPr>
            </w:r>
            <w:r>
              <w:rPr>
                <w:color w:val="auto"/>
                <w:highlight w:val="none"/>
              </w:rPr>
            </w:r>
          </w:p>
        </w:tc>
        <w:tc>
          <w:tcPr>
            <w:tcW w:w="1038" w:type="dxa"/>
            <w:vAlign w:val="top"/>
            <w:vMerge w:val="continue"/>
            <w:textDirection w:val="lrTb"/>
            <w:noWrap w:val="false"/>
          </w:tcPr>
          <w:p>
            <w:pPr>
              <w:pStyle w:val="808"/>
              <w:jc w:val="center"/>
              <w:rPr>
                <w:rFonts w:ascii="宋体" w:hAnsi="宋体"/>
                <w:sz w:val="18"/>
                <w:szCs w:val="18"/>
              </w:rPr>
            </w:pPr>
            <w:r>
              <w:rPr>
                <w:rFonts w:ascii="宋体" w:hAnsi="宋体"/>
                <w:sz w:val="18"/>
                <w:szCs w:val="18"/>
              </w:rPr>
            </w:r>
            <w:r/>
          </w:p>
        </w:tc>
      </w:tr>
      <w:tr>
        <w:trPr>
          <w:cantSplit/>
        </w:trPr>
        <w:tc>
          <w:tcPr>
            <w:tcW w:w="838"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2.5</w:t>
            </w:r>
            <w:r>
              <w:rPr>
                <w:color w:val="auto"/>
                <w:highlight w:val="none"/>
              </w:rPr>
            </w:r>
            <w:r>
              <w:rPr>
                <w:color w:val="auto"/>
                <w:highlight w:val="none"/>
              </w:rPr>
            </w:r>
          </w:p>
        </w:tc>
        <w:tc>
          <w:tcPr>
            <w:tcW w:w="2085"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物联网机房备品备件</w:t>
            </w:r>
            <w:r>
              <w:rPr>
                <w:color w:val="auto"/>
                <w:highlight w:val="none"/>
              </w:rPr>
            </w:r>
            <w:r>
              <w:rPr>
                <w:color w:val="auto"/>
                <w:highlight w:val="none"/>
              </w:rPr>
            </w:r>
          </w:p>
        </w:tc>
        <w:tc>
          <w:tcPr>
            <w:tcW w:w="4261"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提供相应备品备件</w:t>
            </w:r>
            <w:r>
              <w:rPr>
                <w:color w:val="auto"/>
                <w:highlight w:val="none"/>
              </w:rPr>
            </w:r>
            <w:r>
              <w:rPr>
                <w:color w:val="auto"/>
                <w:highlight w:val="none"/>
              </w:rPr>
            </w:r>
          </w:p>
        </w:tc>
        <w:tc>
          <w:tcPr>
            <w:tcW w:w="1038" w:type="dxa"/>
            <w:vAlign w:val="top"/>
            <w:vMerge w:val="continue"/>
            <w:textDirection w:val="lrTb"/>
            <w:noWrap w:val="false"/>
          </w:tcPr>
          <w:p>
            <w:pPr>
              <w:pStyle w:val="808"/>
              <w:jc w:val="center"/>
              <w:rPr>
                <w:rFonts w:ascii="宋体" w:hAnsi="宋体"/>
                <w:sz w:val="18"/>
                <w:szCs w:val="18"/>
              </w:rPr>
            </w:pPr>
            <w:r>
              <w:rPr>
                <w:rFonts w:ascii="宋体" w:hAnsi="宋体"/>
                <w:sz w:val="18"/>
                <w:szCs w:val="18"/>
              </w:rPr>
            </w:r>
            <w:r/>
          </w:p>
        </w:tc>
      </w:tr>
      <w:tr>
        <w:trPr/>
        <w:tc>
          <w:tcPr>
            <w:tcW w:w="838"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2.6</w:t>
            </w:r>
            <w:r>
              <w:rPr>
                <w:color w:val="auto"/>
                <w:highlight w:val="none"/>
              </w:rPr>
            </w:r>
            <w:r>
              <w:rPr>
                <w:color w:val="auto"/>
                <w:highlight w:val="none"/>
              </w:rPr>
            </w:r>
          </w:p>
        </w:tc>
        <w:tc>
          <w:tcPr>
            <w:tcW w:w="2085"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链路租用</w:t>
            </w:r>
            <w:r>
              <w:rPr>
                <w:color w:val="auto"/>
                <w:highlight w:val="none"/>
              </w:rPr>
            </w:r>
            <w:r>
              <w:rPr>
                <w:color w:val="auto"/>
                <w:highlight w:val="none"/>
              </w:rPr>
            </w:r>
          </w:p>
        </w:tc>
        <w:tc>
          <w:tcPr>
            <w:tcW w:w="4261"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链路租用费用，依据链路故障快速响应处理</w:t>
            </w:r>
            <w:r>
              <w:rPr>
                <w:color w:val="auto"/>
                <w:highlight w:val="none"/>
              </w:rPr>
            </w:r>
            <w:r>
              <w:rPr>
                <w:color w:val="auto"/>
                <w:highlight w:val="none"/>
              </w:rPr>
            </w:r>
          </w:p>
        </w:tc>
        <w:tc>
          <w:tcPr>
            <w:tcW w:w="1038" w:type="dxa"/>
            <w:vAlign w:val="top"/>
            <w:textDirection w:val="lrTb"/>
            <w:noWrap w:val="false"/>
          </w:tcPr>
          <w:p>
            <w:pPr>
              <w:pStyle w:val="808"/>
              <w:jc w:val="center"/>
              <w:rPr>
                <w:rFonts w:ascii="宋体" w:hAnsi="宋体"/>
                <w:color w:val="auto"/>
                <w:sz w:val="18"/>
                <w:szCs w:val="18"/>
                <w:highlight w:val="none"/>
              </w:rPr>
            </w:pPr>
            <w:r>
              <w:rPr>
                <w:rFonts w:ascii="宋体" w:hAnsi="宋体"/>
                <w:color w:val="auto"/>
                <w:sz w:val="18"/>
                <w:szCs w:val="18"/>
                <w:highlight w:val="none"/>
              </w:rPr>
            </w:r>
            <w:r>
              <w:rPr>
                <w:color w:val="auto"/>
                <w:highlight w:val="none"/>
              </w:rPr>
            </w:r>
            <w:r>
              <w:rPr>
                <w:color w:val="auto"/>
                <w:highlight w:val="none"/>
              </w:rPr>
            </w:r>
          </w:p>
        </w:tc>
      </w:tr>
    </w:tbl>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物联网机房硬件运维</w:t>
      </w:r>
      <w:r>
        <w:rPr>
          <w:color w:val="auto"/>
          <w:highlight w:val="none"/>
        </w:rPr>
      </w:r>
      <w:r>
        <w:rPr>
          <w:color w:val="auto"/>
          <w:highlight w:val="none"/>
        </w:rPr>
      </w:r>
    </w:p>
    <w:tbl>
      <w:tblPr>
        <w:tblW w:w="9350" w:type="dxa"/>
        <w:jc w:val="center"/>
        <w:tblInd w:w="-4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5"/>
        <w:gridCol w:w="2408"/>
        <w:gridCol w:w="4197"/>
        <w:gridCol w:w="709"/>
        <w:gridCol w:w="1411"/>
      </w:tblGrid>
      <w:tr>
        <w:trPr>
          <w:trHeight w:val="20"/>
        </w:trPr>
        <w:tc>
          <w:tcPr>
            <w:tcW w:w="625" w:type="dxa"/>
            <w:vAlign w:val="center"/>
            <w:textDirection w:val="lrTb"/>
            <w:noWrap w:val="false"/>
          </w:tcPr>
          <w:p>
            <w:pPr>
              <w:pStyle w:val="808"/>
              <w:jc w:val="center"/>
              <w:widowControl/>
              <w:rPr>
                <w:rFonts w:ascii="宋体" w:hAnsi="宋体"/>
                <w:bCs/>
                <w:color w:val="auto"/>
                <w:sz w:val="18"/>
                <w:szCs w:val="18"/>
                <w:highlight w:val="none"/>
              </w:rPr>
            </w:pPr>
            <w:r>
              <w:rPr>
                <w:rFonts w:ascii="宋体" w:hAnsi="宋体"/>
                <w:bCs/>
                <w:color w:val="auto"/>
                <w:sz w:val="18"/>
                <w:szCs w:val="18"/>
                <w:highlight w:val="none"/>
              </w:rPr>
              <w:t xml:space="preserve">序号</w:t>
            </w:r>
            <w:r>
              <w:rPr>
                <w:color w:val="auto"/>
                <w:highlight w:val="none"/>
              </w:rPr>
            </w:r>
            <w:r>
              <w:rPr>
                <w:color w:val="auto"/>
                <w:highlight w:val="none"/>
              </w:rPr>
            </w:r>
          </w:p>
        </w:tc>
        <w:tc>
          <w:tcPr>
            <w:tcW w:w="2408" w:type="dxa"/>
            <w:vAlign w:val="center"/>
            <w:textDirection w:val="lrTb"/>
            <w:noWrap w:val="false"/>
          </w:tcPr>
          <w:p>
            <w:pPr>
              <w:pStyle w:val="808"/>
              <w:jc w:val="center"/>
              <w:widowControl/>
              <w:rPr>
                <w:rFonts w:ascii="宋体" w:hAnsi="宋体"/>
                <w:bCs/>
                <w:color w:val="auto"/>
                <w:sz w:val="18"/>
                <w:szCs w:val="18"/>
                <w:highlight w:val="none"/>
              </w:rPr>
            </w:pPr>
            <w:r>
              <w:rPr>
                <w:rFonts w:hint="eastAsia" w:ascii="宋体" w:hAnsi="宋体"/>
                <w:bCs/>
                <w:color w:val="auto"/>
                <w:sz w:val="18"/>
                <w:szCs w:val="18"/>
                <w:highlight w:val="none"/>
              </w:rPr>
              <w:t xml:space="preserve">品牌型号</w:t>
            </w:r>
            <w:r>
              <w:rPr>
                <w:color w:val="auto"/>
                <w:highlight w:val="none"/>
              </w:rPr>
            </w:r>
            <w:r>
              <w:rPr>
                <w:color w:val="auto"/>
                <w:highlight w:val="none"/>
              </w:rPr>
            </w:r>
          </w:p>
        </w:tc>
        <w:tc>
          <w:tcPr>
            <w:tcW w:w="4197" w:type="dxa"/>
            <w:vAlign w:val="center"/>
            <w:textDirection w:val="lrTb"/>
            <w:noWrap w:val="false"/>
          </w:tcPr>
          <w:p>
            <w:pPr>
              <w:pStyle w:val="808"/>
              <w:jc w:val="center"/>
              <w:widowControl/>
              <w:rPr>
                <w:rFonts w:ascii="宋体" w:hAnsi="宋体"/>
                <w:bCs/>
                <w:color w:val="auto"/>
                <w:sz w:val="18"/>
                <w:szCs w:val="18"/>
                <w:highlight w:val="none"/>
              </w:rPr>
            </w:pPr>
            <w:r>
              <w:rPr>
                <w:rFonts w:hint="eastAsia" w:ascii="宋体" w:hAnsi="宋体"/>
                <w:bCs/>
                <w:color w:val="auto"/>
                <w:sz w:val="18"/>
                <w:szCs w:val="18"/>
                <w:highlight w:val="none"/>
              </w:rPr>
              <w:t xml:space="preserve">配置概述</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bCs/>
                <w:color w:val="auto"/>
                <w:sz w:val="18"/>
                <w:szCs w:val="18"/>
                <w:highlight w:val="none"/>
              </w:rPr>
            </w:pPr>
            <w:r>
              <w:rPr>
                <w:rFonts w:hint="eastAsia" w:ascii="宋体" w:hAnsi="宋体"/>
                <w:bCs/>
                <w:color w:val="auto"/>
                <w:sz w:val="18"/>
                <w:szCs w:val="18"/>
                <w:highlight w:val="none"/>
              </w:rPr>
              <w:t xml:space="preserve">数量</w:t>
            </w:r>
            <w:r>
              <w:rPr>
                <w:color w:val="auto"/>
                <w:highlight w:val="none"/>
              </w:rPr>
            </w:r>
            <w:r>
              <w:rPr>
                <w:color w:val="auto"/>
                <w:highlight w:val="none"/>
              </w:rPr>
            </w:r>
          </w:p>
        </w:tc>
        <w:tc>
          <w:tcPr>
            <w:tcW w:w="1411" w:type="dxa"/>
            <w:vAlign w:val="center"/>
            <w:textDirection w:val="lrTb"/>
            <w:noWrap w:val="false"/>
          </w:tcPr>
          <w:p>
            <w:pPr>
              <w:pStyle w:val="808"/>
              <w:jc w:val="center"/>
              <w:widowControl/>
              <w:rPr>
                <w:rFonts w:ascii="宋体" w:hAnsi="宋体"/>
                <w:bCs/>
                <w:color w:val="auto"/>
                <w:sz w:val="18"/>
                <w:szCs w:val="18"/>
                <w:highlight w:val="none"/>
              </w:rPr>
            </w:pPr>
            <w:r>
              <w:rPr>
                <w:rFonts w:hint="eastAsia" w:ascii="宋体" w:hAnsi="宋体"/>
                <w:bCs/>
                <w:color w:val="auto"/>
                <w:sz w:val="18"/>
                <w:szCs w:val="18"/>
                <w:highlight w:val="none"/>
              </w:rPr>
              <w:t xml:space="preserve">运维服务要求</w:t>
            </w:r>
            <w:r>
              <w:rPr>
                <w:color w:val="auto"/>
                <w:highlight w:val="none"/>
              </w:rPr>
            </w:r>
            <w:r>
              <w:rPr>
                <w:color w:val="auto"/>
                <w:highlight w:val="none"/>
              </w:rPr>
            </w:r>
          </w:p>
        </w:tc>
      </w:tr>
      <w:tr>
        <w:trPr>
          <w:trHeight w:val="20"/>
        </w:trPr>
        <w:tc>
          <w:tcPr>
            <w:gridSpan w:val="5"/>
            <w:tcW w:w="9350"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2</w:t>
            </w:r>
            <w:r>
              <w:rPr>
                <w:rFonts w:ascii="宋体" w:hAnsi="宋体"/>
                <w:bCs/>
                <w:color w:val="auto"/>
                <w:sz w:val="18"/>
                <w:szCs w:val="18"/>
                <w:highlight w:val="none"/>
              </w:rPr>
              <w:t xml:space="preserve">.1.1 </w:t>
            </w:r>
            <w:r>
              <w:rPr>
                <w:rFonts w:hint="eastAsia" w:ascii="宋体" w:hAnsi="宋体"/>
                <w:bCs/>
                <w:color w:val="auto"/>
                <w:sz w:val="18"/>
                <w:szCs w:val="18"/>
                <w:highlight w:val="none"/>
              </w:rPr>
              <w:t xml:space="preserve">计算资源</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Dell R910</w:t>
            </w:r>
            <w:r>
              <w:rPr>
                <w:color w:val="auto"/>
                <w:highlight w:val="none"/>
              </w:rPr>
            </w:r>
            <w:r>
              <w:rPr>
                <w:color w:val="auto"/>
                <w:highlight w:val="none"/>
              </w:rPr>
            </w:r>
          </w:p>
        </w:tc>
        <w:tc>
          <w:tcPr>
            <w:tcW w:w="4197" w:type="dxa"/>
            <w:vAlign w:val="center"/>
            <w:textDirection w:val="lrTb"/>
            <w:noWrap w:val="false"/>
          </w:tcPr>
          <w:p>
            <w:pPr>
              <w:pStyle w:val="808"/>
              <w:rPr>
                <w:rFonts w:ascii="宋体" w:hAnsi="宋体"/>
                <w:bCs/>
                <w:color w:val="auto"/>
                <w:sz w:val="18"/>
                <w:szCs w:val="18"/>
                <w:highlight w:val="none"/>
              </w:rPr>
            </w:pPr>
            <w:r>
              <w:rPr>
                <w:rFonts w:ascii="宋体" w:hAnsi="宋体"/>
                <w:bCs/>
                <w:color w:val="auto"/>
                <w:sz w:val="18"/>
                <w:szCs w:val="18"/>
                <w:highlight w:val="none"/>
              </w:rPr>
              <w:t xml:space="preserve">E7-4820*4</w:t>
            </w:r>
            <w:r>
              <w:rPr>
                <w:rFonts w:hint="eastAsia" w:ascii="宋体" w:hAnsi="宋体"/>
                <w:bCs/>
                <w:color w:val="auto"/>
                <w:sz w:val="18"/>
                <w:szCs w:val="18"/>
                <w:highlight w:val="none"/>
              </w:rPr>
              <w:t xml:space="preserve">/</w:t>
            </w:r>
            <w:r>
              <w:rPr>
                <w:rFonts w:ascii="宋体" w:hAnsi="宋体"/>
                <w:bCs/>
                <w:color w:val="auto"/>
                <w:sz w:val="18"/>
                <w:szCs w:val="18"/>
                <w:highlight w:val="none"/>
              </w:rPr>
              <w:t xml:space="preserve">DDR3 16GB*16/SAS 300GB*2</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2</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2</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Dell R910</w:t>
            </w:r>
            <w:r>
              <w:rPr>
                <w:color w:val="auto"/>
                <w:highlight w:val="none"/>
              </w:rPr>
            </w:r>
            <w:r>
              <w:rPr>
                <w:color w:val="auto"/>
                <w:highlight w:val="none"/>
              </w:rPr>
            </w:r>
          </w:p>
        </w:tc>
        <w:tc>
          <w:tcPr>
            <w:tcW w:w="4197" w:type="dxa"/>
            <w:vAlign w:val="center"/>
            <w:textDirection w:val="lrTb"/>
            <w:noWrap w:val="false"/>
          </w:tcPr>
          <w:p>
            <w:pPr>
              <w:pStyle w:val="808"/>
              <w:rPr>
                <w:rFonts w:ascii="宋体" w:hAnsi="宋体"/>
                <w:bCs/>
                <w:color w:val="auto"/>
                <w:sz w:val="18"/>
                <w:szCs w:val="18"/>
                <w:highlight w:val="none"/>
              </w:rPr>
            </w:pPr>
            <w:r>
              <w:rPr>
                <w:rFonts w:ascii="宋体" w:hAnsi="宋体"/>
                <w:bCs/>
                <w:color w:val="auto"/>
                <w:sz w:val="18"/>
                <w:szCs w:val="18"/>
                <w:highlight w:val="none"/>
              </w:rPr>
              <w:t xml:space="preserve">E7-48</w:t>
            </w:r>
            <w:r>
              <w:rPr>
                <w:rFonts w:hint="eastAsia" w:ascii="宋体" w:hAnsi="宋体"/>
                <w:bCs/>
                <w:color w:val="auto"/>
                <w:sz w:val="18"/>
                <w:szCs w:val="18"/>
                <w:highlight w:val="none"/>
              </w:rPr>
              <w:t xml:space="preserve">3</w:t>
            </w:r>
            <w:r>
              <w:rPr>
                <w:rFonts w:ascii="宋体" w:hAnsi="宋体"/>
                <w:bCs/>
                <w:color w:val="auto"/>
                <w:sz w:val="18"/>
                <w:szCs w:val="18"/>
                <w:highlight w:val="none"/>
              </w:rPr>
              <w:t xml:space="preserve">0*4</w:t>
            </w:r>
            <w:r>
              <w:rPr>
                <w:rFonts w:hint="eastAsia" w:ascii="宋体" w:hAnsi="宋体"/>
                <w:bCs/>
                <w:color w:val="auto"/>
                <w:sz w:val="18"/>
                <w:szCs w:val="18"/>
                <w:highlight w:val="none"/>
              </w:rPr>
              <w:t xml:space="preserve">/</w:t>
            </w:r>
            <w:r>
              <w:rPr>
                <w:rFonts w:ascii="宋体" w:hAnsi="宋体"/>
                <w:bCs/>
                <w:color w:val="auto"/>
                <w:sz w:val="18"/>
                <w:szCs w:val="18"/>
                <w:highlight w:val="none"/>
              </w:rPr>
              <w:t xml:space="preserve">DDR3 16GB*16/SAS 300GB*2</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3</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Dell R910</w:t>
            </w:r>
            <w:r>
              <w:rPr>
                <w:color w:val="auto"/>
                <w:highlight w:val="none"/>
              </w:rPr>
            </w:r>
            <w:r>
              <w:rPr>
                <w:color w:val="auto"/>
                <w:highlight w:val="none"/>
              </w:rPr>
            </w:r>
          </w:p>
        </w:tc>
        <w:tc>
          <w:tcPr>
            <w:tcW w:w="4197" w:type="dxa"/>
            <w:vAlign w:val="center"/>
            <w:textDirection w:val="lrTb"/>
            <w:noWrap w:val="false"/>
          </w:tcPr>
          <w:p>
            <w:pPr>
              <w:pStyle w:val="808"/>
              <w:rPr>
                <w:rFonts w:ascii="宋体" w:hAnsi="宋体"/>
                <w:bCs/>
                <w:color w:val="auto"/>
                <w:sz w:val="18"/>
                <w:szCs w:val="18"/>
                <w:highlight w:val="none"/>
              </w:rPr>
            </w:pPr>
            <w:r>
              <w:rPr>
                <w:rFonts w:ascii="宋体" w:hAnsi="宋体"/>
                <w:bCs/>
                <w:color w:val="auto"/>
                <w:sz w:val="18"/>
                <w:szCs w:val="18"/>
                <w:highlight w:val="none"/>
              </w:rPr>
              <w:t xml:space="preserve">E7-4820*</w:t>
            </w:r>
            <w:r>
              <w:rPr>
                <w:rFonts w:hint="eastAsia" w:ascii="宋体" w:hAnsi="宋体"/>
                <w:bCs/>
                <w:color w:val="auto"/>
                <w:sz w:val="18"/>
                <w:szCs w:val="18"/>
                <w:highlight w:val="none"/>
              </w:rPr>
              <w:t xml:space="preserve">2/</w:t>
            </w:r>
            <w:r>
              <w:rPr>
                <w:rFonts w:ascii="宋体" w:hAnsi="宋体"/>
                <w:bCs/>
                <w:color w:val="auto"/>
                <w:sz w:val="18"/>
                <w:szCs w:val="18"/>
                <w:highlight w:val="none"/>
              </w:rPr>
              <w:t xml:space="preserve">DDR3 16GB*</w:t>
            </w:r>
            <w:r>
              <w:rPr>
                <w:rFonts w:hint="eastAsia" w:ascii="宋体" w:hAnsi="宋体"/>
                <w:bCs/>
                <w:color w:val="auto"/>
                <w:sz w:val="18"/>
                <w:szCs w:val="18"/>
                <w:highlight w:val="none"/>
              </w:rPr>
              <w:t xml:space="preserve">8</w:t>
            </w:r>
            <w:r>
              <w:rPr>
                <w:rFonts w:ascii="宋体" w:hAnsi="宋体"/>
                <w:bCs/>
                <w:color w:val="auto"/>
                <w:sz w:val="18"/>
                <w:szCs w:val="18"/>
                <w:highlight w:val="none"/>
              </w:rPr>
              <w:t xml:space="preserve">/SAS 300GB*2</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4</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Dell R910</w:t>
            </w:r>
            <w:r>
              <w:rPr>
                <w:color w:val="auto"/>
                <w:highlight w:val="none"/>
              </w:rPr>
            </w:r>
            <w:r>
              <w:rPr>
                <w:color w:val="auto"/>
                <w:highlight w:val="none"/>
              </w:rPr>
            </w:r>
          </w:p>
        </w:tc>
        <w:tc>
          <w:tcPr>
            <w:tcW w:w="4197" w:type="dxa"/>
            <w:vAlign w:val="center"/>
            <w:textDirection w:val="lrTb"/>
            <w:noWrap w:val="false"/>
          </w:tcPr>
          <w:p>
            <w:pPr>
              <w:pStyle w:val="808"/>
              <w:rPr>
                <w:rFonts w:ascii="宋体" w:hAnsi="宋体"/>
                <w:bCs/>
                <w:color w:val="auto"/>
                <w:sz w:val="18"/>
                <w:szCs w:val="18"/>
                <w:highlight w:val="none"/>
              </w:rPr>
            </w:pPr>
            <w:r>
              <w:rPr>
                <w:rFonts w:ascii="宋体" w:hAnsi="宋体"/>
                <w:bCs/>
                <w:color w:val="auto"/>
                <w:sz w:val="18"/>
                <w:szCs w:val="18"/>
                <w:highlight w:val="none"/>
              </w:rPr>
              <w:t xml:space="preserve">E7-48</w:t>
            </w:r>
            <w:r>
              <w:rPr>
                <w:rFonts w:hint="eastAsia" w:ascii="宋体" w:hAnsi="宋体"/>
                <w:bCs/>
                <w:color w:val="auto"/>
                <w:sz w:val="18"/>
                <w:szCs w:val="18"/>
                <w:highlight w:val="none"/>
              </w:rPr>
              <w:t xml:space="preserve">5</w:t>
            </w:r>
            <w:r>
              <w:rPr>
                <w:rFonts w:ascii="宋体" w:hAnsi="宋体"/>
                <w:bCs/>
                <w:color w:val="auto"/>
                <w:sz w:val="18"/>
                <w:szCs w:val="18"/>
                <w:highlight w:val="none"/>
              </w:rPr>
              <w:t xml:space="preserve">0*</w:t>
            </w:r>
            <w:r>
              <w:rPr>
                <w:rFonts w:hint="eastAsia" w:ascii="宋体" w:hAnsi="宋体"/>
                <w:bCs/>
                <w:color w:val="auto"/>
                <w:sz w:val="18"/>
                <w:szCs w:val="18"/>
                <w:highlight w:val="none"/>
              </w:rPr>
              <w:t xml:space="preserve">2/</w:t>
            </w:r>
            <w:r>
              <w:rPr>
                <w:rFonts w:ascii="宋体" w:hAnsi="宋体"/>
                <w:bCs/>
                <w:color w:val="auto"/>
                <w:sz w:val="18"/>
                <w:szCs w:val="18"/>
                <w:highlight w:val="none"/>
              </w:rPr>
              <w:t xml:space="preserve">DDR3 16GB*16/SAS 300GB*2</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5</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Dell R9</w:t>
            </w:r>
            <w:r>
              <w:rPr>
                <w:rFonts w:hint="eastAsia" w:ascii="宋体" w:hAnsi="宋体"/>
                <w:color w:val="auto"/>
                <w:sz w:val="18"/>
                <w:szCs w:val="18"/>
                <w:highlight w:val="none"/>
              </w:rPr>
              <w:t xml:space="preserve">2</w:t>
            </w:r>
            <w:r>
              <w:rPr>
                <w:rFonts w:ascii="宋体" w:hAnsi="宋体"/>
                <w:color w:val="auto"/>
                <w:sz w:val="18"/>
                <w:szCs w:val="18"/>
                <w:highlight w:val="none"/>
              </w:rPr>
              <w:t xml:space="preserve">0</w:t>
            </w:r>
            <w:r>
              <w:rPr>
                <w:color w:val="auto"/>
                <w:highlight w:val="none"/>
              </w:rPr>
            </w:r>
            <w:r>
              <w:rPr>
                <w:color w:val="auto"/>
                <w:highlight w:val="none"/>
              </w:rPr>
            </w:r>
          </w:p>
        </w:tc>
        <w:tc>
          <w:tcPr>
            <w:tcW w:w="4197" w:type="dxa"/>
            <w:vAlign w:val="center"/>
            <w:textDirection w:val="lrTb"/>
            <w:noWrap w:val="false"/>
          </w:tcPr>
          <w:p>
            <w:pPr>
              <w:pStyle w:val="808"/>
              <w:rPr>
                <w:rFonts w:ascii="宋体" w:hAnsi="宋体"/>
                <w:bCs/>
                <w:color w:val="auto"/>
                <w:sz w:val="18"/>
                <w:szCs w:val="18"/>
                <w:highlight w:val="none"/>
              </w:rPr>
            </w:pPr>
            <w:r>
              <w:rPr>
                <w:rFonts w:ascii="宋体" w:hAnsi="宋体"/>
                <w:bCs/>
                <w:color w:val="auto"/>
                <w:sz w:val="18"/>
                <w:szCs w:val="18"/>
                <w:highlight w:val="none"/>
              </w:rPr>
              <w:t xml:space="preserve">E7-48</w:t>
            </w:r>
            <w:r>
              <w:rPr>
                <w:rFonts w:hint="eastAsia" w:ascii="宋体" w:hAnsi="宋体"/>
                <w:bCs/>
                <w:color w:val="auto"/>
                <w:sz w:val="18"/>
                <w:szCs w:val="18"/>
                <w:highlight w:val="none"/>
              </w:rPr>
              <w:t xml:space="preserve">2</w:t>
            </w:r>
            <w:r>
              <w:rPr>
                <w:rFonts w:ascii="宋体" w:hAnsi="宋体"/>
                <w:bCs/>
                <w:color w:val="auto"/>
                <w:sz w:val="18"/>
                <w:szCs w:val="18"/>
                <w:highlight w:val="none"/>
              </w:rPr>
              <w:t xml:space="preserve">0V2*</w:t>
            </w:r>
            <w:r>
              <w:rPr>
                <w:rFonts w:hint="eastAsia" w:ascii="宋体" w:hAnsi="宋体"/>
                <w:bCs/>
                <w:color w:val="auto"/>
                <w:sz w:val="18"/>
                <w:szCs w:val="18"/>
                <w:highlight w:val="none"/>
              </w:rPr>
              <w:t xml:space="preserve">2/</w:t>
            </w:r>
            <w:r>
              <w:rPr>
                <w:rFonts w:ascii="宋体" w:hAnsi="宋体"/>
                <w:bCs/>
                <w:color w:val="auto"/>
                <w:sz w:val="18"/>
                <w:szCs w:val="18"/>
                <w:highlight w:val="none"/>
              </w:rPr>
              <w:t xml:space="preserve">DDR3 16GB*16/SAS 300GB*2</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2</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6</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Dell R820</w:t>
            </w:r>
            <w:r>
              <w:rPr>
                <w:color w:val="auto"/>
                <w:highlight w:val="none"/>
              </w:rPr>
            </w:r>
            <w:r>
              <w:rPr>
                <w:color w:val="auto"/>
                <w:highlight w:val="none"/>
              </w:rPr>
            </w:r>
          </w:p>
        </w:tc>
        <w:tc>
          <w:tcPr>
            <w:tcW w:w="4197" w:type="dxa"/>
            <w:vAlign w:val="center"/>
            <w:textDirection w:val="lrTb"/>
            <w:noWrap w:val="false"/>
          </w:tcPr>
          <w:p>
            <w:pPr>
              <w:pStyle w:val="808"/>
              <w:rPr>
                <w:rFonts w:ascii="宋体" w:hAnsi="宋体"/>
                <w:bCs/>
                <w:color w:val="auto"/>
                <w:sz w:val="18"/>
                <w:szCs w:val="18"/>
                <w:highlight w:val="none"/>
              </w:rPr>
            </w:pPr>
            <w:r>
              <w:rPr>
                <w:rFonts w:ascii="宋体" w:hAnsi="宋体"/>
                <w:bCs/>
                <w:color w:val="auto"/>
                <w:sz w:val="18"/>
                <w:szCs w:val="18"/>
                <w:highlight w:val="none"/>
              </w:rPr>
              <w:t xml:space="preserve">E</w:t>
            </w:r>
            <w:r>
              <w:rPr>
                <w:rFonts w:hint="eastAsia" w:ascii="宋体" w:hAnsi="宋体"/>
                <w:bCs/>
                <w:color w:val="auto"/>
                <w:sz w:val="18"/>
                <w:szCs w:val="18"/>
                <w:highlight w:val="none"/>
              </w:rPr>
              <w:t xml:space="preserve">5</w:t>
            </w:r>
            <w:r>
              <w:rPr>
                <w:rFonts w:ascii="宋体" w:hAnsi="宋体"/>
                <w:bCs/>
                <w:color w:val="auto"/>
                <w:sz w:val="18"/>
                <w:szCs w:val="18"/>
                <w:highlight w:val="none"/>
              </w:rPr>
              <w:t xml:space="preserve">-4</w:t>
            </w:r>
            <w:r>
              <w:rPr>
                <w:rFonts w:hint="eastAsia" w:ascii="宋体" w:hAnsi="宋体"/>
                <w:bCs/>
                <w:color w:val="auto"/>
                <w:sz w:val="18"/>
                <w:szCs w:val="18"/>
                <w:highlight w:val="none"/>
              </w:rPr>
              <w:t xml:space="preserve">610</w:t>
            </w:r>
            <w:r>
              <w:rPr>
                <w:rFonts w:ascii="宋体" w:hAnsi="宋体"/>
                <w:bCs/>
                <w:color w:val="auto"/>
                <w:sz w:val="18"/>
                <w:szCs w:val="18"/>
                <w:highlight w:val="none"/>
              </w:rPr>
              <w:t xml:space="preserve">V2*</w:t>
            </w:r>
            <w:r>
              <w:rPr>
                <w:rFonts w:hint="eastAsia" w:ascii="宋体" w:hAnsi="宋体"/>
                <w:bCs/>
                <w:color w:val="auto"/>
                <w:sz w:val="18"/>
                <w:szCs w:val="18"/>
                <w:highlight w:val="none"/>
              </w:rPr>
              <w:t xml:space="preserve">2/</w:t>
            </w:r>
            <w:r>
              <w:rPr>
                <w:rFonts w:ascii="宋体" w:hAnsi="宋体"/>
                <w:bCs/>
                <w:color w:val="auto"/>
                <w:sz w:val="18"/>
                <w:szCs w:val="18"/>
                <w:highlight w:val="none"/>
              </w:rPr>
              <w:t xml:space="preserve">DDR</w:t>
            </w:r>
            <w:r>
              <w:rPr>
                <w:rFonts w:hint="eastAsia" w:ascii="宋体" w:hAnsi="宋体"/>
                <w:bCs/>
                <w:color w:val="auto"/>
                <w:sz w:val="18"/>
                <w:szCs w:val="18"/>
                <w:highlight w:val="none"/>
              </w:rPr>
              <w:t xml:space="preserve">4</w:t>
            </w:r>
            <w:r>
              <w:rPr>
                <w:rFonts w:ascii="宋体" w:hAnsi="宋体"/>
                <w:bCs/>
                <w:color w:val="auto"/>
                <w:sz w:val="18"/>
                <w:szCs w:val="18"/>
                <w:highlight w:val="none"/>
              </w:rPr>
              <w:t xml:space="preserve"> 16GB*16/SAS 300GB*2</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2</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7</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Dell R740</w:t>
            </w:r>
            <w:r>
              <w:rPr>
                <w:color w:val="auto"/>
                <w:highlight w:val="none"/>
              </w:rPr>
            </w:r>
            <w:r>
              <w:rPr>
                <w:color w:val="auto"/>
                <w:highlight w:val="none"/>
              </w:rPr>
            </w:r>
          </w:p>
        </w:tc>
        <w:tc>
          <w:tcPr>
            <w:tcW w:w="4197" w:type="dxa"/>
            <w:vAlign w:val="center"/>
            <w:textDirection w:val="lrTb"/>
            <w:noWrap w:val="false"/>
          </w:tcPr>
          <w:p>
            <w:pPr>
              <w:pStyle w:val="808"/>
              <w:rPr>
                <w:rFonts w:ascii="宋体" w:hAnsi="宋体"/>
                <w:bCs/>
                <w:color w:val="auto"/>
                <w:sz w:val="18"/>
                <w:szCs w:val="18"/>
                <w:highlight w:val="none"/>
              </w:rPr>
            </w:pPr>
            <w:r>
              <w:rPr>
                <w:rFonts w:ascii="宋体" w:hAnsi="宋体"/>
                <w:bCs/>
                <w:color w:val="auto"/>
                <w:sz w:val="18"/>
                <w:szCs w:val="18"/>
                <w:highlight w:val="none"/>
              </w:rPr>
              <w:t xml:space="preserve">Silver 4114*2/DDR4 16GB*8/SAS 300GB*2</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2</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8</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Dell R730</w:t>
            </w:r>
            <w:r>
              <w:rPr>
                <w:color w:val="auto"/>
                <w:highlight w:val="none"/>
              </w:rPr>
            </w:r>
            <w:r>
              <w:rPr>
                <w:color w:val="auto"/>
                <w:highlight w:val="none"/>
              </w:rPr>
            </w:r>
          </w:p>
        </w:tc>
        <w:tc>
          <w:tcPr>
            <w:tcW w:w="4197" w:type="dxa"/>
            <w:vAlign w:val="center"/>
            <w:textDirection w:val="lrTb"/>
            <w:noWrap w:val="false"/>
          </w:tcPr>
          <w:p>
            <w:pPr>
              <w:pStyle w:val="808"/>
              <w:rPr>
                <w:rFonts w:ascii="宋体" w:hAnsi="宋体"/>
                <w:bCs/>
                <w:color w:val="auto"/>
                <w:sz w:val="18"/>
                <w:szCs w:val="18"/>
                <w:highlight w:val="none"/>
              </w:rPr>
            </w:pPr>
            <w:r>
              <w:rPr>
                <w:rFonts w:ascii="宋体" w:hAnsi="宋体"/>
                <w:bCs/>
                <w:color w:val="auto"/>
                <w:sz w:val="18"/>
                <w:szCs w:val="18"/>
                <w:highlight w:val="none"/>
              </w:rPr>
              <w:t xml:space="preserve">E</w:t>
            </w:r>
            <w:r>
              <w:rPr>
                <w:rFonts w:hint="eastAsia" w:ascii="宋体" w:hAnsi="宋体"/>
                <w:bCs/>
                <w:color w:val="auto"/>
                <w:sz w:val="18"/>
                <w:szCs w:val="18"/>
                <w:highlight w:val="none"/>
              </w:rPr>
              <w:t xml:space="preserve">5</w:t>
            </w:r>
            <w:r>
              <w:rPr>
                <w:rFonts w:ascii="宋体" w:hAnsi="宋体"/>
                <w:bCs/>
                <w:color w:val="auto"/>
                <w:sz w:val="18"/>
                <w:szCs w:val="18"/>
                <w:highlight w:val="none"/>
              </w:rPr>
              <w:t xml:space="preserve">-</w:t>
            </w:r>
            <w:r>
              <w:rPr>
                <w:rFonts w:hint="eastAsia" w:ascii="宋体" w:hAnsi="宋体"/>
                <w:bCs/>
                <w:color w:val="auto"/>
                <w:sz w:val="18"/>
                <w:szCs w:val="18"/>
                <w:highlight w:val="none"/>
              </w:rPr>
              <w:t xml:space="preserve">2620</w:t>
            </w:r>
            <w:r>
              <w:rPr>
                <w:rFonts w:ascii="宋体" w:hAnsi="宋体"/>
                <w:bCs/>
                <w:color w:val="auto"/>
                <w:sz w:val="18"/>
                <w:szCs w:val="18"/>
                <w:highlight w:val="none"/>
              </w:rPr>
              <w:t xml:space="preserve">V</w:t>
            </w:r>
            <w:r>
              <w:rPr>
                <w:rFonts w:hint="eastAsia" w:ascii="宋体" w:hAnsi="宋体"/>
                <w:bCs/>
                <w:color w:val="auto"/>
                <w:sz w:val="18"/>
                <w:szCs w:val="18"/>
                <w:highlight w:val="none"/>
              </w:rPr>
              <w:t xml:space="preserve">4</w:t>
            </w:r>
            <w:r>
              <w:rPr>
                <w:rFonts w:ascii="宋体" w:hAnsi="宋体"/>
                <w:bCs/>
                <w:color w:val="auto"/>
                <w:sz w:val="18"/>
                <w:szCs w:val="18"/>
                <w:highlight w:val="none"/>
              </w:rPr>
              <w:t xml:space="preserve">*</w:t>
            </w:r>
            <w:r>
              <w:rPr>
                <w:rFonts w:hint="eastAsia" w:ascii="宋体" w:hAnsi="宋体"/>
                <w:bCs/>
                <w:color w:val="auto"/>
                <w:sz w:val="18"/>
                <w:szCs w:val="18"/>
                <w:highlight w:val="none"/>
              </w:rPr>
              <w:t xml:space="preserve">2/</w:t>
            </w:r>
            <w:r>
              <w:rPr>
                <w:rFonts w:ascii="宋体" w:hAnsi="宋体"/>
                <w:bCs/>
                <w:color w:val="auto"/>
                <w:sz w:val="18"/>
                <w:szCs w:val="18"/>
                <w:highlight w:val="none"/>
              </w:rPr>
              <w:t xml:space="preserve">DDR</w:t>
            </w:r>
            <w:r>
              <w:rPr>
                <w:rFonts w:hint="eastAsia" w:ascii="宋体" w:hAnsi="宋体"/>
                <w:bCs/>
                <w:color w:val="auto"/>
                <w:sz w:val="18"/>
                <w:szCs w:val="18"/>
                <w:highlight w:val="none"/>
              </w:rPr>
              <w:t xml:space="preserve">4</w:t>
            </w:r>
            <w:r>
              <w:rPr>
                <w:rFonts w:ascii="宋体" w:hAnsi="宋体"/>
                <w:bCs/>
                <w:color w:val="auto"/>
                <w:sz w:val="18"/>
                <w:szCs w:val="18"/>
                <w:highlight w:val="none"/>
              </w:rPr>
              <w:t xml:space="preserve"> 16GB*16/SAS 300GB*2</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2</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ascii="宋体" w:hAnsi="宋体"/>
                <w:bCs/>
                <w:color w:val="auto"/>
                <w:sz w:val="18"/>
                <w:szCs w:val="18"/>
                <w:highlight w:val="none"/>
              </w:rPr>
              <w:t xml:space="preserve">9</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Dell R730</w:t>
            </w:r>
            <w:r>
              <w:rPr>
                <w:color w:val="auto"/>
                <w:highlight w:val="none"/>
              </w:rPr>
            </w:r>
            <w:r>
              <w:rPr>
                <w:color w:val="auto"/>
                <w:highlight w:val="none"/>
              </w:rPr>
            </w:r>
          </w:p>
        </w:tc>
        <w:tc>
          <w:tcPr>
            <w:tcW w:w="4197" w:type="dxa"/>
            <w:vAlign w:val="center"/>
            <w:textDirection w:val="lrTb"/>
            <w:noWrap w:val="false"/>
          </w:tcPr>
          <w:p>
            <w:pPr>
              <w:pStyle w:val="808"/>
              <w:rPr>
                <w:rFonts w:ascii="宋体" w:hAnsi="宋体"/>
                <w:bCs/>
                <w:color w:val="auto"/>
                <w:sz w:val="18"/>
                <w:szCs w:val="18"/>
                <w:highlight w:val="none"/>
              </w:rPr>
            </w:pPr>
            <w:r>
              <w:rPr>
                <w:rFonts w:ascii="宋体" w:hAnsi="宋体"/>
                <w:bCs/>
                <w:color w:val="auto"/>
                <w:sz w:val="18"/>
                <w:szCs w:val="18"/>
                <w:highlight w:val="none"/>
              </w:rPr>
              <w:t xml:space="preserve">E</w:t>
            </w:r>
            <w:r>
              <w:rPr>
                <w:rFonts w:hint="eastAsia" w:ascii="宋体" w:hAnsi="宋体"/>
                <w:bCs/>
                <w:color w:val="auto"/>
                <w:sz w:val="18"/>
                <w:szCs w:val="18"/>
                <w:highlight w:val="none"/>
              </w:rPr>
              <w:t xml:space="preserve">5</w:t>
            </w:r>
            <w:r>
              <w:rPr>
                <w:rFonts w:ascii="宋体" w:hAnsi="宋体"/>
                <w:bCs/>
                <w:color w:val="auto"/>
                <w:sz w:val="18"/>
                <w:szCs w:val="18"/>
                <w:highlight w:val="none"/>
              </w:rPr>
              <w:t xml:space="preserve">-</w:t>
            </w:r>
            <w:r>
              <w:rPr>
                <w:rFonts w:hint="eastAsia" w:ascii="宋体" w:hAnsi="宋体"/>
                <w:bCs/>
                <w:color w:val="auto"/>
                <w:sz w:val="18"/>
                <w:szCs w:val="18"/>
                <w:highlight w:val="none"/>
              </w:rPr>
              <w:t xml:space="preserve">2620</w:t>
            </w:r>
            <w:r>
              <w:rPr>
                <w:rFonts w:ascii="宋体" w:hAnsi="宋体"/>
                <w:bCs/>
                <w:color w:val="auto"/>
                <w:sz w:val="18"/>
                <w:szCs w:val="18"/>
                <w:highlight w:val="none"/>
              </w:rPr>
              <w:t xml:space="preserve">V</w:t>
            </w:r>
            <w:r>
              <w:rPr>
                <w:rFonts w:hint="eastAsia" w:ascii="宋体" w:hAnsi="宋体"/>
                <w:bCs/>
                <w:color w:val="auto"/>
                <w:sz w:val="18"/>
                <w:szCs w:val="18"/>
                <w:highlight w:val="none"/>
              </w:rPr>
              <w:t xml:space="preserve">4</w:t>
            </w:r>
            <w:r>
              <w:rPr>
                <w:rFonts w:ascii="宋体" w:hAnsi="宋体"/>
                <w:bCs/>
                <w:color w:val="auto"/>
                <w:sz w:val="18"/>
                <w:szCs w:val="18"/>
                <w:highlight w:val="none"/>
              </w:rPr>
              <w:t xml:space="preserve">*</w:t>
            </w:r>
            <w:r>
              <w:rPr>
                <w:rFonts w:hint="eastAsia" w:ascii="宋体" w:hAnsi="宋体"/>
                <w:bCs/>
                <w:color w:val="auto"/>
                <w:sz w:val="18"/>
                <w:szCs w:val="18"/>
                <w:highlight w:val="none"/>
              </w:rPr>
              <w:t xml:space="preserve">2/</w:t>
            </w:r>
            <w:r>
              <w:rPr>
                <w:rFonts w:ascii="宋体" w:hAnsi="宋体"/>
                <w:bCs/>
                <w:color w:val="auto"/>
                <w:sz w:val="18"/>
                <w:szCs w:val="18"/>
                <w:highlight w:val="none"/>
              </w:rPr>
              <w:t xml:space="preserve">DDR</w:t>
            </w:r>
            <w:r>
              <w:rPr>
                <w:rFonts w:hint="eastAsia" w:ascii="宋体" w:hAnsi="宋体"/>
                <w:bCs/>
                <w:color w:val="auto"/>
                <w:sz w:val="18"/>
                <w:szCs w:val="18"/>
                <w:highlight w:val="none"/>
              </w:rPr>
              <w:t xml:space="preserve">4</w:t>
            </w:r>
            <w:r>
              <w:rPr>
                <w:rFonts w:ascii="宋体" w:hAnsi="宋体"/>
                <w:bCs/>
                <w:color w:val="auto"/>
                <w:sz w:val="18"/>
                <w:szCs w:val="18"/>
                <w:highlight w:val="none"/>
              </w:rPr>
              <w:t xml:space="preserve"> 16GB*</w:t>
            </w:r>
            <w:r>
              <w:rPr>
                <w:rFonts w:hint="eastAsia" w:ascii="宋体" w:hAnsi="宋体"/>
                <w:bCs/>
                <w:color w:val="auto"/>
                <w:sz w:val="18"/>
                <w:szCs w:val="18"/>
                <w:highlight w:val="none"/>
              </w:rPr>
              <w:t xml:space="preserve">8</w:t>
            </w:r>
            <w:r>
              <w:rPr>
                <w:rFonts w:ascii="宋体" w:hAnsi="宋体"/>
                <w:bCs/>
                <w:color w:val="auto"/>
                <w:sz w:val="18"/>
                <w:szCs w:val="18"/>
                <w:highlight w:val="none"/>
              </w:rPr>
              <w:t xml:space="preserve">/SAS 300GB*2</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2</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rFonts w:ascii="宋体" w:hAnsi="宋体"/>
                <w:bCs/>
                <w:color w:val="auto"/>
                <w:sz w:val="18"/>
                <w:szCs w:val="18"/>
                <w:highlight w:val="none"/>
              </w:rPr>
              <w:t xml:space="preserve">0</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Dell R7</w:t>
            </w:r>
            <w:r>
              <w:rPr>
                <w:rFonts w:hint="eastAsia" w:ascii="宋体" w:hAnsi="宋体"/>
                <w:color w:val="auto"/>
                <w:sz w:val="18"/>
                <w:szCs w:val="18"/>
                <w:highlight w:val="none"/>
              </w:rPr>
              <w:t xml:space="preserve">2</w:t>
            </w:r>
            <w:r>
              <w:rPr>
                <w:rFonts w:ascii="宋体" w:hAnsi="宋体"/>
                <w:color w:val="auto"/>
                <w:sz w:val="18"/>
                <w:szCs w:val="18"/>
                <w:highlight w:val="none"/>
              </w:rPr>
              <w:t xml:space="preserve">0</w:t>
            </w:r>
            <w:r>
              <w:rPr>
                <w:color w:val="auto"/>
                <w:highlight w:val="none"/>
              </w:rPr>
            </w:r>
            <w:r>
              <w:rPr>
                <w:color w:val="auto"/>
                <w:highlight w:val="none"/>
              </w:rPr>
            </w:r>
          </w:p>
        </w:tc>
        <w:tc>
          <w:tcPr>
            <w:tcW w:w="4197" w:type="dxa"/>
            <w:vAlign w:val="center"/>
            <w:textDirection w:val="lrTb"/>
            <w:noWrap w:val="false"/>
          </w:tcPr>
          <w:p>
            <w:pPr>
              <w:pStyle w:val="808"/>
              <w:rPr>
                <w:rFonts w:ascii="宋体" w:hAnsi="宋体"/>
                <w:bCs/>
                <w:color w:val="auto"/>
                <w:sz w:val="18"/>
                <w:szCs w:val="18"/>
                <w:highlight w:val="none"/>
              </w:rPr>
            </w:pPr>
            <w:r>
              <w:rPr>
                <w:rFonts w:ascii="宋体" w:hAnsi="宋体"/>
                <w:bCs/>
                <w:color w:val="auto"/>
                <w:sz w:val="18"/>
                <w:szCs w:val="18"/>
                <w:highlight w:val="none"/>
              </w:rPr>
              <w:t xml:space="preserve">E</w:t>
            </w:r>
            <w:r>
              <w:rPr>
                <w:rFonts w:hint="eastAsia" w:ascii="宋体" w:hAnsi="宋体"/>
                <w:bCs/>
                <w:color w:val="auto"/>
                <w:sz w:val="18"/>
                <w:szCs w:val="18"/>
                <w:highlight w:val="none"/>
              </w:rPr>
              <w:t xml:space="preserve">5</w:t>
            </w:r>
            <w:r>
              <w:rPr>
                <w:rFonts w:ascii="宋体" w:hAnsi="宋体"/>
                <w:bCs/>
                <w:color w:val="auto"/>
                <w:sz w:val="18"/>
                <w:szCs w:val="18"/>
                <w:highlight w:val="none"/>
              </w:rPr>
              <w:t xml:space="preserve">-</w:t>
            </w:r>
            <w:r>
              <w:rPr>
                <w:rFonts w:hint="eastAsia" w:ascii="宋体" w:hAnsi="宋体"/>
                <w:bCs/>
                <w:color w:val="auto"/>
                <w:sz w:val="18"/>
                <w:szCs w:val="18"/>
                <w:highlight w:val="none"/>
              </w:rPr>
              <w:t xml:space="preserve">2620</w:t>
            </w:r>
            <w:r>
              <w:rPr>
                <w:rFonts w:ascii="宋体" w:hAnsi="宋体"/>
                <w:bCs/>
                <w:color w:val="auto"/>
                <w:sz w:val="18"/>
                <w:szCs w:val="18"/>
                <w:highlight w:val="none"/>
              </w:rPr>
              <w:t xml:space="preserve">V</w:t>
            </w:r>
            <w:r>
              <w:rPr>
                <w:rFonts w:hint="eastAsia" w:ascii="宋体" w:hAnsi="宋体"/>
                <w:bCs/>
                <w:color w:val="auto"/>
                <w:sz w:val="18"/>
                <w:szCs w:val="18"/>
                <w:highlight w:val="none"/>
              </w:rPr>
              <w:t xml:space="preserve">2</w:t>
            </w:r>
            <w:r>
              <w:rPr>
                <w:rFonts w:ascii="宋体" w:hAnsi="宋体"/>
                <w:bCs/>
                <w:color w:val="auto"/>
                <w:sz w:val="18"/>
                <w:szCs w:val="18"/>
                <w:highlight w:val="none"/>
              </w:rPr>
              <w:t xml:space="preserve">*</w:t>
            </w:r>
            <w:r>
              <w:rPr>
                <w:rFonts w:hint="eastAsia" w:ascii="宋体" w:hAnsi="宋体"/>
                <w:bCs/>
                <w:color w:val="auto"/>
                <w:sz w:val="18"/>
                <w:szCs w:val="18"/>
                <w:highlight w:val="none"/>
              </w:rPr>
              <w:t xml:space="preserve">2/</w:t>
            </w:r>
            <w:r>
              <w:rPr>
                <w:rFonts w:ascii="宋体" w:hAnsi="宋体"/>
                <w:bCs/>
                <w:color w:val="auto"/>
                <w:sz w:val="18"/>
                <w:szCs w:val="18"/>
                <w:highlight w:val="none"/>
              </w:rPr>
              <w:t xml:space="preserve">DDR</w:t>
            </w:r>
            <w:r>
              <w:rPr>
                <w:rFonts w:hint="eastAsia" w:ascii="宋体" w:hAnsi="宋体"/>
                <w:bCs/>
                <w:color w:val="auto"/>
                <w:sz w:val="18"/>
                <w:szCs w:val="18"/>
                <w:highlight w:val="none"/>
              </w:rPr>
              <w:t xml:space="preserve">3</w:t>
            </w:r>
            <w:r>
              <w:rPr>
                <w:rFonts w:ascii="宋体" w:hAnsi="宋体"/>
                <w:bCs/>
                <w:color w:val="auto"/>
                <w:sz w:val="18"/>
                <w:szCs w:val="18"/>
                <w:highlight w:val="none"/>
              </w:rPr>
              <w:t xml:space="preserve"> </w:t>
            </w:r>
            <w:r>
              <w:rPr>
                <w:rFonts w:hint="eastAsia" w:ascii="宋体" w:hAnsi="宋体"/>
                <w:bCs/>
                <w:color w:val="auto"/>
                <w:sz w:val="18"/>
                <w:szCs w:val="18"/>
                <w:highlight w:val="none"/>
              </w:rPr>
              <w:t xml:space="preserve">8</w:t>
            </w:r>
            <w:r>
              <w:rPr>
                <w:rFonts w:ascii="宋体" w:hAnsi="宋体"/>
                <w:bCs/>
                <w:color w:val="auto"/>
                <w:sz w:val="18"/>
                <w:szCs w:val="18"/>
                <w:highlight w:val="none"/>
              </w:rPr>
              <w:t xml:space="preserve">GB*8/SATA 4TB</w:t>
            </w:r>
            <w:r>
              <w:rPr>
                <w:rFonts w:hint="eastAsia" w:ascii="宋体" w:hAnsi="宋体"/>
                <w:bCs/>
                <w:color w:val="auto"/>
                <w:sz w:val="18"/>
                <w:szCs w:val="18"/>
                <w:highlight w:val="none"/>
              </w:rPr>
              <w:t xml:space="preserve">*</w:t>
            </w:r>
            <w:r>
              <w:rPr>
                <w:rFonts w:ascii="宋体" w:hAnsi="宋体"/>
                <w:bCs/>
                <w:color w:val="auto"/>
                <w:sz w:val="18"/>
                <w:szCs w:val="18"/>
                <w:highlight w:val="none"/>
              </w:rPr>
              <w:t xml:space="preserve">8</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rFonts w:ascii="宋体" w:hAnsi="宋体"/>
                <w:bCs/>
                <w:color w:val="auto"/>
                <w:sz w:val="18"/>
                <w:szCs w:val="18"/>
                <w:highlight w:val="none"/>
              </w:rPr>
              <w:t xml:space="preserve">1</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Dell R330</w:t>
            </w:r>
            <w:r>
              <w:rPr>
                <w:color w:val="auto"/>
                <w:highlight w:val="none"/>
              </w:rPr>
            </w:r>
            <w:r>
              <w:rPr>
                <w:color w:val="auto"/>
                <w:highlight w:val="none"/>
              </w:rPr>
            </w:r>
          </w:p>
        </w:tc>
        <w:tc>
          <w:tcPr>
            <w:tcW w:w="4197" w:type="dxa"/>
            <w:vAlign w:val="center"/>
            <w:textDirection w:val="lrTb"/>
            <w:noWrap w:val="false"/>
          </w:tcPr>
          <w:p>
            <w:pPr>
              <w:pStyle w:val="808"/>
              <w:rPr>
                <w:rFonts w:ascii="宋体" w:hAnsi="宋体"/>
                <w:bCs/>
                <w:color w:val="auto"/>
                <w:sz w:val="18"/>
                <w:szCs w:val="18"/>
                <w:highlight w:val="none"/>
              </w:rPr>
            </w:pPr>
            <w:r>
              <w:rPr>
                <w:rFonts w:ascii="宋体" w:hAnsi="宋体"/>
                <w:bCs/>
                <w:color w:val="auto"/>
                <w:sz w:val="18"/>
                <w:szCs w:val="18"/>
                <w:highlight w:val="none"/>
              </w:rPr>
              <w:t xml:space="preserve">X5650*</w:t>
            </w:r>
            <w:r>
              <w:rPr>
                <w:rFonts w:hint="eastAsia" w:ascii="宋体" w:hAnsi="宋体"/>
                <w:bCs/>
                <w:color w:val="auto"/>
                <w:sz w:val="18"/>
                <w:szCs w:val="18"/>
                <w:highlight w:val="none"/>
              </w:rPr>
              <w:t xml:space="preserve">2/</w:t>
            </w:r>
            <w:r>
              <w:rPr>
                <w:rFonts w:ascii="宋体" w:hAnsi="宋体"/>
                <w:bCs/>
                <w:color w:val="auto"/>
                <w:sz w:val="18"/>
                <w:szCs w:val="18"/>
                <w:highlight w:val="none"/>
              </w:rPr>
              <w:t xml:space="preserve">DDR4 8GB</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2</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rFonts w:ascii="宋体" w:hAnsi="宋体"/>
                <w:bCs/>
                <w:color w:val="auto"/>
                <w:sz w:val="18"/>
                <w:szCs w:val="18"/>
                <w:highlight w:val="none"/>
              </w:rPr>
              <w:t xml:space="preserve">2</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曙光 I620-G30</w:t>
            </w:r>
            <w:r>
              <w:rPr>
                <w:color w:val="auto"/>
                <w:highlight w:val="none"/>
              </w:rPr>
            </w:r>
            <w:r>
              <w:rPr>
                <w:color w:val="auto"/>
                <w:highlight w:val="none"/>
              </w:rPr>
            </w:r>
          </w:p>
        </w:tc>
        <w:tc>
          <w:tcPr>
            <w:tcW w:w="4197" w:type="dxa"/>
            <w:vAlign w:val="center"/>
            <w:textDirection w:val="lrTb"/>
            <w:noWrap w:val="false"/>
          </w:tcPr>
          <w:p>
            <w:pPr>
              <w:pStyle w:val="808"/>
              <w:rPr>
                <w:rFonts w:ascii="宋体" w:hAnsi="宋体"/>
                <w:bCs/>
                <w:color w:val="auto"/>
                <w:sz w:val="18"/>
                <w:szCs w:val="18"/>
                <w:highlight w:val="none"/>
              </w:rPr>
            </w:pPr>
            <w:r>
              <w:rPr>
                <w:rFonts w:ascii="宋体" w:hAnsi="宋体"/>
                <w:bCs/>
                <w:color w:val="auto"/>
                <w:sz w:val="18"/>
                <w:szCs w:val="18"/>
                <w:highlight w:val="none"/>
              </w:rPr>
              <w:t xml:space="preserve">Silver 4110*2/DDR4 16GB*12/SAS 300GB*2</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2</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rFonts w:ascii="宋体" w:hAnsi="宋体"/>
                <w:bCs/>
                <w:color w:val="auto"/>
                <w:sz w:val="18"/>
                <w:szCs w:val="18"/>
                <w:highlight w:val="none"/>
              </w:rPr>
              <w:t xml:space="preserve">3</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曙光 I620-G20</w:t>
            </w:r>
            <w:r>
              <w:rPr>
                <w:color w:val="auto"/>
                <w:highlight w:val="none"/>
              </w:rPr>
            </w:r>
            <w:r>
              <w:rPr>
                <w:color w:val="auto"/>
                <w:highlight w:val="none"/>
              </w:rPr>
            </w:r>
          </w:p>
        </w:tc>
        <w:tc>
          <w:tcPr>
            <w:tcW w:w="4197" w:type="dxa"/>
            <w:vAlign w:val="center"/>
            <w:textDirection w:val="lrTb"/>
            <w:noWrap w:val="false"/>
          </w:tcPr>
          <w:p>
            <w:pPr>
              <w:pStyle w:val="808"/>
              <w:rPr>
                <w:rFonts w:ascii="宋体" w:hAnsi="宋体"/>
                <w:bCs/>
                <w:color w:val="auto"/>
                <w:sz w:val="18"/>
                <w:szCs w:val="18"/>
                <w:highlight w:val="none"/>
              </w:rPr>
            </w:pPr>
            <w:r>
              <w:rPr>
                <w:rFonts w:ascii="宋体" w:hAnsi="宋体"/>
                <w:bCs/>
                <w:color w:val="auto"/>
                <w:sz w:val="18"/>
                <w:szCs w:val="18"/>
                <w:highlight w:val="none"/>
              </w:rPr>
              <w:t xml:space="preserve">E</w:t>
            </w:r>
            <w:r>
              <w:rPr>
                <w:rFonts w:hint="eastAsia" w:ascii="宋体" w:hAnsi="宋体"/>
                <w:bCs/>
                <w:color w:val="auto"/>
                <w:sz w:val="18"/>
                <w:szCs w:val="18"/>
                <w:highlight w:val="none"/>
              </w:rPr>
              <w:t xml:space="preserve">5</w:t>
            </w:r>
            <w:r>
              <w:rPr>
                <w:rFonts w:ascii="宋体" w:hAnsi="宋体"/>
                <w:bCs/>
                <w:color w:val="auto"/>
                <w:sz w:val="18"/>
                <w:szCs w:val="18"/>
                <w:highlight w:val="none"/>
              </w:rPr>
              <w:t xml:space="preserve">-</w:t>
            </w:r>
            <w:r>
              <w:rPr>
                <w:rFonts w:hint="eastAsia" w:ascii="宋体" w:hAnsi="宋体"/>
                <w:bCs/>
                <w:color w:val="auto"/>
                <w:sz w:val="18"/>
                <w:szCs w:val="18"/>
                <w:highlight w:val="none"/>
              </w:rPr>
              <w:t xml:space="preserve">2620</w:t>
            </w:r>
            <w:r>
              <w:rPr>
                <w:rFonts w:ascii="宋体" w:hAnsi="宋体"/>
                <w:bCs/>
                <w:color w:val="auto"/>
                <w:sz w:val="18"/>
                <w:szCs w:val="18"/>
                <w:highlight w:val="none"/>
              </w:rPr>
              <w:t xml:space="preserve">V3*</w:t>
            </w:r>
            <w:r>
              <w:rPr>
                <w:rFonts w:hint="eastAsia" w:ascii="宋体" w:hAnsi="宋体"/>
                <w:bCs/>
                <w:color w:val="auto"/>
                <w:sz w:val="18"/>
                <w:szCs w:val="18"/>
                <w:highlight w:val="none"/>
              </w:rPr>
              <w:t xml:space="preserve">2/</w:t>
            </w:r>
            <w:r>
              <w:rPr>
                <w:rFonts w:ascii="宋体" w:hAnsi="宋体"/>
                <w:bCs/>
                <w:color w:val="auto"/>
                <w:sz w:val="18"/>
                <w:szCs w:val="18"/>
                <w:highlight w:val="none"/>
              </w:rPr>
              <w:t xml:space="preserve">DDR</w:t>
            </w:r>
            <w:r>
              <w:rPr>
                <w:rFonts w:hint="eastAsia" w:ascii="宋体" w:hAnsi="宋体"/>
                <w:bCs/>
                <w:color w:val="auto"/>
                <w:sz w:val="18"/>
                <w:szCs w:val="18"/>
                <w:highlight w:val="none"/>
              </w:rPr>
              <w:t xml:space="preserve">4</w:t>
            </w:r>
            <w:r>
              <w:rPr>
                <w:rFonts w:ascii="宋体" w:hAnsi="宋体"/>
                <w:bCs/>
                <w:color w:val="auto"/>
                <w:sz w:val="18"/>
                <w:szCs w:val="18"/>
                <w:highlight w:val="none"/>
              </w:rPr>
              <w:t xml:space="preserve"> 16GB*16/SAS 300GB*2</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4</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rFonts w:ascii="宋体" w:hAnsi="宋体"/>
                <w:bCs/>
                <w:color w:val="auto"/>
                <w:sz w:val="18"/>
                <w:szCs w:val="18"/>
                <w:highlight w:val="none"/>
              </w:rPr>
              <w:t xml:space="preserve">4</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曙光 I620-G20</w:t>
            </w:r>
            <w:r>
              <w:rPr>
                <w:color w:val="auto"/>
                <w:highlight w:val="none"/>
              </w:rPr>
            </w:r>
            <w:r>
              <w:rPr>
                <w:color w:val="auto"/>
                <w:highlight w:val="none"/>
              </w:rPr>
            </w:r>
          </w:p>
        </w:tc>
        <w:tc>
          <w:tcPr>
            <w:tcW w:w="4197" w:type="dxa"/>
            <w:vAlign w:val="center"/>
            <w:textDirection w:val="lrTb"/>
            <w:noWrap w:val="false"/>
          </w:tcPr>
          <w:p>
            <w:pPr>
              <w:pStyle w:val="808"/>
              <w:rPr>
                <w:rFonts w:ascii="宋体" w:hAnsi="宋体"/>
                <w:bCs/>
                <w:color w:val="auto"/>
                <w:sz w:val="18"/>
                <w:szCs w:val="18"/>
                <w:highlight w:val="none"/>
              </w:rPr>
            </w:pPr>
            <w:r>
              <w:rPr>
                <w:rFonts w:ascii="宋体" w:hAnsi="宋体"/>
                <w:bCs/>
                <w:color w:val="auto"/>
                <w:sz w:val="18"/>
                <w:szCs w:val="18"/>
                <w:highlight w:val="none"/>
              </w:rPr>
              <w:t xml:space="preserve">E</w:t>
            </w:r>
            <w:r>
              <w:rPr>
                <w:rFonts w:hint="eastAsia" w:ascii="宋体" w:hAnsi="宋体"/>
                <w:bCs/>
                <w:color w:val="auto"/>
                <w:sz w:val="18"/>
                <w:szCs w:val="18"/>
                <w:highlight w:val="none"/>
              </w:rPr>
              <w:t xml:space="preserve">5</w:t>
            </w:r>
            <w:r>
              <w:rPr>
                <w:rFonts w:ascii="宋体" w:hAnsi="宋体"/>
                <w:bCs/>
                <w:color w:val="auto"/>
                <w:sz w:val="18"/>
                <w:szCs w:val="18"/>
                <w:highlight w:val="none"/>
              </w:rPr>
              <w:t xml:space="preserve">-</w:t>
            </w:r>
            <w:r>
              <w:rPr>
                <w:rFonts w:hint="eastAsia" w:ascii="宋体" w:hAnsi="宋体"/>
                <w:bCs/>
                <w:color w:val="auto"/>
                <w:sz w:val="18"/>
                <w:szCs w:val="18"/>
                <w:highlight w:val="none"/>
              </w:rPr>
              <w:t xml:space="preserve">2620</w:t>
            </w:r>
            <w:r>
              <w:rPr>
                <w:rFonts w:ascii="宋体" w:hAnsi="宋体"/>
                <w:bCs/>
                <w:color w:val="auto"/>
                <w:sz w:val="18"/>
                <w:szCs w:val="18"/>
                <w:highlight w:val="none"/>
              </w:rPr>
              <w:t xml:space="preserve">V3</w:t>
            </w:r>
            <w:r>
              <w:rPr>
                <w:rFonts w:hint="eastAsia" w:ascii="宋体" w:hAnsi="宋体"/>
                <w:bCs/>
                <w:color w:val="auto"/>
                <w:sz w:val="18"/>
                <w:szCs w:val="18"/>
                <w:highlight w:val="none"/>
              </w:rPr>
              <w:t xml:space="preserve">/</w:t>
            </w:r>
            <w:r>
              <w:rPr>
                <w:rFonts w:ascii="宋体" w:hAnsi="宋体"/>
                <w:bCs/>
                <w:color w:val="auto"/>
                <w:sz w:val="18"/>
                <w:szCs w:val="18"/>
                <w:highlight w:val="none"/>
              </w:rPr>
              <w:t xml:space="preserve">DDR</w:t>
            </w:r>
            <w:r>
              <w:rPr>
                <w:rFonts w:hint="eastAsia" w:ascii="宋体" w:hAnsi="宋体"/>
                <w:bCs/>
                <w:color w:val="auto"/>
                <w:sz w:val="18"/>
                <w:szCs w:val="18"/>
                <w:highlight w:val="none"/>
              </w:rPr>
              <w:t xml:space="preserve">4</w:t>
            </w:r>
            <w:r>
              <w:rPr>
                <w:rFonts w:ascii="宋体" w:hAnsi="宋体"/>
                <w:bCs/>
                <w:color w:val="auto"/>
                <w:sz w:val="18"/>
                <w:szCs w:val="18"/>
                <w:highlight w:val="none"/>
              </w:rPr>
              <w:t xml:space="preserve"> 16GB/SAS 300GB*2</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2</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rFonts w:ascii="宋体" w:hAnsi="宋体"/>
                <w:bCs/>
                <w:color w:val="auto"/>
                <w:sz w:val="18"/>
                <w:szCs w:val="18"/>
                <w:highlight w:val="none"/>
              </w:rPr>
              <w:t xml:space="preserve">5</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华为RH5885H</w:t>
            </w:r>
            <w:r>
              <w:rPr>
                <w:color w:val="auto"/>
                <w:highlight w:val="none"/>
              </w:rPr>
            </w:r>
            <w:r>
              <w:rPr>
                <w:color w:val="auto"/>
                <w:highlight w:val="none"/>
              </w:rPr>
            </w:r>
          </w:p>
        </w:tc>
        <w:tc>
          <w:tcPr>
            <w:tcW w:w="4197" w:type="dxa"/>
            <w:vAlign w:val="center"/>
            <w:textDirection w:val="lrTb"/>
            <w:noWrap w:val="false"/>
          </w:tcPr>
          <w:p>
            <w:pPr>
              <w:pStyle w:val="808"/>
              <w:rPr>
                <w:rFonts w:ascii="宋体" w:hAnsi="宋体"/>
                <w:bCs/>
                <w:color w:val="auto"/>
                <w:sz w:val="18"/>
                <w:szCs w:val="18"/>
                <w:highlight w:val="none"/>
              </w:rPr>
            </w:pPr>
            <w:r>
              <w:rPr>
                <w:rFonts w:ascii="宋体" w:hAnsi="宋体"/>
                <w:bCs/>
                <w:color w:val="auto"/>
                <w:sz w:val="18"/>
                <w:szCs w:val="18"/>
                <w:highlight w:val="none"/>
              </w:rPr>
              <w:t xml:space="preserve">E7-4870V2*4</w:t>
            </w:r>
            <w:r>
              <w:rPr>
                <w:rFonts w:hint="eastAsia" w:ascii="宋体" w:hAnsi="宋体"/>
                <w:bCs/>
                <w:color w:val="auto"/>
                <w:sz w:val="18"/>
                <w:szCs w:val="18"/>
                <w:highlight w:val="none"/>
              </w:rPr>
              <w:t xml:space="preserve">/</w:t>
            </w:r>
            <w:r>
              <w:rPr>
                <w:rFonts w:ascii="宋体" w:hAnsi="宋体"/>
                <w:bCs/>
                <w:color w:val="auto"/>
                <w:sz w:val="18"/>
                <w:szCs w:val="18"/>
                <w:highlight w:val="none"/>
              </w:rPr>
              <w:t xml:space="preserve">DDR</w:t>
            </w:r>
            <w:r>
              <w:rPr>
                <w:rFonts w:hint="eastAsia" w:ascii="宋体" w:hAnsi="宋体"/>
                <w:bCs/>
                <w:color w:val="auto"/>
                <w:sz w:val="18"/>
                <w:szCs w:val="18"/>
                <w:highlight w:val="none"/>
              </w:rPr>
              <w:t xml:space="preserve">4</w:t>
            </w:r>
            <w:r>
              <w:rPr>
                <w:rFonts w:ascii="宋体" w:hAnsi="宋体"/>
                <w:bCs/>
                <w:color w:val="auto"/>
                <w:sz w:val="18"/>
                <w:szCs w:val="18"/>
                <w:highlight w:val="none"/>
              </w:rPr>
              <w:t xml:space="preserve"> 16GB</w:t>
            </w:r>
            <w:r>
              <w:rPr>
                <w:rFonts w:hint="eastAsia" w:ascii="宋体" w:hAnsi="宋体"/>
                <w:bCs/>
                <w:color w:val="auto"/>
                <w:sz w:val="18"/>
                <w:szCs w:val="18"/>
                <w:highlight w:val="none"/>
              </w:rPr>
              <w:t xml:space="preserve">*16</w:t>
            </w:r>
            <w:r>
              <w:rPr>
                <w:rFonts w:ascii="宋体" w:hAnsi="宋体"/>
                <w:bCs/>
                <w:color w:val="auto"/>
                <w:sz w:val="18"/>
                <w:szCs w:val="18"/>
                <w:highlight w:val="none"/>
              </w:rPr>
              <w:t xml:space="preserve">/SAS 600GB*</w:t>
            </w:r>
            <w:r>
              <w:rPr>
                <w:rFonts w:hint="eastAsia" w:ascii="宋体" w:hAnsi="宋体"/>
                <w:bCs/>
                <w:color w:val="auto"/>
                <w:sz w:val="18"/>
                <w:szCs w:val="18"/>
                <w:highlight w:val="none"/>
              </w:rPr>
              <w:t xml:space="preserve">3</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2</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rFonts w:ascii="宋体" w:hAnsi="宋体"/>
                <w:bCs/>
                <w:color w:val="auto"/>
                <w:sz w:val="18"/>
                <w:szCs w:val="18"/>
                <w:highlight w:val="none"/>
              </w:rPr>
              <w:t xml:space="preserve">6</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华为RH5885</w:t>
            </w:r>
            <w:r>
              <w:rPr>
                <w:color w:val="auto"/>
                <w:highlight w:val="none"/>
              </w:rPr>
            </w:r>
            <w:r>
              <w:rPr>
                <w:color w:val="auto"/>
                <w:highlight w:val="none"/>
              </w:rPr>
            </w:r>
          </w:p>
        </w:tc>
        <w:tc>
          <w:tcPr>
            <w:tcW w:w="4197" w:type="dxa"/>
            <w:vAlign w:val="center"/>
            <w:textDirection w:val="lrTb"/>
            <w:noWrap w:val="false"/>
          </w:tcPr>
          <w:p>
            <w:pPr>
              <w:pStyle w:val="808"/>
              <w:rPr>
                <w:rFonts w:ascii="宋体" w:hAnsi="宋体"/>
                <w:bCs/>
                <w:color w:val="auto"/>
                <w:sz w:val="18"/>
                <w:szCs w:val="18"/>
                <w:highlight w:val="none"/>
              </w:rPr>
            </w:pPr>
            <w:r>
              <w:rPr>
                <w:rFonts w:ascii="宋体" w:hAnsi="宋体"/>
                <w:bCs/>
                <w:color w:val="auto"/>
                <w:sz w:val="18"/>
                <w:szCs w:val="18"/>
                <w:highlight w:val="none"/>
              </w:rPr>
              <w:t xml:space="preserve">E7-48</w:t>
            </w:r>
            <w:r>
              <w:rPr>
                <w:rFonts w:hint="eastAsia" w:ascii="宋体" w:hAnsi="宋体"/>
                <w:bCs/>
                <w:color w:val="auto"/>
                <w:sz w:val="18"/>
                <w:szCs w:val="18"/>
                <w:highlight w:val="none"/>
              </w:rPr>
              <w:t xml:space="preserve">20</w:t>
            </w:r>
            <w:r>
              <w:rPr>
                <w:rFonts w:ascii="宋体" w:hAnsi="宋体"/>
                <w:bCs/>
                <w:color w:val="auto"/>
                <w:sz w:val="18"/>
                <w:szCs w:val="18"/>
                <w:highlight w:val="none"/>
              </w:rPr>
              <w:t xml:space="preserve">V2*</w:t>
            </w:r>
            <w:r>
              <w:rPr>
                <w:rFonts w:hint="eastAsia" w:ascii="宋体" w:hAnsi="宋体"/>
                <w:bCs/>
                <w:color w:val="auto"/>
                <w:sz w:val="18"/>
                <w:szCs w:val="18"/>
                <w:highlight w:val="none"/>
              </w:rPr>
              <w:t xml:space="preserve">4/</w:t>
            </w:r>
            <w:r>
              <w:rPr>
                <w:rFonts w:ascii="宋体" w:hAnsi="宋体"/>
                <w:bCs/>
                <w:color w:val="auto"/>
                <w:sz w:val="18"/>
                <w:szCs w:val="18"/>
                <w:highlight w:val="none"/>
              </w:rPr>
              <w:t xml:space="preserve">DDR</w:t>
            </w:r>
            <w:r>
              <w:rPr>
                <w:rFonts w:hint="eastAsia" w:ascii="宋体" w:hAnsi="宋体"/>
                <w:bCs/>
                <w:color w:val="auto"/>
                <w:sz w:val="18"/>
                <w:szCs w:val="18"/>
                <w:highlight w:val="none"/>
              </w:rPr>
              <w:t xml:space="preserve">4</w:t>
            </w:r>
            <w:r>
              <w:rPr>
                <w:rFonts w:ascii="宋体" w:hAnsi="宋体"/>
                <w:bCs/>
                <w:color w:val="auto"/>
                <w:sz w:val="18"/>
                <w:szCs w:val="18"/>
                <w:highlight w:val="none"/>
              </w:rPr>
              <w:t xml:space="preserve"> 16GB</w:t>
            </w:r>
            <w:r>
              <w:rPr>
                <w:rFonts w:hint="eastAsia" w:ascii="宋体" w:hAnsi="宋体"/>
                <w:bCs/>
                <w:color w:val="auto"/>
                <w:sz w:val="18"/>
                <w:szCs w:val="18"/>
                <w:highlight w:val="none"/>
              </w:rPr>
              <w:t xml:space="preserve">*16</w:t>
            </w:r>
            <w:r>
              <w:rPr>
                <w:rFonts w:ascii="宋体" w:hAnsi="宋体"/>
                <w:bCs/>
                <w:color w:val="auto"/>
                <w:sz w:val="18"/>
                <w:szCs w:val="18"/>
                <w:highlight w:val="none"/>
              </w:rPr>
              <w:t xml:space="preserve">/SAS </w:t>
            </w:r>
            <w:r>
              <w:rPr>
                <w:rFonts w:hint="eastAsia" w:ascii="宋体" w:hAnsi="宋体"/>
                <w:bCs/>
                <w:color w:val="auto"/>
                <w:sz w:val="18"/>
                <w:szCs w:val="18"/>
                <w:highlight w:val="none"/>
              </w:rPr>
              <w:t xml:space="preserve">6</w:t>
            </w:r>
            <w:r>
              <w:rPr>
                <w:rFonts w:ascii="宋体" w:hAnsi="宋体"/>
                <w:bCs/>
                <w:color w:val="auto"/>
                <w:sz w:val="18"/>
                <w:szCs w:val="18"/>
                <w:highlight w:val="none"/>
              </w:rPr>
              <w:t xml:space="preserve">00GB*2</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2</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17</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华为E9000</w:t>
            </w:r>
            <w:r>
              <w:rPr>
                <w:rFonts w:hint="eastAsia" w:ascii="宋体" w:hAnsi="宋体"/>
                <w:color w:val="auto"/>
                <w:sz w:val="18"/>
                <w:szCs w:val="18"/>
                <w:highlight w:val="none"/>
              </w:rPr>
              <w:t xml:space="preserve">（8把刀片）</w:t>
            </w:r>
            <w:r>
              <w:rPr>
                <w:color w:val="auto"/>
                <w:highlight w:val="none"/>
              </w:rPr>
            </w:r>
            <w:r>
              <w:rPr>
                <w:color w:val="auto"/>
                <w:highlight w:val="none"/>
              </w:rPr>
            </w:r>
          </w:p>
        </w:tc>
        <w:tc>
          <w:tcPr>
            <w:tcW w:w="4197"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刀片服务器</w:t>
            </w:r>
            <w:r>
              <w:rPr>
                <w:rFonts w:ascii="宋体" w:hAnsi="宋体"/>
                <w:bCs/>
                <w:color w:val="auto"/>
                <w:sz w:val="18"/>
                <w:szCs w:val="18"/>
                <w:highlight w:val="none"/>
              </w:rPr>
              <w:t xml:space="preserve">:E</w:t>
            </w:r>
            <w:r>
              <w:rPr>
                <w:rFonts w:hint="eastAsia" w:ascii="宋体" w:hAnsi="宋体"/>
                <w:bCs/>
                <w:color w:val="auto"/>
                <w:sz w:val="18"/>
                <w:szCs w:val="18"/>
                <w:highlight w:val="none"/>
              </w:rPr>
              <w:t xml:space="preserve">5</w:t>
            </w:r>
            <w:r>
              <w:rPr>
                <w:rFonts w:ascii="宋体" w:hAnsi="宋体"/>
                <w:bCs/>
                <w:color w:val="auto"/>
                <w:sz w:val="18"/>
                <w:szCs w:val="18"/>
                <w:highlight w:val="none"/>
              </w:rPr>
              <w:t xml:space="preserve">-</w:t>
            </w:r>
            <w:r>
              <w:rPr>
                <w:rFonts w:hint="eastAsia" w:ascii="宋体" w:hAnsi="宋体"/>
                <w:bCs/>
                <w:color w:val="auto"/>
                <w:sz w:val="18"/>
                <w:szCs w:val="18"/>
                <w:highlight w:val="none"/>
              </w:rPr>
              <w:t xml:space="preserve">2620</w:t>
            </w:r>
            <w:r>
              <w:rPr>
                <w:rFonts w:ascii="宋体" w:hAnsi="宋体"/>
                <w:bCs/>
                <w:color w:val="auto"/>
                <w:sz w:val="18"/>
                <w:szCs w:val="18"/>
                <w:highlight w:val="none"/>
              </w:rPr>
              <w:t xml:space="preserve">V</w:t>
            </w:r>
            <w:r>
              <w:rPr>
                <w:rFonts w:hint="eastAsia" w:ascii="宋体" w:hAnsi="宋体"/>
                <w:bCs/>
                <w:color w:val="auto"/>
                <w:sz w:val="18"/>
                <w:szCs w:val="18"/>
                <w:highlight w:val="none"/>
              </w:rPr>
              <w:t xml:space="preserve">2*2/</w:t>
            </w:r>
            <w:r>
              <w:rPr>
                <w:rFonts w:ascii="宋体" w:hAnsi="宋体"/>
                <w:bCs/>
                <w:color w:val="auto"/>
                <w:sz w:val="18"/>
                <w:szCs w:val="18"/>
                <w:highlight w:val="none"/>
              </w:rPr>
              <w:t xml:space="preserve">DDR</w:t>
            </w:r>
            <w:r>
              <w:rPr>
                <w:rFonts w:hint="eastAsia" w:ascii="宋体" w:hAnsi="宋体"/>
                <w:bCs/>
                <w:color w:val="auto"/>
                <w:sz w:val="18"/>
                <w:szCs w:val="18"/>
                <w:highlight w:val="none"/>
              </w:rPr>
              <w:t xml:space="preserve">4</w:t>
            </w:r>
            <w:r>
              <w:rPr>
                <w:rFonts w:ascii="宋体" w:hAnsi="宋体"/>
                <w:bCs/>
                <w:color w:val="auto"/>
                <w:sz w:val="18"/>
                <w:szCs w:val="18"/>
                <w:highlight w:val="none"/>
              </w:rPr>
              <w:t xml:space="preserve"> 16GB</w:t>
            </w:r>
            <w:r>
              <w:rPr>
                <w:rFonts w:hint="eastAsia" w:ascii="宋体" w:hAnsi="宋体"/>
                <w:bCs/>
                <w:color w:val="auto"/>
                <w:sz w:val="18"/>
                <w:szCs w:val="18"/>
                <w:highlight w:val="none"/>
              </w:rPr>
              <w:t xml:space="preserve">*2</w:t>
            </w:r>
            <w:r>
              <w:rPr>
                <w:rFonts w:ascii="宋体" w:hAnsi="宋体"/>
                <w:bCs/>
                <w:color w:val="auto"/>
                <w:sz w:val="18"/>
                <w:szCs w:val="18"/>
                <w:highlight w:val="none"/>
              </w:rPr>
              <w:t xml:space="preserve">/SAS </w:t>
            </w:r>
            <w:r>
              <w:rPr>
                <w:rFonts w:hint="eastAsia" w:ascii="宋体" w:hAnsi="宋体"/>
                <w:bCs/>
                <w:color w:val="auto"/>
                <w:sz w:val="18"/>
                <w:szCs w:val="18"/>
                <w:highlight w:val="none"/>
              </w:rPr>
              <w:t xml:space="preserve">6</w:t>
            </w:r>
            <w:r>
              <w:rPr>
                <w:rFonts w:ascii="宋体" w:hAnsi="宋体"/>
                <w:bCs/>
                <w:color w:val="auto"/>
                <w:sz w:val="18"/>
                <w:szCs w:val="18"/>
                <w:highlight w:val="none"/>
              </w:rPr>
              <w:t xml:space="preserve">00GB*2</w:t>
            </w:r>
            <w:r>
              <w:rPr>
                <w:color w:val="auto"/>
                <w:highlight w:val="none"/>
              </w:rPr>
            </w:r>
            <w:r>
              <w:rPr>
                <w:color w:val="auto"/>
                <w:highlight w:val="none"/>
              </w:rPr>
            </w:r>
          </w:p>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刀箱：2个万兆以太网交换模块，2个FC光纤交换模块，冗余电源，冗余风扇</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18</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hint="eastAsia" w:ascii="宋体" w:hAnsi="宋体"/>
                <w:color w:val="auto"/>
                <w:sz w:val="18"/>
                <w:szCs w:val="18"/>
                <w:highlight w:val="none"/>
              </w:rPr>
              <w:t xml:space="preserve">曙光I620-G30</w:t>
            </w:r>
            <w:r>
              <w:rPr>
                <w:color w:val="auto"/>
                <w:highlight w:val="none"/>
              </w:rPr>
            </w:r>
            <w:r>
              <w:rPr>
                <w:color w:val="auto"/>
                <w:highlight w:val="none"/>
              </w:rPr>
            </w:r>
          </w:p>
        </w:tc>
        <w:tc>
          <w:tcPr>
            <w:tcW w:w="4197"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XEON 4214 *2 /DDR4 2933 32G*8/480G 2.5 SATA 6Gb SSD*2</w:t>
            </w:r>
            <w:r>
              <w:rPr>
                <w:rFonts w:ascii="宋体" w:hAnsi="宋体"/>
                <w:color w:val="auto"/>
                <w:sz w:val="18"/>
                <w:szCs w:val="18"/>
                <w:highlight w:val="none"/>
              </w:rPr>
              <w:t xml:space="preserve"> </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5</w:t>
            </w:r>
            <w:r>
              <w:rPr>
                <w:color w:val="auto"/>
                <w:highlight w:val="none"/>
              </w:rPr>
            </w:r>
            <w:r>
              <w:rPr>
                <w:color w:val="auto"/>
                <w:highlight w:val="none"/>
              </w:rPr>
            </w:r>
          </w:p>
        </w:tc>
        <w:tc>
          <w:tcPr>
            <w:tcW w:w="1411"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C类服务要求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19</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hint="eastAsia" w:ascii="宋体" w:hAnsi="宋体"/>
                <w:color w:val="auto"/>
                <w:sz w:val="18"/>
                <w:szCs w:val="18"/>
                <w:highlight w:val="none"/>
              </w:rPr>
              <w:t xml:space="preserve">曙光I620-G30</w:t>
            </w:r>
            <w:r>
              <w:rPr>
                <w:color w:val="auto"/>
                <w:highlight w:val="none"/>
              </w:rPr>
            </w:r>
            <w:r>
              <w:rPr>
                <w:color w:val="auto"/>
                <w:highlight w:val="none"/>
              </w:rPr>
            </w:r>
          </w:p>
        </w:tc>
        <w:tc>
          <w:tcPr>
            <w:tcW w:w="4197"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XEON 4215*2/DDR4 2933 32G*8 /480G 2.5 SATA 6Gb SSD*4</w:t>
            </w:r>
            <w:r>
              <w:rPr>
                <w:rFonts w:ascii="宋体" w:hAnsi="宋体"/>
                <w:color w:val="auto"/>
                <w:sz w:val="18"/>
                <w:szCs w:val="18"/>
                <w:highlight w:val="none"/>
              </w:rPr>
              <w:t xml:space="preserve"> </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C类服务要求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20</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hint="eastAsia" w:ascii="宋体" w:hAnsi="宋体"/>
                <w:color w:val="auto"/>
                <w:sz w:val="18"/>
                <w:szCs w:val="18"/>
                <w:highlight w:val="none"/>
              </w:rPr>
              <w:t xml:space="preserve">曙光I620-G30</w:t>
            </w:r>
            <w:r>
              <w:rPr>
                <w:color w:val="auto"/>
                <w:highlight w:val="none"/>
              </w:rPr>
            </w:r>
            <w:r>
              <w:rPr>
                <w:color w:val="auto"/>
                <w:highlight w:val="none"/>
              </w:rPr>
            </w:r>
          </w:p>
        </w:tc>
        <w:tc>
          <w:tcPr>
            <w:tcW w:w="4197"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XEON 4214*2 /DDR4 2933 32G*8 /480G 2.5 SATA 6Gb SSD*4</w:t>
            </w:r>
            <w:r>
              <w:rPr>
                <w:rFonts w:ascii="宋体" w:hAnsi="宋体"/>
                <w:color w:val="auto"/>
                <w:sz w:val="18"/>
                <w:szCs w:val="18"/>
                <w:highlight w:val="none"/>
              </w:rPr>
              <w:t xml:space="preserve"> </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C类服务要求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21</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hint="eastAsia" w:ascii="宋体" w:hAnsi="宋体"/>
                <w:color w:val="auto"/>
                <w:sz w:val="18"/>
                <w:szCs w:val="18"/>
                <w:highlight w:val="none"/>
              </w:rPr>
              <w:t xml:space="preserve">曙光I620-G30</w:t>
            </w:r>
            <w:r>
              <w:rPr>
                <w:color w:val="auto"/>
                <w:highlight w:val="none"/>
              </w:rPr>
            </w:r>
            <w:r>
              <w:rPr>
                <w:color w:val="auto"/>
                <w:highlight w:val="none"/>
              </w:rPr>
            </w:r>
          </w:p>
        </w:tc>
        <w:tc>
          <w:tcPr>
            <w:tcW w:w="4197" w:type="dxa"/>
            <w:vAlign w:val="center"/>
            <w:textDirection w:val="lrTb"/>
            <w:noWrap w:val="false"/>
          </w:tcPr>
          <w:p>
            <w:pPr>
              <w:pStyle w:val="808"/>
              <w:widowControl/>
              <w:rPr>
                <w:rFonts w:ascii="宋体" w:hAnsi="宋体"/>
                <w:color w:val="auto"/>
                <w:sz w:val="18"/>
                <w:szCs w:val="18"/>
                <w:highlight w:val="none"/>
              </w:rPr>
            </w:pPr>
            <w:r>
              <w:rPr>
                <w:rFonts w:hint="eastAsia" w:ascii="宋体" w:hAnsi="宋体"/>
                <w:color w:val="auto"/>
                <w:sz w:val="18"/>
                <w:szCs w:val="18"/>
                <w:highlight w:val="none"/>
              </w:rPr>
              <w:t xml:space="preserve">XEON 4215*2 /DDR4 2933 32G*8 /480G 2.5 6Gb SSD*4 </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2</w:t>
            </w:r>
            <w:r>
              <w:rPr>
                <w:color w:val="auto"/>
                <w:highlight w:val="none"/>
              </w:rPr>
            </w:r>
            <w:r>
              <w:rPr>
                <w:color w:val="auto"/>
                <w:highlight w:val="none"/>
              </w:rPr>
            </w:r>
          </w:p>
        </w:tc>
        <w:tc>
          <w:tcPr>
            <w:tcW w:w="1411"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C类服务要求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22</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hint="eastAsia" w:ascii="宋体" w:hAnsi="宋体"/>
                <w:color w:val="auto"/>
                <w:sz w:val="18"/>
                <w:szCs w:val="18"/>
                <w:highlight w:val="none"/>
              </w:rPr>
              <w:t xml:space="preserve">曙光I620-G30</w:t>
            </w:r>
            <w:r>
              <w:rPr>
                <w:color w:val="auto"/>
                <w:highlight w:val="none"/>
              </w:rPr>
            </w:r>
            <w:r>
              <w:rPr>
                <w:color w:val="auto"/>
                <w:highlight w:val="none"/>
              </w:rPr>
            </w:r>
          </w:p>
        </w:tc>
        <w:tc>
          <w:tcPr>
            <w:tcW w:w="4197" w:type="dxa"/>
            <w:vAlign w:val="center"/>
            <w:textDirection w:val="lrTb"/>
            <w:noWrap w:val="false"/>
          </w:tcPr>
          <w:p>
            <w:pPr>
              <w:pStyle w:val="808"/>
              <w:widowControl/>
              <w:rPr>
                <w:rFonts w:ascii="宋体" w:hAnsi="宋体"/>
                <w:color w:val="auto"/>
                <w:sz w:val="18"/>
                <w:szCs w:val="18"/>
                <w:highlight w:val="none"/>
              </w:rPr>
            </w:pPr>
            <w:r>
              <w:rPr>
                <w:rFonts w:hint="eastAsia" w:ascii="宋体" w:hAnsi="宋体"/>
                <w:color w:val="auto"/>
                <w:sz w:val="18"/>
                <w:szCs w:val="18"/>
                <w:highlight w:val="none"/>
              </w:rPr>
              <w:t xml:space="preserve">XEON 6234*2 / DDR4 2933 32G*8 /480G 2.5 6Gb SSD*6 </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2</w:t>
            </w:r>
            <w:r>
              <w:rPr>
                <w:color w:val="auto"/>
                <w:highlight w:val="none"/>
              </w:rPr>
            </w:r>
            <w:r>
              <w:rPr>
                <w:color w:val="auto"/>
                <w:highlight w:val="none"/>
              </w:rPr>
            </w:r>
          </w:p>
        </w:tc>
        <w:tc>
          <w:tcPr>
            <w:tcW w:w="1411"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C类服务要求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23</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hint="eastAsia" w:ascii="宋体" w:hAnsi="宋体"/>
                <w:color w:val="auto"/>
                <w:sz w:val="18"/>
                <w:szCs w:val="18"/>
                <w:highlight w:val="none"/>
              </w:rPr>
              <w:t xml:space="preserve">曙光I620-G30</w:t>
            </w:r>
            <w:r>
              <w:rPr>
                <w:color w:val="auto"/>
                <w:highlight w:val="none"/>
              </w:rPr>
            </w:r>
            <w:r>
              <w:rPr>
                <w:color w:val="auto"/>
                <w:highlight w:val="none"/>
              </w:rPr>
            </w:r>
          </w:p>
        </w:tc>
        <w:tc>
          <w:tcPr>
            <w:tcW w:w="4197" w:type="dxa"/>
            <w:vAlign w:val="center"/>
            <w:textDirection w:val="lrTb"/>
            <w:noWrap w:val="false"/>
          </w:tcPr>
          <w:p>
            <w:pPr>
              <w:pStyle w:val="808"/>
              <w:widowControl/>
              <w:rPr>
                <w:rFonts w:ascii="宋体" w:hAnsi="宋体"/>
                <w:color w:val="auto"/>
                <w:sz w:val="18"/>
                <w:szCs w:val="18"/>
                <w:highlight w:val="none"/>
              </w:rPr>
            </w:pPr>
            <w:r>
              <w:rPr>
                <w:rFonts w:hint="eastAsia" w:ascii="宋体" w:hAnsi="宋体"/>
                <w:color w:val="auto"/>
                <w:sz w:val="18"/>
                <w:szCs w:val="18"/>
                <w:highlight w:val="none"/>
              </w:rPr>
              <w:t xml:space="preserve">XEON 4215*2 /DDR4 2933 32G*8 /480G 2.5 6Gb SSD*4 </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C类服务要求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24</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hint="eastAsia" w:ascii="宋体" w:hAnsi="宋体"/>
                <w:color w:val="auto"/>
                <w:sz w:val="18"/>
                <w:szCs w:val="18"/>
                <w:highlight w:val="none"/>
              </w:rPr>
              <w:t xml:space="preserve">曙光I620-G30</w:t>
            </w:r>
            <w:r>
              <w:rPr>
                <w:color w:val="auto"/>
                <w:highlight w:val="none"/>
              </w:rPr>
            </w:r>
            <w:r>
              <w:rPr>
                <w:color w:val="auto"/>
                <w:highlight w:val="none"/>
              </w:rPr>
            </w:r>
          </w:p>
        </w:tc>
        <w:tc>
          <w:tcPr>
            <w:tcW w:w="4197" w:type="dxa"/>
            <w:vAlign w:val="center"/>
            <w:textDirection w:val="lrTb"/>
            <w:noWrap w:val="false"/>
          </w:tcPr>
          <w:p>
            <w:pPr>
              <w:pStyle w:val="808"/>
              <w:widowControl/>
              <w:rPr>
                <w:rFonts w:ascii="宋体" w:hAnsi="宋体"/>
                <w:color w:val="auto"/>
                <w:sz w:val="18"/>
                <w:szCs w:val="18"/>
                <w:highlight w:val="none"/>
              </w:rPr>
            </w:pPr>
            <w:r>
              <w:rPr>
                <w:rFonts w:hint="eastAsia" w:ascii="宋体" w:hAnsi="宋体"/>
                <w:color w:val="auto"/>
                <w:sz w:val="18"/>
                <w:szCs w:val="18"/>
                <w:highlight w:val="none"/>
              </w:rPr>
              <w:t xml:space="preserve">XEON 4214*2/DDR4 2933 32G*8 /480G 2.5 6Gb SSD*2 </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3</w:t>
            </w:r>
            <w:r>
              <w:rPr>
                <w:color w:val="auto"/>
                <w:highlight w:val="none"/>
              </w:rPr>
            </w:r>
            <w:r>
              <w:rPr>
                <w:color w:val="auto"/>
                <w:highlight w:val="none"/>
              </w:rPr>
            </w:r>
          </w:p>
        </w:tc>
        <w:tc>
          <w:tcPr>
            <w:tcW w:w="1411"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C类服务要求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25</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hint="eastAsia" w:ascii="宋体" w:hAnsi="宋体"/>
                <w:color w:val="auto"/>
                <w:sz w:val="18"/>
                <w:szCs w:val="18"/>
                <w:highlight w:val="none"/>
              </w:rPr>
              <w:t xml:space="preserve">DELL R330</w:t>
            </w:r>
            <w:r>
              <w:rPr>
                <w:color w:val="auto"/>
                <w:highlight w:val="none"/>
              </w:rPr>
            </w:r>
            <w:r>
              <w:rPr>
                <w:color w:val="auto"/>
                <w:highlight w:val="none"/>
              </w:rPr>
            </w:r>
          </w:p>
        </w:tc>
        <w:tc>
          <w:tcPr>
            <w:tcW w:w="4197" w:type="dxa"/>
            <w:vAlign w:val="center"/>
            <w:textDirection w:val="lrTb"/>
            <w:noWrap w:val="false"/>
          </w:tcPr>
          <w:p>
            <w:pPr>
              <w:pStyle w:val="808"/>
              <w:widowControl/>
              <w:rPr>
                <w:rFonts w:ascii="宋体" w:hAnsi="宋体"/>
                <w:color w:val="auto"/>
                <w:sz w:val="18"/>
                <w:szCs w:val="18"/>
                <w:highlight w:val="none"/>
              </w:rPr>
            </w:pPr>
            <w:r>
              <w:rPr>
                <w:rFonts w:hint="eastAsia" w:ascii="宋体" w:hAnsi="宋体"/>
                <w:color w:val="auto"/>
                <w:sz w:val="18"/>
                <w:szCs w:val="18"/>
                <w:highlight w:val="none"/>
              </w:rPr>
              <w:t xml:space="preserve">XEON </w:t>
            </w:r>
            <w:r>
              <w:rPr>
                <w:rFonts w:ascii="宋体" w:hAnsi="宋体"/>
                <w:color w:val="auto"/>
                <w:sz w:val="18"/>
                <w:szCs w:val="18"/>
                <w:highlight w:val="none"/>
              </w:rPr>
              <w:t xml:space="preserve">E-2146</w:t>
            </w:r>
            <w:r>
              <w:rPr>
                <w:rFonts w:hint="eastAsia" w:ascii="宋体" w:hAnsi="宋体"/>
                <w:color w:val="auto"/>
                <w:sz w:val="18"/>
                <w:szCs w:val="18"/>
                <w:highlight w:val="none"/>
              </w:rPr>
              <w:t xml:space="preserve">*1 /DDR4 2666 16G*4 /600G 10K转 SAS*2</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6</w:t>
            </w:r>
            <w:r>
              <w:rPr>
                <w:color w:val="auto"/>
                <w:highlight w:val="none"/>
              </w:rPr>
            </w:r>
            <w:r>
              <w:rPr>
                <w:color w:val="auto"/>
                <w:highlight w:val="none"/>
              </w:rPr>
            </w:r>
          </w:p>
        </w:tc>
        <w:tc>
          <w:tcPr>
            <w:tcW w:w="1411"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C类服务要求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26</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hint="eastAsia" w:ascii="宋体" w:hAnsi="宋体"/>
                <w:color w:val="auto"/>
                <w:sz w:val="18"/>
                <w:szCs w:val="18"/>
                <w:highlight w:val="none"/>
              </w:rPr>
              <w:t xml:space="preserve">DELL R740</w:t>
            </w:r>
            <w:r>
              <w:rPr>
                <w:color w:val="auto"/>
                <w:highlight w:val="none"/>
              </w:rPr>
            </w:r>
            <w:r>
              <w:rPr>
                <w:color w:val="auto"/>
                <w:highlight w:val="none"/>
              </w:rPr>
            </w:r>
          </w:p>
        </w:tc>
        <w:tc>
          <w:tcPr>
            <w:tcW w:w="4197" w:type="dxa"/>
            <w:vAlign w:val="center"/>
            <w:textDirection w:val="lrTb"/>
            <w:noWrap w:val="false"/>
          </w:tcPr>
          <w:p>
            <w:pPr>
              <w:pStyle w:val="808"/>
              <w:widowControl/>
              <w:rPr>
                <w:rFonts w:ascii="宋体" w:hAnsi="宋体"/>
                <w:color w:val="auto"/>
                <w:sz w:val="18"/>
                <w:szCs w:val="18"/>
                <w:highlight w:val="none"/>
              </w:rPr>
            </w:pPr>
            <w:r>
              <w:rPr>
                <w:rFonts w:hint="eastAsia" w:ascii="宋体" w:hAnsi="宋体"/>
                <w:color w:val="auto"/>
                <w:sz w:val="18"/>
                <w:szCs w:val="18"/>
                <w:highlight w:val="none"/>
              </w:rPr>
              <w:t xml:space="preserve">XEON 4210*2/DDR4 2666 32G*2/2.4TB10K转 SAS *16</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C类服务要求</w:t>
            </w:r>
            <w:r>
              <w:rPr>
                <w:color w:val="auto"/>
                <w:highlight w:val="none"/>
              </w:rPr>
            </w:r>
            <w:r>
              <w:rPr>
                <w:color w:val="auto"/>
                <w:highlight w:val="none"/>
              </w:rPr>
            </w:r>
          </w:p>
        </w:tc>
      </w:tr>
      <w:tr>
        <w:trPr>
          <w:trHeight w:val="20"/>
        </w:trPr>
        <w:tc>
          <w:tcPr>
            <w:gridSpan w:val="5"/>
            <w:tcW w:w="9350"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2</w:t>
            </w:r>
            <w:r>
              <w:rPr>
                <w:rFonts w:ascii="宋体" w:hAnsi="宋体"/>
                <w:bCs/>
                <w:color w:val="auto"/>
                <w:sz w:val="18"/>
                <w:szCs w:val="18"/>
                <w:highlight w:val="none"/>
              </w:rPr>
              <w:t xml:space="preserve">.1.2 </w:t>
            </w:r>
            <w:r>
              <w:rPr>
                <w:rFonts w:hint="eastAsia" w:ascii="宋体" w:hAnsi="宋体"/>
                <w:bCs/>
                <w:color w:val="auto"/>
                <w:sz w:val="18"/>
                <w:szCs w:val="18"/>
                <w:highlight w:val="none"/>
              </w:rPr>
              <w:t xml:space="preserve">存储资源</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27</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EMC VNX5500</w:t>
            </w:r>
            <w:r>
              <w:rPr>
                <w:color w:val="auto"/>
                <w:highlight w:val="none"/>
              </w:rPr>
            </w:r>
            <w:r>
              <w:rPr>
                <w:color w:val="auto"/>
                <w:highlight w:val="none"/>
              </w:rPr>
            </w:r>
          </w:p>
        </w:tc>
        <w:tc>
          <w:tcPr>
            <w:tcW w:w="4197"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双控制器，一级缓存24GB,二级缓存1TB，</w:t>
            </w:r>
            <w:r>
              <w:rPr>
                <w:rFonts w:ascii="宋体" w:hAnsi="宋体"/>
                <w:bCs/>
                <w:color w:val="auto"/>
                <w:sz w:val="18"/>
                <w:szCs w:val="18"/>
                <w:highlight w:val="none"/>
              </w:rPr>
              <w:t xml:space="preserve">8</w:t>
            </w:r>
            <w:r>
              <w:rPr>
                <w:rFonts w:hint="eastAsia" w:ascii="宋体" w:hAnsi="宋体"/>
                <w:bCs/>
                <w:color w:val="auto"/>
                <w:sz w:val="18"/>
                <w:szCs w:val="18"/>
                <w:highlight w:val="none"/>
              </w:rPr>
              <w:t xml:space="preserve">个</w:t>
            </w:r>
            <w:r>
              <w:rPr>
                <w:rFonts w:ascii="宋体" w:hAnsi="宋体"/>
                <w:bCs/>
                <w:color w:val="auto"/>
                <w:sz w:val="18"/>
                <w:szCs w:val="18"/>
                <w:highlight w:val="none"/>
              </w:rPr>
              <w:t xml:space="preserve">FC</w:t>
            </w:r>
            <w:r>
              <w:rPr>
                <w:rFonts w:hint="eastAsia" w:ascii="宋体" w:hAnsi="宋体"/>
                <w:bCs/>
                <w:color w:val="auto"/>
                <w:sz w:val="18"/>
                <w:szCs w:val="18"/>
                <w:highlight w:val="none"/>
              </w:rPr>
              <w:t xml:space="preserve">主机接口，4块600</w:t>
            </w:r>
            <w:r>
              <w:rPr>
                <w:rFonts w:ascii="宋体" w:hAnsi="宋体"/>
                <w:bCs/>
                <w:color w:val="auto"/>
                <w:sz w:val="18"/>
                <w:szCs w:val="18"/>
                <w:highlight w:val="none"/>
              </w:rPr>
              <w:t xml:space="preserve">GB 15K</w:t>
            </w:r>
            <w:r>
              <w:rPr>
                <w:rFonts w:hint="eastAsia" w:ascii="宋体" w:hAnsi="宋体"/>
                <w:bCs/>
                <w:color w:val="auto"/>
                <w:sz w:val="18"/>
                <w:szCs w:val="18"/>
                <w:highlight w:val="none"/>
              </w:rPr>
              <w:t xml:space="preserve">转</w:t>
            </w:r>
            <w:r>
              <w:rPr>
                <w:rFonts w:ascii="宋体" w:hAnsi="宋体"/>
                <w:bCs/>
                <w:color w:val="auto"/>
                <w:sz w:val="18"/>
                <w:szCs w:val="18"/>
                <w:highlight w:val="none"/>
              </w:rPr>
              <w:t xml:space="preserve">SAS</w:t>
            </w:r>
            <w:r>
              <w:rPr>
                <w:rFonts w:hint="eastAsia" w:ascii="宋体" w:hAnsi="宋体"/>
                <w:bCs/>
                <w:color w:val="auto"/>
                <w:sz w:val="18"/>
                <w:szCs w:val="18"/>
                <w:highlight w:val="none"/>
              </w:rPr>
              <w:t xml:space="preserve">热插拔硬盘+11块300GB 15K转SAS热插拔硬盘，扩展柜两个（15块600</w:t>
            </w:r>
            <w:r>
              <w:rPr>
                <w:rFonts w:ascii="宋体" w:hAnsi="宋体"/>
                <w:bCs/>
                <w:color w:val="auto"/>
                <w:sz w:val="18"/>
                <w:szCs w:val="18"/>
                <w:highlight w:val="none"/>
              </w:rPr>
              <w:t xml:space="preserve">GB 15K</w:t>
            </w:r>
            <w:r>
              <w:rPr>
                <w:rFonts w:hint="eastAsia" w:ascii="宋体" w:hAnsi="宋体"/>
                <w:bCs/>
                <w:color w:val="auto"/>
                <w:sz w:val="18"/>
                <w:szCs w:val="18"/>
                <w:highlight w:val="none"/>
              </w:rPr>
              <w:t xml:space="preserve">转</w:t>
            </w:r>
            <w:r>
              <w:rPr>
                <w:rFonts w:ascii="宋体" w:hAnsi="宋体"/>
                <w:bCs/>
                <w:color w:val="auto"/>
                <w:sz w:val="18"/>
                <w:szCs w:val="18"/>
                <w:highlight w:val="none"/>
              </w:rPr>
              <w:t xml:space="preserve">SAS</w:t>
            </w:r>
            <w:r>
              <w:rPr>
                <w:rFonts w:hint="eastAsia" w:ascii="宋体" w:hAnsi="宋体"/>
                <w:bCs/>
                <w:color w:val="auto"/>
                <w:sz w:val="18"/>
                <w:szCs w:val="18"/>
                <w:highlight w:val="none"/>
              </w:rPr>
              <w:t xml:space="preserve">热插拔硬盘、15块300GB 15K转SAS硬盘），冗余电源</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28</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EMC DD160</w:t>
            </w:r>
            <w:r>
              <w:rPr>
                <w:color w:val="auto"/>
                <w:highlight w:val="none"/>
              </w:rPr>
            </w:r>
            <w:r>
              <w:rPr>
                <w:color w:val="auto"/>
                <w:highlight w:val="none"/>
              </w:rPr>
            </w:r>
          </w:p>
        </w:tc>
        <w:tc>
          <w:tcPr>
            <w:tcW w:w="4197"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8GB缓存，2个F</w:t>
            </w:r>
            <w:r>
              <w:rPr>
                <w:rFonts w:ascii="宋体" w:hAnsi="宋体"/>
                <w:bCs/>
                <w:color w:val="auto"/>
                <w:sz w:val="18"/>
                <w:szCs w:val="18"/>
                <w:highlight w:val="none"/>
              </w:rPr>
              <w:t xml:space="preserve">C</w:t>
            </w:r>
            <w:r>
              <w:rPr>
                <w:rFonts w:hint="eastAsia" w:ascii="宋体" w:hAnsi="宋体"/>
                <w:bCs/>
                <w:color w:val="auto"/>
                <w:sz w:val="18"/>
                <w:szCs w:val="18"/>
                <w:highlight w:val="none"/>
              </w:rPr>
              <w:t xml:space="preserve">主机接口， 12块500</w:t>
            </w:r>
            <w:r>
              <w:rPr>
                <w:rFonts w:ascii="宋体" w:hAnsi="宋体"/>
                <w:bCs/>
                <w:color w:val="auto"/>
                <w:sz w:val="18"/>
                <w:szCs w:val="18"/>
                <w:highlight w:val="none"/>
              </w:rPr>
              <w:t xml:space="preserve">GB 7.2K </w:t>
            </w:r>
            <w:r>
              <w:rPr>
                <w:rFonts w:hint="eastAsia" w:ascii="宋体" w:hAnsi="宋体"/>
                <w:bCs/>
                <w:color w:val="auto"/>
                <w:sz w:val="18"/>
                <w:szCs w:val="18"/>
                <w:highlight w:val="none"/>
              </w:rPr>
              <w:t xml:space="preserve">转S</w:t>
            </w:r>
            <w:r>
              <w:rPr>
                <w:rFonts w:ascii="宋体" w:hAnsi="宋体"/>
                <w:bCs/>
                <w:color w:val="auto"/>
                <w:sz w:val="18"/>
                <w:szCs w:val="18"/>
                <w:highlight w:val="none"/>
              </w:rPr>
              <w:t xml:space="preserve">ATA</w:t>
            </w:r>
            <w:r>
              <w:rPr>
                <w:rFonts w:hint="eastAsia" w:ascii="宋体" w:hAnsi="宋体"/>
                <w:bCs/>
                <w:color w:val="auto"/>
                <w:sz w:val="18"/>
                <w:szCs w:val="18"/>
                <w:highlight w:val="none"/>
              </w:rPr>
              <w:t xml:space="preserve">热插拔硬盘，冗余电源</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29</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众志合达VTL2000</w:t>
            </w:r>
            <w:r>
              <w:rPr>
                <w:color w:val="auto"/>
                <w:highlight w:val="none"/>
              </w:rPr>
            </w:r>
            <w:r>
              <w:rPr>
                <w:color w:val="auto"/>
                <w:highlight w:val="none"/>
              </w:rPr>
            </w:r>
          </w:p>
        </w:tc>
        <w:tc>
          <w:tcPr>
            <w:tcW w:w="4197"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8GB缓存，2个FC主机接口，16块2</w:t>
            </w:r>
            <w:r>
              <w:rPr>
                <w:rFonts w:ascii="宋体" w:hAnsi="宋体"/>
                <w:bCs/>
                <w:color w:val="auto"/>
                <w:sz w:val="18"/>
                <w:szCs w:val="18"/>
                <w:highlight w:val="none"/>
              </w:rPr>
              <w:t xml:space="preserve">TB </w:t>
            </w:r>
            <w:r>
              <w:rPr>
                <w:rFonts w:hint="eastAsia" w:ascii="宋体" w:hAnsi="宋体"/>
                <w:bCs/>
                <w:color w:val="auto"/>
                <w:sz w:val="18"/>
                <w:szCs w:val="18"/>
                <w:highlight w:val="none"/>
              </w:rPr>
              <w:t xml:space="preserve">7.2</w:t>
            </w:r>
            <w:r>
              <w:rPr>
                <w:rFonts w:ascii="宋体" w:hAnsi="宋体"/>
                <w:bCs/>
                <w:color w:val="auto"/>
                <w:sz w:val="18"/>
                <w:szCs w:val="18"/>
                <w:highlight w:val="none"/>
              </w:rPr>
              <w:t xml:space="preserve">K</w:t>
            </w:r>
            <w:r>
              <w:rPr>
                <w:rFonts w:hint="eastAsia" w:ascii="宋体" w:hAnsi="宋体"/>
                <w:bCs/>
                <w:color w:val="auto"/>
                <w:sz w:val="18"/>
                <w:szCs w:val="18"/>
                <w:highlight w:val="none"/>
              </w:rPr>
              <w:t xml:space="preserve">转NL-S</w:t>
            </w:r>
            <w:r>
              <w:rPr>
                <w:rFonts w:ascii="宋体" w:hAnsi="宋体"/>
                <w:bCs/>
                <w:color w:val="auto"/>
                <w:sz w:val="18"/>
                <w:szCs w:val="18"/>
                <w:highlight w:val="none"/>
              </w:rPr>
              <w:t xml:space="preserve">AS</w:t>
            </w:r>
            <w:r>
              <w:rPr>
                <w:rFonts w:hint="eastAsia" w:ascii="宋体" w:hAnsi="宋体"/>
                <w:bCs/>
                <w:color w:val="auto"/>
                <w:sz w:val="18"/>
                <w:szCs w:val="18"/>
                <w:highlight w:val="none"/>
              </w:rPr>
              <w:t xml:space="preserve">热拔插硬盘，冗余电源</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30</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众志合达UA-4300D</w:t>
            </w:r>
            <w:r>
              <w:rPr>
                <w:color w:val="auto"/>
                <w:highlight w:val="none"/>
              </w:rPr>
            </w:r>
            <w:r>
              <w:rPr>
                <w:color w:val="auto"/>
                <w:highlight w:val="none"/>
              </w:rPr>
            </w:r>
          </w:p>
        </w:tc>
        <w:tc>
          <w:tcPr>
            <w:tcW w:w="4197"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双控制器，48GB缓存, 4个FC主机接口， 16块3TB</w:t>
            </w:r>
            <w:r>
              <w:rPr>
                <w:rFonts w:ascii="宋体" w:hAnsi="宋体"/>
                <w:bCs/>
                <w:color w:val="auto"/>
                <w:sz w:val="18"/>
                <w:szCs w:val="18"/>
                <w:highlight w:val="none"/>
              </w:rPr>
              <w:t xml:space="preserve"> </w:t>
            </w:r>
            <w:r>
              <w:rPr>
                <w:rFonts w:hint="eastAsia" w:ascii="宋体" w:hAnsi="宋体"/>
                <w:bCs/>
                <w:color w:val="auto"/>
                <w:sz w:val="18"/>
                <w:szCs w:val="18"/>
                <w:highlight w:val="none"/>
              </w:rPr>
              <w:t xml:space="preserve">7200转NL-SAS热插拔硬盘，冗余电源</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31</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HDS HUS130</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双控制器，32G</w:t>
            </w:r>
            <w:r>
              <w:rPr>
                <w:rFonts w:ascii="宋体" w:hAnsi="宋体"/>
                <w:bCs/>
                <w:color w:val="auto"/>
                <w:sz w:val="18"/>
                <w:szCs w:val="18"/>
                <w:highlight w:val="none"/>
              </w:rPr>
              <w:t xml:space="preserve">B</w:t>
            </w:r>
            <w:r>
              <w:rPr>
                <w:rFonts w:hint="eastAsia" w:ascii="宋体" w:hAnsi="宋体"/>
                <w:bCs/>
                <w:color w:val="auto"/>
                <w:sz w:val="18"/>
                <w:szCs w:val="18"/>
                <w:highlight w:val="none"/>
              </w:rPr>
              <w:t xml:space="preserve">缓存，7G</w:t>
            </w:r>
            <w:r>
              <w:rPr>
                <w:rFonts w:ascii="宋体" w:hAnsi="宋体"/>
                <w:bCs/>
                <w:color w:val="auto"/>
                <w:sz w:val="18"/>
                <w:szCs w:val="18"/>
                <w:highlight w:val="none"/>
              </w:rPr>
              <w:t xml:space="preserve">B</w:t>
            </w:r>
            <w:r>
              <w:rPr>
                <w:rFonts w:hint="eastAsia" w:ascii="宋体" w:hAnsi="宋体"/>
                <w:bCs/>
                <w:color w:val="auto"/>
                <w:sz w:val="18"/>
                <w:szCs w:val="18"/>
                <w:highlight w:val="none"/>
              </w:rPr>
              <w:t xml:space="preserve">控制缓存，8个FC主机端口，24块600G</w:t>
            </w:r>
            <w:r>
              <w:rPr>
                <w:rFonts w:ascii="宋体" w:hAnsi="宋体"/>
                <w:bCs/>
                <w:color w:val="auto"/>
                <w:sz w:val="18"/>
                <w:szCs w:val="18"/>
                <w:highlight w:val="none"/>
              </w:rPr>
              <w:t xml:space="preserve">B</w:t>
            </w:r>
            <w:r>
              <w:rPr>
                <w:rFonts w:hint="eastAsia" w:ascii="宋体" w:hAnsi="宋体"/>
                <w:bCs/>
                <w:color w:val="auto"/>
                <w:sz w:val="18"/>
                <w:szCs w:val="18"/>
                <w:highlight w:val="none"/>
              </w:rPr>
              <w:t xml:space="preserve"> 10K转SAS热插拔硬盘，扩展柜三个（21块600G</w:t>
            </w:r>
            <w:r>
              <w:rPr>
                <w:rFonts w:ascii="宋体" w:hAnsi="宋体"/>
                <w:bCs/>
                <w:color w:val="auto"/>
                <w:sz w:val="18"/>
                <w:szCs w:val="18"/>
                <w:highlight w:val="none"/>
              </w:rPr>
              <w:t xml:space="preserve">B</w:t>
            </w:r>
            <w:r>
              <w:rPr>
                <w:rFonts w:hint="eastAsia" w:ascii="宋体" w:hAnsi="宋体"/>
                <w:bCs/>
                <w:color w:val="auto"/>
                <w:sz w:val="18"/>
                <w:szCs w:val="18"/>
                <w:highlight w:val="none"/>
              </w:rPr>
              <w:t xml:space="preserve"> 10K转SAS热插拔硬盘+3块2</w:t>
            </w:r>
            <w:r>
              <w:rPr>
                <w:rFonts w:ascii="宋体" w:hAnsi="宋体"/>
                <w:bCs/>
                <w:color w:val="auto"/>
                <w:sz w:val="18"/>
                <w:szCs w:val="18"/>
                <w:highlight w:val="none"/>
              </w:rPr>
              <w:t xml:space="preserve">00GB </w:t>
            </w:r>
            <w:r>
              <w:rPr>
                <w:rFonts w:hint="eastAsia" w:ascii="宋体" w:hAnsi="宋体"/>
                <w:bCs/>
                <w:color w:val="auto"/>
                <w:sz w:val="18"/>
                <w:szCs w:val="18"/>
                <w:highlight w:val="none"/>
              </w:rPr>
              <w:t xml:space="preserve">S</w:t>
            </w:r>
            <w:r>
              <w:rPr>
                <w:rFonts w:ascii="宋体" w:hAnsi="宋体"/>
                <w:bCs/>
                <w:color w:val="auto"/>
                <w:sz w:val="18"/>
                <w:szCs w:val="18"/>
                <w:highlight w:val="none"/>
              </w:rPr>
              <w:t xml:space="preserve">SD</w:t>
            </w:r>
            <w:r>
              <w:rPr>
                <w:rFonts w:hint="eastAsia" w:ascii="宋体" w:hAnsi="宋体"/>
                <w:bCs/>
                <w:color w:val="auto"/>
                <w:sz w:val="18"/>
                <w:szCs w:val="18"/>
                <w:highlight w:val="none"/>
              </w:rPr>
              <w:t xml:space="preserve">硬盘、14块600G</w:t>
            </w:r>
            <w:r>
              <w:rPr>
                <w:rFonts w:ascii="宋体" w:hAnsi="宋体"/>
                <w:bCs/>
                <w:color w:val="auto"/>
                <w:sz w:val="18"/>
                <w:szCs w:val="18"/>
                <w:highlight w:val="none"/>
              </w:rPr>
              <w:t xml:space="preserve">B</w:t>
            </w:r>
            <w:r>
              <w:rPr>
                <w:rFonts w:hint="eastAsia" w:ascii="宋体" w:hAnsi="宋体"/>
                <w:bCs/>
                <w:color w:val="auto"/>
                <w:sz w:val="18"/>
                <w:szCs w:val="18"/>
                <w:highlight w:val="none"/>
              </w:rPr>
              <w:t xml:space="preserve"> 10K转SAS热插拔硬盘、12块</w:t>
            </w:r>
            <w:r>
              <w:rPr>
                <w:rFonts w:ascii="宋体" w:hAnsi="宋体"/>
                <w:bCs/>
                <w:color w:val="auto"/>
                <w:sz w:val="18"/>
                <w:szCs w:val="18"/>
                <w:highlight w:val="none"/>
              </w:rPr>
              <w:t xml:space="preserve">3TB</w:t>
            </w:r>
            <w:r>
              <w:rPr>
                <w:rFonts w:hint="eastAsia" w:ascii="宋体" w:hAnsi="宋体"/>
                <w:bCs/>
                <w:color w:val="auto"/>
                <w:sz w:val="18"/>
                <w:szCs w:val="18"/>
                <w:highlight w:val="none"/>
              </w:rPr>
              <w:t xml:space="preserve"> 7.2K转SA</w:t>
            </w:r>
            <w:r>
              <w:rPr>
                <w:rFonts w:ascii="宋体" w:hAnsi="宋体"/>
                <w:bCs/>
                <w:color w:val="auto"/>
                <w:sz w:val="18"/>
                <w:szCs w:val="18"/>
                <w:highlight w:val="none"/>
              </w:rPr>
              <w:t xml:space="preserve">TA</w:t>
            </w:r>
            <w:r>
              <w:rPr>
                <w:rFonts w:hint="eastAsia" w:ascii="宋体" w:hAnsi="宋体"/>
                <w:bCs/>
                <w:color w:val="auto"/>
                <w:sz w:val="18"/>
                <w:szCs w:val="18"/>
                <w:highlight w:val="none"/>
              </w:rPr>
              <w:t xml:space="preserve">热插拔硬盘），冗余电源</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32</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ascii="宋体" w:hAnsi="宋体"/>
                <w:color w:val="auto"/>
                <w:sz w:val="18"/>
                <w:szCs w:val="18"/>
                <w:highlight w:val="none"/>
              </w:rPr>
              <w:t xml:space="preserve">Dell MD3820F</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双控制器，32G</w:t>
            </w:r>
            <w:r>
              <w:rPr>
                <w:rFonts w:ascii="宋体" w:hAnsi="宋体"/>
                <w:bCs/>
                <w:color w:val="auto"/>
                <w:sz w:val="18"/>
                <w:szCs w:val="18"/>
                <w:highlight w:val="none"/>
              </w:rPr>
              <w:t xml:space="preserve">B</w:t>
            </w:r>
            <w:r>
              <w:rPr>
                <w:rFonts w:hint="eastAsia" w:ascii="宋体" w:hAnsi="宋体"/>
                <w:bCs/>
                <w:color w:val="auto"/>
                <w:sz w:val="18"/>
                <w:szCs w:val="18"/>
                <w:highlight w:val="none"/>
              </w:rPr>
              <w:t xml:space="preserve">高速缓存，8个FC主机端口，24块</w:t>
            </w:r>
            <w:r>
              <w:rPr>
                <w:rFonts w:ascii="宋体" w:hAnsi="宋体"/>
                <w:bCs/>
                <w:color w:val="auto"/>
                <w:sz w:val="18"/>
                <w:szCs w:val="18"/>
                <w:highlight w:val="none"/>
              </w:rPr>
              <w:t xml:space="preserve">2TB</w:t>
            </w:r>
            <w:r>
              <w:rPr>
                <w:rFonts w:hint="eastAsia" w:ascii="宋体" w:hAnsi="宋体"/>
                <w:bCs/>
                <w:color w:val="auto"/>
                <w:sz w:val="18"/>
                <w:szCs w:val="18"/>
                <w:highlight w:val="none"/>
              </w:rPr>
              <w:t xml:space="preserve"> 7.2K转NL-SAS热插拔硬盘，冗余电源</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2</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33</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bCs/>
                <w:color w:val="auto"/>
                <w:sz w:val="18"/>
                <w:szCs w:val="18"/>
                <w:highlight w:val="none"/>
              </w:rPr>
            </w:pPr>
            <w:r>
              <w:rPr>
                <w:rFonts w:hint="eastAsia" w:ascii="宋体" w:hAnsi="宋体"/>
                <w:bCs/>
                <w:color w:val="auto"/>
                <w:sz w:val="18"/>
                <w:szCs w:val="18"/>
                <w:highlight w:val="none"/>
              </w:rPr>
              <w:t xml:space="preserve">核心存储</w:t>
            </w:r>
            <w:r>
              <w:rPr>
                <w:color w:val="auto"/>
                <w:highlight w:val="none"/>
              </w:rPr>
            </w:r>
            <w:r>
              <w:rPr>
                <w:color w:val="auto"/>
                <w:highlight w:val="none"/>
              </w:rPr>
            </w:r>
          </w:p>
          <w:p>
            <w:pPr>
              <w:pStyle w:val="808"/>
              <w:widowControl/>
              <w:rPr>
                <w:rFonts w:ascii="宋体" w:hAnsi="宋体"/>
                <w:bCs/>
                <w:color w:val="auto"/>
                <w:sz w:val="18"/>
                <w:szCs w:val="18"/>
                <w:highlight w:val="none"/>
              </w:rPr>
            </w:pPr>
            <w:r>
              <w:rPr>
                <w:rFonts w:ascii="宋体" w:hAnsi="宋体"/>
                <w:bCs/>
                <w:color w:val="auto"/>
                <w:sz w:val="18"/>
                <w:szCs w:val="18"/>
                <w:highlight w:val="none"/>
              </w:rPr>
              <w:t xml:space="preserve">HDS VSP G400</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双控制器，128GB高速缓存，8个FC主机接口，24块1.2TB 10K转SAS热插拔硬盘，扩展柜一个（24块1.2TB 10K转SAS热插拔硬盘），冗余电源</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B类服务要求</w:t>
            </w:r>
            <w:r>
              <w:rPr>
                <w:color w:val="auto"/>
                <w:highlight w:val="none"/>
              </w:rPr>
            </w:r>
            <w:r>
              <w:rPr>
                <w:color w:val="auto"/>
                <w:highlight w:val="none"/>
              </w:rPr>
            </w:r>
          </w:p>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（含软件升级）</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34</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bCs/>
                <w:color w:val="auto"/>
                <w:sz w:val="18"/>
                <w:szCs w:val="18"/>
                <w:highlight w:val="none"/>
              </w:rPr>
            </w:pPr>
            <w:r>
              <w:rPr>
                <w:rFonts w:hint="eastAsia" w:ascii="宋体" w:hAnsi="宋体"/>
                <w:bCs/>
                <w:color w:val="auto"/>
                <w:sz w:val="18"/>
                <w:szCs w:val="18"/>
                <w:highlight w:val="none"/>
              </w:rPr>
              <w:t xml:space="preserve">核心存储</w:t>
            </w:r>
            <w:r>
              <w:rPr>
                <w:color w:val="auto"/>
                <w:highlight w:val="none"/>
              </w:rPr>
            </w:r>
            <w:r>
              <w:rPr>
                <w:color w:val="auto"/>
                <w:highlight w:val="none"/>
              </w:rPr>
            </w:r>
          </w:p>
          <w:p>
            <w:pPr>
              <w:pStyle w:val="808"/>
              <w:widowControl/>
              <w:rPr>
                <w:rFonts w:ascii="宋体" w:hAnsi="宋体"/>
                <w:bCs/>
                <w:color w:val="auto"/>
                <w:sz w:val="18"/>
                <w:szCs w:val="18"/>
                <w:highlight w:val="none"/>
              </w:rPr>
            </w:pPr>
            <w:r>
              <w:rPr>
                <w:rFonts w:ascii="宋体" w:hAnsi="宋体"/>
                <w:bCs/>
                <w:color w:val="auto"/>
                <w:sz w:val="18"/>
                <w:szCs w:val="18"/>
                <w:highlight w:val="none"/>
              </w:rPr>
              <w:t xml:space="preserve">HDS VSP G400</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双控制器，128GB高速缓存，8个FC主机接口，16块600GB 10K转SAS热插拔硬盘+8块1.2TB，扩展柜（24块1.2TB 10K转SAS热插拔硬盘）*2个，冗余电源</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B类服务要求</w:t>
            </w:r>
            <w:r>
              <w:rPr>
                <w:color w:val="auto"/>
                <w:highlight w:val="none"/>
              </w:rPr>
            </w:r>
            <w:r>
              <w:rPr>
                <w:color w:val="auto"/>
                <w:highlight w:val="none"/>
              </w:rPr>
            </w:r>
          </w:p>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（含软件升级）</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35</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hint="eastAsia" w:ascii="宋体" w:hAnsi="宋体"/>
                <w:color w:val="auto"/>
                <w:sz w:val="18"/>
                <w:szCs w:val="18"/>
                <w:highlight w:val="none"/>
              </w:rPr>
              <w:t xml:space="preserve">HDS VSP G200</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双控制器，64GB高速缓存，4个16Gbps FC主机接口，24块1.2TB 10K转SAS热插拔硬盘，扩展柜一个（24块1.2TB 10K转SAS热插拔硬盘），冗余电源</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C类服务要求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36</w:t>
            </w:r>
            <w:r>
              <w:rPr>
                <w:color w:val="auto"/>
                <w:highlight w:val="none"/>
              </w:rPr>
            </w:r>
            <w:r>
              <w:rPr>
                <w:color w:val="auto"/>
                <w:highlight w:val="none"/>
              </w:rPr>
            </w:r>
          </w:p>
        </w:tc>
        <w:tc>
          <w:tcPr>
            <w:tcW w:w="2408" w:type="dxa"/>
            <w:vAlign w:val="center"/>
            <w:textDirection w:val="lrTb"/>
            <w:noWrap w:val="false"/>
          </w:tcPr>
          <w:p>
            <w:pPr>
              <w:pStyle w:val="808"/>
              <w:widowControl/>
              <w:rPr>
                <w:rFonts w:ascii="宋体" w:hAnsi="宋体"/>
                <w:color w:val="auto"/>
                <w:sz w:val="18"/>
                <w:szCs w:val="18"/>
                <w:highlight w:val="none"/>
              </w:rPr>
            </w:pPr>
            <w:r>
              <w:rPr>
                <w:rFonts w:hint="eastAsia" w:ascii="宋体" w:hAnsi="宋体"/>
                <w:color w:val="auto"/>
                <w:sz w:val="18"/>
                <w:szCs w:val="18"/>
                <w:highlight w:val="none"/>
              </w:rPr>
              <w:t xml:space="preserve">HDS VSP G200</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双控制器，64GB高速缓存，4个16Gbps FC主机接口，24块1.2TB 10K转SAS热插拔硬盘冗余电源</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C类服务要求</w:t>
            </w:r>
            <w:r>
              <w:rPr>
                <w:color w:val="auto"/>
                <w:highlight w:val="none"/>
              </w:rPr>
            </w:r>
            <w:r>
              <w:rPr>
                <w:color w:val="auto"/>
                <w:highlight w:val="none"/>
              </w:rPr>
            </w:r>
          </w:p>
        </w:tc>
      </w:tr>
      <w:tr>
        <w:trPr>
          <w:trHeight w:val="20"/>
        </w:trPr>
        <w:tc>
          <w:tcPr>
            <w:gridSpan w:val="5"/>
            <w:tcW w:w="9350"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2</w:t>
            </w:r>
            <w:r>
              <w:rPr>
                <w:rFonts w:ascii="宋体" w:hAnsi="宋体"/>
                <w:bCs/>
                <w:color w:val="auto"/>
                <w:sz w:val="18"/>
                <w:szCs w:val="18"/>
                <w:highlight w:val="none"/>
              </w:rPr>
              <w:t xml:space="preserve">.1.3 </w:t>
            </w:r>
            <w:r>
              <w:rPr>
                <w:rFonts w:hint="eastAsia" w:ascii="宋体" w:hAnsi="宋体"/>
                <w:bCs/>
                <w:color w:val="auto"/>
                <w:sz w:val="18"/>
                <w:szCs w:val="18"/>
                <w:highlight w:val="none"/>
              </w:rPr>
              <w:t xml:space="preserve">网络资源</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37</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ascii="宋体" w:hAnsi="宋体"/>
                <w:color w:val="auto"/>
                <w:sz w:val="18"/>
                <w:szCs w:val="18"/>
                <w:highlight w:val="none"/>
              </w:rPr>
              <w:t xml:space="preserve">Brocade BR-310-0008</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24口8GB光纤交换机，当前24端口激活，含24个8Gbps多模SFP模块 </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4</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38</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ascii="宋体" w:hAnsi="宋体"/>
                <w:color w:val="auto"/>
                <w:sz w:val="18"/>
                <w:szCs w:val="18"/>
                <w:highlight w:val="none"/>
              </w:rPr>
              <w:t xml:space="preserve">Brocade BR-</w:t>
            </w:r>
            <w:r>
              <w:rPr>
                <w:rFonts w:hint="eastAsia" w:ascii="宋体" w:hAnsi="宋体"/>
                <w:color w:val="auto"/>
                <w:sz w:val="18"/>
                <w:szCs w:val="18"/>
                <w:highlight w:val="none"/>
              </w:rPr>
              <w:t xml:space="preserve">6505</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24口8GB光纤交换机，当前24端口激活，含24个8Gbps多模SFP模块</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39</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ascii="宋体" w:hAnsi="宋体"/>
                <w:color w:val="auto"/>
                <w:sz w:val="18"/>
                <w:szCs w:val="18"/>
                <w:highlight w:val="none"/>
              </w:rPr>
              <w:t xml:space="preserve">华为 S7706</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双主控处理单元；1块24端口千兆电口业务板，1块24端口千兆光口业务板，1块40端口万兆光口业务板；冗余电源，冗余风扇</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2</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40</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ascii="宋体" w:hAnsi="宋体"/>
                <w:color w:val="auto"/>
                <w:sz w:val="18"/>
                <w:szCs w:val="18"/>
                <w:highlight w:val="none"/>
              </w:rPr>
              <w:t xml:space="preserve">华为 S</w:t>
            </w:r>
            <w:r>
              <w:rPr>
                <w:rFonts w:hint="eastAsia" w:ascii="宋体" w:hAnsi="宋体"/>
                <w:color w:val="auto"/>
                <w:sz w:val="18"/>
                <w:szCs w:val="18"/>
                <w:highlight w:val="none"/>
              </w:rPr>
              <w:t xml:space="preserve">6720-30</w:t>
            </w:r>
            <w:r>
              <w:rPr>
                <w:rFonts w:ascii="宋体" w:hAnsi="宋体"/>
                <w:color w:val="auto"/>
                <w:sz w:val="18"/>
                <w:szCs w:val="18"/>
                <w:highlight w:val="none"/>
              </w:rPr>
              <w:t xml:space="preserve">C</w:t>
            </w:r>
            <w:r>
              <w:rPr>
                <w:rFonts w:hint="eastAsia" w:ascii="宋体" w:hAnsi="宋体"/>
                <w:color w:val="auto"/>
                <w:sz w:val="18"/>
                <w:szCs w:val="18"/>
                <w:highlight w:val="none"/>
              </w:rPr>
              <w:t xml:space="preserve">-</w:t>
            </w:r>
            <w:r>
              <w:rPr>
                <w:rFonts w:ascii="宋体" w:hAnsi="宋体"/>
                <w:color w:val="auto"/>
                <w:sz w:val="18"/>
                <w:szCs w:val="18"/>
                <w:highlight w:val="none"/>
              </w:rPr>
              <w:t xml:space="preserve">EI</w:t>
            </w:r>
            <w:r>
              <w:rPr>
                <w:rFonts w:hint="eastAsia" w:ascii="宋体" w:hAnsi="宋体"/>
                <w:color w:val="auto"/>
                <w:sz w:val="18"/>
                <w:szCs w:val="18"/>
                <w:highlight w:val="none"/>
              </w:rPr>
              <w:t xml:space="preserve">-24</w:t>
            </w:r>
            <w:r>
              <w:rPr>
                <w:rFonts w:ascii="宋体" w:hAnsi="宋体"/>
                <w:color w:val="auto"/>
                <w:sz w:val="18"/>
                <w:szCs w:val="18"/>
                <w:highlight w:val="none"/>
              </w:rPr>
              <w:t xml:space="preserve">S</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24个万兆光口+2个Q</w:t>
            </w:r>
            <w:r>
              <w:rPr>
                <w:rFonts w:ascii="宋体" w:hAnsi="宋体"/>
                <w:bCs/>
                <w:color w:val="auto"/>
                <w:sz w:val="18"/>
                <w:szCs w:val="18"/>
                <w:highlight w:val="none"/>
              </w:rPr>
              <w:t xml:space="preserve">SFP+</w:t>
            </w:r>
            <w:r>
              <w:rPr>
                <w:rFonts w:hint="eastAsia" w:ascii="宋体" w:hAnsi="宋体"/>
                <w:bCs/>
                <w:color w:val="auto"/>
                <w:sz w:val="18"/>
                <w:szCs w:val="18"/>
                <w:highlight w:val="none"/>
              </w:rPr>
              <w:t xml:space="preserve">口</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41</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ascii="宋体" w:hAnsi="宋体"/>
                <w:color w:val="auto"/>
                <w:sz w:val="18"/>
                <w:szCs w:val="18"/>
                <w:highlight w:val="none"/>
              </w:rPr>
              <w:t xml:space="preserve">华为 S5700-28C-SI</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24个千兆电口+4个千兆combo口</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2</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42</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ascii="宋体" w:hAnsi="宋体"/>
                <w:color w:val="auto"/>
                <w:sz w:val="18"/>
                <w:szCs w:val="18"/>
                <w:highlight w:val="none"/>
              </w:rPr>
              <w:t xml:space="preserve">华为AR1220F-S</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1个千兆电口+8个百兆电口+1个千兆combo口</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43</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ascii="宋体" w:hAnsi="宋体"/>
                <w:color w:val="auto"/>
                <w:sz w:val="18"/>
                <w:szCs w:val="18"/>
                <w:highlight w:val="none"/>
              </w:rPr>
              <w:t xml:space="preserve">华为AR2240-S</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1个千兆电口+2个千兆combo口</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44</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ascii="宋体" w:hAnsi="宋体"/>
                <w:color w:val="auto"/>
                <w:sz w:val="18"/>
                <w:szCs w:val="18"/>
                <w:highlight w:val="none"/>
              </w:rPr>
              <w:t xml:space="preserve">华为S5700S-52P-LI-AC</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48个千兆电口+4个千兆光口</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4</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45</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华为S</w:t>
            </w:r>
            <w:r>
              <w:rPr>
                <w:rFonts w:ascii="宋体" w:hAnsi="宋体"/>
                <w:color w:val="auto"/>
                <w:sz w:val="18"/>
                <w:szCs w:val="18"/>
                <w:highlight w:val="none"/>
              </w:rPr>
              <w:t xml:space="preserve">5700-28X-LI-24S</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24个千兆光口+4个千兆光口+4个万兆光口</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46</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ascii="宋体" w:hAnsi="宋体"/>
                <w:color w:val="auto"/>
                <w:sz w:val="18"/>
                <w:szCs w:val="18"/>
                <w:highlight w:val="none"/>
              </w:rPr>
              <w:t xml:space="preserve">华为S5720-32X-EI-24S</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24个千兆光口+4个千兆光口+4个万兆光口+2个QSFP+口</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3</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47</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华为 S6720-30C-EI-24S</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24×10GE SFP+端口+2×40GE QSFP+端口</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48</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华为S6720</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32×10GE SFP+端口（配置14个10GE SFP+模块）</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49</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华为S6730-H24X6C</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24个万兆SFP+，6个100GE QSFP28</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2</w:t>
            </w:r>
            <w:r>
              <w:rPr>
                <w:color w:val="auto"/>
                <w:highlight w:val="none"/>
              </w:rPr>
            </w:r>
            <w:r>
              <w:rPr>
                <w:color w:val="auto"/>
                <w:highlight w:val="none"/>
              </w:rPr>
            </w:r>
          </w:p>
        </w:tc>
        <w:tc>
          <w:tcPr>
            <w:tcW w:w="1411" w:type="dxa"/>
            <w:vAlign w:val="top"/>
            <w:textDirection w:val="lrTb"/>
            <w:noWrap w:val="false"/>
          </w:tcPr>
          <w:p>
            <w:pPr>
              <w:pStyle w:val="808"/>
              <w:jc w:val="center"/>
              <w:rPr>
                <w:rFonts w:ascii="宋体" w:hAnsi="宋体"/>
                <w:color w:val="auto"/>
                <w:sz w:val="18"/>
                <w:szCs w:val="18"/>
                <w:highlight w:val="none"/>
              </w:rPr>
            </w:pPr>
            <w:r>
              <w:rPr>
                <w:rFonts w:hint="eastAsia" w:ascii="宋体" w:hAnsi="宋体"/>
                <w:bCs/>
                <w:color w:val="auto"/>
                <w:sz w:val="18"/>
                <w:szCs w:val="18"/>
                <w:highlight w:val="none"/>
              </w:rPr>
              <w:t xml:space="preserve">C类服务要求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50</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华为 S6720-30C-EI-24S</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交换容量2.56 Tbps，包转发率720Mpps，24×10GE SFP+端口+2×40GE QSFP+端口。</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51</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博科 BR-6505</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1U，机架式并提供机架安装套件，单台配置端口数量24个，16Gbps，激活端口数量24个，配置24个16Gbps SFP短波光模块,并提供相应数量5米长OM4光纤跳线，功能全面的Fabric架构，支持远程级联。</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gridSpan w:val="5"/>
            <w:tcW w:w="9350"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2</w:t>
            </w:r>
            <w:r>
              <w:rPr>
                <w:rFonts w:ascii="宋体" w:hAnsi="宋体"/>
                <w:bCs/>
                <w:color w:val="auto"/>
                <w:sz w:val="18"/>
                <w:szCs w:val="18"/>
                <w:highlight w:val="none"/>
              </w:rPr>
              <w:t xml:space="preserve">.1.4</w:t>
            </w:r>
            <w:r>
              <w:rPr>
                <w:rFonts w:hint="eastAsia" w:ascii="宋体" w:hAnsi="宋体"/>
                <w:bCs/>
                <w:color w:val="auto"/>
                <w:sz w:val="18"/>
                <w:szCs w:val="18"/>
                <w:highlight w:val="none"/>
              </w:rPr>
              <w:t xml:space="preserve">网络安全设备</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52</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bCs/>
                <w:color w:val="auto"/>
                <w:sz w:val="18"/>
                <w:szCs w:val="18"/>
                <w:highlight w:val="none"/>
              </w:rPr>
            </w:pPr>
            <w:r>
              <w:rPr>
                <w:rFonts w:hint="eastAsia" w:ascii="宋体" w:hAnsi="宋体"/>
                <w:bCs/>
                <w:color w:val="auto"/>
                <w:sz w:val="18"/>
                <w:szCs w:val="18"/>
                <w:highlight w:val="none"/>
              </w:rPr>
              <w:t xml:space="preserve">防火墙</w:t>
            </w:r>
            <w:r>
              <w:rPr>
                <w:color w:val="auto"/>
                <w:highlight w:val="none"/>
              </w:rPr>
            </w:r>
            <w:r>
              <w:rPr>
                <w:color w:val="auto"/>
                <w:highlight w:val="none"/>
              </w:rPr>
            </w:r>
          </w:p>
          <w:p>
            <w:pPr>
              <w:pStyle w:val="808"/>
              <w:jc w:val="left"/>
              <w:widowControl/>
              <w:rPr>
                <w:rFonts w:ascii="宋体" w:hAnsi="宋体"/>
                <w:bCs/>
                <w:color w:val="auto"/>
                <w:sz w:val="18"/>
                <w:szCs w:val="18"/>
                <w:highlight w:val="none"/>
              </w:rPr>
            </w:pPr>
            <w:r>
              <w:rPr>
                <w:rFonts w:ascii="宋体" w:hAnsi="宋体"/>
                <w:bCs/>
                <w:color w:val="auto"/>
                <w:sz w:val="18"/>
                <w:szCs w:val="18"/>
                <w:highlight w:val="none"/>
              </w:rPr>
              <w:t xml:space="preserve">天融信TG-51230</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8个千兆电口，冗余电源</w:t>
            </w:r>
            <w:r>
              <w:rPr>
                <w:color w:val="auto"/>
                <w:highlight w:val="none"/>
              </w:rPr>
            </w:r>
            <w:r>
              <w:rPr>
                <w:color w:val="auto"/>
                <w:highlight w:val="none"/>
              </w:rPr>
            </w:r>
          </w:p>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整机吞吐量：26Gbps  最大并发连接数：550W</w:t>
            </w:r>
            <w:r>
              <w:rPr>
                <w:color w:val="auto"/>
                <w:highlight w:val="none"/>
              </w:rPr>
            </w:r>
            <w:r>
              <w:rPr>
                <w:color w:val="auto"/>
                <w:highlight w:val="none"/>
              </w:rPr>
            </w:r>
          </w:p>
          <w:p>
            <w:pPr>
              <w:pStyle w:val="808"/>
              <w:jc w:val="left"/>
              <w:rPr>
                <w:rFonts w:ascii="宋体" w:hAnsi="宋体" w:cs="Arial"/>
                <w:color w:val="auto"/>
                <w:sz w:val="18"/>
                <w:szCs w:val="18"/>
                <w:highlight w:val="none"/>
              </w:rPr>
            </w:pPr>
            <w:r>
              <w:rPr>
                <w:rFonts w:ascii="宋体" w:hAnsi="宋体" w:cs="Arial"/>
                <w:color w:val="auto"/>
                <w:sz w:val="18"/>
                <w:szCs w:val="18"/>
                <w:highlight w:val="none"/>
              </w:rPr>
              <w:t xml:space="preserve">功能模块</w:t>
            </w:r>
            <w:r>
              <w:rPr>
                <w:rFonts w:ascii="宋体" w:hAnsi="宋体"/>
                <w:bCs/>
                <w:color w:val="auto"/>
                <w:sz w:val="18"/>
                <w:szCs w:val="18"/>
                <w:highlight w:val="none"/>
              </w:rPr>
              <w:t xml:space="preserve">：系统管理、身份认证、攻击防护、高可用、病毒防护、流量管理、行为管理及审计、PKI、IPSEC VPN、SSL VPN等</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2</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53</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漏洞扫描</w:t>
            </w:r>
            <w:r>
              <w:rPr>
                <w:color w:val="auto"/>
                <w:highlight w:val="none"/>
              </w:rPr>
            </w:r>
            <w:r>
              <w:rPr>
                <w:color w:val="auto"/>
                <w:highlight w:val="none"/>
              </w:rPr>
            </w:r>
          </w:p>
          <w:p>
            <w:pPr>
              <w:pStyle w:val="808"/>
              <w:jc w:val="left"/>
              <w:widowControl/>
              <w:rPr>
                <w:rFonts w:ascii="宋体" w:hAnsi="宋体"/>
                <w:color w:val="auto"/>
                <w:sz w:val="18"/>
                <w:szCs w:val="18"/>
                <w:highlight w:val="none"/>
              </w:rPr>
            </w:pPr>
            <w:r>
              <w:rPr>
                <w:rFonts w:ascii="宋体" w:hAnsi="宋体"/>
                <w:color w:val="auto"/>
                <w:sz w:val="18"/>
                <w:szCs w:val="18"/>
                <w:highlight w:val="none"/>
              </w:rPr>
              <w:t xml:space="preserve">网神S1500-KG10P</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6个千兆电口+2个千兆光口，4</w:t>
            </w:r>
            <w:r>
              <w:rPr>
                <w:rFonts w:ascii="宋体" w:hAnsi="宋体"/>
                <w:bCs/>
                <w:color w:val="auto"/>
                <w:sz w:val="18"/>
                <w:szCs w:val="18"/>
                <w:highlight w:val="none"/>
              </w:rPr>
              <w:t xml:space="preserve">GB</w:t>
            </w:r>
            <w:r>
              <w:rPr>
                <w:rFonts w:hint="eastAsia" w:ascii="宋体" w:hAnsi="宋体"/>
                <w:bCs/>
                <w:color w:val="auto"/>
                <w:sz w:val="18"/>
                <w:szCs w:val="18"/>
                <w:highlight w:val="none"/>
              </w:rPr>
              <w:t xml:space="preserve">内存</w:t>
            </w:r>
            <w:r>
              <w:rPr>
                <w:color w:val="auto"/>
                <w:highlight w:val="none"/>
              </w:rPr>
            </w:r>
            <w:r>
              <w:rPr>
                <w:color w:val="auto"/>
                <w:highlight w:val="none"/>
              </w:rPr>
            </w:r>
          </w:p>
          <w:p>
            <w:pPr>
              <w:pStyle w:val="808"/>
              <w:jc w:val="left"/>
              <w:rPr>
                <w:rFonts w:ascii="宋体" w:hAnsi="宋体"/>
                <w:color w:val="auto"/>
                <w:sz w:val="18"/>
                <w:szCs w:val="18"/>
                <w:highlight w:val="none"/>
              </w:rPr>
            </w:pPr>
            <w:r>
              <w:rPr>
                <w:rFonts w:hint="eastAsia" w:ascii="宋体" w:hAnsi="宋体"/>
                <w:bCs/>
                <w:color w:val="auto"/>
                <w:sz w:val="18"/>
                <w:szCs w:val="18"/>
                <w:highlight w:val="none"/>
              </w:rPr>
              <w:t xml:space="preserve">支持多任务扫描模式，能对扫描目标的安全脆弱性进行全面检查，检查内容包括缺少的安全补丁、暴露的危害信息、不安全的服务配置等，提供Web应用、Web 服务及支撑系统等多层次的各种类型安全漏洞扫描</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54</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网站防护</w:t>
            </w:r>
            <w:r>
              <w:rPr>
                <w:color w:val="auto"/>
                <w:highlight w:val="none"/>
              </w:rPr>
            </w:r>
            <w:r>
              <w:rPr>
                <w:color w:val="auto"/>
                <w:highlight w:val="none"/>
              </w:rPr>
            </w:r>
          </w:p>
          <w:p>
            <w:pPr>
              <w:pStyle w:val="808"/>
              <w:jc w:val="left"/>
              <w:widowControl/>
              <w:rPr>
                <w:rFonts w:ascii="宋体" w:hAnsi="宋体"/>
                <w:color w:val="auto"/>
                <w:sz w:val="18"/>
                <w:szCs w:val="18"/>
                <w:highlight w:val="none"/>
              </w:rPr>
            </w:pPr>
            <w:r>
              <w:rPr>
                <w:rFonts w:ascii="宋体" w:hAnsi="宋体"/>
                <w:color w:val="auto"/>
                <w:sz w:val="18"/>
                <w:szCs w:val="18"/>
                <w:highlight w:val="none"/>
              </w:rPr>
              <w:t xml:space="preserve">网神W1500-LW08P</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6个千兆电口+2个千兆光口</w:t>
            </w:r>
            <w:r>
              <w:rPr>
                <w:color w:val="auto"/>
                <w:highlight w:val="none"/>
              </w:rPr>
            </w:r>
            <w:r>
              <w:rPr>
                <w:color w:val="auto"/>
                <w:highlight w:val="none"/>
              </w:rPr>
            </w:r>
          </w:p>
          <w:p>
            <w:pPr>
              <w:pStyle w:val="808"/>
              <w:jc w:val="left"/>
              <w:rPr>
                <w:rFonts w:ascii="宋体" w:hAnsi="宋体"/>
                <w:bCs/>
                <w:color w:val="auto"/>
                <w:sz w:val="18"/>
                <w:szCs w:val="18"/>
                <w:highlight w:val="none"/>
              </w:rPr>
            </w:pPr>
            <w:r>
              <w:rPr>
                <w:rFonts w:ascii="宋体" w:hAnsi="宋体"/>
                <w:bCs/>
                <w:color w:val="auto"/>
                <w:sz w:val="18"/>
                <w:szCs w:val="18"/>
                <w:highlight w:val="none"/>
              </w:rPr>
              <w:t xml:space="preserve">MTBF</w:t>
            </w:r>
            <w:r>
              <w:rPr>
                <w:rFonts w:hint="eastAsia" w:ascii="宋体" w:hAnsi="宋体"/>
                <w:bCs/>
                <w:color w:val="auto"/>
                <w:sz w:val="18"/>
                <w:szCs w:val="18"/>
                <w:highlight w:val="none"/>
              </w:rPr>
              <w:t xml:space="preserve">：48000</w:t>
            </w:r>
            <w:r>
              <w:rPr>
                <w:rFonts w:ascii="宋体" w:hAnsi="宋体"/>
                <w:bCs/>
                <w:color w:val="auto"/>
                <w:sz w:val="18"/>
                <w:szCs w:val="18"/>
                <w:highlight w:val="none"/>
              </w:rPr>
              <w:t xml:space="preserve">小时</w:t>
            </w:r>
            <w:r>
              <w:rPr>
                <w:rFonts w:hint="eastAsia" w:ascii="宋体" w:hAnsi="宋体"/>
                <w:bCs/>
                <w:color w:val="auto"/>
                <w:sz w:val="18"/>
                <w:szCs w:val="18"/>
                <w:highlight w:val="none"/>
              </w:rPr>
              <w:t xml:space="preserve">，最大吞吐量：800</w:t>
            </w:r>
            <w:r>
              <w:rPr>
                <w:rFonts w:ascii="宋体" w:hAnsi="宋体"/>
                <w:bCs/>
                <w:color w:val="auto"/>
                <w:sz w:val="18"/>
                <w:szCs w:val="18"/>
                <w:highlight w:val="none"/>
              </w:rPr>
              <w:t xml:space="preserve">M</w:t>
            </w:r>
            <w:r>
              <w:rPr>
                <w:rFonts w:hint="eastAsia" w:ascii="宋体" w:hAnsi="宋体"/>
                <w:bCs/>
                <w:color w:val="auto"/>
                <w:sz w:val="18"/>
                <w:szCs w:val="18"/>
                <w:highlight w:val="none"/>
              </w:rPr>
              <w:t xml:space="preserve">bps，并发连接数：50W</w:t>
            </w:r>
            <w:r>
              <w:rPr>
                <w:color w:val="auto"/>
                <w:highlight w:val="none"/>
              </w:rPr>
            </w:r>
            <w:r>
              <w:rPr>
                <w:color w:val="auto"/>
                <w:highlight w:val="none"/>
              </w:rPr>
            </w:r>
          </w:p>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安全特性：安全模式、协议解析、H</w:t>
            </w:r>
            <w:r>
              <w:rPr>
                <w:rFonts w:ascii="宋体" w:hAnsi="宋体"/>
                <w:bCs/>
                <w:color w:val="auto"/>
                <w:sz w:val="18"/>
                <w:szCs w:val="18"/>
                <w:highlight w:val="none"/>
              </w:rPr>
              <w:t xml:space="preserve">TTPS</w:t>
            </w:r>
            <w:r>
              <w:rPr>
                <w:rFonts w:hint="eastAsia" w:ascii="宋体" w:hAnsi="宋体"/>
                <w:bCs/>
                <w:color w:val="auto"/>
                <w:sz w:val="18"/>
                <w:szCs w:val="18"/>
                <w:highlight w:val="none"/>
              </w:rPr>
              <w:t xml:space="preserve">支持、W</w:t>
            </w:r>
            <w:r>
              <w:rPr>
                <w:rFonts w:ascii="宋体" w:hAnsi="宋体"/>
                <w:bCs/>
                <w:color w:val="auto"/>
                <w:sz w:val="18"/>
                <w:szCs w:val="18"/>
                <w:highlight w:val="none"/>
              </w:rPr>
              <w:t xml:space="preserve">EB</w:t>
            </w:r>
            <w:r>
              <w:rPr>
                <w:rFonts w:hint="eastAsia" w:ascii="宋体" w:hAnsi="宋体"/>
                <w:bCs/>
                <w:color w:val="auto"/>
                <w:sz w:val="18"/>
                <w:szCs w:val="18"/>
                <w:highlight w:val="none"/>
              </w:rPr>
              <w:t xml:space="preserve">安全防护、主动防御、D</w:t>
            </w:r>
            <w:r>
              <w:rPr>
                <w:rFonts w:ascii="宋体" w:hAnsi="宋体"/>
                <w:bCs/>
                <w:color w:val="auto"/>
                <w:sz w:val="18"/>
                <w:szCs w:val="18"/>
                <w:highlight w:val="none"/>
              </w:rPr>
              <w:t xml:space="preserve">DOS</w:t>
            </w:r>
            <w:r>
              <w:rPr>
                <w:rFonts w:hint="eastAsia" w:ascii="宋体" w:hAnsi="宋体"/>
                <w:bCs/>
                <w:color w:val="auto"/>
                <w:sz w:val="18"/>
                <w:szCs w:val="18"/>
                <w:highlight w:val="none"/>
              </w:rPr>
              <w:t xml:space="preserve">攻击防护、访问控制、W</w:t>
            </w:r>
            <w:r>
              <w:rPr>
                <w:rFonts w:ascii="宋体" w:hAnsi="宋体"/>
                <w:bCs/>
                <w:color w:val="auto"/>
                <w:sz w:val="18"/>
                <w:szCs w:val="18"/>
                <w:highlight w:val="none"/>
              </w:rPr>
              <w:t xml:space="preserve">EB</w:t>
            </w:r>
            <w:r>
              <w:rPr>
                <w:rFonts w:hint="eastAsia" w:ascii="宋体" w:hAnsi="宋体"/>
                <w:bCs/>
                <w:color w:val="auto"/>
                <w:sz w:val="18"/>
                <w:szCs w:val="18"/>
                <w:highlight w:val="none"/>
              </w:rPr>
              <w:t xml:space="preserve">漏洞扫描、虚拟主机支持、异常事件告警</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55</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bCs/>
                <w:color w:val="auto"/>
                <w:sz w:val="18"/>
                <w:szCs w:val="18"/>
                <w:highlight w:val="none"/>
              </w:rPr>
            </w:pPr>
            <w:r>
              <w:rPr>
                <w:rFonts w:hint="eastAsia" w:ascii="宋体" w:hAnsi="宋体"/>
                <w:bCs/>
                <w:color w:val="auto"/>
                <w:sz w:val="18"/>
                <w:szCs w:val="18"/>
                <w:highlight w:val="none"/>
              </w:rPr>
              <w:t xml:space="preserve">防病毒网关</w:t>
            </w:r>
            <w:r>
              <w:rPr>
                <w:color w:val="auto"/>
                <w:highlight w:val="none"/>
              </w:rPr>
            </w:r>
            <w:r>
              <w:rPr>
                <w:color w:val="auto"/>
                <w:highlight w:val="none"/>
              </w:rPr>
            </w:r>
          </w:p>
          <w:p>
            <w:pPr>
              <w:pStyle w:val="808"/>
              <w:jc w:val="left"/>
              <w:widowControl/>
              <w:rPr>
                <w:rFonts w:ascii="宋体" w:hAnsi="宋体"/>
                <w:color w:val="auto"/>
                <w:sz w:val="18"/>
                <w:szCs w:val="18"/>
                <w:highlight w:val="none"/>
              </w:rPr>
            </w:pPr>
            <w:r>
              <w:rPr>
                <w:rFonts w:ascii="宋体" w:hAnsi="宋体"/>
                <w:bCs/>
                <w:color w:val="auto"/>
                <w:sz w:val="18"/>
                <w:szCs w:val="18"/>
                <w:highlight w:val="none"/>
              </w:rPr>
              <w:t xml:space="preserve">天融信TF-31814-Virus</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4个千兆电口，冗余电源</w:t>
            </w:r>
            <w:r>
              <w:rPr>
                <w:color w:val="auto"/>
                <w:highlight w:val="none"/>
              </w:rPr>
            </w:r>
            <w:r>
              <w:rPr>
                <w:color w:val="auto"/>
                <w:highlight w:val="none"/>
              </w:rPr>
            </w:r>
          </w:p>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整机吞吐：4Gbps，并发连接：220万 </w:t>
            </w:r>
            <w:r>
              <w:rPr>
                <w:color w:val="auto"/>
                <w:highlight w:val="none"/>
              </w:rPr>
            </w:r>
            <w:r>
              <w:rPr>
                <w:color w:val="auto"/>
                <w:highlight w:val="none"/>
              </w:rPr>
            </w:r>
          </w:p>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快速扫描吞吐率：1.8bps，深度扫描吞吐率：550Mbps</w:t>
            </w:r>
            <w:r>
              <w:rPr>
                <w:color w:val="auto"/>
                <w:highlight w:val="none"/>
              </w:rPr>
            </w:r>
            <w:r>
              <w:rPr>
                <w:color w:val="auto"/>
                <w:highlight w:val="none"/>
              </w:rPr>
            </w:r>
          </w:p>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内嵌双引擎杀毒技术，可单独采用流杀毒（快速扫描）引擎或文件型杀毒（深度扫描）引擎，也可同时支持两种杀毒引擎，能够根据不同的被检测协议采用不同杀毒引擎；能够防御病毒、木马、蠕虫，且支持对压缩数据、加壳病毒的查杀</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B类服务要求</w:t>
            </w:r>
            <w:r>
              <w:rPr>
                <w:color w:val="auto"/>
                <w:highlight w:val="none"/>
              </w:rPr>
            </w:r>
            <w:r>
              <w:rPr>
                <w:color w:val="auto"/>
                <w:highlight w:val="none"/>
              </w:rPr>
            </w:r>
          </w:p>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（含特征库升级）</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56</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网闸</w:t>
            </w:r>
            <w:r>
              <w:rPr>
                <w:color w:val="auto"/>
                <w:highlight w:val="none"/>
              </w:rPr>
            </w:r>
            <w:r>
              <w:rPr>
                <w:color w:val="auto"/>
                <w:highlight w:val="none"/>
              </w:rPr>
            </w:r>
          </w:p>
          <w:p>
            <w:pPr>
              <w:pStyle w:val="808"/>
              <w:jc w:val="left"/>
              <w:widowControl/>
              <w:rPr>
                <w:rFonts w:ascii="宋体" w:hAnsi="宋体"/>
                <w:color w:val="auto"/>
                <w:sz w:val="18"/>
                <w:szCs w:val="18"/>
                <w:highlight w:val="none"/>
              </w:rPr>
            </w:pPr>
            <w:r>
              <w:rPr>
                <w:rFonts w:ascii="宋体" w:hAnsi="宋体"/>
                <w:color w:val="auto"/>
                <w:sz w:val="18"/>
                <w:szCs w:val="18"/>
                <w:highlight w:val="none"/>
              </w:rPr>
              <w:t xml:space="preserve">天融信TR-71288</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内端机：</w:t>
            </w:r>
            <w:r>
              <w:rPr>
                <w:rFonts w:ascii="宋体" w:hAnsi="宋体"/>
                <w:bCs/>
                <w:color w:val="auto"/>
                <w:sz w:val="18"/>
                <w:szCs w:val="18"/>
                <w:highlight w:val="none"/>
              </w:rPr>
              <w:t xml:space="preserve">6</w:t>
            </w:r>
            <w:r>
              <w:rPr>
                <w:rFonts w:hint="eastAsia" w:ascii="宋体" w:hAnsi="宋体"/>
                <w:bCs/>
                <w:color w:val="auto"/>
                <w:sz w:val="18"/>
                <w:szCs w:val="18"/>
                <w:highlight w:val="none"/>
              </w:rPr>
              <w:t xml:space="preserve">个千兆电口（5个数据口和</w:t>
            </w:r>
            <w:r>
              <w:rPr>
                <w:rFonts w:ascii="宋体" w:hAnsi="宋体"/>
                <w:bCs/>
                <w:color w:val="auto"/>
                <w:sz w:val="18"/>
                <w:szCs w:val="18"/>
                <w:highlight w:val="none"/>
              </w:rPr>
              <w:t xml:space="preserve">1</w:t>
            </w:r>
            <w:r>
              <w:rPr>
                <w:rFonts w:hint="eastAsia" w:ascii="宋体" w:hAnsi="宋体"/>
                <w:bCs/>
                <w:color w:val="auto"/>
                <w:sz w:val="18"/>
                <w:szCs w:val="18"/>
                <w:highlight w:val="none"/>
              </w:rPr>
              <w:t xml:space="preserve">个</w:t>
            </w:r>
            <w:r>
              <w:rPr>
                <w:rFonts w:ascii="宋体" w:hAnsi="宋体"/>
                <w:bCs/>
                <w:color w:val="auto"/>
                <w:sz w:val="18"/>
                <w:szCs w:val="18"/>
                <w:highlight w:val="none"/>
              </w:rPr>
              <w:t xml:space="preserve">MAN</w:t>
            </w:r>
            <w:r>
              <w:rPr>
                <w:rFonts w:hint="eastAsia" w:ascii="宋体" w:hAnsi="宋体"/>
                <w:bCs/>
                <w:color w:val="auto"/>
                <w:sz w:val="18"/>
                <w:szCs w:val="18"/>
                <w:highlight w:val="none"/>
              </w:rPr>
              <w:t xml:space="preserve">口），外端机：</w:t>
            </w:r>
            <w:r>
              <w:rPr>
                <w:rFonts w:ascii="宋体" w:hAnsi="宋体"/>
                <w:bCs/>
                <w:color w:val="auto"/>
                <w:sz w:val="18"/>
                <w:szCs w:val="18"/>
                <w:highlight w:val="none"/>
              </w:rPr>
              <w:t xml:space="preserve">6</w:t>
            </w:r>
            <w:r>
              <w:rPr>
                <w:rFonts w:hint="eastAsia" w:ascii="宋体" w:hAnsi="宋体"/>
                <w:bCs/>
                <w:color w:val="auto"/>
                <w:sz w:val="18"/>
                <w:szCs w:val="18"/>
                <w:highlight w:val="none"/>
              </w:rPr>
              <w:t xml:space="preserve">个千兆电口接口（5个数据口和</w:t>
            </w:r>
            <w:r>
              <w:rPr>
                <w:rFonts w:ascii="宋体" w:hAnsi="宋体"/>
                <w:bCs/>
                <w:color w:val="auto"/>
                <w:sz w:val="18"/>
                <w:szCs w:val="18"/>
                <w:highlight w:val="none"/>
              </w:rPr>
              <w:t xml:space="preserve">1</w:t>
            </w:r>
            <w:r>
              <w:rPr>
                <w:rFonts w:hint="eastAsia" w:ascii="宋体" w:hAnsi="宋体"/>
                <w:bCs/>
                <w:color w:val="auto"/>
                <w:sz w:val="18"/>
                <w:szCs w:val="18"/>
                <w:highlight w:val="none"/>
              </w:rPr>
              <w:t xml:space="preserve">个</w:t>
            </w:r>
            <w:r>
              <w:rPr>
                <w:rFonts w:ascii="宋体" w:hAnsi="宋体"/>
                <w:bCs/>
                <w:color w:val="auto"/>
                <w:sz w:val="18"/>
                <w:szCs w:val="18"/>
                <w:highlight w:val="none"/>
              </w:rPr>
              <w:t xml:space="preserve"> HA</w:t>
            </w:r>
            <w:r>
              <w:rPr>
                <w:rFonts w:hint="eastAsia" w:ascii="宋体" w:hAnsi="宋体"/>
                <w:bCs/>
                <w:color w:val="auto"/>
                <w:sz w:val="18"/>
                <w:szCs w:val="18"/>
                <w:highlight w:val="none"/>
              </w:rPr>
              <w:t xml:space="preserve">口）</w:t>
            </w:r>
            <w:r>
              <w:rPr>
                <w:color w:val="auto"/>
                <w:highlight w:val="none"/>
              </w:rPr>
            </w:r>
            <w:r>
              <w:rPr>
                <w:color w:val="auto"/>
                <w:highlight w:val="none"/>
              </w:rPr>
            </w:r>
          </w:p>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整机吞吐量4.5</w:t>
            </w:r>
            <w:r>
              <w:rPr>
                <w:rFonts w:ascii="宋体" w:hAnsi="宋体"/>
                <w:bCs/>
                <w:color w:val="auto"/>
                <w:sz w:val="18"/>
                <w:szCs w:val="18"/>
                <w:highlight w:val="none"/>
              </w:rPr>
              <w:t xml:space="preserve">G</w:t>
            </w:r>
            <w:r>
              <w:rPr>
                <w:rFonts w:hint="eastAsia" w:ascii="宋体" w:hAnsi="宋体"/>
                <w:bCs/>
                <w:color w:val="auto"/>
                <w:sz w:val="18"/>
                <w:szCs w:val="18"/>
                <w:highlight w:val="none"/>
              </w:rPr>
              <w:t xml:space="preserve">，实际数据转换量1.5G</w:t>
            </w:r>
            <w:r>
              <w:rPr>
                <w:rFonts w:ascii="宋体" w:hAnsi="宋体"/>
                <w:bCs/>
                <w:color w:val="auto"/>
                <w:sz w:val="18"/>
                <w:szCs w:val="18"/>
                <w:highlight w:val="none"/>
              </w:rPr>
              <w:t xml:space="preserve">,</w:t>
            </w:r>
            <w:r>
              <w:rPr>
                <w:rFonts w:hint="eastAsia" w:ascii="宋体" w:hAnsi="宋体"/>
                <w:bCs/>
                <w:color w:val="auto"/>
                <w:sz w:val="18"/>
                <w:szCs w:val="18"/>
                <w:highlight w:val="none"/>
              </w:rPr>
              <w:t xml:space="preserve">并发连接数：85</w:t>
            </w:r>
            <w:r>
              <w:rPr>
                <w:rFonts w:ascii="宋体" w:hAnsi="宋体"/>
                <w:bCs/>
                <w:color w:val="auto"/>
                <w:sz w:val="18"/>
                <w:szCs w:val="18"/>
                <w:highlight w:val="none"/>
              </w:rPr>
              <w:t xml:space="preserve">000</w:t>
            </w:r>
            <w:r>
              <w:rPr>
                <w:color w:val="auto"/>
                <w:highlight w:val="none"/>
              </w:rPr>
            </w:r>
            <w:r>
              <w:rPr>
                <w:color w:val="auto"/>
                <w:highlight w:val="none"/>
              </w:rPr>
            </w:r>
          </w:p>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内外端机为</w:t>
            </w:r>
            <w:r>
              <w:rPr>
                <w:rFonts w:ascii="宋体" w:hAnsi="宋体"/>
                <w:bCs/>
                <w:color w:val="auto"/>
                <w:sz w:val="18"/>
                <w:szCs w:val="18"/>
                <w:highlight w:val="none"/>
              </w:rPr>
              <w:t xml:space="preserve">TCP/IP</w:t>
            </w:r>
            <w:r>
              <w:rPr>
                <w:rFonts w:hint="eastAsia" w:ascii="宋体" w:hAnsi="宋体"/>
                <w:bCs/>
                <w:color w:val="auto"/>
                <w:sz w:val="18"/>
                <w:szCs w:val="18"/>
                <w:highlight w:val="none"/>
              </w:rPr>
              <w:t xml:space="preserve">网络协议的终点，阻断</w:t>
            </w:r>
            <w:r>
              <w:rPr>
                <w:rFonts w:ascii="宋体" w:hAnsi="宋体"/>
                <w:bCs/>
                <w:color w:val="auto"/>
                <w:sz w:val="18"/>
                <w:szCs w:val="18"/>
                <w:highlight w:val="none"/>
              </w:rPr>
              <w:t xml:space="preserve">TCP/IP</w:t>
            </w:r>
            <w:r>
              <w:rPr>
                <w:rFonts w:hint="eastAsia" w:ascii="宋体" w:hAnsi="宋体"/>
                <w:bCs/>
                <w:color w:val="auto"/>
                <w:sz w:val="18"/>
                <w:szCs w:val="18"/>
                <w:highlight w:val="none"/>
              </w:rPr>
              <w:t xml:space="preserve">协议的直接贯通。内外端机之间采用专用硬件和专用协议进行连接。以软硬件结合的方式，有效地隔断内外网络间直接的连接，防止信息无限制交换。</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2</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57</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bCs/>
                <w:color w:val="auto"/>
                <w:sz w:val="18"/>
                <w:szCs w:val="18"/>
                <w:highlight w:val="none"/>
              </w:rPr>
            </w:pPr>
            <w:r>
              <w:rPr>
                <w:rFonts w:hint="eastAsia" w:ascii="宋体" w:hAnsi="宋体"/>
                <w:bCs/>
                <w:color w:val="auto"/>
                <w:sz w:val="18"/>
                <w:szCs w:val="18"/>
                <w:highlight w:val="none"/>
              </w:rPr>
              <w:t xml:space="preserve">入侵防御</w:t>
            </w:r>
            <w:r>
              <w:rPr>
                <w:color w:val="auto"/>
                <w:highlight w:val="none"/>
              </w:rPr>
            </w:r>
            <w:r>
              <w:rPr>
                <w:color w:val="auto"/>
                <w:highlight w:val="none"/>
              </w:rPr>
            </w:r>
          </w:p>
          <w:p>
            <w:pPr>
              <w:pStyle w:val="808"/>
              <w:jc w:val="left"/>
              <w:widowControl/>
              <w:rPr>
                <w:rFonts w:ascii="宋体" w:hAnsi="宋体"/>
                <w:color w:val="auto"/>
                <w:sz w:val="18"/>
                <w:szCs w:val="18"/>
                <w:highlight w:val="none"/>
              </w:rPr>
            </w:pPr>
            <w:r>
              <w:rPr>
                <w:rFonts w:ascii="宋体" w:hAnsi="宋体"/>
                <w:bCs/>
                <w:color w:val="auto"/>
                <w:sz w:val="18"/>
                <w:szCs w:val="18"/>
                <w:highlight w:val="none"/>
              </w:rPr>
              <w:t xml:space="preserve">天融信TI-51528</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 4个千兆电口+4个千兆光口，冗余电源</w:t>
            </w:r>
            <w:r>
              <w:rPr>
                <w:color w:val="auto"/>
                <w:highlight w:val="none"/>
              </w:rPr>
            </w:r>
            <w:r>
              <w:rPr>
                <w:color w:val="auto"/>
                <w:highlight w:val="none"/>
              </w:rPr>
            </w:r>
          </w:p>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最大并发连接：350W，吞吐率：6Gbps</w:t>
            </w:r>
            <w:r>
              <w:rPr>
                <w:color w:val="auto"/>
                <w:highlight w:val="none"/>
              </w:rPr>
            </w:r>
            <w:r>
              <w:rPr>
                <w:color w:val="auto"/>
                <w:highlight w:val="none"/>
              </w:rPr>
            </w:r>
          </w:p>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全面防御溢出攻击（BufferOverflow）、 RPC攻击（RPC）、WEBCGI攻击（WebAccess）、拒绝服务（DDOS）、木马（TrojanHorse）、蠕虫（VirusWorm）、扫描（Scan）、HTTP攻击类（HTTP）、系统漏洞类（system）</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B类服务要求</w:t>
            </w:r>
            <w:r>
              <w:rPr>
                <w:color w:val="auto"/>
                <w:highlight w:val="none"/>
              </w:rPr>
            </w:r>
            <w:r>
              <w:rPr>
                <w:color w:val="auto"/>
                <w:highlight w:val="none"/>
              </w:rPr>
            </w:r>
          </w:p>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（含特征库升级）</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58</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VPN设备</w:t>
            </w:r>
            <w:r>
              <w:rPr>
                <w:color w:val="auto"/>
                <w:highlight w:val="none"/>
              </w:rPr>
            </w:r>
            <w:r>
              <w:rPr>
                <w:color w:val="auto"/>
                <w:highlight w:val="none"/>
              </w:rPr>
            </w:r>
          </w:p>
          <w:p>
            <w:pPr>
              <w:pStyle w:val="808"/>
              <w:jc w:val="left"/>
              <w:widowControl/>
              <w:rPr>
                <w:rFonts w:ascii="宋体" w:hAnsi="宋体"/>
                <w:color w:val="auto"/>
                <w:sz w:val="18"/>
                <w:szCs w:val="18"/>
                <w:highlight w:val="none"/>
              </w:rPr>
            </w:pPr>
            <w:r>
              <w:rPr>
                <w:rFonts w:ascii="宋体" w:hAnsi="宋体"/>
                <w:color w:val="auto"/>
                <w:sz w:val="18"/>
                <w:szCs w:val="18"/>
                <w:highlight w:val="none"/>
              </w:rPr>
              <w:t xml:space="preserve">山石网科</w:t>
            </w:r>
            <w:r>
              <w:rPr>
                <w:rFonts w:hint="eastAsia" w:ascii="宋体" w:hAnsi="宋体"/>
                <w:color w:val="auto"/>
                <w:sz w:val="18"/>
                <w:szCs w:val="18"/>
                <w:highlight w:val="none"/>
              </w:rPr>
              <w:t xml:space="preserve"> </w:t>
            </w:r>
            <w:r>
              <w:rPr>
                <w:rFonts w:ascii="宋体" w:hAnsi="宋体"/>
                <w:color w:val="auto"/>
                <w:sz w:val="18"/>
                <w:szCs w:val="18"/>
                <w:highlight w:val="none"/>
              </w:rPr>
              <w:t xml:space="preserve">SG6000</w:t>
            </w:r>
            <w:r>
              <w:rPr>
                <w:rFonts w:hint="eastAsia" w:ascii="宋体" w:hAnsi="宋体"/>
                <w:color w:val="auto"/>
                <w:sz w:val="18"/>
                <w:szCs w:val="18"/>
                <w:highlight w:val="none"/>
              </w:rPr>
              <w:t xml:space="preserve">-E2300</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5个千兆电口，4个千兆combo口</w:t>
            </w:r>
            <w:r>
              <w:rPr>
                <w:color w:val="auto"/>
                <w:highlight w:val="none"/>
              </w:rPr>
            </w:r>
            <w:r>
              <w:rPr>
                <w:color w:val="auto"/>
                <w:highlight w:val="none"/>
              </w:rPr>
            </w:r>
          </w:p>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最大吞吐量2</w:t>
            </w:r>
            <w:r>
              <w:rPr>
                <w:rFonts w:ascii="宋体" w:hAnsi="宋体"/>
                <w:bCs/>
                <w:color w:val="auto"/>
                <w:sz w:val="18"/>
                <w:szCs w:val="18"/>
                <w:highlight w:val="none"/>
              </w:rPr>
              <w:t xml:space="preserve">.5G</w:t>
            </w:r>
            <w:r>
              <w:rPr>
                <w:rFonts w:hint="eastAsia" w:ascii="宋体" w:hAnsi="宋体"/>
                <w:bCs/>
                <w:color w:val="auto"/>
                <w:sz w:val="18"/>
                <w:szCs w:val="18"/>
                <w:highlight w:val="none"/>
              </w:rPr>
              <w:t xml:space="preserve">bps，最大并发数100</w:t>
            </w:r>
            <w:r>
              <w:rPr>
                <w:rFonts w:ascii="宋体" w:hAnsi="宋体"/>
                <w:bCs/>
                <w:color w:val="auto"/>
                <w:sz w:val="18"/>
                <w:szCs w:val="18"/>
                <w:highlight w:val="none"/>
              </w:rPr>
              <w:t xml:space="preserve">W</w:t>
            </w:r>
            <w:r>
              <w:rPr>
                <w:color w:val="auto"/>
                <w:highlight w:val="none"/>
              </w:rPr>
            </w:r>
            <w:r>
              <w:rPr>
                <w:color w:val="auto"/>
                <w:highlight w:val="none"/>
              </w:rPr>
            </w:r>
          </w:p>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包含S</w:t>
            </w:r>
            <w:r>
              <w:rPr>
                <w:rFonts w:ascii="宋体" w:hAnsi="宋体"/>
                <w:bCs/>
                <w:color w:val="auto"/>
                <w:sz w:val="18"/>
                <w:szCs w:val="18"/>
                <w:highlight w:val="none"/>
              </w:rPr>
              <w:t xml:space="preserve">SL VPN</w:t>
            </w:r>
            <w:r>
              <w:rPr>
                <w:rFonts w:hint="eastAsia" w:ascii="宋体" w:hAnsi="宋体"/>
                <w:bCs/>
                <w:color w:val="auto"/>
                <w:sz w:val="18"/>
                <w:szCs w:val="18"/>
                <w:highlight w:val="none"/>
              </w:rPr>
              <w:t xml:space="preserve">功能，最大用户数1000</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59</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防火墙</w:t>
            </w:r>
            <w:r>
              <w:rPr>
                <w:color w:val="auto"/>
                <w:highlight w:val="none"/>
              </w:rPr>
            </w:r>
            <w:r>
              <w:rPr>
                <w:color w:val="auto"/>
                <w:highlight w:val="none"/>
              </w:rPr>
            </w:r>
          </w:p>
          <w:p>
            <w:pPr>
              <w:pStyle w:val="808"/>
              <w:jc w:val="left"/>
              <w:widowControl/>
              <w:rPr>
                <w:rFonts w:ascii="宋体" w:hAnsi="宋体"/>
                <w:color w:val="auto"/>
                <w:sz w:val="18"/>
                <w:szCs w:val="18"/>
                <w:highlight w:val="none"/>
              </w:rPr>
            </w:pPr>
            <w:r>
              <w:rPr>
                <w:rFonts w:ascii="宋体" w:hAnsi="宋体"/>
                <w:color w:val="auto"/>
                <w:sz w:val="18"/>
                <w:szCs w:val="18"/>
                <w:highlight w:val="none"/>
              </w:rPr>
              <w:t xml:space="preserve">山石网科SG6000-E3960</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8个千兆电口，4个S</w:t>
            </w:r>
            <w:r>
              <w:rPr>
                <w:rFonts w:ascii="宋体" w:hAnsi="宋体"/>
                <w:bCs/>
                <w:color w:val="auto"/>
                <w:sz w:val="18"/>
                <w:szCs w:val="18"/>
                <w:highlight w:val="none"/>
              </w:rPr>
              <w:t xml:space="preserve">FP</w:t>
            </w:r>
            <w:r>
              <w:rPr>
                <w:rFonts w:hint="eastAsia" w:ascii="宋体" w:hAnsi="宋体"/>
                <w:bCs/>
                <w:color w:val="auto"/>
                <w:sz w:val="18"/>
                <w:szCs w:val="18"/>
                <w:highlight w:val="none"/>
              </w:rPr>
              <w:t xml:space="preserve">端口，2个SFP+端口</w:t>
            </w:r>
            <w:r>
              <w:rPr>
                <w:color w:val="auto"/>
                <w:highlight w:val="none"/>
              </w:rPr>
            </w:r>
            <w:r>
              <w:rPr>
                <w:color w:val="auto"/>
                <w:highlight w:val="none"/>
              </w:rPr>
            </w:r>
          </w:p>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最大吞吐量8</w:t>
            </w:r>
            <w:r>
              <w:rPr>
                <w:rFonts w:ascii="宋体" w:hAnsi="宋体"/>
                <w:bCs/>
                <w:color w:val="auto"/>
                <w:sz w:val="18"/>
                <w:szCs w:val="18"/>
                <w:highlight w:val="none"/>
              </w:rPr>
              <w:t xml:space="preserve">G</w:t>
            </w:r>
            <w:r>
              <w:rPr>
                <w:rFonts w:hint="eastAsia" w:ascii="宋体" w:hAnsi="宋体"/>
                <w:bCs/>
                <w:color w:val="auto"/>
                <w:sz w:val="18"/>
                <w:szCs w:val="18"/>
                <w:highlight w:val="none"/>
              </w:rPr>
              <w:t xml:space="preserve">bps，最大并发数200</w:t>
            </w:r>
            <w:r>
              <w:rPr>
                <w:rFonts w:ascii="宋体" w:hAnsi="宋体"/>
                <w:bCs/>
                <w:color w:val="auto"/>
                <w:sz w:val="18"/>
                <w:szCs w:val="18"/>
                <w:highlight w:val="none"/>
              </w:rPr>
              <w:t xml:space="preserve">W</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60</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天融信天融信TopADS   TX-62529, 异常流量管理与抗拒绝服务系统</w:t>
            </w:r>
            <w:r>
              <w:rPr>
                <w:color w:val="auto"/>
                <w:highlight w:val="none"/>
              </w:rPr>
            </w:r>
            <w:r>
              <w:rPr>
                <w:color w:val="auto"/>
                <w:highlight w:val="none"/>
              </w:rPr>
            </w:r>
          </w:p>
        </w:tc>
        <w:tc>
          <w:tcPr>
            <w:tcW w:w="4197"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2U机型，最大配置为26个接口，默认包括2个扩展槽位，2个作为HA口和管理口；本次配置4个10/100/1000BASE-T接口（支持Bypass）和4个SFP插槽，标配冗余电源，配置1TB硬盘；</w:t>
            </w:r>
            <w:r>
              <w:rPr>
                <w:rFonts w:ascii="宋体" w:hAnsi="宋体"/>
                <w:color w:val="auto"/>
                <w:sz w:val="18"/>
                <w:szCs w:val="18"/>
                <w:highlight w:val="none"/>
              </w:rPr>
              <w:t xml:space="preserve"> </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61</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网御星云LA-DAP-1100-U</w:t>
            </w:r>
            <w:r>
              <w:rPr>
                <w:rFonts w:ascii="宋体" w:hAnsi="宋体"/>
                <w:color w:val="auto"/>
                <w:sz w:val="18"/>
                <w:szCs w:val="18"/>
                <w:highlight w:val="none"/>
              </w:rPr>
              <w:t xml:space="preserve">  </w:t>
            </w:r>
            <w:r>
              <w:rPr>
                <w:rFonts w:hint="eastAsia" w:ascii="宋体" w:hAnsi="宋体"/>
                <w:color w:val="auto"/>
                <w:sz w:val="18"/>
                <w:szCs w:val="18"/>
                <w:highlight w:val="none"/>
              </w:rPr>
              <w:t xml:space="preserve">数据库审计系统</w:t>
            </w:r>
            <w:r>
              <w:rPr>
                <w:color w:val="auto"/>
                <w:highlight w:val="none"/>
              </w:rPr>
            </w:r>
            <w:r>
              <w:rPr>
                <w:color w:val="auto"/>
                <w:highlight w:val="none"/>
              </w:rPr>
            </w:r>
          </w:p>
        </w:tc>
        <w:tc>
          <w:tcPr>
            <w:tcW w:w="4197"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1U标准机架设备，单电源；设备配置6个千兆电口和4个SFP千兆光口插槽，1个RJ45串口，此次配置1T硬盘，13个DB服务数授权；</w:t>
            </w:r>
            <w:r>
              <w:rPr>
                <w:rFonts w:ascii="宋体" w:hAnsi="宋体"/>
                <w:color w:val="auto"/>
                <w:sz w:val="18"/>
                <w:szCs w:val="18"/>
                <w:highlight w:val="none"/>
              </w:rPr>
              <w:t xml:space="preserve"> </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62</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天融信TopSAG, 运维安全审计系统</w:t>
            </w:r>
            <w:r>
              <w:rPr>
                <w:color w:val="auto"/>
                <w:highlight w:val="none"/>
              </w:rPr>
            </w:r>
            <w:r>
              <w:rPr>
                <w:color w:val="auto"/>
                <w:highlight w:val="none"/>
              </w:rPr>
            </w:r>
          </w:p>
        </w:tc>
        <w:tc>
          <w:tcPr>
            <w:tcW w:w="4197"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1U机架式结构型；1个console口，2个USB口，2个可扩展插槽；配置6个10/100/1000BASE自适应电口和2个SFP插槽； 单电源； 配置 16G内存、1TB存储空间；配置100个主机/设备许可。</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63</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思福迪LogBase-A1000，，日志管理综合审计系统</w:t>
            </w:r>
            <w:r>
              <w:rPr>
                <w:color w:val="auto"/>
                <w:highlight w:val="none"/>
              </w:rPr>
            </w:r>
            <w:r>
              <w:rPr>
                <w:color w:val="auto"/>
                <w:highlight w:val="none"/>
              </w:rPr>
            </w:r>
          </w:p>
        </w:tc>
        <w:tc>
          <w:tcPr>
            <w:tcW w:w="4197"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采用标准机架式专用定制硬件平台；无需用户另行提供服务器、操作系统、数据库、防火墙软件、及用户手动升级系统补丁；物理磁盘空间&gt;=2*1000GB，提供千兆RJ45*4（三路数据传输口；一路系统管理口）。</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64</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深信服EMM-1000-B400，VPN设备</w:t>
            </w:r>
            <w:r>
              <w:rPr>
                <w:color w:val="auto"/>
                <w:highlight w:val="none"/>
              </w:rPr>
            </w:r>
            <w:r>
              <w:rPr>
                <w:color w:val="auto"/>
                <w:highlight w:val="none"/>
              </w:rPr>
            </w:r>
          </w:p>
        </w:tc>
        <w:tc>
          <w:tcPr>
            <w:tcW w:w="4197"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移动安全接入性能(M) ≥220，最大安全接入数(个) ≥880，本次配置100个同时在线用户数授权（可支持移动终端用户、拨号用户使用），移动终端接入速率(个/秒) ≥90；电口4个，串口1个。</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gridSpan w:val="5"/>
            <w:tcW w:w="9350" w:type="dxa"/>
            <w:vAlign w:val="center"/>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2</w:t>
            </w:r>
            <w:r>
              <w:rPr>
                <w:rFonts w:ascii="宋体" w:hAnsi="宋体"/>
                <w:bCs/>
                <w:color w:val="auto"/>
                <w:sz w:val="18"/>
                <w:szCs w:val="18"/>
                <w:highlight w:val="none"/>
              </w:rPr>
              <w:t xml:space="preserve">.1.5 </w:t>
            </w:r>
            <w:r>
              <w:rPr>
                <w:rFonts w:hint="eastAsia" w:ascii="宋体" w:hAnsi="宋体"/>
                <w:bCs/>
                <w:color w:val="auto"/>
                <w:sz w:val="18"/>
                <w:szCs w:val="18"/>
                <w:highlight w:val="none"/>
              </w:rPr>
              <w:t xml:space="preserve">视频会议系统</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65</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高清MCU </w:t>
            </w:r>
            <w:r>
              <w:rPr>
                <w:rFonts w:ascii="宋体" w:hAnsi="宋体"/>
                <w:color w:val="auto"/>
                <w:sz w:val="18"/>
                <w:szCs w:val="18"/>
                <w:highlight w:val="none"/>
              </w:rPr>
              <w:t xml:space="preserve">宝利通RMX1800</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采用嵌入式操作系统，MCU配置15路对称720P接入</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66</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ascii="宋体" w:hAnsi="宋体"/>
                <w:color w:val="auto"/>
                <w:sz w:val="18"/>
                <w:szCs w:val="18"/>
                <w:highlight w:val="none"/>
              </w:rPr>
              <w:t xml:space="preserve">高清流媒体服务器</w:t>
            </w:r>
            <w:r>
              <w:rPr>
                <w:rFonts w:hint="eastAsia" w:ascii="宋体" w:hAnsi="宋体"/>
                <w:color w:val="auto"/>
                <w:sz w:val="18"/>
                <w:szCs w:val="18"/>
                <w:highlight w:val="none"/>
              </w:rPr>
              <w:t xml:space="preserve"> </w:t>
            </w:r>
            <w:r>
              <w:rPr>
                <w:rFonts w:ascii="宋体" w:hAnsi="宋体"/>
                <w:color w:val="auto"/>
                <w:sz w:val="18"/>
                <w:szCs w:val="18"/>
                <w:highlight w:val="none"/>
              </w:rPr>
              <w:t xml:space="preserve">创世通VRS3800</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采用嵌入式操作系统，遵循H.323协议标准，支持H.261、H.263、H.264、WMV视频标准，支持G.711、G.722、G.728、AAC、WMA音频标准</w:t>
            </w:r>
            <w:r>
              <w:rPr>
                <w:rFonts w:ascii="宋体" w:hAnsi="宋体"/>
                <w:color w:val="auto"/>
                <w:sz w:val="18"/>
                <w:szCs w:val="18"/>
                <w:highlight w:val="none"/>
              </w:rPr>
              <w:t xml:space="preserve"> </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67</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ascii="宋体" w:hAnsi="宋体"/>
                <w:color w:val="auto"/>
                <w:sz w:val="18"/>
                <w:szCs w:val="18"/>
                <w:highlight w:val="none"/>
              </w:rPr>
              <w:t xml:space="preserve">高清视频终端</w:t>
            </w:r>
            <w:r>
              <w:rPr>
                <w:rFonts w:hint="eastAsia" w:ascii="宋体" w:hAnsi="宋体"/>
                <w:color w:val="auto"/>
                <w:sz w:val="18"/>
                <w:szCs w:val="18"/>
                <w:highlight w:val="none"/>
              </w:rPr>
              <w:t xml:space="preserve"> </w:t>
            </w:r>
            <w:r>
              <w:rPr>
                <w:rFonts w:ascii="宋体" w:hAnsi="宋体"/>
                <w:color w:val="auto"/>
                <w:sz w:val="18"/>
                <w:szCs w:val="18"/>
                <w:highlight w:val="none"/>
              </w:rPr>
              <w:t xml:space="preserve">宝利通Group550</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4路高清输入，3路音频输入和2路音频输出接口</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2</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68</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ascii="宋体" w:hAnsi="宋体"/>
                <w:color w:val="auto"/>
                <w:sz w:val="18"/>
                <w:szCs w:val="18"/>
                <w:highlight w:val="none"/>
              </w:rPr>
              <w:t xml:space="preserve">高清视频终端</w:t>
            </w:r>
            <w:r>
              <w:rPr>
                <w:rFonts w:hint="eastAsia" w:ascii="宋体" w:hAnsi="宋体"/>
                <w:color w:val="auto"/>
                <w:sz w:val="18"/>
                <w:szCs w:val="18"/>
                <w:highlight w:val="none"/>
              </w:rPr>
              <w:t xml:space="preserve"> </w:t>
            </w:r>
            <w:r>
              <w:rPr>
                <w:rFonts w:ascii="宋体" w:hAnsi="宋体"/>
                <w:color w:val="auto"/>
                <w:sz w:val="18"/>
                <w:szCs w:val="18"/>
                <w:highlight w:val="none"/>
              </w:rPr>
              <w:t xml:space="preserve">宝利通Group310</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3路高清输入(HDMI*1,VGA*1)，具备2路音频输入和2路音频输出接口</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2</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69</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高清摄像机 宝利通EagleEye</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200万有效像素，具备1080P50/60帧，720P50/60帧的图像格式，具备12倍光学变焦，具备数字高清视频输出接口</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4</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70</w:t>
            </w:r>
            <w:r>
              <w:rPr>
                <w:color w:val="auto"/>
                <w:highlight w:val="none"/>
              </w:rPr>
            </w:r>
            <w:r>
              <w:rPr>
                <w:color w:val="auto"/>
                <w:highlight w:val="none"/>
              </w:rPr>
            </w:r>
          </w:p>
        </w:tc>
        <w:tc>
          <w:tcPr>
            <w:tcW w:w="2408" w:type="dxa"/>
            <w:vAlign w:val="center"/>
            <w:textDirection w:val="lrTb"/>
            <w:noWrap w:val="false"/>
          </w:tcPr>
          <w:p>
            <w:pPr>
              <w:pStyle w:val="808"/>
              <w:jc w:val="left"/>
              <w:widowControl/>
              <w:rPr>
                <w:rFonts w:ascii="宋体" w:hAnsi="宋体"/>
                <w:color w:val="auto"/>
                <w:sz w:val="18"/>
                <w:szCs w:val="18"/>
                <w:highlight w:val="none"/>
              </w:rPr>
            </w:pPr>
            <w:r>
              <w:rPr>
                <w:rFonts w:hint="eastAsia" w:ascii="宋体" w:hAnsi="宋体"/>
                <w:color w:val="auto"/>
                <w:sz w:val="18"/>
                <w:szCs w:val="18"/>
                <w:highlight w:val="none"/>
              </w:rPr>
              <w:t xml:space="preserve">高清麦克风 宝利通</w:t>
            </w:r>
            <w:r>
              <w:rPr>
                <w:rFonts w:ascii="宋体" w:hAnsi="宋体"/>
                <w:color w:val="auto"/>
                <w:sz w:val="18"/>
                <w:szCs w:val="18"/>
                <w:highlight w:val="none"/>
              </w:rPr>
              <w:t xml:space="preserve">Group</w:t>
            </w:r>
            <w:r>
              <w:rPr>
                <w:color w:val="auto"/>
                <w:highlight w:val="none"/>
              </w:rPr>
            </w:r>
            <w:r>
              <w:rPr>
                <w:color w:val="auto"/>
                <w:highlight w:val="none"/>
              </w:rPr>
            </w:r>
          </w:p>
        </w:tc>
        <w:tc>
          <w:tcPr>
            <w:tcW w:w="4197" w:type="dxa"/>
            <w:vAlign w:val="center"/>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全向拾音，拾音半径不低于6米，麦克风自带一键静音功能，具备回声抵消、噪声抑制、消除啸叫功能</w:t>
            </w:r>
            <w:r>
              <w:rPr>
                <w:color w:val="auto"/>
                <w:highlight w:val="none"/>
              </w:rPr>
            </w:r>
            <w:r>
              <w:rPr>
                <w:color w:val="auto"/>
                <w:highlight w:val="none"/>
              </w:rPr>
            </w:r>
          </w:p>
        </w:tc>
        <w:tc>
          <w:tcPr>
            <w:tcW w:w="709" w:type="dxa"/>
            <w:vAlign w:val="center"/>
            <w:textDirection w:val="lrTb"/>
            <w:noWrap w:val="false"/>
          </w:tcPr>
          <w:p>
            <w:pPr>
              <w:pStyle w:val="808"/>
              <w:jc w:val="center"/>
              <w:widowControl/>
              <w:rPr>
                <w:rFonts w:ascii="宋体" w:hAnsi="宋体"/>
                <w:color w:val="auto"/>
                <w:sz w:val="18"/>
                <w:szCs w:val="18"/>
                <w:highlight w:val="none"/>
              </w:rPr>
            </w:pPr>
            <w:r>
              <w:rPr>
                <w:rFonts w:ascii="宋体" w:hAnsi="宋体"/>
                <w:color w:val="auto"/>
                <w:sz w:val="18"/>
                <w:szCs w:val="18"/>
                <w:highlight w:val="none"/>
              </w:rPr>
              <w:t xml:space="preserve">4</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A类服务要求</w:t>
            </w:r>
            <w:r>
              <w:rPr>
                <w:color w:val="auto"/>
                <w:highlight w:val="none"/>
              </w:rPr>
            </w:r>
            <w:r>
              <w:rPr>
                <w:color w:val="auto"/>
                <w:highlight w:val="none"/>
              </w:rPr>
            </w:r>
          </w:p>
        </w:tc>
      </w:tr>
      <w:tr>
        <w:trPr>
          <w:trHeight w:val="20"/>
        </w:trPr>
        <w:tc>
          <w:tcPr>
            <w:gridSpan w:val="5"/>
            <w:tcW w:w="9350" w:type="dxa"/>
            <w:vAlign w:val="center"/>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2</w:t>
            </w:r>
            <w:r>
              <w:rPr>
                <w:rFonts w:ascii="宋体" w:hAnsi="宋体"/>
                <w:bCs/>
                <w:color w:val="auto"/>
                <w:sz w:val="18"/>
                <w:szCs w:val="18"/>
                <w:highlight w:val="none"/>
              </w:rPr>
              <w:t xml:space="preserve">.1.</w:t>
            </w:r>
            <w:r>
              <w:rPr>
                <w:rFonts w:hint="eastAsia" w:ascii="宋体" w:hAnsi="宋体"/>
                <w:bCs/>
                <w:color w:val="auto"/>
                <w:sz w:val="18"/>
                <w:szCs w:val="18"/>
                <w:highlight w:val="none"/>
              </w:rPr>
              <w:t xml:space="preserve">6</w:t>
            </w:r>
            <w:r>
              <w:rPr>
                <w:rFonts w:hint="eastAsia" w:ascii="宋体" w:hAnsi="宋体"/>
                <w:color w:val="auto"/>
                <w:sz w:val="18"/>
                <w:szCs w:val="18"/>
                <w:highlight w:val="none"/>
              </w:rPr>
              <w:t xml:space="preserve">音视频系统设备</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71</w:t>
            </w:r>
            <w:r>
              <w:rPr>
                <w:color w:val="auto"/>
                <w:highlight w:val="none"/>
              </w:rPr>
            </w:r>
            <w:r>
              <w:rPr>
                <w:color w:val="auto"/>
                <w:highlight w:val="none"/>
              </w:rPr>
            </w:r>
          </w:p>
        </w:tc>
        <w:tc>
          <w:tcPr>
            <w:tcW w:w="2408"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L</w:t>
            </w:r>
            <w:r>
              <w:rPr>
                <w:rFonts w:ascii="宋体" w:hAnsi="宋体"/>
                <w:color w:val="auto"/>
                <w:sz w:val="18"/>
                <w:szCs w:val="18"/>
                <w:highlight w:val="none"/>
              </w:rPr>
              <w:t xml:space="preserve">ED</w:t>
            </w:r>
            <w:r>
              <w:rPr>
                <w:rFonts w:hint="eastAsia" w:ascii="宋体" w:hAnsi="宋体"/>
                <w:color w:val="auto"/>
                <w:sz w:val="18"/>
                <w:szCs w:val="18"/>
                <w:highlight w:val="none"/>
              </w:rPr>
              <w:t xml:space="preserve">小间距屏幕，宇视MW7216-E-U </w:t>
            </w:r>
            <w:r>
              <w:rPr>
                <w:color w:val="auto"/>
                <w:highlight w:val="none"/>
              </w:rPr>
            </w:r>
            <w:r>
              <w:rPr>
                <w:color w:val="auto"/>
                <w:highlight w:val="none"/>
              </w:rPr>
            </w:r>
          </w:p>
        </w:tc>
        <w:tc>
          <w:tcPr>
            <w:tcW w:w="4197"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小间距LED全彩屏，采用表贴三合一SMD1010灯珠，物理点间距1.667mm，灯珠为金线灯，灯珠品牌国星，显示面积：20.28㎡， 其中，长7.04m，高2.88m</w:t>
            </w:r>
            <w:r>
              <w:rPr>
                <w:rFonts w:ascii="宋体" w:hAnsi="宋体"/>
                <w:color w:val="auto"/>
                <w:sz w:val="18"/>
                <w:szCs w:val="18"/>
                <w:highlight w:val="none"/>
              </w:rPr>
              <w:t xml:space="preserve"> </w:t>
            </w:r>
            <w:r>
              <w:rPr>
                <w:color w:val="auto"/>
                <w:highlight w:val="none"/>
              </w:rPr>
            </w:r>
            <w:r>
              <w:rPr>
                <w:color w:val="auto"/>
                <w:highlight w:val="none"/>
              </w:rPr>
            </w:r>
          </w:p>
        </w:tc>
        <w:tc>
          <w:tcPr>
            <w:tcW w:w="709"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20.28平方</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72</w:t>
            </w:r>
            <w:r>
              <w:rPr>
                <w:color w:val="auto"/>
                <w:highlight w:val="none"/>
              </w:rPr>
            </w:r>
            <w:r>
              <w:rPr>
                <w:color w:val="auto"/>
                <w:highlight w:val="none"/>
              </w:rPr>
            </w:r>
          </w:p>
        </w:tc>
        <w:tc>
          <w:tcPr>
            <w:tcW w:w="2408"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发送卡，宇视UNV-S4</w:t>
            </w:r>
            <w:r>
              <w:rPr>
                <w:color w:val="auto"/>
                <w:highlight w:val="none"/>
              </w:rPr>
            </w:r>
            <w:r>
              <w:rPr>
                <w:color w:val="auto"/>
                <w:highlight w:val="none"/>
              </w:rPr>
            </w:r>
          </w:p>
        </w:tc>
        <w:tc>
          <w:tcPr>
            <w:tcW w:w="4197"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支持1路HDMI及1路DVI输入，支持千兆网口输出4路或光纤输出4路，支持采用双USB接口实现多卡级联，支持最大带载分辨率：1920×1200，支持分辨率任意设置，支持 HDMI 和 DVI 视频信号输入及 HDMI 信号LOOP 输出，支持音频输入、通过网线同步传输，双USB接口进行数据通讯，方便级联拼接，严格同步，支持亮度和色温调节。</w:t>
            </w:r>
            <w:r>
              <w:rPr>
                <w:color w:val="auto"/>
                <w:highlight w:val="none"/>
              </w:rPr>
            </w:r>
            <w:r>
              <w:rPr>
                <w:color w:val="auto"/>
                <w:highlight w:val="none"/>
              </w:rPr>
            </w:r>
          </w:p>
        </w:tc>
        <w:tc>
          <w:tcPr>
            <w:tcW w:w="709"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6</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73</w:t>
            </w:r>
            <w:r>
              <w:rPr>
                <w:color w:val="auto"/>
                <w:highlight w:val="none"/>
              </w:rPr>
            </w:r>
            <w:r>
              <w:rPr>
                <w:color w:val="auto"/>
                <w:highlight w:val="none"/>
              </w:rPr>
            </w:r>
          </w:p>
        </w:tc>
        <w:tc>
          <w:tcPr>
            <w:tcW w:w="2408"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配电箱，宇视HB-P020</w:t>
            </w:r>
            <w:r>
              <w:rPr>
                <w:color w:val="auto"/>
                <w:highlight w:val="none"/>
              </w:rPr>
            </w:r>
            <w:r>
              <w:rPr>
                <w:color w:val="auto"/>
                <w:highlight w:val="none"/>
              </w:rPr>
            </w:r>
          </w:p>
        </w:tc>
        <w:tc>
          <w:tcPr>
            <w:tcW w:w="4197"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LED20KW配电箱，拥有LED显示屏全智能远程控制系统，可实现对LED智能配电箱的远程设定、控制，内部模块化设计，合理布局，用电安全，具有A/B/C三相独立供电指示灯，方便外部判断设备工作状态，拥有启动、紧急制停按钮，方便异常状态紧急维护使用。</w:t>
            </w:r>
            <w:r>
              <w:rPr>
                <w:color w:val="auto"/>
                <w:highlight w:val="none"/>
              </w:rPr>
            </w:r>
            <w:r>
              <w:rPr>
                <w:color w:val="auto"/>
                <w:highlight w:val="none"/>
              </w:rPr>
            </w:r>
          </w:p>
        </w:tc>
        <w:tc>
          <w:tcPr>
            <w:tcW w:w="709"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74</w:t>
            </w:r>
            <w:r>
              <w:rPr>
                <w:color w:val="auto"/>
                <w:highlight w:val="none"/>
              </w:rPr>
            </w:r>
            <w:r>
              <w:rPr>
                <w:color w:val="auto"/>
                <w:highlight w:val="none"/>
              </w:rPr>
            </w:r>
          </w:p>
        </w:tc>
        <w:tc>
          <w:tcPr>
            <w:tcW w:w="2408"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拼接控制器，宇视DMC5000-4U</w:t>
            </w:r>
            <w:r>
              <w:rPr>
                <w:color w:val="auto"/>
                <w:highlight w:val="none"/>
              </w:rPr>
            </w:r>
            <w:r>
              <w:rPr>
                <w:color w:val="auto"/>
                <w:highlight w:val="none"/>
              </w:rPr>
            </w:r>
          </w:p>
        </w:tc>
        <w:tc>
          <w:tcPr>
            <w:tcW w:w="4197"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4U机箱，最大支持6张输入卡，2张输出卡，本次配置2块4路DVI输出卡、1块4路DVI输入卡，采用自主研发的巨量数据交换芯片技术，高速宽带总线，采用CrossPoint全交叉调度架构高速数据传输技术，底层数据传输由数据调度芯片控制，每路信号独享专用通道进行传输，保证了所有信号图像的完全实时显示，信号显示速度达到60帧/秒，冗余风扇设计，自动温度控制，支持过热保护及过热报警。</w:t>
            </w:r>
            <w:r>
              <w:rPr>
                <w:color w:val="auto"/>
                <w:highlight w:val="none"/>
              </w:rPr>
            </w:r>
            <w:r>
              <w:rPr>
                <w:color w:val="auto"/>
                <w:highlight w:val="none"/>
              </w:rPr>
            </w:r>
          </w:p>
        </w:tc>
        <w:tc>
          <w:tcPr>
            <w:tcW w:w="709"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75</w:t>
            </w:r>
            <w:r>
              <w:rPr>
                <w:color w:val="auto"/>
                <w:highlight w:val="none"/>
              </w:rPr>
            </w:r>
            <w:r>
              <w:rPr>
                <w:color w:val="auto"/>
                <w:highlight w:val="none"/>
              </w:rPr>
            </w:r>
          </w:p>
        </w:tc>
        <w:tc>
          <w:tcPr>
            <w:tcW w:w="2408"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屏体结构</w:t>
            </w:r>
            <w:r>
              <w:rPr>
                <w:color w:val="auto"/>
                <w:highlight w:val="none"/>
              </w:rPr>
            </w:r>
            <w:r>
              <w:rPr>
                <w:color w:val="auto"/>
                <w:highlight w:val="none"/>
              </w:rPr>
            </w:r>
          </w:p>
        </w:tc>
        <w:tc>
          <w:tcPr>
            <w:tcW w:w="4197"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屏体结构面积为20.28平方米，前维护式，框架主结构100×50铸铝方管焊接而成，保证结构的安全性和防腐防锈，分节点 40×40铸铝方管焊接； </w:t>
            </w:r>
            <w:r>
              <w:rPr>
                <w:color w:val="auto"/>
                <w:highlight w:val="none"/>
              </w:rPr>
            </w:r>
            <w:r>
              <w:rPr>
                <w:color w:val="auto"/>
                <w:highlight w:val="none"/>
              </w:rPr>
            </w:r>
          </w:p>
        </w:tc>
        <w:tc>
          <w:tcPr>
            <w:tcW w:w="709"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ind w:right="210"/>
              <w:jc w:val="right"/>
              <w:rPr>
                <w:rFonts w:ascii="宋体" w:hAnsi="宋体"/>
                <w:color w:val="auto"/>
                <w:sz w:val="18"/>
                <w:szCs w:val="18"/>
                <w:highlight w:val="none"/>
              </w:rPr>
            </w:pPr>
            <w:r>
              <w:rPr>
                <w:rFonts w:hint="eastAsia" w:ascii="宋体" w:hAnsi="宋体"/>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76</w:t>
            </w:r>
            <w:r>
              <w:rPr>
                <w:color w:val="auto"/>
                <w:highlight w:val="none"/>
              </w:rPr>
            </w:r>
            <w:r>
              <w:rPr>
                <w:color w:val="auto"/>
                <w:highlight w:val="none"/>
              </w:rPr>
            </w:r>
          </w:p>
        </w:tc>
        <w:tc>
          <w:tcPr>
            <w:tcW w:w="2408"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控制软件，宇视univision</w:t>
            </w:r>
            <w:r>
              <w:rPr>
                <w:color w:val="auto"/>
                <w:highlight w:val="none"/>
              </w:rPr>
            </w:r>
            <w:r>
              <w:rPr>
                <w:color w:val="auto"/>
                <w:highlight w:val="none"/>
              </w:rPr>
            </w:r>
          </w:p>
        </w:tc>
        <w:tc>
          <w:tcPr>
            <w:tcW w:w="4197"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支持显示红、绿、蓝、白、黑、粉、黄、青、网格等图像测试画面，支持检测板卡的在线状态，支持底图设置功能，最大分辨率为65535*65535，可保存不同的预览，最多支持保存128个预案，可通过多个视频输出组合显示任意指定的视频输入图像，单个输出板卡最大支持4个屏幕拼接显示，支持任意一路画面的任意比如缩放、漫游、跨屏、叠加和多窗口拼接。</w:t>
            </w:r>
            <w:r>
              <w:rPr>
                <w:color w:val="auto"/>
                <w:highlight w:val="none"/>
              </w:rPr>
            </w:r>
            <w:r>
              <w:rPr>
                <w:color w:val="auto"/>
                <w:highlight w:val="none"/>
              </w:rPr>
            </w:r>
          </w:p>
        </w:tc>
        <w:tc>
          <w:tcPr>
            <w:tcW w:w="709"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77</w:t>
            </w:r>
            <w:r>
              <w:rPr>
                <w:color w:val="auto"/>
                <w:highlight w:val="none"/>
              </w:rPr>
            </w:r>
            <w:r>
              <w:rPr>
                <w:color w:val="auto"/>
                <w:highlight w:val="none"/>
              </w:rPr>
            </w:r>
          </w:p>
        </w:tc>
        <w:tc>
          <w:tcPr>
            <w:tcW w:w="2408"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L</w:t>
            </w:r>
            <w:r>
              <w:rPr>
                <w:rFonts w:ascii="宋体" w:hAnsi="宋体"/>
                <w:color w:val="auto"/>
                <w:sz w:val="18"/>
                <w:szCs w:val="18"/>
                <w:highlight w:val="none"/>
              </w:rPr>
              <w:t xml:space="preserve">CD</w:t>
            </w:r>
            <w:r>
              <w:rPr>
                <w:rFonts w:hint="eastAsia" w:ascii="宋体" w:hAnsi="宋体"/>
                <w:color w:val="auto"/>
                <w:sz w:val="18"/>
                <w:szCs w:val="18"/>
                <w:highlight w:val="none"/>
              </w:rPr>
              <w:t xml:space="preserve">拼接屏，博睿BR-SLCD46</w:t>
            </w:r>
            <w:r>
              <w:rPr>
                <w:color w:val="auto"/>
                <w:highlight w:val="none"/>
              </w:rPr>
            </w:r>
            <w:r>
              <w:rPr>
                <w:color w:val="auto"/>
                <w:highlight w:val="none"/>
              </w:rPr>
            </w:r>
          </w:p>
        </w:tc>
        <w:tc>
          <w:tcPr>
            <w:tcW w:w="4197"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尺寸：46寸，分辨率：WUXGA 1920x1080，面</w:t>
            </w:r>
            <w:r>
              <w:rPr>
                <w:rFonts w:hint="eastAsia" w:ascii="宋体" w:hAnsi="宋体"/>
                <w:color w:val="auto"/>
                <w:sz w:val="18"/>
                <w:szCs w:val="18"/>
                <w:highlight w:val="none"/>
              </w:rPr>
              <w:t xml:space="preserve">板技术：S-PVA，背光源：LED背光（直下式），面积(mm) ：1021.98(W) x 576.7(H)，点距:(mm)≤0.55，工作分辨率：1920 x 1080p (向下兼容)，色彩数:≥ 16.5 M，色彩饱和度: ≥ 70%，对比度: ≥ 3500:1，亮度: (cd/m2) ≥ 500 ，响应时间:(ms) ≤8，视角：≥160°(水平)/ 160°(垂直)，显示单元内置HDMI拼接处理器，独特的嵌入式结构设计，支持365天24小时不间断工作，具有信号加强功能，色彩无偏差，温控风扇低音降噪。</w:t>
            </w:r>
            <w:r>
              <w:rPr>
                <w:color w:val="auto"/>
                <w:highlight w:val="none"/>
              </w:rPr>
            </w:r>
            <w:r>
              <w:rPr>
                <w:color w:val="auto"/>
                <w:highlight w:val="none"/>
              </w:rPr>
            </w:r>
          </w:p>
        </w:tc>
        <w:tc>
          <w:tcPr>
            <w:tcW w:w="709"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9</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78</w:t>
            </w:r>
            <w:r>
              <w:rPr>
                <w:color w:val="auto"/>
                <w:highlight w:val="none"/>
              </w:rPr>
            </w:r>
            <w:r>
              <w:rPr>
                <w:color w:val="auto"/>
                <w:highlight w:val="none"/>
              </w:rPr>
            </w:r>
          </w:p>
        </w:tc>
        <w:tc>
          <w:tcPr>
            <w:tcW w:w="2408"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图像处理器，毛硕MS-0412H</w:t>
            </w:r>
            <w:r>
              <w:rPr>
                <w:color w:val="auto"/>
                <w:highlight w:val="none"/>
              </w:rPr>
            </w:r>
            <w:r>
              <w:rPr>
                <w:color w:val="auto"/>
                <w:highlight w:val="none"/>
              </w:rPr>
            </w:r>
          </w:p>
        </w:tc>
        <w:tc>
          <w:tcPr>
            <w:tcW w:w="4197"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增 益0 dB，带 宽350MHz (-3dB),满载，信号强度1V p-p ：Y成分视频、S-video，复合视频，接 口HD母接口，视频制式 NTSC3.58，NTSC4.43，PAL，SECAM，输入/输出信号类型HDMI，最大传输延时水平：90ns 垂直：160ns。</w:t>
            </w:r>
            <w:r>
              <w:rPr>
                <w:color w:val="auto"/>
                <w:highlight w:val="none"/>
              </w:rPr>
            </w:r>
            <w:r>
              <w:rPr>
                <w:color w:val="auto"/>
                <w:highlight w:val="none"/>
              </w:rPr>
            </w:r>
          </w:p>
        </w:tc>
        <w:tc>
          <w:tcPr>
            <w:tcW w:w="709"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79</w:t>
            </w:r>
            <w:r>
              <w:rPr>
                <w:color w:val="auto"/>
                <w:highlight w:val="none"/>
              </w:rPr>
            </w:r>
            <w:r>
              <w:rPr>
                <w:color w:val="auto"/>
                <w:highlight w:val="none"/>
              </w:rPr>
            </w:r>
          </w:p>
        </w:tc>
        <w:tc>
          <w:tcPr>
            <w:tcW w:w="2408"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拼接屏控制软件，博睿BR-WallControl</w:t>
            </w:r>
            <w:r>
              <w:rPr>
                <w:color w:val="auto"/>
                <w:highlight w:val="none"/>
              </w:rPr>
            </w:r>
            <w:r>
              <w:rPr>
                <w:color w:val="auto"/>
                <w:highlight w:val="none"/>
              </w:rPr>
            </w:r>
          </w:p>
        </w:tc>
        <w:tc>
          <w:tcPr>
            <w:tcW w:w="4197"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信号源的定义、调度和管理：在主界面的显示框，具有所有可以在显示墙上显示的信号源，可以在该界面内选取信号并画在虚拟屏界面内，联动控制矩阵切换器：支持硬件设备控制模块插件，可不断扩充系统功能，通过在设置菜单中的矩阵设置选项或在工具条上的矩阵设置按钮进入矩阵设置界面等。</w:t>
            </w:r>
            <w:r>
              <w:rPr>
                <w:color w:val="auto"/>
                <w:highlight w:val="none"/>
              </w:rPr>
            </w:r>
            <w:r>
              <w:rPr>
                <w:color w:val="auto"/>
                <w:highlight w:val="none"/>
              </w:rPr>
            </w:r>
          </w:p>
        </w:tc>
        <w:tc>
          <w:tcPr>
            <w:tcW w:w="709"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80</w:t>
            </w:r>
            <w:r>
              <w:rPr>
                <w:color w:val="auto"/>
                <w:highlight w:val="none"/>
              </w:rPr>
            </w:r>
            <w:r>
              <w:rPr>
                <w:color w:val="auto"/>
                <w:highlight w:val="none"/>
              </w:rPr>
            </w:r>
          </w:p>
        </w:tc>
        <w:tc>
          <w:tcPr>
            <w:tcW w:w="2408"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大屏落地支架</w:t>
            </w:r>
            <w:r>
              <w:rPr>
                <w:color w:val="auto"/>
                <w:highlight w:val="none"/>
              </w:rPr>
            </w:r>
            <w:r>
              <w:rPr>
                <w:color w:val="auto"/>
                <w:highlight w:val="none"/>
              </w:rPr>
            </w:r>
          </w:p>
        </w:tc>
        <w:tc>
          <w:tcPr>
            <w:tcW w:w="4197" w:type="dxa"/>
            <w:vAlign w:val="center"/>
            <w:textDirection w:val="lrTb"/>
            <w:noWrap w:val="false"/>
          </w:tcPr>
          <w:p>
            <w:pPr>
              <w:pStyle w:val="808"/>
              <w:rPr>
                <w:rFonts w:ascii="宋体" w:hAnsi="宋体"/>
                <w:color w:val="auto"/>
                <w:sz w:val="18"/>
                <w:szCs w:val="18"/>
                <w:highlight w:val="none"/>
              </w:rPr>
            </w:pPr>
            <w:r>
              <w:rPr>
                <w:rFonts w:ascii="宋体" w:hAnsi="宋体"/>
                <w:color w:val="auto"/>
                <w:sz w:val="18"/>
                <w:szCs w:val="18"/>
                <w:highlight w:val="none"/>
              </w:rPr>
              <w:t xml:space="preserve">46寸超窄边液晶单元</w:t>
            </w:r>
            <w:r>
              <w:rPr>
                <w:rFonts w:hint="eastAsia" w:ascii="宋体" w:hAnsi="宋体"/>
                <w:color w:val="auto"/>
                <w:sz w:val="18"/>
                <w:szCs w:val="18"/>
                <w:highlight w:val="none"/>
              </w:rPr>
              <w:t xml:space="preserve">专用机柜式支架</w:t>
            </w:r>
            <w:r>
              <w:rPr>
                <w:color w:val="auto"/>
                <w:highlight w:val="none"/>
              </w:rPr>
            </w:r>
            <w:r>
              <w:rPr>
                <w:color w:val="auto"/>
                <w:highlight w:val="none"/>
              </w:rPr>
            </w:r>
          </w:p>
        </w:tc>
        <w:tc>
          <w:tcPr>
            <w:tcW w:w="709"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9</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81</w:t>
            </w:r>
            <w:r>
              <w:rPr>
                <w:color w:val="auto"/>
                <w:highlight w:val="none"/>
              </w:rPr>
            </w:r>
            <w:r>
              <w:rPr>
                <w:color w:val="auto"/>
                <w:highlight w:val="none"/>
              </w:rPr>
            </w:r>
          </w:p>
        </w:tc>
        <w:tc>
          <w:tcPr>
            <w:tcW w:w="2408"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天花喇叭，光歌GS-182T</w:t>
            </w:r>
            <w:r>
              <w:rPr>
                <w:color w:val="auto"/>
                <w:highlight w:val="none"/>
              </w:rPr>
            </w:r>
            <w:r>
              <w:rPr>
                <w:color w:val="auto"/>
                <w:highlight w:val="none"/>
              </w:rPr>
            </w:r>
          </w:p>
        </w:tc>
        <w:tc>
          <w:tcPr>
            <w:tcW w:w="4197"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天花扬声器，同轴喇叭，带金属后罩，定压和定阻两种使用方式，额定功率（定压）：60W/30W/15W/7.5W，100V/70V，额定功率（定阻）：80W，8Ω，喇叭单元：8"同轴，输入灵敏度（1m,1W）：92dB，频率响应：55-20kHz。</w:t>
            </w:r>
            <w:r>
              <w:rPr>
                <w:color w:val="auto"/>
                <w:highlight w:val="none"/>
              </w:rPr>
            </w:r>
            <w:r>
              <w:rPr>
                <w:color w:val="auto"/>
                <w:highlight w:val="none"/>
              </w:rPr>
            </w:r>
          </w:p>
        </w:tc>
        <w:tc>
          <w:tcPr>
            <w:tcW w:w="709"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4</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82</w:t>
            </w:r>
            <w:r>
              <w:rPr>
                <w:color w:val="auto"/>
                <w:highlight w:val="none"/>
              </w:rPr>
            </w:r>
            <w:r>
              <w:rPr>
                <w:color w:val="auto"/>
                <w:highlight w:val="none"/>
              </w:rPr>
            </w:r>
          </w:p>
        </w:tc>
        <w:tc>
          <w:tcPr>
            <w:tcW w:w="2408"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双通道功放，舞皇H-250</w:t>
            </w:r>
            <w:r>
              <w:rPr>
                <w:color w:val="auto"/>
                <w:highlight w:val="none"/>
              </w:rPr>
            </w:r>
            <w:r>
              <w:rPr>
                <w:color w:val="auto"/>
                <w:highlight w:val="none"/>
              </w:rPr>
            </w:r>
          </w:p>
        </w:tc>
        <w:tc>
          <w:tcPr>
            <w:tcW w:w="4197"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频率响应 20Hz－20kHz，阻尼系数  ≧440@1KHZ ，输入阻抗 20KΩ（平衡）10KΩ（非平衡），输入灵敏度 0.775V/1.0V/ 1.55V ，总谐波失真(THD)  &lt;0.01% 20Hz－20kHz ，信噪比≥110dB，转换速度  &gt;40/us。，                         </w:t>
            </w:r>
            <w:r>
              <w:rPr>
                <w:color w:val="auto"/>
                <w:highlight w:val="none"/>
              </w:rPr>
            </w:r>
            <w:r>
              <w:rPr>
                <w:color w:val="auto"/>
                <w:highlight w:val="none"/>
              </w:rPr>
            </w:r>
          </w:p>
        </w:tc>
        <w:tc>
          <w:tcPr>
            <w:tcW w:w="709"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A类服务要求</w:t>
            </w:r>
            <w:r>
              <w:rPr>
                <w:color w:val="auto"/>
                <w:highlight w:val="none"/>
              </w:rPr>
            </w:r>
            <w:r>
              <w:rPr>
                <w:color w:val="auto"/>
                <w:highlight w:val="none"/>
              </w:rPr>
            </w:r>
          </w:p>
        </w:tc>
      </w:tr>
      <w:tr>
        <w:trPr>
          <w:trHeight w:val="20"/>
        </w:trPr>
        <w:tc>
          <w:tcPr>
            <w:tcW w:w="625"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83</w:t>
            </w:r>
            <w:r>
              <w:rPr>
                <w:color w:val="auto"/>
                <w:highlight w:val="none"/>
              </w:rPr>
            </w:r>
            <w:r>
              <w:rPr>
                <w:color w:val="auto"/>
                <w:highlight w:val="none"/>
              </w:rPr>
            </w:r>
          </w:p>
        </w:tc>
        <w:tc>
          <w:tcPr>
            <w:tcW w:w="2408"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反馈抑制器，光歌GA-3015B</w:t>
            </w:r>
            <w:r>
              <w:rPr>
                <w:color w:val="auto"/>
                <w:highlight w:val="none"/>
              </w:rPr>
            </w:r>
            <w:r>
              <w:rPr>
                <w:color w:val="auto"/>
                <w:highlight w:val="none"/>
              </w:rPr>
            </w:r>
          </w:p>
        </w:tc>
        <w:tc>
          <w:tcPr>
            <w:tcW w:w="4197" w:type="dxa"/>
            <w:vAlign w:val="center"/>
            <w:textDirection w:val="lrTb"/>
            <w:noWrap w:val="false"/>
          </w:tcPr>
          <w:p>
            <w:pPr>
              <w:pStyle w:val="808"/>
              <w:rPr>
                <w:rFonts w:ascii="宋体" w:hAnsi="宋体"/>
                <w:color w:val="auto"/>
                <w:sz w:val="18"/>
                <w:szCs w:val="18"/>
                <w:highlight w:val="none"/>
              </w:rPr>
            </w:pPr>
            <w:r>
              <w:rPr>
                <w:rFonts w:hint="eastAsia" w:ascii="宋体" w:hAnsi="宋体"/>
                <w:color w:val="auto"/>
                <w:sz w:val="18"/>
                <w:szCs w:val="18"/>
                <w:highlight w:val="none"/>
              </w:rPr>
              <w:t xml:space="preserve">输入接口，TRS：2个TRS标准座，XLR：2个XLR平衡音频输入；输出接口：TRS：2个TRS标准座，XLR：2个XLR平衡音频输入；频率范围：20Hz~20kHz（≤±0.5dB），动态范围： ≥110dB（A），反馈抑制时间：≤0.4s@1KHz，陷波器增益：最大-48dB。</w:t>
            </w:r>
            <w:r>
              <w:rPr>
                <w:color w:val="auto"/>
                <w:highlight w:val="none"/>
              </w:rPr>
            </w:r>
            <w:r>
              <w:rPr>
                <w:color w:val="auto"/>
                <w:highlight w:val="none"/>
              </w:rPr>
            </w:r>
          </w:p>
        </w:tc>
        <w:tc>
          <w:tcPr>
            <w:tcW w:w="709"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1411" w:type="dxa"/>
            <w:vAlign w:val="center"/>
            <w:textDirection w:val="lrTb"/>
            <w:noWrap w:val="false"/>
          </w:tcPr>
          <w:p>
            <w:pPr>
              <w:pStyle w:val="808"/>
              <w:jc w:val="center"/>
              <w:rPr>
                <w:rFonts w:ascii="宋体" w:hAnsi="宋体"/>
                <w:color w:val="auto"/>
                <w:sz w:val="18"/>
                <w:szCs w:val="18"/>
                <w:highlight w:val="none"/>
              </w:rPr>
            </w:pPr>
            <w:r>
              <w:rPr>
                <w:rFonts w:hint="eastAsia" w:ascii="宋体" w:hAnsi="宋体"/>
                <w:color w:val="auto"/>
                <w:sz w:val="18"/>
                <w:szCs w:val="18"/>
                <w:highlight w:val="none"/>
              </w:rPr>
              <w:t xml:space="preserve">A类服务要求</w:t>
            </w:r>
            <w:r>
              <w:rPr>
                <w:color w:val="auto"/>
                <w:highlight w:val="none"/>
              </w:rPr>
            </w:r>
            <w:r>
              <w:rPr>
                <w:color w:val="auto"/>
                <w:highlight w:val="none"/>
              </w:rPr>
            </w:r>
          </w:p>
        </w:tc>
      </w:tr>
    </w:tbl>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A类服务要求：运维服务要求为A类的设备，由运维单位</w:t>
      </w:r>
      <w:r>
        <w:rPr>
          <w:rFonts w:hint="eastAsia" w:ascii="宋体" w:hAnsi="宋体"/>
          <w:bCs/>
          <w:color w:val="auto"/>
          <w:sz w:val="24"/>
          <w:szCs w:val="24"/>
          <w:highlight w:val="none"/>
        </w:rPr>
        <w:t xml:space="preserve">（即中标单位）</w:t>
      </w:r>
      <w:r>
        <w:rPr>
          <w:rFonts w:hint="eastAsia" w:ascii="宋体" w:hAnsi="宋体"/>
          <w:bCs/>
          <w:color w:val="auto"/>
          <w:sz w:val="24"/>
          <w:szCs w:val="24"/>
          <w:highlight w:val="none"/>
        </w:rPr>
        <w:t xml:space="preserve">提供运维期内的设备维护管理、故障维修、耗材更换，维修、耗材等相关费用均由运维单位承担。如出现设备故障无法修复的情况，运维单位在24小时内提供同等参数的设备进行更换，设备更换费用由运维单位承担。</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B类服务要求：运维服务要求为B类的设备，因涉及核心业务系统的稳定运行及网络安全，运维单位需购买原厂维保服务，服务中需包含硬件维保、软件升级及特征库升级等服务。如出现设备故障无法修复的情况，运维单位在24小时内提供同等参数的设备进行更换，设备更换费用由运维单位承担。</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C类服务要求：运维服务要求为C类的设备，运维单位提供运维期内的设备维护管理、故障修复。</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计算资源运维要求</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驻场工程师每天对PC服务器运行状态进行检查，确保设备处于稳定运行状态，检查系统错误记录，排除潜在隐患，以确保业务系统能正常稳定运行。</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检查的主要内容包括：</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（1）主机系统硬件各部分检查，实时监控主机电源、风扇的使用情况及主机机箱内部温度，监控主机网卡、阵列卡等硬件状态。定期进行RAID一致性校验，防止潜在的硬盘故障；</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（2）操作系统的检查；</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（3）系统性能检查及优化：CPU 性能、内存使用情况、硬盘运行状态、硬盘利用情况、系统进程、主机性能、文件系统、主机HA运行状况；</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（4）对服务器网络端口进行检查，确保服务器处于在线运行状态；</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（5）定期对服务器密码进行更改，至少为每半年一次；</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（6）对设备运行整体性能检查和评估，提出优化建议；</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（7）完成采购单位布置的关于国产替代的相关工作。</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存储资源运维要求</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驻场工程师每天对存储运行状态进行检查，确保设备处于稳定运行状态，检查系统错误记录，排除潜在隐患，以确保业务系统能正常稳定运行。</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检查的主要内容包括：</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（1）主机系统硬件各部分检查，实时监控主机电源、风扇的使用情况及主机机箱内部温度，监控控制器、硬盘、主机接口等硬件状态。定期进行RAID一致性校验，防止潜在的硬盘故障；</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（2）存储操作系统的检查；</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（3）系统性能检查及优化：CPU 性能、缓存使用情况、硬盘运行状态、硬盘利用情况、系统进程、主机性能、文件系统、主机HA运行状况； </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（4）监控记录存储设备及相关联的光纤交换机的设备状态、端口状态、传输速度，以及存储的性能（如高速缓存、光纤通道等）；</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（5）对设备运行整体性能检查和评估，提出优化建议，并完成存储性能优化工作；</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（6）定期对系统环境、数据库进行备份，备份工作与“感知环境、智慧环保”无锡环境监控物联网应用示范工程（一期）软件运行维护单位共同完成，按要求进行备份数据校验。</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（7）按照用户要求对存储空间进行划分，根据实际情况进行调整，按照客户要求完成相关的数据迁移工作；</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（8）完成采购单位布置的关于国产替代的相关工作。</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网络资源运维要求</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驻场工程师每天对网络设备运行状态进行检查，确保设备处于稳定运行状态，检查系统错误记录，排除潜在隐患，以确保业务系统能正常稳定运行；对现有运营商接入的因特网、政务外网、环保专网、VPN专网、APN专网、机动车尾气专网等网络及新增网络的接入进行维护，保证网络及接入设备正常稳定运行，出现问题及时报运营商维修。</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（1）对设备进行全面检测，包括硬件运行状态（如电源、风扇、模块等）、系统运行状态（如交换机的端口是否可以正常使用，网络的转发和路由是否正常进行、交换机的性能检测等）、日志检查等；</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提供机房和办公环境的网络布局、网络接入和故障排除服务。包括：网络环境布局的设计，网络接入服务及相关设备的安装调试服务，提供IP地址的分配、配置服务等；确保内外网按要求隔离，杜绝相关设备内外网混接；</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（3）对网络进行整体性能评估，针对网络的利用率进行优化并提出网络扩容和优化的建议；</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（4）按要求对网络设置配置策略进行调整，进行相关工作网络的整合调整，保障各工作专网集约化利用；</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（5）定期对网络设备密码进行更改，至少为每半年一次；</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（6）完成采购单位布置的关于国产替代的相关工作。</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网络安全运维要求</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驻场工程师每天对网络安全设备运行状态进行检查，确保设备处于稳定运行状态，检查系统错误记录，排除潜在隐患，以确保业务系统能正常稳定运行。</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（1）对设备进行全面排查，包括安全设备的日常运行状态的监控，对各种安全设备的日志检查，对重点事件进行记录等；</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（2）根据用户要求对网络安全设备策略进行调整，确保网络安全策略下发到位并生效，定期对网络安全设备端口设置情况进行查看，确保端口访问处于安全可控状态；</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（3）对防病毒网关、入侵防御系统、网站防护特征库定期进行升级，至少为每周一次；</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（4）对计算机系统中的各类防病毒软件特征库定期进行升级，至少为每周一次；</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（5）定期对网络安全设备密码进行更改，至少为每半年一次；</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（6）根据各类安全护网行动结果，配合甲方敦促安全漏洞的整改工作。</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2.1.5</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视频会议系统运维要求</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驻场工程师定期对视频会议系统设备运行状态进行检查，确保设备处于完好状态，排除潜在隐患，以确保视频会议系统在使用时能够稳定运行</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（1）购买相应的MCU系统升级服务，确保MCU系统为最新版本，保证视频会议系统稳定运行。</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（2）对视频会议系统进行定检查和日常维护，确保相关设备稳定运行，负责视频会议的保障工作，排除在会议中发生的系统故障。</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（3）完成各级视频会议的联调联试，部署调试应急指挥中心、市级视频会议会场等地的视频、音频等环境。</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（4）配合并指导市局各派出机构做好视频会议运维工作。</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2.1.6</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音视频系统设备运维要求</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驻场工程师定期对音视频系统设备运行状态进行检查，确保设备处于完好状态，排除潜在隐患，以确保音视频系统设备在使用时能够稳定运行</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（1）对音视频系统设备进行检查和日常维护，确保相关设备稳定运行，负责音视频系统的保障工作，排除在会议中发生的系统故障。</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（2）对当前使用的小间距LED大屏进行日常检查维护，及时发现屏幕坏点、毛刺、模组故障，及时将模组进行返厂维修，保证大屏的正常使用。</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2.1.7</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虚拟化平台运维要求</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驻场工程师每天对虚拟化系统运行状态进行检查，检查系统错误记录，排除潜在隐患，确保系统运行处于稳定运行状态。</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（1）对系统进行全面检查，包括系统运行状态的监控，对各种系统日志进行检查，及时发现系统报错等情况；</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（2）根据客户要求完成虚拟化平台的资源调配，按业务要求划分虚拟化及数据库资源池，并根据实际运行情况实时调整；</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（3）根据微软及安全厂商发布的系统漏洞说明，对虚拟化平台运行的操作系统进行补丁升级，确保系统处于较高的安全状态。</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（4）采用技术手段对虚拟化平台进行扫描，确保系统中无未知威胁、病毒、木马存在，提供一个高效可靠的平台。</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2.1.8</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相关系统软件运维要求</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各操作系统及相关HA软件（如HACMP）健康检查，对系统软硬件运行日志进行分析，以保证其稳定运行；对数据库系统、备份系统、中间件系统进行健康检查，定期或不定期的收集运行日志并进行分析，提出故障排除方案并解决，根据系统的运行状况适时进行性。</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2.1.9</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机房环境运维要求</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每天对机房环境进行检查，对机房温度、湿度进行检查，确保机房温湿度处于合理的范围内，机房无漏水发生，对精密空调、每天对精密空调、UPS等关键机房设备进行检查，及时处理各类问题，设备故障及时报相关运维单位修复，协调精密空调、UPS等设备的故障维修；运维单位应确保UPS系统满载供电时间不低于2小时，在运维期内如UPS供电时间低于2小时，运维单位应免费更换UPS电池。</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政务云资源服务</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（1）根据无锡市政府集约化建设要求，生态环境局从2021年开始就逐步将业务系统迁移至政务云上，需要对资源台账进行变更，同时根据资源变更完成相应的配置变更（如：地址映射变更、堡垒机配置变更等）</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（2）根据《无锡市政务云平台管理办法》，配合完成上云计划的制定和云资源的申请，建立政务云资源台账，负责云资源的维护、管理和应急保障，确保云资源安全高效实用。</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（3）与相关软件运维单位共同梳理已建、在建信息系统的建设、运维和使用情况，配合制定集约迁移上云工作计划，做好迁移过程中的各项协调保障及应急响应工作。</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（4）完成采购单位布置的关于国产替代的相关工作。</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办公终端运维</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（1）对市生态环境局局机关计算机、便携式计算机、打印机、一体机进行定期点检和日常维护，保障终端设备稳定运行，负责软件故障修复，负责硬件故障的及时报修；</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（2）完成各业务系统对终端所需的操作系统、办公系统和浏览器等环境的部署，完成相应插件、设备驱动的安装，完成终端各业务网络的连通，使之达到可用状态；</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（3）对计算机、便携式计算机进行定期杀毒及补丁安装，按要求安装使用各类安全软件；</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（4）完成采购单位布置的关于国产替代的相关工作。</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安全软件授权延期</w:t>
      </w:r>
      <w:r>
        <w:rPr>
          <w:color w:val="auto"/>
          <w:highlight w:val="none"/>
        </w:rPr>
      </w:r>
      <w:r>
        <w:rPr>
          <w:color w:val="auto"/>
          <w:highlight w:val="none"/>
        </w:rPr>
      </w:r>
    </w:p>
    <w:tbl>
      <w:tblPr>
        <w:tblW w:w="92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993"/>
        <w:gridCol w:w="6378"/>
        <w:gridCol w:w="1146"/>
      </w:tblGrid>
      <w:tr>
        <w:trPr/>
        <w:tc>
          <w:tcPr>
            <w:tcW w:w="698" w:type="dxa"/>
            <w:vAlign w:val="center"/>
            <w:textDirection w:val="lrTb"/>
            <w:noWrap w:val="false"/>
          </w:tcPr>
          <w:p>
            <w:pPr>
              <w:pStyle w:val="808"/>
              <w:jc w:val="center"/>
              <w:widowControl/>
              <w:rPr>
                <w:rFonts w:ascii="宋体" w:hAnsi="宋体"/>
                <w:b/>
                <w:color w:val="auto"/>
                <w:sz w:val="18"/>
                <w:szCs w:val="18"/>
                <w:highlight w:val="none"/>
              </w:rPr>
            </w:pPr>
            <w:r>
              <w:rPr>
                <w:rFonts w:hint="eastAsia" w:ascii="宋体" w:hAnsi="宋体"/>
                <w:b/>
                <w:color w:val="auto"/>
                <w:sz w:val="18"/>
                <w:szCs w:val="18"/>
                <w:highlight w:val="none"/>
              </w:rPr>
              <w:t xml:space="preserve">序号</w:t>
            </w:r>
            <w:r>
              <w:rPr>
                <w:color w:val="auto"/>
                <w:highlight w:val="none"/>
              </w:rPr>
            </w:r>
            <w:r>
              <w:rPr>
                <w:color w:val="auto"/>
                <w:highlight w:val="none"/>
              </w:rPr>
            </w:r>
          </w:p>
        </w:tc>
        <w:tc>
          <w:tcPr>
            <w:tcW w:w="993" w:type="dxa"/>
            <w:vAlign w:val="center"/>
            <w:textDirection w:val="lrTb"/>
            <w:noWrap w:val="false"/>
          </w:tcPr>
          <w:p>
            <w:pPr>
              <w:pStyle w:val="808"/>
              <w:jc w:val="center"/>
              <w:widowControl/>
              <w:rPr>
                <w:rFonts w:ascii="宋体" w:hAnsi="宋体"/>
                <w:b/>
                <w:color w:val="auto"/>
                <w:sz w:val="18"/>
                <w:szCs w:val="18"/>
                <w:highlight w:val="none"/>
              </w:rPr>
            </w:pPr>
            <w:r>
              <w:rPr>
                <w:rFonts w:hint="eastAsia" w:ascii="宋体" w:hAnsi="宋体"/>
                <w:b/>
                <w:color w:val="auto"/>
                <w:sz w:val="18"/>
                <w:szCs w:val="18"/>
                <w:highlight w:val="none"/>
              </w:rPr>
              <w:t xml:space="preserve">类别</w:t>
            </w:r>
            <w:r>
              <w:rPr>
                <w:color w:val="auto"/>
                <w:highlight w:val="none"/>
              </w:rPr>
            </w:r>
            <w:r>
              <w:rPr>
                <w:color w:val="auto"/>
                <w:highlight w:val="none"/>
              </w:rPr>
            </w:r>
          </w:p>
        </w:tc>
        <w:tc>
          <w:tcPr>
            <w:tcW w:w="6378" w:type="dxa"/>
            <w:vAlign w:val="center"/>
            <w:textDirection w:val="lrTb"/>
            <w:noWrap w:val="false"/>
          </w:tcPr>
          <w:p>
            <w:pPr>
              <w:pStyle w:val="808"/>
              <w:jc w:val="center"/>
              <w:rPr>
                <w:rFonts w:ascii="宋体" w:hAnsi="宋体"/>
                <w:b/>
                <w:color w:val="auto"/>
                <w:sz w:val="18"/>
                <w:szCs w:val="18"/>
                <w:highlight w:val="none"/>
              </w:rPr>
            </w:pPr>
            <w:r>
              <w:rPr>
                <w:rFonts w:hint="eastAsia" w:ascii="宋体" w:hAnsi="宋体"/>
                <w:b/>
                <w:color w:val="auto"/>
                <w:sz w:val="18"/>
                <w:szCs w:val="18"/>
                <w:highlight w:val="none"/>
              </w:rPr>
              <w:t xml:space="preserve">明细</w:t>
            </w:r>
            <w:r>
              <w:rPr>
                <w:color w:val="auto"/>
                <w:highlight w:val="none"/>
              </w:rPr>
            </w:r>
            <w:r>
              <w:rPr>
                <w:color w:val="auto"/>
                <w:highlight w:val="none"/>
              </w:rPr>
            </w:r>
          </w:p>
        </w:tc>
        <w:tc>
          <w:tcPr>
            <w:tcW w:w="1146" w:type="dxa"/>
            <w:vAlign w:val="center"/>
            <w:textDirection w:val="lrTb"/>
            <w:noWrap w:val="false"/>
          </w:tcPr>
          <w:p>
            <w:pPr>
              <w:pStyle w:val="808"/>
              <w:jc w:val="center"/>
              <w:rPr>
                <w:rFonts w:ascii="宋体" w:hAnsi="宋体"/>
                <w:b/>
                <w:bCs/>
                <w:color w:val="auto"/>
                <w:sz w:val="18"/>
                <w:szCs w:val="18"/>
                <w:highlight w:val="none"/>
              </w:rPr>
            </w:pPr>
            <w:r>
              <w:rPr>
                <w:rFonts w:hint="eastAsia" w:ascii="宋体" w:hAnsi="宋体"/>
                <w:b/>
                <w:bCs/>
                <w:color w:val="auto"/>
                <w:sz w:val="18"/>
                <w:szCs w:val="18"/>
                <w:highlight w:val="none"/>
              </w:rPr>
              <w:t xml:space="preserve">需求</w:t>
            </w:r>
            <w:r>
              <w:rPr>
                <w:color w:val="auto"/>
                <w:highlight w:val="none"/>
              </w:rPr>
            </w:r>
            <w:r>
              <w:rPr>
                <w:color w:val="auto"/>
                <w:highlight w:val="none"/>
              </w:rPr>
            </w:r>
          </w:p>
        </w:tc>
      </w:tr>
      <w:tr>
        <w:trPr/>
        <w:tc>
          <w:tcPr>
            <w:tcW w:w="698"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1</w:t>
            </w:r>
            <w:r>
              <w:rPr>
                <w:color w:val="auto"/>
                <w:highlight w:val="none"/>
              </w:rPr>
            </w:r>
            <w:r>
              <w:rPr>
                <w:color w:val="auto"/>
                <w:highlight w:val="none"/>
              </w:rPr>
            </w:r>
          </w:p>
        </w:tc>
        <w:tc>
          <w:tcPr>
            <w:tcW w:w="993"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杀毒软件</w:t>
            </w:r>
            <w:r>
              <w:rPr>
                <w:color w:val="auto"/>
                <w:highlight w:val="none"/>
              </w:rPr>
            </w:r>
            <w:r>
              <w:rPr>
                <w:color w:val="auto"/>
                <w:highlight w:val="none"/>
              </w:rPr>
            </w:r>
          </w:p>
        </w:tc>
        <w:tc>
          <w:tcPr>
            <w:tcW w:w="6378" w:type="dxa"/>
            <w:vAlign w:val="center"/>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现有卡巴斯基服务器端防病毒软件XES标准版，150个服务器端授权延期1年</w:t>
            </w:r>
            <w:r>
              <w:rPr>
                <w:color w:val="auto"/>
                <w:highlight w:val="none"/>
              </w:rPr>
            </w:r>
            <w:r>
              <w:rPr>
                <w:color w:val="auto"/>
                <w:highlight w:val="none"/>
              </w:rPr>
            </w:r>
          </w:p>
        </w:tc>
        <w:tc>
          <w:tcPr>
            <w:tcW w:w="1146"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授权延期</w:t>
            </w:r>
            <w:r>
              <w:rPr>
                <w:color w:val="auto"/>
                <w:highlight w:val="none"/>
              </w:rPr>
            </w:r>
            <w:r>
              <w:rPr>
                <w:color w:val="auto"/>
                <w:highlight w:val="none"/>
              </w:rPr>
            </w:r>
          </w:p>
        </w:tc>
      </w:tr>
      <w:tr>
        <w:trPr/>
        <w:tc>
          <w:tcPr>
            <w:tcW w:w="698"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2</w:t>
            </w:r>
            <w:r>
              <w:rPr>
                <w:color w:val="auto"/>
                <w:highlight w:val="none"/>
              </w:rPr>
            </w:r>
            <w:r>
              <w:rPr>
                <w:color w:val="auto"/>
                <w:highlight w:val="none"/>
              </w:rPr>
            </w:r>
          </w:p>
        </w:tc>
        <w:tc>
          <w:tcPr>
            <w:tcW w:w="993" w:type="dxa"/>
            <w:vAlign w:val="center"/>
            <w:textDirection w:val="lrTb"/>
            <w:noWrap w:val="false"/>
          </w:tcPr>
          <w:p>
            <w:pPr>
              <w:pStyle w:val="808"/>
              <w:jc w:val="center"/>
              <w:widowControl/>
              <w:rPr>
                <w:rFonts w:ascii="宋体" w:hAnsi="宋体"/>
                <w:color w:val="auto"/>
                <w:sz w:val="18"/>
                <w:szCs w:val="18"/>
                <w:highlight w:val="none"/>
              </w:rPr>
            </w:pPr>
            <w:r>
              <w:rPr>
                <w:rFonts w:hint="eastAsia" w:ascii="宋体" w:hAnsi="宋体"/>
                <w:color w:val="auto"/>
                <w:sz w:val="18"/>
                <w:szCs w:val="18"/>
                <w:highlight w:val="none"/>
              </w:rPr>
              <w:t xml:space="preserve">安全运维软件</w:t>
            </w:r>
            <w:r>
              <w:rPr>
                <w:color w:val="auto"/>
                <w:highlight w:val="none"/>
              </w:rPr>
            </w:r>
            <w:r>
              <w:rPr>
                <w:color w:val="auto"/>
                <w:highlight w:val="none"/>
              </w:rPr>
            </w:r>
          </w:p>
        </w:tc>
        <w:tc>
          <w:tcPr>
            <w:tcW w:w="6378" w:type="dxa"/>
            <w:vAlign w:val="center"/>
            <w:textDirection w:val="lrTb"/>
            <w:noWrap w:val="false"/>
          </w:tcPr>
          <w:p>
            <w:pPr>
              <w:pStyle w:val="808"/>
              <w:jc w:val="left"/>
              <w:rPr>
                <w:rFonts w:ascii="宋体" w:hAnsi="宋体"/>
                <w:color w:val="auto"/>
                <w:sz w:val="18"/>
                <w:szCs w:val="18"/>
                <w:highlight w:val="none"/>
              </w:rPr>
            </w:pPr>
            <w:r>
              <w:rPr>
                <w:rFonts w:hint="eastAsia" w:ascii="宋体" w:hAnsi="宋体"/>
                <w:color w:val="auto"/>
                <w:sz w:val="18"/>
                <w:szCs w:val="18"/>
                <w:highlight w:val="none"/>
              </w:rPr>
              <w:t xml:space="preserve">现有Desktop Central安全运维软件，满足系统补丁分发、软件分发、升级需要，150个服务器端授权延期1年</w:t>
            </w:r>
            <w:r>
              <w:rPr>
                <w:color w:val="auto"/>
                <w:highlight w:val="none"/>
              </w:rPr>
            </w:r>
            <w:r>
              <w:rPr>
                <w:color w:val="auto"/>
                <w:highlight w:val="none"/>
              </w:rPr>
            </w:r>
          </w:p>
        </w:tc>
        <w:tc>
          <w:tcPr>
            <w:tcW w:w="1146" w:type="dxa"/>
            <w:vAlign w:val="center"/>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授权延期</w:t>
            </w:r>
            <w:r>
              <w:rPr>
                <w:color w:val="auto"/>
                <w:highlight w:val="none"/>
              </w:rPr>
            </w:r>
            <w:r>
              <w:rPr>
                <w:color w:val="auto"/>
                <w:highlight w:val="none"/>
              </w:rPr>
            </w:r>
          </w:p>
        </w:tc>
      </w:tr>
    </w:tbl>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（1）完成物联网机房计算资源的杀毒软件、安全运维软件部署，定期升级。</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（2）完成政务云计算资源的杀毒软件、安全运维软件部署，定期升级。</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2.5</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备品备件</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中标供应商须提供以下备品备件，备品备件产权归中标单位所有，但须放置于无锡市环境监控中心物联网机房，以便及时更换故障设备配件，服务期满后由中标单位收回相关设备。</w:t>
      </w:r>
      <w:r>
        <w:rPr>
          <w:color w:val="auto"/>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417"/>
        <w:gridCol w:w="4820"/>
        <w:gridCol w:w="1134"/>
      </w:tblGrid>
      <w:tr>
        <w:trPr/>
        <w:tc>
          <w:tcPr>
            <w:tcW w:w="751" w:type="dxa"/>
            <w:vAlign w:val="top"/>
            <w:textDirection w:val="lrTb"/>
            <w:noWrap w:val="false"/>
          </w:tcPr>
          <w:p>
            <w:pPr>
              <w:pStyle w:val="808"/>
              <w:jc w:val="center"/>
              <w:rPr>
                <w:rFonts w:ascii="宋体" w:hAnsi="宋体"/>
                <w:b/>
                <w:bCs/>
                <w:color w:val="auto"/>
                <w:sz w:val="18"/>
                <w:szCs w:val="18"/>
                <w:highlight w:val="none"/>
              </w:rPr>
            </w:pPr>
            <w:r>
              <w:rPr>
                <w:rFonts w:hint="eastAsia" w:ascii="宋体" w:hAnsi="宋体"/>
                <w:b/>
                <w:bCs/>
                <w:color w:val="auto"/>
                <w:sz w:val="18"/>
                <w:szCs w:val="18"/>
                <w:highlight w:val="none"/>
              </w:rPr>
              <w:t xml:space="preserve">序号</w:t>
            </w:r>
            <w:r>
              <w:rPr>
                <w:color w:val="auto"/>
                <w:highlight w:val="none"/>
              </w:rPr>
            </w:r>
            <w:r>
              <w:rPr>
                <w:color w:val="auto"/>
                <w:highlight w:val="none"/>
              </w:rPr>
            </w:r>
          </w:p>
        </w:tc>
        <w:tc>
          <w:tcPr>
            <w:tcW w:w="1417" w:type="dxa"/>
            <w:vAlign w:val="top"/>
            <w:textDirection w:val="lrTb"/>
            <w:noWrap w:val="false"/>
          </w:tcPr>
          <w:p>
            <w:pPr>
              <w:pStyle w:val="808"/>
              <w:jc w:val="center"/>
              <w:rPr>
                <w:rFonts w:ascii="宋体" w:hAnsi="宋体"/>
                <w:b/>
                <w:bCs/>
                <w:color w:val="auto"/>
                <w:sz w:val="18"/>
                <w:szCs w:val="18"/>
                <w:highlight w:val="none"/>
              </w:rPr>
            </w:pPr>
            <w:r>
              <w:rPr>
                <w:rFonts w:hint="eastAsia" w:ascii="宋体" w:hAnsi="宋体"/>
                <w:b/>
                <w:bCs/>
                <w:color w:val="auto"/>
                <w:sz w:val="18"/>
                <w:szCs w:val="18"/>
                <w:highlight w:val="none"/>
              </w:rPr>
              <w:t xml:space="preserve">名称</w:t>
            </w:r>
            <w:r>
              <w:rPr>
                <w:color w:val="auto"/>
                <w:highlight w:val="none"/>
              </w:rPr>
            </w:r>
            <w:r>
              <w:rPr>
                <w:color w:val="auto"/>
                <w:highlight w:val="none"/>
              </w:rPr>
            </w:r>
          </w:p>
        </w:tc>
        <w:tc>
          <w:tcPr>
            <w:tcW w:w="4820" w:type="dxa"/>
            <w:vAlign w:val="top"/>
            <w:textDirection w:val="lrTb"/>
            <w:noWrap w:val="false"/>
          </w:tcPr>
          <w:p>
            <w:pPr>
              <w:pStyle w:val="808"/>
              <w:jc w:val="center"/>
              <w:rPr>
                <w:rFonts w:ascii="宋体" w:hAnsi="宋体"/>
                <w:b/>
                <w:bCs/>
                <w:color w:val="auto"/>
                <w:sz w:val="18"/>
                <w:szCs w:val="18"/>
                <w:highlight w:val="none"/>
              </w:rPr>
            </w:pPr>
            <w:r>
              <w:rPr>
                <w:rFonts w:hint="eastAsia" w:ascii="宋体" w:hAnsi="宋体"/>
                <w:b/>
                <w:bCs/>
                <w:color w:val="auto"/>
                <w:sz w:val="18"/>
                <w:szCs w:val="18"/>
                <w:highlight w:val="none"/>
              </w:rPr>
              <w:t xml:space="preserve">规格型号</w:t>
            </w:r>
            <w:r>
              <w:rPr>
                <w:color w:val="auto"/>
                <w:highlight w:val="none"/>
              </w:rPr>
            </w:r>
            <w:r>
              <w:rPr>
                <w:color w:val="auto"/>
                <w:highlight w:val="none"/>
              </w:rPr>
            </w:r>
          </w:p>
        </w:tc>
        <w:tc>
          <w:tcPr>
            <w:tcW w:w="1134" w:type="dxa"/>
            <w:vAlign w:val="top"/>
            <w:textDirection w:val="lrTb"/>
            <w:noWrap w:val="false"/>
          </w:tcPr>
          <w:p>
            <w:pPr>
              <w:pStyle w:val="808"/>
              <w:jc w:val="center"/>
              <w:rPr>
                <w:rFonts w:ascii="宋体" w:hAnsi="宋体"/>
                <w:b/>
                <w:bCs/>
                <w:color w:val="auto"/>
                <w:sz w:val="18"/>
                <w:szCs w:val="18"/>
                <w:highlight w:val="none"/>
              </w:rPr>
            </w:pPr>
            <w:r>
              <w:rPr>
                <w:rFonts w:hint="eastAsia" w:ascii="宋体" w:hAnsi="宋体"/>
                <w:b/>
                <w:bCs/>
                <w:color w:val="auto"/>
                <w:sz w:val="18"/>
                <w:szCs w:val="18"/>
                <w:highlight w:val="none"/>
              </w:rPr>
              <w:t xml:space="preserve">数量</w:t>
            </w:r>
            <w:r>
              <w:rPr>
                <w:color w:val="auto"/>
                <w:highlight w:val="none"/>
              </w:rPr>
            </w:r>
            <w:r>
              <w:rPr>
                <w:color w:val="auto"/>
                <w:highlight w:val="none"/>
              </w:rPr>
            </w:r>
          </w:p>
        </w:tc>
      </w:tr>
      <w:tr>
        <w:trPr/>
        <w:tc>
          <w:tcPr>
            <w:tcW w:w="751"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color w:val="auto"/>
                <w:highlight w:val="none"/>
              </w:rPr>
            </w:r>
            <w:r>
              <w:rPr>
                <w:color w:val="auto"/>
                <w:highlight w:val="none"/>
              </w:rPr>
            </w:r>
          </w:p>
        </w:tc>
        <w:tc>
          <w:tcPr>
            <w:tcW w:w="1417"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存储控制器</w:t>
            </w:r>
            <w:r>
              <w:rPr>
                <w:color w:val="auto"/>
                <w:highlight w:val="none"/>
              </w:rPr>
            </w:r>
            <w:r>
              <w:rPr>
                <w:color w:val="auto"/>
                <w:highlight w:val="none"/>
              </w:rPr>
            </w:r>
          </w:p>
        </w:tc>
        <w:tc>
          <w:tcPr>
            <w:tcW w:w="4820" w:type="dxa"/>
            <w:vAlign w:val="top"/>
            <w:textDirection w:val="lrTb"/>
            <w:noWrap w:val="false"/>
          </w:tcPr>
          <w:p>
            <w:pPr>
              <w:pStyle w:val="808"/>
              <w:rPr>
                <w:rFonts w:ascii="宋体" w:hAnsi="宋体"/>
                <w:bCs/>
                <w:color w:val="auto"/>
                <w:sz w:val="18"/>
                <w:szCs w:val="18"/>
                <w:highlight w:val="none"/>
              </w:rPr>
            </w:pPr>
            <w:r>
              <w:rPr>
                <w:rFonts w:hint="eastAsia" w:ascii="宋体" w:hAnsi="宋体"/>
                <w:bCs/>
                <w:color w:val="auto"/>
                <w:sz w:val="18"/>
                <w:szCs w:val="18"/>
                <w:highlight w:val="none"/>
              </w:rPr>
              <w:t xml:space="preserve">HDS VSP G400控制器</w:t>
            </w:r>
            <w:r>
              <w:rPr>
                <w:color w:val="auto"/>
                <w:highlight w:val="none"/>
              </w:rPr>
            </w:r>
            <w:r>
              <w:rPr>
                <w:color w:val="auto"/>
                <w:highlight w:val="none"/>
              </w:rPr>
            </w:r>
          </w:p>
        </w:tc>
        <w:tc>
          <w:tcPr>
            <w:tcW w:w="1134"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color w:val="auto"/>
                <w:highlight w:val="none"/>
              </w:rPr>
            </w:r>
            <w:r>
              <w:rPr>
                <w:color w:val="auto"/>
                <w:highlight w:val="none"/>
              </w:rPr>
            </w:r>
          </w:p>
        </w:tc>
      </w:tr>
      <w:tr>
        <w:trPr/>
        <w:tc>
          <w:tcPr>
            <w:tcW w:w="751"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2</w:t>
            </w:r>
            <w:r>
              <w:rPr>
                <w:color w:val="auto"/>
                <w:highlight w:val="none"/>
              </w:rPr>
            </w:r>
            <w:r>
              <w:rPr>
                <w:color w:val="auto"/>
                <w:highlight w:val="none"/>
              </w:rPr>
            </w:r>
          </w:p>
        </w:tc>
        <w:tc>
          <w:tcPr>
            <w:tcW w:w="1417"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服务器硬盘</w:t>
            </w:r>
            <w:r>
              <w:rPr>
                <w:color w:val="auto"/>
                <w:highlight w:val="none"/>
              </w:rPr>
            </w:r>
            <w:r>
              <w:rPr>
                <w:color w:val="auto"/>
                <w:highlight w:val="none"/>
              </w:rPr>
            </w:r>
          </w:p>
        </w:tc>
        <w:tc>
          <w:tcPr>
            <w:tcW w:w="4820" w:type="dxa"/>
            <w:vAlign w:val="top"/>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300GB 15K转 SAS热插拔硬盘</w:t>
            </w:r>
            <w:r>
              <w:rPr>
                <w:color w:val="auto"/>
                <w:highlight w:val="none"/>
              </w:rPr>
            </w:r>
            <w:r>
              <w:rPr>
                <w:color w:val="auto"/>
                <w:highlight w:val="none"/>
              </w:rPr>
            </w:r>
          </w:p>
        </w:tc>
        <w:tc>
          <w:tcPr>
            <w:tcW w:w="1134"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color w:val="auto"/>
                <w:highlight w:val="none"/>
              </w:rPr>
            </w:r>
            <w:r>
              <w:rPr>
                <w:color w:val="auto"/>
                <w:highlight w:val="none"/>
              </w:rPr>
            </w:r>
          </w:p>
        </w:tc>
      </w:tr>
      <w:tr>
        <w:trPr/>
        <w:tc>
          <w:tcPr>
            <w:tcW w:w="751"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3</w:t>
            </w:r>
            <w:r>
              <w:rPr>
                <w:color w:val="auto"/>
                <w:highlight w:val="none"/>
              </w:rPr>
            </w:r>
            <w:r>
              <w:rPr>
                <w:color w:val="auto"/>
                <w:highlight w:val="none"/>
              </w:rPr>
            </w:r>
          </w:p>
        </w:tc>
        <w:tc>
          <w:tcPr>
            <w:tcW w:w="1417"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服务器硬盘</w:t>
            </w:r>
            <w:r>
              <w:rPr>
                <w:color w:val="auto"/>
                <w:highlight w:val="none"/>
              </w:rPr>
            </w:r>
            <w:r>
              <w:rPr>
                <w:color w:val="auto"/>
                <w:highlight w:val="none"/>
              </w:rPr>
            </w:r>
          </w:p>
        </w:tc>
        <w:tc>
          <w:tcPr>
            <w:tcW w:w="4820" w:type="dxa"/>
            <w:vAlign w:val="top"/>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600GB 10K转 SAS热插拔硬盘</w:t>
            </w:r>
            <w:r>
              <w:rPr>
                <w:color w:val="auto"/>
                <w:highlight w:val="none"/>
              </w:rPr>
            </w:r>
            <w:r>
              <w:rPr>
                <w:color w:val="auto"/>
                <w:highlight w:val="none"/>
              </w:rPr>
            </w:r>
          </w:p>
        </w:tc>
        <w:tc>
          <w:tcPr>
            <w:tcW w:w="1134"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color w:val="auto"/>
                <w:highlight w:val="none"/>
              </w:rPr>
            </w:r>
            <w:r>
              <w:rPr>
                <w:color w:val="auto"/>
                <w:highlight w:val="none"/>
              </w:rPr>
            </w:r>
          </w:p>
        </w:tc>
      </w:tr>
      <w:tr>
        <w:trPr/>
        <w:tc>
          <w:tcPr>
            <w:tcW w:w="751"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4</w:t>
            </w:r>
            <w:r>
              <w:rPr>
                <w:color w:val="auto"/>
                <w:highlight w:val="none"/>
              </w:rPr>
            </w:r>
            <w:r>
              <w:rPr>
                <w:color w:val="auto"/>
                <w:highlight w:val="none"/>
              </w:rPr>
            </w:r>
          </w:p>
        </w:tc>
        <w:tc>
          <w:tcPr>
            <w:tcW w:w="1417"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存储硬盘</w:t>
            </w:r>
            <w:r>
              <w:rPr>
                <w:color w:val="auto"/>
                <w:highlight w:val="none"/>
              </w:rPr>
            </w:r>
            <w:r>
              <w:rPr>
                <w:color w:val="auto"/>
                <w:highlight w:val="none"/>
              </w:rPr>
            </w:r>
          </w:p>
        </w:tc>
        <w:tc>
          <w:tcPr>
            <w:tcW w:w="4820" w:type="dxa"/>
            <w:vAlign w:val="top"/>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EMC存储专用，600</w:t>
            </w:r>
            <w:r>
              <w:rPr>
                <w:rFonts w:ascii="宋体" w:hAnsi="宋体"/>
                <w:bCs/>
                <w:color w:val="auto"/>
                <w:sz w:val="18"/>
                <w:szCs w:val="18"/>
                <w:highlight w:val="none"/>
              </w:rPr>
              <w:t xml:space="preserve">GB 15K SAS</w:t>
            </w:r>
            <w:r>
              <w:rPr>
                <w:rFonts w:hint="eastAsia" w:ascii="宋体" w:hAnsi="宋体"/>
                <w:bCs/>
                <w:color w:val="auto"/>
                <w:sz w:val="18"/>
                <w:szCs w:val="18"/>
                <w:highlight w:val="none"/>
              </w:rPr>
              <w:t xml:space="preserve">热插拔硬盘</w:t>
            </w:r>
            <w:r>
              <w:rPr>
                <w:color w:val="auto"/>
                <w:highlight w:val="none"/>
              </w:rPr>
            </w:r>
            <w:r>
              <w:rPr>
                <w:color w:val="auto"/>
                <w:highlight w:val="none"/>
              </w:rPr>
            </w:r>
          </w:p>
        </w:tc>
        <w:tc>
          <w:tcPr>
            <w:tcW w:w="1134"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color w:val="auto"/>
                <w:highlight w:val="none"/>
              </w:rPr>
            </w:r>
            <w:r>
              <w:rPr>
                <w:color w:val="auto"/>
                <w:highlight w:val="none"/>
              </w:rPr>
            </w:r>
          </w:p>
        </w:tc>
      </w:tr>
      <w:tr>
        <w:trPr/>
        <w:tc>
          <w:tcPr>
            <w:tcW w:w="751"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5</w:t>
            </w:r>
            <w:r>
              <w:rPr>
                <w:color w:val="auto"/>
                <w:highlight w:val="none"/>
              </w:rPr>
            </w:r>
            <w:r>
              <w:rPr>
                <w:color w:val="auto"/>
                <w:highlight w:val="none"/>
              </w:rPr>
            </w:r>
          </w:p>
        </w:tc>
        <w:tc>
          <w:tcPr>
            <w:tcW w:w="1417"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存储硬盘</w:t>
            </w:r>
            <w:r>
              <w:rPr>
                <w:color w:val="auto"/>
                <w:highlight w:val="none"/>
              </w:rPr>
            </w:r>
            <w:r>
              <w:rPr>
                <w:color w:val="auto"/>
                <w:highlight w:val="none"/>
              </w:rPr>
            </w:r>
          </w:p>
        </w:tc>
        <w:tc>
          <w:tcPr>
            <w:tcW w:w="4820" w:type="dxa"/>
            <w:vAlign w:val="top"/>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EMC存储专用，300</w:t>
            </w:r>
            <w:r>
              <w:rPr>
                <w:rFonts w:ascii="宋体" w:hAnsi="宋体"/>
                <w:bCs/>
                <w:color w:val="auto"/>
                <w:sz w:val="18"/>
                <w:szCs w:val="18"/>
                <w:highlight w:val="none"/>
              </w:rPr>
              <w:t xml:space="preserve">GB 15K SAS</w:t>
            </w:r>
            <w:r>
              <w:rPr>
                <w:rFonts w:hint="eastAsia" w:ascii="宋体" w:hAnsi="宋体"/>
                <w:bCs/>
                <w:color w:val="auto"/>
                <w:sz w:val="18"/>
                <w:szCs w:val="18"/>
                <w:highlight w:val="none"/>
              </w:rPr>
              <w:t xml:space="preserve">热插拔硬盘</w:t>
            </w:r>
            <w:r>
              <w:rPr>
                <w:color w:val="auto"/>
                <w:highlight w:val="none"/>
              </w:rPr>
            </w:r>
            <w:r>
              <w:rPr>
                <w:color w:val="auto"/>
                <w:highlight w:val="none"/>
              </w:rPr>
            </w:r>
          </w:p>
        </w:tc>
        <w:tc>
          <w:tcPr>
            <w:tcW w:w="1134"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color w:val="auto"/>
                <w:highlight w:val="none"/>
              </w:rPr>
            </w:r>
            <w:r>
              <w:rPr>
                <w:color w:val="auto"/>
                <w:highlight w:val="none"/>
              </w:rPr>
            </w:r>
          </w:p>
        </w:tc>
      </w:tr>
      <w:tr>
        <w:trPr/>
        <w:tc>
          <w:tcPr>
            <w:tcW w:w="751"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6</w:t>
            </w:r>
            <w:r>
              <w:rPr>
                <w:color w:val="auto"/>
                <w:highlight w:val="none"/>
              </w:rPr>
            </w:r>
            <w:r>
              <w:rPr>
                <w:color w:val="auto"/>
                <w:highlight w:val="none"/>
              </w:rPr>
            </w:r>
          </w:p>
        </w:tc>
        <w:tc>
          <w:tcPr>
            <w:tcW w:w="1417"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存储硬盘</w:t>
            </w:r>
            <w:r>
              <w:rPr>
                <w:color w:val="auto"/>
                <w:highlight w:val="none"/>
              </w:rPr>
            </w:r>
            <w:r>
              <w:rPr>
                <w:color w:val="auto"/>
                <w:highlight w:val="none"/>
              </w:rPr>
            </w:r>
          </w:p>
        </w:tc>
        <w:tc>
          <w:tcPr>
            <w:tcW w:w="4820" w:type="dxa"/>
            <w:vAlign w:val="top"/>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HDS存储专用，600GB 10K SAS热插拔硬盘</w:t>
            </w:r>
            <w:r>
              <w:rPr>
                <w:color w:val="auto"/>
                <w:highlight w:val="none"/>
              </w:rPr>
            </w:r>
            <w:r>
              <w:rPr>
                <w:color w:val="auto"/>
                <w:highlight w:val="none"/>
              </w:rPr>
            </w:r>
          </w:p>
        </w:tc>
        <w:tc>
          <w:tcPr>
            <w:tcW w:w="1134"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color w:val="auto"/>
                <w:highlight w:val="none"/>
              </w:rPr>
            </w:r>
            <w:r>
              <w:rPr>
                <w:color w:val="auto"/>
                <w:highlight w:val="none"/>
              </w:rPr>
            </w:r>
          </w:p>
        </w:tc>
      </w:tr>
      <w:tr>
        <w:trPr/>
        <w:tc>
          <w:tcPr>
            <w:tcW w:w="751"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7</w:t>
            </w:r>
            <w:r>
              <w:rPr>
                <w:color w:val="auto"/>
                <w:highlight w:val="none"/>
              </w:rPr>
            </w:r>
            <w:r>
              <w:rPr>
                <w:color w:val="auto"/>
                <w:highlight w:val="none"/>
              </w:rPr>
            </w:r>
          </w:p>
        </w:tc>
        <w:tc>
          <w:tcPr>
            <w:tcW w:w="1417"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存储硬盘</w:t>
            </w:r>
            <w:r>
              <w:rPr>
                <w:color w:val="auto"/>
                <w:highlight w:val="none"/>
              </w:rPr>
            </w:r>
            <w:r>
              <w:rPr>
                <w:color w:val="auto"/>
                <w:highlight w:val="none"/>
              </w:rPr>
            </w:r>
          </w:p>
        </w:tc>
        <w:tc>
          <w:tcPr>
            <w:tcW w:w="4820" w:type="dxa"/>
            <w:vAlign w:val="top"/>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HDS存储专用，1.2TB 10K SAS热插拔硬盘</w:t>
            </w:r>
            <w:r>
              <w:rPr>
                <w:color w:val="auto"/>
                <w:highlight w:val="none"/>
              </w:rPr>
            </w:r>
            <w:r>
              <w:rPr>
                <w:color w:val="auto"/>
                <w:highlight w:val="none"/>
              </w:rPr>
            </w:r>
          </w:p>
        </w:tc>
        <w:tc>
          <w:tcPr>
            <w:tcW w:w="1134"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color w:val="auto"/>
                <w:highlight w:val="none"/>
              </w:rPr>
            </w:r>
            <w:r>
              <w:rPr>
                <w:color w:val="auto"/>
                <w:highlight w:val="none"/>
              </w:rPr>
            </w:r>
          </w:p>
        </w:tc>
      </w:tr>
      <w:tr>
        <w:trPr/>
        <w:tc>
          <w:tcPr>
            <w:tcW w:w="751"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8</w:t>
            </w:r>
            <w:r>
              <w:rPr>
                <w:color w:val="auto"/>
                <w:highlight w:val="none"/>
              </w:rPr>
            </w:r>
            <w:r>
              <w:rPr>
                <w:color w:val="auto"/>
                <w:highlight w:val="none"/>
              </w:rPr>
            </w:r>
          </w:p>
        </w:tc>
        <w:tc>
          <w:tcPr>
            <w:tcW w:w="1417"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存储硬盘</w:t>
            </w:r>
            <w:r>
              <w:rPr>
                <w:color w:val="auto"/>
                <w:highlight w:val="none"/>
              </w:rPr>
            </w:r>
            <w:r>
              <w:rPr>
                <w:color w:val="auto"/>
                <w:highlight w:val="none"/>
              </w:rPr>
            </w:r>
          </w:p>
        </w:tc>
        <w:tc>
          <w:tcPr>
            <w:tcW w:w="4820" w:type="dxa"/>
            <w:vAlign w:val="top"/>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DELL存储专用，</w:t>
            </w:r>
            <w:r>
              <w:rPr>
                <w:rFonts w:ascii="宋体" w:hAnsi="宋体"/>
                <w:bCs/>
                <w:color w:val="auto"/>
                <w:sz w:val="18"/>
                <w:szCs w:val="18"/>
                <w:highlight w:val="none"/>
              </w:rPr>
              <w:t xml:space="preserve">2TB</w:t>
            </w:r>
            <w:r>
              <w:rPr>
                <w:rFonts w:hint="eastAsia" w:ascii="宋体" w:hAnsi="宋体"/>
                <w:bCs/>
                <w:color w:val="auto"/>
                <w:sz w:val="18"/>
                <w:szCs w:val="18"/>
                <w:highlight w:val="none"/>
              </w:rPr>
              <w:t xml:space="preserve"> 7.2K NL-SAS热插拔硬盘</w:t>
            </w:r>
            <w:r>
              <w:rPr>
                <w:color w:val="auto"/>
                <w:highlight w:val="none"/>
              </w:rPr>
            </w:r>
            <w:r>
              <w:rPr>
                <w:color w:val="auto"/>
                <w:highlight w:val="none"/>
              </w:rPr>
            </w:r>
          </w:p>
        </w:tc>
        <w:tc>
          <w:tcPr>
            <w:tcW w:w="1134"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color w:val="auto"/>
                <w:highlight w:val="none"/>
              </w:rPr>
            </w:r>
            <w:r>
              <w:rPr>
                <w:color w:val="auto"/>
                <w:highlight w:val="none"/>
              </w:rPr>
            </w:r>
          </w:p>
        </w:tc>
      </w:tr>
      <w:tr>
        <w:trPr/>
        <w:tc>
          <w:tcPr>
            <w:tcW w:w="751"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9</w:t>
            </w:r>
            <w:r>
              <w:rPr>
                <w:color w:val="auto"/>
                <w:highlight w:val="none"/>
              </w:rPr>
            </w:r>
            <w:r>
              <w:rPr>
                <w:color w:val="auto"/>
                <w:highlight w:val="none"/>
              </w:rPr>
            </w:r>
          </w:p>
        </w:tc>
        <w:tc>
          <w:tcPr>
            <w:tcW w:w="1417"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网络交换机</w:t>
            </w:r>
            <w:r>
              <w:rPr>
                <w:color w:val="auto"/>
                <w:highlight w:val="none"/>
              </w:rPr>
            </w:r>
            <w:r>
              <w:rPr>
                <w:color w:val="auto"/>
                <w:highlight w:val="none"/>
              </w:rPr>
            </w:r>
          </w:p>
        </w:tc>
        <w:tc>
          <w:tcPr>
            <w:tcW w:w="4820" w:type="dxa"/>
            <w:vAlign w:val="top"/>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24个千兆电口、4个千SFP</w:t>
            </w:r>
            <w:r>
              <w:rPr>
                <w:color w:val="auto"/>
                <w:highlight w:val="none"/>
              </w:rPr>
            </w:r>
            <w:r>
              <w:rPr>
                <w:color w:val="auto"/>
                <w:highlight w:val="none"/>
              </w:rPr>
            </w:r>
          </w:p>
        </w:tc>
        <w:tc>
          <w:tcPr>
            <w:tcW w:w="1134"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color w:val="auto"/>
                <w:highlight w:val="none"/>
              </w:rPr>
            </w:r>
            <w:r>
              <w:rPr>
                <w:color w:val="auto"/>
                <w:highlight w:val="none"/>
              </w:rPr>
            </w:r>
          </w:p>
        </w:tc>
      </w:tr>
      <w:tr>
        <w:trPr/>
        <w:tc>
          <w:tcPr>
            <w:tcW w:w="751"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10</w:t>
            </w:r>
            <w:r>
              <w:rPr>
                <w:color w:val="auto"/>
                <w:highlight w:val="none"/>
              </w:rPr>
            </w:r>
            <w:r>
              <w:rPr>
                <w:color w:val="auto"/>
                <w:highlight w:val="none"/>
              </w:rPr>
            </w:r>
          </w:p>
        </w:tc>
        <w:tc>
          <w:tcPr>
            <w:tcW w:w="1417"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防火墙</w:t>
            </w:r>
            <w:r>
              <w:rPr>
                <w:color w:val="auto"/>
                <w:highlight w:val="none"/>
              </w:rPr>
            </w:r>
            <w:r>
              <w:rPr>
                <w:color w:val="auto"/>
                <w:highlight w:val="none"/>
              </w:rPr>
            </w:r>
          </w:p>
        </w:tc>
        <w:tc>
          <w:tcPr>
            <w:tcW w:w="4820" w:type="dxa"/>
            <w:vAlign w:val="top"/>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4个千兆电口,2个万兆光口</w:t>
            </w:r>
            <w:r>
              <w:rPr>
                <w:color w:val="auto"/>
                <w:highlight w:val="none"/>
              </w:rPr>
            </w:r>
            <w:r>
              <w:rPr>
                <w:color w:val="auto"/>
                <w:highlight w:val="none"/>
              </w:rPr>
            </w:r>
          </w:p>
        </w:tc>
        <w:tc>
          <w:tcPr>
            <w:tcW w:w="1134"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color w:val="auto"/>
                <w:highlight w:val="none"/>
              </w:rPr>
            </w:r>
            <w:r>
              <w:rPr>
                <w:color w:val="auto"/>
                <w:highlight w:val="none"/>
              </w:rPr>
            </w:r>
          </w:p>
        </w:tc>
      </w:tr>
      <w:tr>
        <w:trPr/>
        <w:tc>
          <w:tcPr>
            <w:tcW w:w="751"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11</w:t>
            </w:r>
            <w:r>
              <w:rPr>
                <w:color w:val="auto"/>
                <w:highlight w:val="none"/>
              </w:rPr>
            </w:r>
            <w:r>
              <w:rPr>
                <w:color w:val="auto"/>
                <w:highlight w:val="none"/>
              </w:rPr>
            </w:r>
          </w:p>
        </w:tc>
        <w:tc>
          <w:tcPr>
            <w:tcW w:w="1417"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光模块</w:t>
            </w:r>
            <w:r>
              <w:rPr>
                <w:color w:val="auto"/>
                <w:highlight w:val="none"/>
              </w:rPr>
            </w:r>
            <w:r>
              <w:rPr>
                <w:color w:val="auto"/>
                <w:highlight w:val="none"/>
              </w:rPr>
            </w:r>
          </w:p>
        </w:tc>
        <w:tc>
          <w:tcPr>
            <w:tcW w:w="4820" w:type="dxa"/>
            <w:vAlign w:val="top"/>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万兆多模SFP+模块</w:t>
            </w:r>
            <w:r>
              <w:rPr>
                <w:color w:val="auto"/>
                <w:highlight w:val="none"/>
              </w:rPr>
            </w:r>
            <w:r>
              <w:rPr>
                <w:color w:val="auto"/>
                <w:highlight w:val="none"/>
              </w:rPr>
            </w:r>
          </w:p>
        </w:tc>
        <w:tc>
          <w:tcPr>
            <w:tcW w:w="1134"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color w:val="auto"/>
                <w:highlight w:val="none"/>
              </w:rPr>
            </w:r>
            <w:r>
              <w:rPr>
                <w:color w:val="auto"/>
                <w:highlight w:val="none"/>
              </w:rPr>
            </w:r>
          </w:p>
        </w:tc>
      </w:tr>
      <w:tr>
        <w:trPr/>
        <w:tc>
          <w:tcPr>
            <w:tcW w:w="751"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12</w:t>
            </w:r>
            <w:r>
              <w:rPr>
                <w:color w:val="auto"/>
                <w:highlight w:val="none"/>
              </w:rPr>
            </w:r>
            <w:r>
              <w:rPr>
                <w:color w:val="auto"/>
                <w:highlight w:val="none"/>
              </w:rPr>
            </w:r>
          </w:p>
        </w:tc>
        <w:tc>
          <w:tcPr>
            <w:tcW w:w="1417"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光模块</w:t>
            </w:r>
            <w:r>
              <w:rPr>
                <w:color w:val="auto"/>
                <w:highlight w:val="none"/>
              </w:rPr>
            </w:r>
            <w:r>
              <w:rPr>
                <w:color w:val="auto"/>
                <w:highlight w:val="none"/>
              </w:rPr>
            </w:r>
          </w:p>
        </w:tc>
        <w:tc>
          <w:tcPr>
            <w:tcW w:w="4820" w:type="dxa"/>
            <w:vAlign w:val="top"/>
            <w:textDirection w:val="lrTb"/>
            <w:noWrap w:val="false"/>
          </w:tcPr>
          <w:p>
            <w:pPr>
              <w:pStyle w:val="808"/>
              <w:jc w:val="left"/>
              <w:rPr>
                <w:rFonts w:ascii="宋体" w:hAnsi="宋体"/>
                <w:bCs/>
                <w:color w:val="auto"/>
                <w:sz w:val="18"/>
                <w:szCs w:val="18"/>
                <w:highlight w:val="none"/>
              </w:rPr>
            </w:pPr>
            <w:r>
              <w:rPr>
                <w:rFonts w:hint="eastAsia" w:ascii="宋体" w:hAnsi="宋体"/>
                <w:bCs/>
                <w:color w:val="auto"/>
                <w:sz w:val="18"/>
                <w:szCs w:val="18"/>
                <w:highlight w:val="none"/>
              </w:rPr>
              <w:t xml:space="preserve">千兆多模SFP模块</w:t>
            </w:r>
            <w:r>
              <w:rPr>
                <w:color w:val="auto"/>
                <w:highlight w:val="none"/>
              </w:rPr>
            </w:r>
            <w:r>
              <w:rPr>
                <w:color w:val="auto"/>
                <w:highlight w:val="none"/>
              </w:rPr>
            </w:r>
          </w:p>
        </w:tc>
        <w:tc>
          <w:tcPr>
            <w:tcW w:w="1134" w:type="dxa"/>
            <w:vAlign w:val="top"/>
            <w:textDirection w:val="lrTb"/>
            <w:noWrap w:val="false"/>
          </w:tcPr>
          <w:p>
            <w:pPr>
              <w:pStyle w:val="808"/>
              <w:jc w:val="center"/>
              <w:rPr>
                <w:rFonts w:ascii="宋体" w:hAnsi="宋体"/>
                <w:bCs/>
                <w:color w:val="auto"/>
                <w:sz w:val="18"/>
                <w:szCs w:val="18"/>
                <w:highlight w:val="none"/>
              </w:rPr>
            </w:pPr>
            <w:r>
              <w:rPr>
                <w:rFonts w:hint="eastAsia" w:ascii="宋体" w:hAnsi="宋体"/>
                <w:bCs/>
                <w:color w:val="auto"/>
                <w:sz w:val="18"/>
                <w:szCs w:val="18"/>
                <w:highlight w:val="none"/>
              </w:rPr>
              <w:t xml:space="preserve">1</w:t>
            </w:r>
            <w:r>
              <w:rPr>
                <w:color w:val="auto"/>
                <w:highlight w:val="none"/>
              </w:rPr>
            </w:r>
            <w:r>
              <w:rPr>
                <w:color w:val="auto"/>
                <w:highlight w:val="none"/>
              </w:rPr>
            </w:r>
          </w:p>
        </w:tc>
      </w:tr>
    </w:tbl>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专线链路</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单位提供一年的链路租用费用，并确保专线链路运营正常，运维过程期间，如出现因企业、市政施工因、绿化改造施工等原因导致物理线路被挖断，导致视频信号中断不能正常预览视频，中标单位应立即敦促并配合链路供应商依据应急响应机制进行故障分析、处理、恢复，可恢复故障处理时限为12小时。非短期可恢复故障，向客户报备原因后，跟踪现场情况待具备恢复条件时立即处理。</w:t>
      </w:r>
      <w:r>
        <w:rPr>
          <w:color w:val="auto"/>
          <w:highlight w:val="none"/>
        </w:rPr>
      </w:r>
      <w:r>
        <w:rPr>
          <w:color w:val="auto"/>
          <w:highlight w:val="none"/>
        </w:rPr>
      </w:r>
    </w:p>
    <w:p>
      <w:pPr>
        <w:pStyle w:val="808"/>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3.台账建立要求</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提供的机房内设备资源信息台账表格需具备设备序列号、设备机架号、设备登录账号、设备配置信息、质保期限等基本属性；</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提供的机房内设备跳线资源台账表格需具备每根跳线源端设备、终端设备、机柜配线架端口等基本属性；</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提供的机房内网络设备资源台账表格需具备网络设备名称、设备端口、网络IP地址、网络VLAN号、所属系统等基本属性；</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按照机房设备、跳线、网络资源信息台账表格对现有机房内资源建立全面的机房资源信息台账库，由采购方对台账进行抽样审核，采购方要求台账信息抽样准确率99.8%，在合同签订生效后的四周内需向采购方提供全面的现有机房资源信息台账，抽样准确率低于99.8%采购人有权依照法律程序解除合同，并追究中标方的违约责任。</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3.5</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按照梳理完整机房资源台账对机房内所有设备、跳线进行标签贴制作；</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3.6</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提供机房人员进出、机房巡检日志、卫生清洁日志等人员管理信息台账表格；</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3.7</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提供机房内部施工单、设备及材料变更单、链路配置变更单等事件管理信息台账表格；</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3.8</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提供机房内各子系统故障处理日志、故障分析报告、系统运行评估报告等维护管理信息台账日志；</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3.9</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需按照机房人员、事件、维护信息台账表格对机房内各项运维工作进行登记、审批、检查，采购方将对机房运维信息台账进行抽样检查，抽样检查发现运维管理工作中存在未登记、未经审批、未检查确认等问题，采购人有权依照法律程序解除合同，并追究中标方的违约责任。</w:t>
      </w:r>
      <w:r>
        <w:rPr>
          <w:color w:val="auto"/>
          <w:highlight w:val="none"/>
        </w:rPr>
      </w:r>
      <w:r>
        <w:rPr>
          <w:color w:val="auto"/>
          <w:highlight w:val="none"/>
        </w:rPr>
      </w:r>
    </w:p>
    <w:p>
      <w:pPr>
        <w:pStyle w:val="808"/>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4.项目考核要求</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单位每半年对中标单位开展一次运行维护工作考核，按下表分值进行评分，满分为100分，大于等于85分为合格，大于等于70分小于85分为基本合格，小于70分为不合格，因运维工作不到位出现重大网络安全问题、重大数据损失、重点设备故障修复不及时的直接判定为不合格。采购单位对考核细则和考核结果保留最终解释权。</w:t>
      </w:r>
      <w:r>
        <w:rPr>
          <w:color w:val="auto"/>
          <w:highlight w:val="none"/>
        </w:rPr>
      </w:r>
      <w:r>
        <w:rPr>
          <w:color w:val="auto"/>
          <w:highlight w:val="none"/>
        </w:rPr>
      </w:r>
    </w:p>
    <w:tbl>
      <w:tblPr>
        <w:tblW w:w="86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00"/>
        <w:gridCol w:w="2060"/>
        <w:gridCol w:w="1389"/>
        <w:gridCol w:w="1417"/>
        <w:gridCol w:w="1276"/>
      </w:tblGrid>
      <w:tr>
        <w:trPr/>
        <w:tc>
          <w:tcPr>
            <w:tcW w:w="250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　</w:t>
            </w:r>
            <w:r>
              <w:rPr>
                <w:color w:val="auto"/>
                <w:highlight w:val="none"/>
              </w:rPr>
            </w:r>
            <w:r>
              <w:rPr>
                <w:color w:val="auto"/>
                <w:highlight w:val="none"/>
              </w:rPr>
            </w:r>
          </w:p>
        </w:tc>
        <w:tc>
          <w:tcPr>
            <w:tcW w:w="206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日常点检及保障</w:t>
            </w:r>
            <w:r>
              <w:rPr>
                <w:color w:val="auto"/>
                <w:highlight w:val="none"/>
              </w:rPr>
            </w:r>
            <w:r>
              <w:rPr>
                <w:color w:val="auto"/>
                <w:highlight w:val="none"/>
              </w:rPr>
            </w:r>
          </w:p>
        </w:tc>
        <w:tc>
          <w:tcPr>
            <w:tcW w:w="1389"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故障修复</w:t>
            </w:r>
            <w:r>
              <w:rPr>
                <w:color w:val="auto"/>
                <w:highlight w:val="none"/>
              </w:rPr>
            </w:r>
            <w:r>
              <w:rPr>
                <w:color w:val="auto"/>
                <w:highlight w:val="none"/>
              </w:rPr>
            </w:r>
          </w:p>
        </w:tc>
        <w:tc>
          <w:tcPr>
            <w:tcW w:w="1417"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问题处置</w:t>
            </w:r>
            <w:r>
              <w:rPr>
                <w:color w:val="auto"/>
                <w:highlight w:val="none"/>
              </w:rPr>
            </w:r>
            <w:r>
              <w:rPr>
                <w:color w:val="auto"/>
                <w:highlight w:val="none"/>
              </w:rPr>
            </w:r>
          </w:p>
        </w:tc>
        <w:tc>
          <w:tcPr>
            <w:tcW w:w="1276"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小计</w:t>
            </w:r>
            <w:r>
              <w:rPr>
                <w:color w:val="auto"/>
                <w:highlight w:val="none"/>
              </w:rPr>
            </w:r>
            <w:r>
              <w:rPr>
                <w:color w:val="auto"/>
                <w:highlight w:val="none"/>
              </w:rPr>
            </w:r>
          </w:p>
        </w:tc>
      </w:tr>
      <w:tr>
        <w:trPr/>
        <w:tc>
          <w:tcPr>
            <w:tcW w:w="250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计算资源运维</w:t>
            </w:r>
            <w:r>
              <w:rPr>
                <w:color w:val="auto"/>
                <w:highlight w:val="none"/>
              </w:rPr>
            </w:r>
            <w:r>
              <w:rPr>
                <w:color w:val="auto"/>
                <w:highlight w:val="none"/>
              </w:rPr>
            </w:r>
          </w:p>
        </w:tc>
        <w:tc>
          <w:tcPr>
            <w:tcW w:w="206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rPr>
                <w:color w:val="auto"/>
                <w:highlight w:val="none"/>
              </w:rPr>
            </w:r>
            <w:r>
              <w:rPr>
                <w:color w:val="auto"/>
                <w:highlight w:val="none"/>
              </w:rPr>
            </w:r>
          </w:p>
        </w:tc>
        <w:tc>
          <w:tcPr>
            <w:tcW w:w="1389"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w:t>
            </w:r>
            <w:r>
              <w:rPr>
                <w:color w:val="auto"/>
                <w:highlight w:val="none"/>
              </w:rPr>
            </w:r>
            <w:r>
              <w:rPr>
                <w:color w:val="auto"/>
                <w:highlight w:val="none"/>
              </w:rPr>
            </w:r>
          </w:p>
        </w:tc>
        <w:tc>
          <w:tcPr>
            <w:tcW w:w="1417"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w:t>
            </w:r>
            <w:r>
              <w:rPr>
                <w:color w:val="auto"/>
                <w:highlight w:val="none"/>
              </w:rPr>
            </w:r>
            <w:r>
              <w:rPr>
                <w:color w:val="auto"/>
                <w:highlight w:val="none"/>
              </w:rPr>
            </w:r>
          </w:p>
        </w:tc>
        <w:tc>
          <w:tcPr>
            <w:tcW w:w="1276"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12</w:t>
            </w:r>
            <w:r>
              <w:rPr>
                <w:color w:val="auto"/>
                <w:highlight w:val="none"/>
              </w:rPr>
            </w:r>
            <w:r>
              <w:rPr>
                <w:color w:val="auto"/>
                <w:highlight w:val="none"/>
              </w:rPr>
            </w:r>
          </w:p>
        </w:tc>
      </w:tr>
      <w:tr>
        <w:trPr/>
        <w:tc>
          <w:tcPr>
            <w:tcW w:w="250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存储资源运维</w:t>
            </w:r>
            <w:r>
              <w:rPr>
                <w:color w:val="auto"/>
                <w:highlight w:val="none"/>
              </w:rPr>
            </w:r>
            <w:r>
              <w:rPr>
                <w:color w:val="auto"/>
                <w:highlight w:val="none"/>
              </w:rPr>
            </w:r>
          </w:p>
        </w:tc>
        <w:tc>
          <w:tcPr>
            <w:tcW w:w="206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rPr>
                <w:color w:val="auto"/>
                <w:highlight w:val="none"/>
              </w:rPr>
            </w:r>
            <w:r>
              <w:rPr>
                <w:color w:val="auto"/>
                <w:highlight w:val="none"/>
              </w:rPr>
            </w:r>
          </w:p>
        </w:tc>
        <w:tc>
          <w:tcPr>
            <w:tcW w:w="1389"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w:t>
            </w:r>
            <w:r>
              <w:rPr>
                <w:color w:val="auto"/>
                <w:highlight w:val="none"/>
              </w:rPr>
            </w:r>
            <w:r>
              <w:rPr>
                <w:color w:val="auto"/>
                <w:highlight w:val="none"/>
              </w:rPr>
            </w:r>
          </w:p>
        </w:tc>
        <w:tc>
          <w:tcPr>
            <w:tcW w:w="1417"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w:t>
            </w:r>
            <w:r>
              <w:rPr>
                <w:color w:val="auto"/>
                <w:highlight w:val="none"/>
              </w:rPr>
            </w:r>
            <w:r>
              <w:rPr>
                <w:color w:val="auto"/>
                <w:highlight w:val="none"/>
              </w:rPr>
            </w:r>
          </w:p>
        </w:tc>
        <w:tc>
          <w:tcPr>
            <w:tcW w:w="1276"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12</w:t>
            </w:r>
            <w:r>
              <w:rPr>
                <w:color w:val="auto"/>
                <w:highlight w:val="none"/>
              </w:rPr>
            </w:r>
            <w:r>
              <w:rPr>
                <w:color w:val="auto"/>
                <w:highlight w:val="none"/>
              </w:rPr>
            </w:r>
          </w:p>
        </w:tc>
      </w:tr>
      <w:tr>
        <w:trPr/>
        <w:tc>
          <w:tcPr>
            <w:tcW w:w="250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网络资源运维</w:t>
            </w:r>
            <w:r>
              <w:rPr>
                <w:color w:val="auto"/>
                <w:highlight w:val="none"/>
              </w:rPr>
            </w:r>
            <w:r>
              <w:rPr>
                <w:color w:val="auto"/>
                <w:highlight w:val="none"/>
              </w:rPr>
            </w:r>
          </w:p>
        </w:tc>
        <w:tc>
          <w:tcPr>
            <w:tcW w:w="206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rPr>
                <w:color w:val="auto"/>
                <w:highlight w:val="none"/>
              </w:rPr>
            </w:r>
            <w:r>
              <w:rPr>
                <w:color w:val="auto"/>
                <w:highlight w:val="none"/>
              </w:rPr>
            </w:r>
          </w:p>
        </w:tc>
        <w:tc>
          <w:tcPr>
            <w:tcW w:w="1389"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w:t>
            </w:r>
            <w:r>
              <w:rPr>
                <w:color w:val="auto"/>
                <w:highlight w:val="none"/>
              </w:rPr>
            </w:r>
            <w:r>
              <w:rPr>
                <w:color w:val="auto"/>
                <w:highlight w:val="none"/>
              </w:rPr>
            </w:r>
          </w:p>
        </w:tc>
        <w:tc>
          <w:tcPr>
            <w:tcW w:w="1417"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w:t>
            </w:r>
            <w:r>
              <w:rPr>
                <w:color w:val="auto"/>
                <w:highlight w:val="none"/>
              </w:rPr>
            </w:r>
            <w:r>
              <w:rPr>
                <w:color w:val="auto"/>
                <w:highlight w:val="none"/>
              </w:rPr>
            </w:r>
          </w:p>
        </w:tc>
        <w:tc>
          <w:tcPr>
            <w:tcW w:w="1276"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12</w:t>
            </w:r>
            <w:r>
              <w:rPr>
                <w:color w:val="auto"/>
                <w:highlight w:val="none"/>
              </w:rPr>
            </w:r>
            <w:r>
              <w:rPr>
                <w:color w:val="auto"/>
                <w:highlight w:val="none"/>
              </w:rPr>
            </w:r>
          </w:p>
        </w:tc>
      </w:tr>
      <w:tr>
        <w:trPr/>
        <w:tc>
          <w:tcPr>
            <w:tcW w:w="250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网络安全运维</w:t>
            </w:r>
            <w:r>
              <w:rPr>
                <w:color w:val="auto"/>
                <w:highlight w:val="none"/>
              </w:rPr>
            </w:r>
            <w:r>
              <w:rPr>
                <w:color w:val="auto"/>
                <w:highlight w:val="none"/>
              </w:rPr>
            </w:r>
          </w:p>
        </w:tc>
        <w:tc>
          <w:tcPr>
            <w:tcW w:w="206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rPr>
                <w:color w:val="auto"/>
                <w:highlight w:val="none"/>
              </w:rPr>
            </w:r>
            <w:r>
              <w:rPr>
                <w:color w:val="auto"/>
                <w:highlight w:val="none"/>
              </w:rPr>
            </w:r>
          </w:p>
        </w:tc>
        <w:tc>
          <w:tcPr>
            <w:tcW w:w="1389"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rPr>
                <w:color w:val="auto"/>
                <w:highlight w:val="none"/>
              </w:rPr>
            </w:r>
            <w:r>
              <w:rPr>
                <w:color w:val="auto"/>
                <w:highlight w:val="none"/>
              </w:rPr>
            </w:r>
          </w:p>
        </w:tc>
        <w:tc>
          <w:tcPr>
            <w:tcW w:w="1417"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8</w:t>
            </w:r>
            <w:r>
              <w:rPr>
                <w:color w:val="auto"/>
                <w:highlight w:val="none"/>
              </w:rPr>
            </w:r>
            <w:r>
              <w:rPr>
                <w:color w:val="auto"/>
                <w:highlight w:val="none"/>
              </w:rPr>
            </w:r>
          </w:p>
        </w:tc>
        <w:tc>
          <w:tcPr>
            <w:tcW w:w="1276"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14</w:t>
            </w:r>
            <w:r>
              <w:rPr>
                <w:color w:val="auto"/>
                <w:highlight w:val="none"/>
              </w:rPr>
            </w:r>
            <w:r>
              <w:rPr>
                <w:color w:val="auto"/>
                <w:highlight w:val="none"/>
              </w:rPr>
            </w:r>
          </w:p>
        </w:tc>
      </w:tr>
      <w:tr>
        <w:trPr/>
        <w:tc>
          <w:tcPr>
            <w:tcW w:w="250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虚拟化平台运维</w:t>
            </w:r>
            <w:r>
              <w:rPr>
                <w:color w:val="auto"/>
                <w:highlight w:val="none"/>
              </w:rPr>
            </w:r>
            <w:r>
              <w:rPr>
                <w:color w:val="auto"/>
                <w:highlight w:val="none"/>
              </w:rPr>
            </w:r>
          </w:p>
        </w:tc>
        <w:tc>
          <w:tcPr>
            <w:tcW w:w="206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rPr>
                <w:color w:val="auto"/>
                <w:highlight w:val="none"/>
              </w:rPr>
            </w:r>
            <w:r>
              <w:rPr>
                <w:color w:val="auto"/>
                <w:highlight w:val="none"/>
              </w:rPr>
            </w:r>
          </w:p>
        </w:tc>
        <w:tc>
          <w:tcPr>
            <w:tcW w:w="1389"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rPr>
                <w:color w:val="auto"/>
                <w:highlight w:val="none"/>
              </w:rPr>
            </w:r>
            <w:r>
              <w:rPr>
                <w:color w:val="auto"/>
                <w:highlight w:val="none"/>
              </w:rPr>
            </w:r>
          </w:p>
        </w:tc>
        <w:tc>
          <w:tcPr>
            <w:tcW w:w="1417"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w:t>
            </w:r>
            <w:r>
              <w:rPr>
                <w:color w:val="auto"/>
                <w:highlight w:val="none"/>
              </w:rPr>
            </w:r>
            <w:r>
              <w:rPr>
                <w:color w:val="auto"/>
                <w:highlight w:val="none"/>
              </w:rPr>
            </w:r>
          </w:p>
        </w:tc>
        <w:tc>
          <w:tcPr>
            <w:tcW w:w="1276"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w:t>
            </w:r>
            <w:r>
              <w:rPr>
                <w:color w:val="auto"/>
                <w:highlight w:val="none"/>
              </w:rPr>
            </w:r>
            <w:r>
              <w:rPr>
                <w:color w:val="auto"/>
                <w:highlight w:val="none"/>
              </w:rPr>
            </w:r>
          </w:p>
        </w:tc>
      </w:tr>
      <w:tr>
        <w:trPr/>
        <w:tc>
          <w:tcPr>
            <w:tcW w:w="250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机房环境运维</w:t>
            </w:r>
            <w:r>
              <w:rPr>
                <w:color w:val="auto"/>
                <w:highlight w:val="none"/>
              </w:rPr>
            </w:r>
            <w:r>
              <w:rPr>
                <w:color w:val="auto"/>
                <w:highlight w:val="none"/>
              </w:rPr>
            </w:r>
          </w:p>
        </w:tc>
        <w:tc>
          <w:tcPr>
            <w:tcW w:w="206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rPr>
                <w:color w:val="auto"/>
                <w:highlight w:val="none"/>
              </w:rPr>
            </w:r>
            <w:r>
              <w:rPr>
                <w:color w:val="auto"/>
                <w:highlight w:val="none"/>
              </w:rPr>
            </w:r>
          </w:p>
        </w:tc>
        <w:tc>
          <w:tcPr>
            <w:tcW w:w="1389"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rPr>
                <w:color w:val="auto"/>
                <w:highlight w:val="none"/>
              </w:rPr>
            </w:r>
            <w:r>
              <w:rPr>
                <w:color w:val="auto"/>
                <w:highlight w:val="none"/>
              </w:rPr>
            </w:r>
          </w:p>
        </w:tc>
        <w:tc>
          <w:tcPr>
            <w:tcW w:w="1417"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w:t>
            </w:r>
            <w:r>
              <w:rPr>
                <w:color w:val="auto"/>
                <w:highlight w:val="none"/>
              </w:rPr>
            </w:r>
            <w:r>
              <w:rPr>
                <w:color w:val="auto"/>
                <w:highlight w:val="none"/>
              </w:rPr>
            </w:r>
          </w:p>
        </w:tc>
        <w:tc>
          <w:tcPr>
            <w:tcW w:w="1276"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w:t>
            </w:r>
            <w:r>
              <w:rPr>
                <w:color w:val="auto"/>
                <w:highlight w:val="none"/>
              </w:rPr>
            </w:r>
            <w:r>
              <w:rPr>
                <w:color w:val="auto"/>
                <w:highlight w:val="none"/>
              </w:rPr>
            </w:r>
          </w:p>
        </w:tc>
      </w:tr>
      <w:tr>
        <w:trPr/>
        <w:tc>
          <w:tcPr>
            <w:tcW w:w="250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政务云资源管理</w:t>
            </w:r>
            <w:r>
              <w:rPr>
                <w:color w:val="auto"/>
                <w:highlight w:val="none"/>
              </w:rPr>
            </w:r>
            <w:r>
              <w:rPr>
                <w:color w:val="auto"/>
                <w:highlight w:val="none"/>
              </w:rPr>
            </w:r>
          </w:p>
        </w:tc>
        <w:tc>
          <w:tcPr>
            <w:tcW w:w="206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rPr>
                <w:color w:val="auto"/>
                <w:highlight w:val="none"/>
              </w:rPr>
            </w:r>
            <w:r>
              <w:rPr>
                <w:color w:val="auto"/>
                <w:highlight w:val="none"/>
              </w:rPr>
            </w:r>
          </w:p>
        </w:tc>
        <w:tc>
          <w:tcPr>
            <w:tcW w:w="1389"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0</w:t>
            </w:r>
            <w:r>
              <w:rPr>
                <w:color w:val="auto"/>
                <w:highlight w:val="none"/>
              </w:rPr>
            </w:r>
            <w:r>
              <w:rPr>
                <w:color w:val="auto"/>
                <w:highlight w:val="none"/>
              </w:rPr>
            </w:r>
          </w:p>
        </w:tc>
        <w:tc>
          <w:tcPr>
            <w:tcW w:w="1417"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rPr>
                <w:color w:val="auto"/>
                <w:highlight w:val="none"/>
              </w:rPr>
            </w:r>
            <w:r>
              <w:rPr>
                <w:color w:val="auto"/>
                <w:highlight w:val="none"/>
              </w:rPr>
            </w:r>
          </w:p>
        </w:tc>
        <w:tc>
          <w:tcPr>
            <w:tcW w:w="1276"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6</w:t>
            </w:r>
            <w:r>
              <w:rPr>
                <w:color w:val="auto"/>
                <w:highlight w:val="none"/>
              </w:rPr>
            </w:r>
            <w:r>
              <w:rPr>
                <w:color w:val="auto"/>
                <w:highlight w:val="none"/>
              </w:rPr>
            </w:r>
          </w:p>
        </w:tc>
      </w:tr>
      <w:tr>
        <w:trPr/>
        <w:tc>
          <w:tcPr>
            <w:tcW w:w="250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视频会议系统运维</w:t>
            </w:r>
            <w:r>
              <w:rPr>
                <w:color w:val="auto"/>
                <w:highlight w:val="none"/>
              </w:rPr>
            </w:r>
            <w:r>
              <w:rPr>
                <w:color w:val="auto"/>
                <w:highlight w:val="none"/>
              </w:rPr>
            </w:r>
          </w:p>
        </w:tc>
        <w:tc>
          <w:tcPr>
            <w:tcW w:w="206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w:t>
            </w:r>
            <w:r>
              <w:rPr>
                <w:color w:val="auto"/>
                <w:highlight w:val="none"/>
              </w:rPr>
            </w:r>
            <w:r>
              <w:rPr>
                <w:color w:val="auto"/>
                <w:highlight w:val="none"/>
              </w:rPr>
            </w:r>
          </w:p>
        </w:tc>
        <w:tc>
          <w:tcPr>
            <w:tcW w:w="1389"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0</w:t>
            </w:r>
            <w:r>
              <w:rPr>
                <w:color w:val="auto"/>
                <w:highlight w:val="none"/>
              </w:rPr>
            </w:r>
            <w:r>
              <w:rPr>
                <w:color w:val="auto"/>
                <w:highlight w:val="none"/>
              </w:rPr>
            </w:r>
          </w:p>
        </w:tc>
        <w:tc>
          <w:tcPr>
            <w:tcW w:w="1417"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rPr>
                <w:color w:val="auto"/>
                <w:highlight w:val="none"/>
              </w:rPr>
            </w:r>
            <w:r>
              <w:rPr>
                <w:color w:val="auto"/>
                <w:highlight w:val="none"/>
              </w:rPr>
            </w:r>
          </w:p>
        </w:tc>
        <w:tc>
          <w:tcPr>
            <w:tcW w:w="1276"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7</w:t>
            </w:r>
            <w:r>
              <w:rPr>
                <w:color w:val="auto"/>
                <w:highlight w:val="none"/>
              </w:rPr>
            </w:r>
            <w:r>
              <w:rPr>
                <w:color w:val="auto"/>
                <w:highlight w:val="none"/>
              </w:rPr>
            </w:r>
          </w:p>
        </w:tc>
      </w:tr>
      <w:tr>
        <w:trPr/>
        <w:tc>
          <w:tcPr>
            <w:tcW w:w="250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办公终端运维</w:t>
            </w:r>
            <w:r>
              <w:rPr>
                <w:color w:val="auto"/>
                <w:highlight w:val="none"/>
              </w:rPr>
            </w:r>
            <w:r>
              <w:rPr>
                <w:color w:val="auto"/>
                <w:highlight w:val="none"/>
              </w:rPr>
            </w:r>
          </w:p>
        </w:tc>
        <w:tc>
          <w:tcPr>
            <w:tcW w:w="206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w:t>
            </w:r>
            <w:r>
              <w:rPr>
                <w:color w:val="auto"/>
                <w:highlight w:val="none"/>
              </w:rPr>
            </w:r>
            <w:r>
              <w:rPr>
                <w:color w:val="auto"/>
                <w:highlight w:val="none"/>
              </w:rPr>
            </w:r>
          </w:p>
        </w:tc>
        <w:tc>
          <w:tcPr>
            <w:tcW w:w="1389"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0</w:t>
            </w:r>
            <w:r>
              <w:rPr>
                <w:color w:val="auto"/>
                <w:highlight w:val="none"/>
              </w:rPr>
            </w:r>
            <w:r>
              <w:rPr>
                <w:color w:val="auto"/>
                <w:highlight w:val="none"/>
              </w:rPr>
            </w:r>
          </w:p>
        </w:tc>
        <w:tc>
          <w:tcPr>
            <w:tcW w:w="1417"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rPr>
                <w:color w:val="auto"/>
                <w:highlight w:val="none"/>
              </w:rPr>
            </w:r>
            <w:r>
              <w:rPr>
                <w:color w:val="auto"/>
                <w:highlight w:val="none"/>
              </w:rPr>
            </w:r>
          </w:p>
        </w:tc>
        <w:tc>
          <w:tcPr>
            <w:tcW w:w="1276"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7</w:t>
            </w:r>
            <w:r>
              <w:rPr>
                <w:color w:val="auto"/>
                <w:highlight w:val="none"/>
              </w:rPr>
            </w:r>
            <w:r>
              <w:rPr>
                <w:color w:val="auto"/>
                <w:highlight w:val="none"/>
              </w:rPr>
            </w:r>
          </w:p>
        </w:tc>
      </w:tr>
      <w:tr>
        <w:trPr/>
        <w:tc>
          <w:tcPr>
            <w:tcW w:w="250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安全软件授权延期</w:t>
            </w:r>
            <w:r>
              <w:rPr>
                <w:color w:val="auto"/>
                <w:highlight w:val="none"/>
              </w:rPr>
            </w:r>
            <w:r>
              <w:rPr>
                <w:color w:val="auto"/>
                <w:highlight w:val="none"/>
              </w:rPr>
            </w:r>
          </w:p>
        </w:tc>
        <w:tc>
          <w:tcPr>
            <w:tcW w:w="206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w:t>
            </w:r>
            <w:r>
              <w:rPr>
                <w:color w:val="auto"/>
                <w:highlight w:val="none"/>
              </w:rPr>
            </w:r>
            <w:r>
              <w:rPr>
                <w:color w:val="auto"/>
                <w:highlight w:val="none"/>
              </w:rPr>
            </w:r>
          </w:p>
        </w:tc>
        <w:tc>
          <w:tcPr>
            <w:tcW w:w="1389"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0</w:t>
            </w:r>
            <w:r>
              <w:rPr>
                <w:color w:val="auto"/>
                <w:highlight w:val="none"/>
              </w:rPr>
            </w:r>
            <w:r>
              <w:rPr>
                <w:color w:val="auto"/>
                <w:highlight w:val="none"/>
              </w:rPr>
            </w:r>
          </w:p>
        </w:tc>
        <w:tc>
          <w:tcPr>
            <w:tcW w:w="1417"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0</w:t>
            </w:r>
            <w:r>
              <w:rPr>
                <w:color w:val="auto"/>
                <w:highlight w:val="none"/>
              </w:rPr>
            </w:r>
            <w:r>
              <w:rPr>
                <w:color w:val="auto"/>
                <w:highlight w:val="none"/>
              </w:rPr>
            </w:r>
          </w:p>
        </w:tc>
        <w:tc>
          <w:tcPr>
            <w:tcW w:w="1276"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w:t>
            </w:r>
            <w:r>
              <w:rPr>
                <w:color w:val="auto"/>
                <w:highlight w:val="none"/>
              </w:rPr>
            </w:r>
            <w:r>
              <w:rPr>
                <w:color w:val="auto"/>
                <w:highlight w:val="none"/>
              </w:rPr>
            </w:r>
          </w:p>
        </w:tc>
      </w:tr>
      <w:tr>
        <w:trPr/>
        <w:tc>
          <w:tcPr>
            <w:tcW w:w="250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备品备件</w:t>
            </w:r>
            <w:r>
              <w:rPr>
                <w:color w:val="auto"/>
                <w:highlight w:val="none"/>
              </w:rPr>
            </w:r>
            <w:r>
              <w:rPr>
                <w:color w:val="auto"/>
                <w:highlight w:val="none"/>
              </w:rPr>
            </w:r>
          </w:p>
        </w:tc>
        <w:tc>
          <w:tcPr>
            <w:tcW w:w="206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w:t>
            </w:r>
            <w:r>
              <w:rPr>
                <w:color w:val="auto"/>
                <w:highlight w:val="none"/>
              </w:rPr>
            </w:r>
            <w:r>
              <w:rPr>
                <w:color w:val="auto"/>
                <w:highlight w:val="none"/>
              </w:rPr>
            </w:r>
          </w:p>
        </w:tc>
        <w:tc>
          <w:tcPr>
            <w:tcW w:w="1389"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0</w:t>
            </w:r>
            <w:r>
              <w:rPr>
                <w:color w:val="auto"/>
                <w:highlight w:val="none"/>
              </w:rPr>
            </w:r>
            <w:r>
              <w:rPr>
                <w:color w:val="auto"/>
                <w:highlight w:val="none"/>
              </w:rPr>
            </w:r>
          </w:p>
        </w:tc>
        <w:tc>
          <w:tcPr>
            <w:tcW w:w="1417"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0</w:t>
            </w:r>
            <w:r>
              <w:rPr>
                <w:color w:val="auto"/>
                <w:highlight w:val="none"/>
              </w:rPr>
            </w:r>
            <w:r>
              <w:rPr>
                <w:color w:val="auto"/>
                <w:highlight w:val="none"/>
              </w:rPr>
            </w:r>
          </w:p>
        </w:tc>
        <w:tc>
          <w:tcPr>
            <w:tcW w:w="1276"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w:t>
            </w:r>
            <w:r>
              <w:rPr>
                <w:color w:val="auto"/>
                <w:highlight w:val="none"/>
              </w:rPr>
            </w:r>
            <w:r>
              <w:rPr>
                <w:color w:val="auto"/>
                <w:highlight w:val="none"/>
              </w:rPr>
            </w:r>
          </w:p>
        </w:tc>
      </w:tr>
      <w:tr>
        <w:trPr/>
        <w:tc>
          <w:tcPr>
            <w:tcW w:w="250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合计</w:t>
            </w:r>
            <w:r>
              <w:rPr>
                <w:color w:val="auto"/>
                <w:highlight w:val="none"/>
              </w:rPr>
            </w:r>
            <w:r>
              <w:rPr>
                <w:color w:val="auto"/>
                <w:highlight w:val="none"/>
              </w:rPr>
            </w:r>
          </w:p>
        </w:tc>
        <w:tc>
          <w:tcPr>
            <w:tcW w:w="2060"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41</w:t>
            </w:r>
            <w:r>
              <w:rPr>
                <w:color w:val="auto"/>
                <w:highlight w:val="none"/>
              </w:rPr>
            </w:r>
            <w:r>
              <w:rPr>
                <w:color w:val="auto"/>
                <w:highlight w:val="none"/>
              </w:rPr>
            </w:r>
          </w:p>
        </w:tc>
        <w:tc>
          <w:tcPr>
            <w:tcW w:w="1389"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20</w:t>
            </w:r>
            <w:r>
              <w:rPr>
                <w:color w:val="auto"/>
                <w:highlight w:val="none"/>
              </w:rPr>
            </w:r>
            <w:r>
              <w:rPr>
                <w:color w:val="auto"/>
                <w:highlight w:val="none"/>
              </w:rPr>
            </w:r>
          </w:p>
        </w:tc>
        <w:tc>
          <w:tcPr>
            <w:tcW w:w="1417"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39</w:t>
            </w:r>
            <w:r>
              <w:rPr>
                <w:color w:val="auto"/>
                <w:highlight w:val="none"/>
              </w:rPr>
            </w:r>
            <w:r>
              <w:rPr>
                <w:color w:val="auto"/>
                <w:highlight w:val="none"/>
              </w:rPr>
            </w:r>
          </w:p>
        </w:tc>
        <w:tc>
          <w:tcPr>
            <w:tcW w:w="1276" w:type="dxa"/>
            <w:vAlign w:val="bottom"/>
            <w:textDirection w:val="lrTb"/>
            <w:noWrap/>
          </w:tcPr>
          <w:p>
            <w:pPr>
              <w:pStyle w:val="808"/>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100</w:t>
            </w:r>
            <w:r>
              <w:rPr>
                <w:color w:val="auto"/>
                <w:highlight w:val="none"/>
              </w:rPr>
            </w:r>
            <w:r>
              <w:rPr>
                <w:color w:val="auto"/>
                <w:highlight w:val="none"/>
              </w:rPr>
            </w:r>
          </w:p>
        </w:tc>
      </w:tr>
    </w:tbl>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考核结果为合格的，全额支付当期合同款，限期整改存在问题；考核结果为基本合格的，支付当期合同款的70%（剩余30%合同款予以扣除），限期整改存在问题；考核结果为不合格的，当期合同款全部予以扣除，限期整改存在问题；连续两次考核结果为不合格的，解除合同。</w:t>
      </w:r>
      <w:r>
        <w:rPr>
          <w:color w:val="auto"/>
          <w:highlight w:val="none"/>
        </w:rPr>
      </w:r>
      <w:r>
        <w:rPr>
          <w:color w:val="auto"/>
          <w:highlight w:val="none"/>
        </w:rPr>
      </w:r>
    </w:p>
    <w:p>
      <w:pPr>
        <w:pStyle w:val="808"/>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5.整体服务要求</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5.1  </w:t>
      </w:r>
      <w:r>
        <w:rPr>
          <w:rFonts w:hint="eastAsia" w:ascii="宋体" w:hAnsi="宋体"/>
          <w:bCs/>
          <w:color w:val="auto"/>
          <w:sz w:val="24"/>
          <w:szCs w:val="24"/>
          <w:highlight w:val="none"/>
        </w:rPr>
        <w:t xml:space="preserve">本项目物联网机房服务地址为无锡经济开发区太湖街道周新东路123号无锡市环境监控中心物联网机房，政务云资源位于无锡联通华东云数据中心或其他市大数据局安排部署的政务云机房，终端运维服务地址为无锡市观山路199号市民中心11号楼3层。</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5.2  </w:t>
      </w:r>
      <w:r>
        <w:rPr>
          <w:rFonts w:hint="eastAsia" w:ascii="宋体" w:hAnsi="宋体"/>
          <w:bCs/>
          <w:color w:val="auto"/>
          <w:sz w:val="24"/>
          <w:szCs w:val="24"/>
          <w:highlight w:val="none"/>
        </w:rPr>
        <w:t xml:space="preserve">中标单位负责对我单位网络系统、服务器系统、存储系统、虚拟化平台、网络安全系统、数据备份系统、视频会议系统、办公设备、音视频系统设备等相关软硬件系统设备进行日常维护服务，确保各项系统安全稳定的运行；中标单位需建立专门的系统维护档案，要做出保修设备的详细配置清单、所使用的操作系统、版本号、系统的使用情况及系统的配置参数，每次巡检为每台保修设备填写巡检表，记录设备的运行情况、出现过的问题和解决办法、设备的配置变动等情况等。</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5.3  </w:t>
      </w:r>
      <w:r>
        <w:rPr>
          <w:rFonts w:hint="eastAsia" w:ascii="宋体" w:hAnsi="宋体"/>
          <w:bCs/>
          <w:color w:val="auto"/>
          <w:sz w:val="24"/>
          <w:szCs w:val="24"/>
          <w:highlight w:val="none"/>
        </w:rPr>
        <w:t xml:space="preserve">中标单位须有3名（含）以上具有综合硬件集成或运维背景的专职运维工程师驻场，驻场工程师具有5年（含）以上相关工作经验，熟悉现有硬件系统部署，精通服务器、存储、网络、网络安全、虚拟化、数据备份、视频会议系统、操作系统、机房精密空调、UPS、电脑终端、打印机等设备及系统的维护，熟练掌握各型号设备的配置方法，能够独立完成操作及系统保障工作。驻场工程师接受采购单位的考勤管理，</w:t>
      </w:r>
      <w:r>
        <w:rPr>
          <w:rFonts w:hint="eastAsia" w:ascii="宋体" w:hAnsi="宋体"/>
          <w:bCs/>
          <w:color w:val="auto"/>
          <w:sz w:val="24"/>
          <w:szCs w:val="24"/>
          <w:highlight w:val="none"/>
        </w:rPr>
        <w:t xml:space="preserve">承担系统运行维护工作及采购单位分派的其他相关业务工作。</w:t>
      </w:r>
      <w:r>
        <w:rPr>
          <w:rFonts w:hint="eastAsia" w:ascii="宋体" w:hAnsi="宋体"/>
          <w:bCs/>
          <w:color w:val="auto"/>
          <w:sz w:val="24"/>
          <w:szCs w:val="24"/>
          <w:highlight w:val="none"/>
        </w:rPr>
        <w:t xml:space="preserve">中标并合同签订生效后，中标</w:t>
      </w:r>
      <w:r>
        <w:rPr>
          <w:rFonts w:hint="eastAsia" w:ascii="宋体" w:hAnsi="宋体"/>
          <w:bCs/>
          <w:color w:val="auto"/>
          <w:sz w:val="24"/>
          <w:szCs w:val="24"/>
          <w:highlight w:val="none"/>
        </w:rPr>
        <w:t xml:space="preserve">单位</w:t>
      </w:r>
      <w:r>
        <w:rPr>
          <w:rFonts w:hint="eastAsia" w:ascii="宋体" w:hAnsi="宋体"/>
          <w:bCs/>
          <w:color w:val="auto"/>
          <w:sz w:val="24"/>
          <w:szCs w:val="24"/>
          <w:highlight w:val="none"/>
        </w:rPr>
        <w:t xml:space="preserve">须向采购人提供驻场人员清单备案。</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5.4  </w:t>
      </w:r>
      <w:r>
        <w:rPr>
          <w:rFonts w:hint="eastAsia" w:ascii="宋体" w:hAnsi="宋体"/>
          <w:bCs/>
          <w:color w:val="auto"/>
          <w:sz w:val="24"/>
          <w:szCs w:val="24"/>
          <w:highlight w:val="none"/>
        </w:rPr>
        <w:t xml:space="preserve">中标单位派驻人员不得在内网机上使用上网卡等无线设备非法连接互联网；中标人派驻人员未经信息处许可，不得擅自将自己携带的存有我局数据、敏感信息的计算机（含笔记本电脑）非法接入互联网；中标人派驻人员发生变动后，中标人必须将有关网络安全管理规定明确告知新进人员，并要求其严格执行相关规定。</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5.5  </w:t>
      </w:r>
      <w:r>
        <w:rPr>
          <w:rFonts w:hint="eastAsia" w:ascii="宋体" w:hAnsi="宋体"/>
          <w:bCs/>
          <w:color w:val="auto"/>
          <w:sz w:val="24"/>
          <w:szCs w:val="24"/>
          <w:highlight w:val="none"/>
        </w:rPr>
        <w:t xml:space="preserve">中标单位须与“感知环境、智慧环保”无锡环境监控物联网应用示范工程一期、二期软件运行维护项目服务单位协同开展防病毒、防木马、防攻击、系统补丁升级等网络安全工作及应用环境备份、系统数据备份等数据安全工作，确保运行维护安全方面万无一失。如出现重大安全问题，软、硬件运行维护服务单位须共同承担责任，赔偿采购单位各项损失。</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5.6  </w:t>
      </w:r>
      <w:r>
        <w:rPr>
          <w:rFonts w:hint="eastAsia" w:ascii="宋体" w:hAnsi="宋体"/>
          <w:bCs/>
          <w:color w:val="auto"/>
          <w:sz w:val="24"/>
          <w:szCs w:val="24"/>
          <w:highlight w:val="none"/>
        </w:rPr>
        <w:t xml:space="preserve">本项目的运行维护目标为：7*24小时运维服务，法定节假日或重大活动期间，中标单位应主动提前提供值班工程师名单及联系电话，客户呼叫即时响应并及时到达现场；硬件局部故障24小时内修复，硬件平台级重大故障72小时修复，全年无重大损失性硬件故障（网络瘫痪、数据丢失等）；中标单位须每季度提交系统巡检报告、运维工作总结、下阶段工作计划、系统升级改造建议报告等书面材料，采购单位根据日常运维工作开展情况及书面报告总结材料，对中标单位的工作质效整体评估，评估结果较差的将扣减相应合同款。</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5.7  </w:t>
      </w:r>
      <w:r>
        <w:rPr>
          <w:rFonts w:hint="eastAsia" w:ascii="宋体" w:hAnsi="宋体"/>
          <w:bCs/>
          <w:color w:val="auto"/>
          <w:sz w:val="24"/>
          <w:szCs w:val="24"/>
          <w:highlight w:val="none"/>
        </w:rPr>
        <w:t xml:space="preserve">中标单位在提供服务的过程中，对获悉的一切资讯均须严格保密，不得私自拷贝用户数据，不得将数据给自己或他人使用，如因泄漏数据、擅自使用、允许他人使用数据信息造成损失或社会危害的，中标单位需承担相应的法律责任。</w:t>
      </w:r>
      <w:r>
        <w:rPr>
          <w:color w:val="auto"/>
          <w:highlight w:val="none"/>
        </w:rPr>
      </w:r>
      <w:r>
        <w:rPr>
          <w:color w:val="auto"/>
          <w:highlight w:val="none"/>
        </w:rPr>
      </w:r>
    </w:p>
    <w:p>
      <w:pPr>
        <w:pStyle w:val="808"/>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6.其他要求</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服务期：自合同签订生效之日起一年。</w:t>
      </w:r>
      <w:r>
        <w:rPr>
          <w:color w:val="auto"/>
          <w:highlight w:val="none"/>
        </w:rPr>
      </w:r>
      <w:r>
        <w:rPr>
          <w:color w:val="auto"/>
          <w:highlight w:val="none"/>
        </w:rPr>
      </w:r>
    </w:p>
    <w:p>
      <w:pPr>
        <w:pStyle w:val="808"/>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付款方式：</w:t>
      </w:r>
      <w:r>
        <w:rPr>
          <w:rFonts w:hint="eastAsia" w:ascii="宋体" w:hAnsi="宋体"/>
          <w:bCs/>
          <w:color w:val="auto"/>
          <w:sz w:val="24"/>
          <w:szCs w:val="24"/>
          <w:highlight w:val="none"/>
        </w:rPr>
        <w:t xml:space="preserve">合同签订生效后支付合同总价的50%；服务期满后，运维服务满足合同要求，中标单位提交年度运行维护总结报告，经采购单位审核通过后支付合同总价的50%；</w:t>
      </w:r>
      <w:r>
        <w:rPr>
          <w:color w:val="auto"/>
          <w:highlight w:val="none"/>
        </w:rPr>
      </w:r>
      <w:r>
        <w:rPr>
          <w:color w:val="auto"/>
          <w:highlight w:val="none"/>
        </w:rPr>
      </w:r>
    </w:p>
    <w:p>
      <w:pPr>
        <w:pStyle w:val="808"/>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highlight w:val="none"/>
        </w:rPr>
      </w:r>
      <w:r>
        <w:rPr>
          <w:color w:val="auto"/>
          <w:highlight w:val="none"/>
        </w:rPr>
      </w:r>
    </w:p>
    <w:p>
      <w:pPr>
        <w:pStyle w:val="808"/>
        <w:ind w:firstLine="480"/>
        <w:spacing w:line="360" w:lineRule="auto"/>
        <w:rPr>
          <w:rFonts w:ascii="宋体" w:hAnsi="宋体"/>
          <w:b/>
          <w:color w:val="auto"/>
          <w:sz w:val="30"/>
          <w:szCs w:val="30"/>
          <w:highlight w:val="none"/>
        </w:rPr>
      </w:pPr>
      <w:r>
        <w:rPr>
          <w:rFonts w:ascii="宋体" w:hAnsi="宋体"/>
          <w:bCs/>
          <w:color w:val="auto"/>
          <w:sz w:val="24"/>
          <w:szCs w:val="24"/>
          <w:highlight w:val="none"/>
        </w:rPr>
        <w:br w:type="page" w:clear="all"/>
      </w:r>
      <w:r>
        <w:rPr>
          <w:rFonts w:hint="eastAsia" w:ascii="宋体" w:hAnsi="宋体"/>
          <w:b/>
          <w:color w:val="auto"/>
          <w:sz w:val="30"/>
          <w:szCs w:val="30"/>
          <w:highlight w:val="none"/>
        </w:rPr>
        <w:t xml:space="preserve">第二部分  有关说明</w:t>
      </w:r>
      <w:r>
        <w:rPr>
          <w:color w:val="auto"/>
          <w:highlight w:val="none"/>
        </w:rPr>
      </w:r>
      <w:r>
        <w:rPr>
          <w:color w:val="auto"/>
          <w:highlight w:val="none"/>
        </w:rPr>
      </w:r>
    </w:p>
    <w:p>
      <w:pPr>
        <w:pStyle w:val="808"/>
        <w:numPr>
          <w:ilvl w:val="1"/>
          <w:numId w:val="5"/>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投标总报价包括满足本项目服务要求的从项目中标起到项目正式交付以及服务期内所发生的一切费用。</w:t>
      </w:r>
      <w:r>
        <w:rPr>
          <w:color w:val="auto"/>
          <w:highlight w:val="none"/>
        </w:rPr>
      </w:r>
      <w:r>
        <w:rPr>
          <w:color w:val="auto"/>
          <w:highlight w:val="none"/>
        </w:rPr>
      </w:r>
    </w:p>
    <w:p>
      <w:pPr>
        <w:pStyle w:val="808"/>
        <w:numPr>
          <w:ilvl w:val="1"/>
          <w:numId w:val="5"/>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通过中国海关报关验放进入中国境内且产自关境外的产品不在本项目的报价范围。</w:t>
      </w:r>
      <w:r>
        <w:rPr>
          <w:color w:val="auto"/>
          <w:highlight w:val="none"/>
        </w:rPr>
      </w:r>
      <w:r>
        <w:rPr>
          <w:color w:val="auto"/>
          <w:highlight w:val="none"/>
        </w:rPr>
      </w:r>
    </w:p>
    <w:p>
      <w:pPr>
        <w:pStyle w:val="808"/>
        <w:numPr>
          <w:ilvl w:val="1"/>
          <w:numId w:val="5"/>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color w:val="auto"/>
          <w:highlight w:val="none"/>
        </w:rPr>
      </w:r>
      <w:r>
        <w:rPr>
          <w:color w:val="auto"/>
          <w:highlight w:val="none"/>
        </w:rPr>
      </w:r>
    </w:p>
    <w:p>
      <w:pPr>
        <w:pStyle w:val="808"/>
        <w:numPr>
          <w:ilvl w:val="1"/>
          <w:numId w:val="5"/>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投标人必须在满足招标文件要求的基础上进行报价，如有技术偏离请于投标偏离表中说明。</w:t>
      </w:r>
      <w:r>
        <w:rPr>
          <w:color w:val="auto"/>
          <w:highlight w:val="none"/>
        </w:rPr>
      </w:r>
      <w:r>
        <w:rPr>
          <w:color w:val="auto"/>
          <w:highlight w:val="none"/>
        </w:rPr>
      </w:r>
    </w:p>
    <w:p>
      <w:pPr>
        <w:pStyle w:val="808"/>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ascii="宋体" w:hAnsi="宋体"/>
          <w:bCs/>
          <w:color w:val="auto"/>
          <w:sz w:val="24"/>
          <w:szCs w:val="24"/>
          <w:highlight w:val="none"/>
        </w:rPr>
        <w:t xml:space="preserve">服务期</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详见项目技术要求。</w:t>
      </w:r>
      <w:r>
        <w:rPr>
          <w:color w:val="auto"/>
          <w:highlight w:val="none"/>
        </w:rPr>
      </w:r>
      <w:r>
        <w:rPr>
          <w:color w:val="auto"/>
          <w:highlight w:val="none"/>
        </w:rPr>
      </w:r>
    </w:p>
    <w:p>
      <w:pPr>
        <w:pStyle w:val="808"/>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付款方式：</w:t>
      </w:r>
      <w:r>
        <w:rPr>
          <w:rFonts w:hint="eastAsia" w:ascii="宋体" w:hAnsi="宋体"/>
          <w:bCs/>
          <w:color w:val="auto"/>
          <w:sz w:val="24"/>
          <w:szCs w:val="24"/>
          <w:highlight w:val="none"/>
        </w:rPr>
        <w:t xml:space="preserve">详见项目技术要求。</w:t>
      </w:r>
      <w:r>
        <w:rPr>
          <w:color w:val="auto"/>
          <w:highlight w:val="none"/>
        </w:rPr>
      </w:r>
      <w:r>
        <w:rPr>
          <w:color w:val="auto"/>
          <w:highlight w:val="none"/>
        </w:rPr>
      </w:r>
    </w:p>
    <w:p>
      <w:pPr>
        <w:pStyle w:val="808"/>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auto"/>
          <w:sz w:val="24"/>
          <w:szCs w:val="24"/>
          <w:highlight w:val="none"/>
        </w:rPr>
        <w:t xml:space="preserve">担。政府向社会公众提供的公共服务项目，验收时应当邀请服务对象参与并出具意见，验收结果应当向社会公告。</w:t>
      </w:r>
      <w:r>
        <w:rPr>
          <w:rFonts w:hint="eastAsia"/>
          <w:color w:val="auto"/>
          <w:sz w:val="24"/>
          <w:szCs w:val="24"/>
          <w:highlight w:val="none"/>
        </w:rPr>
        <w:t xml:space="preserve">如有涉及到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auto"/>
          <w:highlight w:val="none"/>
        </w:rPr>
      </w:r>
      <w:r>
        <w:rPr>
          <w:color w:val="auto"/>
          <w:highlight w:val="none"/>
        </w:rPr>
      </w:r>
    </w:p>
    <w:p>
      <w:pPr>
        <w:pStyle w:val="808"/>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rPr>
          <w:color w:val="auto"/>
          <w:highlight w:val="none"/>
        </w:rPr>
      </w:r>
      <w:r>
        <w:rPr>
          <w:color w:val="auto"/>
          <w:highlight w:val="none"/>
        </w:rPr>
      </w:r>
    </w:p>
    <w:p>
      <w:pPr>
        <w:pStyle w:val="808"/>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color w:val="auto"/>
          <w:highlight w:val="none"/>
        </w:rPr>
      </w:r>
      <w:r>
        <w:rPr>
          <w:color w:val="auto"/>
          <w:highlight w:val="none"/>
        </w:rPr>
      </w:r>
    </w:p>
    <w:p>
      <w:pPr>
        <w:pStyle w:val="808"/>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rPr>
          <w:color w:val="auto"/>
          <w:highlight w:val="none"/>
        </w:rPr>
      </w:r>
      <w:r>
        <w:rPr>
          <w:color w:val="auto"/>
          <w:highlight w:val="none"/>
        </w:rPr>
      </w:r>
    </w:p>
    <w:p>
      <w:pPr>
        <w:pStyle w:val="808"/>
        <w:ind w:firstLine="480"/>
        <w:spacing w:line="360" w:lineRule="auto"/>
        <w:rPr>
          <w:rFonts w:hint="eastAsia" w:ascii="宋体" w:hAnsi="宋体"/>
          <w:b/>
          <w:bCs/>
          <w:color w:val="auto"/>
          <w:sz w:val="30"/>
          <w:szCs w:val="30"/>
          <w:highlight w:val="none"/>
        </w:rPr>
      </w:pPr>
      <w:r>
        <w:rPr>
          <w:rFonts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rPr>
          <w:color w:val="auto"/>
          <w:highlight w:val="none"/>
        </w:rPr>
      </w:r>
      <w:r>
        <w:rPr>
          <w:color w:val="auto"/>
          <w:highlight w:val="none"/>
        </w:rPr>
      </w:r>
    </w:p>
    <w:p>
      <w:pPr>
        <w:pStyle w:val="808"/>
        <w:numPr>
          <w:ilvl w:val="1"/>
          <w:numId w:val="6"/>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auto"/>
          <w:highlight w:val="none"/>
        </w:rPr>
      </w:r>
      <w:r>
        <w:rPr>
          <w:color w:val="auto"/>
          <w:highlight w:val="none"/>
        </w:rPr>
      </w:r>
    </w:p>
    <w:p>
      <w:pPr>
        <w:pStyle w:val="808"/>
        <w:numPr>
          <w:ilvl w:val="1"/>
          <w:numId w:val="6"/>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auto"/>
          <w:highlight w:val="none"/>
        </w:rPr>
      </w:r>
      <w:r>
        <w:rPr>
          <w:color w:val="auto"/>
          <w:highlight w:val="none"/>
        </w:rPr>
      </w:r>
    </w:p>
    <w:p>
      <w:pPr>
        <w:pStyle w:val="808"/>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color w:val="auto"/>
          <w:highlight w:val="none"/>
        </w:rPr>
      </w:r>
      <w:r>
        <w:rPr>
          <w:color w:val="auto"/>
          <w:highlight w:val="none"/>
        </w:rPr>
      </w:r>
    </w:p>
    <w:p>
      <w:pPr>
        <w:pStyle w:val="808"/>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rPr>
          <w:color w:val="auto"/>
          <w:highlight w:val="none"/>
        </w:rPr>
      </w:r>
      <w:r>
        <w:rPr>
          <w:color w:val="auto"/>
          <w:highlight w:val="none"/>
        </w:rPr>
      </w:r>
    </w:p>
    <w:p>
      <w:pPr>
        <w:pStyle w:val="808"/>
        <w:numPr>
          <w:ilvl w:val="1"/>
          <w:numId w:val="6"/>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color w:val="auto"/>
          <w:highlight w:val="none"/>
        </w:rPr>
      </w:r>
      <w:r>
        <w:rPr>
          <w:color w:val="auto"/>
          <w:highlight w:val="none"/>
        </w:rPr>
      </w:r>
    </w:p>
    <w:p>
      <w:pPr>
        <w:pStyle w:val="808"/>
        <w:numPr>
          <w:ilvl w:val="1"/>
          <w:numId w:val="6"/>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rPr>
          <w:color w:val="auto"/>
          <w:highlight w:val="none"/>
        </w:rPr>
      </w:r>
      <w:r>
        <w:rPr>
          <w:color w:val="auto"/>
          <w:highlight w:val="none"/>
        </w:rPr>
      </w:r>
    </w:p>
    <w:p>
      <w:pPr>
        <w:pStyle w:val="808"/>
        <w:numPr>
          <w:ilvl w:val="1"/>
          <w:numId w:val="6"/>
        </w:numPr>
        <w:ind w:left="0" w:firstLine="525"/>
        <w:spacing w:line="360" w:lineRule="auto"/>
        <w:tabs>
          <w:tab w:val="left" w:pos="525" w:leader="none"/>
          <w:tab w:val="clear" w:pos="780"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rPr>
          <w:color w:val="auto"/>
          <w:highlight w:val="none"/>
        </w:rPr>
      </w:r>
      <w:r>
        <w:rPr>
          <w:color w:val="auto"/>
          <w:highlight w:val="none"/>
        </w:rPr>
      </w:r>
    </w:p>
    <w:p>
      <w:pPr>
        <w:pStyle w:val="808"/>
        <w:numPr>
          <w:ilvl w:val="1"/>
          <w:numId w:val="6"/>
        </w:numPr>
        <w:ind w:left="0" w:firstLine="525"/>
        <w:spacing w:line="360" w:lineRule="auto"/>
        <w:tabs>
          <w:tab w:val="left" w:pos="525" w:leader="none"/>
          <w:tab w:val="clear" w:pos="780"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color w:val="auto"/>
          <w:highlight w:val="none"/>
        </w:rPr>
      </w:r>
      <w:r>
        <w:rPr>
          <w:color w:val="auto"/>
          <w:highlight w:val="none"/>
        </w:rPr>
      </w:r>
    </w:p>
    <w:p>
      <w:pPr>
        <w:pStyle w:val="808"/>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中标、成交供应商可以采用电子履约保函形式，具体操作可登陆江苏政府采购网的保险保函模块进行办理。</w:t>
      </w:r>
      <w:r>
        <w:rPr>
          <w:color w:val="auto"/>
          <w:highlight w:val="none"/>
        </w:rPr>
      </w:r>
      <w:r>
        <w:rPr>
          <w:color w:val="auto"/>
          <w:highlight w:val="none"/>
        </w:rPr>
      </w:r>
    </w:p>
    <w:p>
      <w:pPr>
        <w:pStyle w:val="808"/>
        <w:numPr>
          <w:ilvl w:val="1"/>
          <w:numId w:val="6"/>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auto"/>
          <w:sz w:val="24"/>
          <w:szCs w:val="24"/>
          <w:highlight w:val="none"/>
        </w:rPr>
        <w:t xml:space="preserve">《需求标准》详见财库〔2023〕29号、30号、31号、32号、33号、34号、35号。</w:t>
      </w:r>
      <w:r>
        <w:rPr>
          <w:rFonts w:hint="eastAsia" w:ascii="宋体" w:hAnsi="宋体" w:cs="宋体"/>
          <w:color w:val="auto"/>
          <w:sz w:val="24"/>
          <w:szCs w:val="24"/>
          <w:highlight w:val="none"/>
        </w:rPr>
        <w:t xml:space="preserve">在满足《需求标准》的</w:t>
      </w:r>
      <w:r>
        <w:rPr>
          <w:rFonts w:hint="eastAsia" w:ascii="宋体" w:hAnsi="宋体" w:cs="宋体"/>
          <w:color w:val="auto"/>
          <w:sz w:val="24"/>
          <w:szCs w:val="24"/>
          <w:highlight w:val="none"/>
        </w:rPr>
        <w:t xml:space="preserve">前提</w:t>
      </w:r>
      <w:r>
        <w:rPr>
          <w:rFonts w:hint="eastAsia" w:ascii="宋体" w:hAnsi="宋体" w:cs="宋体"/>
          <w:color w:val="auto"/>
          <w:sz w:val="24"/>
          <w:szCs w:val="24"/>
          <w:highlight w:val="none"/>
        </w:rPr>
        <w:t xml:space="preserve">下，如招标文件中有其他要求的，投标人应</w:t>
      </w:r>
      <w:r>
        <w:rPr>
          <w:rFonts w:hint="eastAsia" w:ascii="宋体" w:hAnsi="宋体" w:cs="宋体"/>
          <w:color w:val="auto"/>
          <w:sz w:val="24"/>
          <w:szCs w:val="24"/>
          <w:highlight w:val="none"/>
        </w:rPr>
        <w:t xml:space="preserve">满足</w:t>
      </w:r>
      <w:r>
        <w:rPr>
          <w:rFonts w:hint="eastAsia" w:ascii="宋体" w:hAnsi="宋体" w:cs="宋体"/>
          <w:color w:val="auto"/>
          <w:sz w:val="24"/>
          <w:szCs w:val="24"/>
          <w:highlight w:val="none"/>
        </w:rPr>
        <w:t xml:space="preserve">招标文件要求。</w:t>
      </w:r>
      <w:r>
        <w:rPr>
          <w:rFonts w:hint="eastAsia" w:ascii="宋体"/>
          <w:bCs/>
          <w:color w:val="auto"/>
          <w:sz w:val="24"/>
          <w:szCs w:val="24"/>
          <w:highlight w:val="none"/>
        </w:rPr>
        <w:t xml:space="preserve">采购人可在合同中约定</w:t>
      </w:r>
      <w:r>
        <w:rPr>
          <w:rFonts w:hint="eastAsia" w:ascii="宋体"/>
          <w:bCs/>
          <w:color w:val="auto"/>
          <w:sz w:val="24"/>
          <w:szCs w:val="24"/>
          <w:highlight w:val="none"/>
        </w:rPr>
        <w:t xml:space="preserve">，</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w:t>
      </w:r>
      <w:r>
        <w:rPr>
          <w:rFonts w:hint="eastAsia" w:ascii="宋体"/>
          <w:bCs/>
          <w:color w:val="auto"/>
          <w:sz w:val="24"/>
          <w:szCs w:val="24"/>
          <w:highlight w:val="none"/>
        </w:rPr>
        <w:t xml:space="preserve">可</w:t>
      </w:r>
      <w:r>
        <w:rPr>
          <w:rFonts w:hint="eastAsia" w:ascii="宋体"/>
          <w:bCs/>
          <w:color w:val="auto"/>
          <w:sz w:val="24"/>
          <w:szCs w:val="24"/>
          <w:highlight w:val="none"/>
        </w:rPr>
        <w:t xml:space="preserve">对所提供的七种软硬件进行验收，必要时</w:t>
      </w:r>
      <w:r>
        <w:rPr>
          <w:rFonts w:hint="eastAsia" w:ascii="宋体"/>
          <w:bCs/>
          <w:color w:val="auto"/>
          <w:sz w:val="24"/>
          <w:szCs w:val="24"/>
          <w:highlight w:val="none"/>
        </w:rPr>
        <w:t xml:space="preserve">可以</w:t>
      </w:r>
      <w:r>
        <w:rPr>
          <w:rFonts w:hint="eastAsia" w:ascii="宋体"/>
          <w:bCs/>
          <w:color w:val="auto"/>
          <w:sz w:val="24"/>
          <w:szCs w:val="24"/>
          <w:highlight w:val="none"/>
        </w:rPr>
        <w:t xml:space="preserve">委托依法取得检测、认证资质的机构进行检测、认证。</w:t>
      </w:r>
      <w:r>
        <w:rPr>
          <w:color w:val="auto"/>
          <w:highlight w:val="none"/>
        </w:rPr>
      </w:r>
      <w:r>
        <w:rPr>
          <w:color w:val="auto"/>
          <w:highlight w:val="none"/>
        </w:rPr>
      </w:r>
    </w:p>
    <w:p>
      <w:pPr>
        <w:pStyle w:val="808"/>
        <w:numPr>
          <w:ilvl w:val="1"/>
          <w:numId w:val="6"/>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w:t>
      </w:r>
      <w:r>
        <w:rPr>
          <w:rFonts w:hint="eastAsia" w:ascii="宋体"/>
          <w:bCs/>
          <w:color w:val="auto"/>
          <w:sz w:val="24"/>
          <w:szCs w:val="24"/>
          <w:highlight w:val="none"/>
        </w:rPr>
        <w:t xml:space="preserve">苏财办购〔2024〕1号</w:t>
      </w:r>
      <w:r>
        <w:rPr>
          <w:rFonts w:hint="eastAsia" w:ascii="宋体"/>
          <w:bCs/>
          <w:color w:val="auto"/>
          <w:sz w:val="24"/>
          <w:szCs w:val="24"/>
          <w:highlight w:val="none"/>
        </w:rPr>
        <w:t xml:space="preserve">相关</w:t>
      </w:r>
      <w:r>
        <w:rPr>
          <w:rFonts w:hint="eastAsia" w:ascii="宋体"/>
          <w:bCs/>
          <w:color w:val="auto"/>
          <w:sz w:val="24"/>
          <w:szCs w:val="24"/>
          <w:highlight w:val="none"/>
        </w:rPr>
        <w:t xml:space="preserve">要求</w:t>
      </w:r>
      <w:r>
        <w:rPr>
          <w:rFonts w:hint="eastAsia" w:ascii="宋体"/>
          <w:bCs/>
          <w:color w:val="auto"/>
          <w:sz w:val="24"/>
          <w:szCs w:val="24"/>
          <w:highlight w:val="none"/>
        </w:rPr>
        <w:t xml:space="preserve">，采购人应当严格按照政府采购法有关规定，在中标、成交通知书发出之日起30日内，按照采购文件确定的事项与中标、成交供应商签订政府采购合同</w:t>
      </w:r>
      <w:r>
        <w:rPr>
          <w:rFonts w:hint="eastAsia" w:ascii="宋体"/>
          <w:bCs/>
          <w:color w:val="auto"/>
          <w:sz w:val="24"/>
          <w:szCs w:val="24"/>
          <w:highlight w:val="none"/>
        </w:rPr>
        <w:t xml:space="preserve">。采购人因不可抗力原因迟延签订合同的，应当自不可抗力事由消除之日起7日内完成合同签订事宜。</w:t>
      </w:r>
      <w:r>
        <w:rPr>
          <w:color w:val="auto"/>
          <w:highlight w:val="none"/>
        </w:rPr>
      </w:r>
      <w:r>
        <w:rPr>
          <w:color w:val="auto"/>
          <w:highlight w:val="none"/>
        </w:rPr>
      </w:r>
    </w:p>
    <w:p>
      <w:pPr>
        <w:pStyle w:val="80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color w:val="auto"/>
          <w:highlight w:val="none"/>
        </w:rPr>
      </w:r>
      <w:r>
        <w:rPr>
          <w:color w:val="auto"/>
          <w:highlight w:val="none"/>
        </w:rPr>
      </w:r>
    </w:p>
    <w:p>
      <w:pPr>
        <w:pStyle w:val="80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采购人原则上应当自收到发票后10</w:t>
      </w:r>
      <w:r>
        <w:rPr>
          <w:rFonts w:hint="eastAsia" w:ascii="宋体"/>
          <w:bCs/>
          <w:color w:val="auto"/>
          <w:sz w:val="24"/>
          <w:szCs w:val="24"/>
          <w:highlight w:val="none"/>
          <w:lang w:val="en"/>
        </w:rPr>
        <w:t xml:space="preserve">个工作日内将资金支付到合同约定的供应商账户</w:t>
      </w:r>
      <w:r>
        <w:rPr>
          <w:rFonts w:hint="eastAsia" w:ascii="宋体"/>
          <w:bCs/>
          <w:color w:val="auto"/>
          <w:sz w:val="24"/>
          <w:szCs w:val="24"/>
          <w:highlight w:val="none"/>
          <w:lang w:val="en"/>
        </w:rPr>
        <w:t xml:space="preserve">。</w:t>
      </w:r>
      <w:r>
        <w:rPr>
          <w:color w:val="auto"/>
          <w:highlight w:val="none"/>
        </w:rPr>
      </w:r>
      <w:r>
        <w:rPr>
          <w:color w:val="auto"/>
          <w:highlight w:val="none"/>
        </w:rPr>
      </w:r>
    </w:p>
    <w:p>
      <w:pPr>
        <w:pStyle w:val="808"/>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ascii="宋体"/>
          <w:bCs/>
          <w:color w:val="auto"/>
          <w:sz w:val="24"/>
          <w:szCs w:val="24"/>
          <w:highlight w:val="none"/>
        </w:rPr>
        <w:br w:type="page" w:clear="all"/>
      </w:r>
      <w:bookmarkStart w:id="214" w:name="_Toc120614281"/>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rPr>
          <w:color w:val="auto"/>
          <w:highlight w:val="none"/>
        </w:rPr>
      </w:r>
      <w:r>
        <w:rPr>
          <w:color w:val="auto"/>
          <w:highlight w:val="none"/>
        </w:rPr>
      </w:r>
    </w:p>
    <w:p>
      <w:pPr>
        <w:pStyle w:val="896"/>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评标方法</w:t>
      </w:r>
      <w:r>
        <w:rPr>
          <w:color w:val="auto"/>
          <w:highlight w:val="none"/>
        </w:rPr>
      </w:r>
      <w:r>
        <w:rPr>
          <w:color w:val="auto"/>
          <w:highlight w:val="none"/>
        </w:rPr>
      </w:r>
    </w:p>
    <w:p>
      <w:pPr>
        <w:pStyle w:val="896"/>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rPr>
          <w:color w:val="auto"/>
          <w:highlight w:val="none"/>
        </w:rPr>
      </w:r>
      <w:r>
        <w:rPr>
          <w:color w:val="auto"/>
          <w:highlight w:val="none"/>
        </w:rPr>
      </w:r>
    </w:p>
    <w:p>
      <w:pPr>
        <w:pStyle w:val="896"/>
        <w:spacing w:before="0" w:after="0" w:line="500" w:lineRule="exact"/>
        <w:rPr>
          <w:rFonts w:hint="eastAsia" w:cs="Arial"/>
          <w:color w:val="auto"/>
          <w:highlight w:val="none"/>
        </w:rPr>
      </w:pPr>
      <w:r>
        <w:rPr>
          <w:rFonts w:hint="eastAsia" w:cs="Arial"/>
          <w:color w:val="auto"/>
          <w:highlight w:val="none"/>
        </w:rPr>
        <w:t xml:space="preserve">比较与评价采用综合评分法。</w:t>
      </w:r>
      <w:r>
        <w:rPr>
          <w:color w:val="auto"/>
          <w:highlight w:val="none"/>
        </w:rPr>
      </w:r>
      <w:r>
        <w:rPr>
          <w:color w:val="auto"/>
          <w:highlight w:val="none"/>
        </w:rPr>
      </w:r>
    </w:p>
    <w:p>
      <w:pPr>
        <w:pStyle w:val="896"/>
        <w:spacing w:before="0" w:after="0" w:line="500" w:lineRule="exact"/>
        <w:rPr>
          <w:rStyle w:val="885"/>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w:t>
      </w:r>
      <w:r>
        <w:rPr>
          <w:rFonts w:hint="eastAsia" w:ascii="宋体" w:hAnsi="宋体"/>
          <w:bCs/>
          <w:color w:val="auto"/>
          <w:highlight w:val="none"/>
        </w:rPr>
        <w:t xml:space="preserve">一，以此类推，</w:t>
      </w:r>
      <w:r>
        <w:rPr>
          <w:rFonts w:hint="eastAsia" w:ascii="宋体" w:hAnsi="宋体"/>
          <w:bCs/>
          <w:color w:val="auto"/>
          <w:highlight w:val="none"/>
        </w:rPr>
        <w:t xml:space="preserve">按排名先后顺序选取3名中标候选人。</w:t>
      </w:r>
      <w:r>
        <w:rPr>
          <w:color w:val="auto"/>
          <w:highlight w:val="none"/>
        </w:rPr>
      </w:r>
      <w:r>
        <w:rPr>
          <w:color w:val="auto"/>
          <w:highlight w:val="none"/>
        </w:rPr>
      </w:r>
    </w:p>
    <w:p>
      <w:pPr>
        <w:pStyle w:val="896"/>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color w:val="auto"/>
          <w:highlight w:val="none"/>
        </w:rPr>
      </w:r>
      <w:r>
        <w:rPr>
          <w:color w:val="auto"/>
          <w:highlight w:val="none"/>
        </w:rPr>
      </w:r>
    </w:p>
    <w:p>
      <w:pPr>
        <w:pStyle w:val="896"/>
        <w:spacing w:before="0" w:after="0" w:line="500" w:lineRule="exact"/>
        <w:rPr>
          <w:rFonts w:hint="eastAsia" w:cs="Arial"/>
          <w:color w:val="auto"/>
          <w:highlight w:val="none"/>
          <w:shd w:val="clear" w:color="ffffff" w:fill="d9d9d9"/>
        </w:rPr>
      </w:pPr>
      <w:r>
        <w:rPr>
          <w:rFonts w:hint="eastAsia" w:ascii="宋体" w:hAnsi="宋体" w:cs="Arial"/>
          <w:color w:val="auto"/>
          <w:highlight w:val="none"/>
        </w:rPr>
        <w:t xml:space="preserve">本项目分为两个采购包，评标时评标委员会将根据招标文件规定的评标方法与评标标准，并按照采购包1、采购包2的顺序分别进行评审。</w:t>
      </w:r>
      <w:r>
        <w:rPr>
          <w:rFonts w:hint="eastAsia" w:ascii="宋体" w:hAnsi="宋体"/>
          <w:bCs/>
          <w:color w:val="auto"/>
          <w:highlight w:val="none"/>
        </w:rPr>
        <w:t xml:space="preserve">按招标文件规定确定各采购包中标单位。</w:t>
      </w:r>
      <w:r>
        <w:rPr>
          <w:color w:val="auto"/>
          <w:highlight w:val="none"/>
        </w:rPr>
      </w:r>
      <w:r>
        <w:rPr>
          <w:color w:val="auto"/>
          <w:highlight w:val="none"/>
        </w:rPr>
      </w:r>
    </w:p>
    <w:p>
      <w:pPr>
        <w:pStyle w:val="896"/>
        <w:spacing w:before="0" w:after="0" w:line="500" w:lineRule="exact"/>
        <w:rPr>
          <w:rFonts w:hint="eastAsia"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rPr>
          <w:color w:val="auto"/>
          <w:highlight w:val="none"/>
        </w:rPr>
      </w:r>
      <w:r>
        <w:rPr>
          <w:color w:val="auto"/>
          <w:highlight w:val="none"/>
        </w:rPr>
      </w:r>
    </w:p>
    <w:p>
      <w:pPr>
        <w:pStyle w:val="896"/>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rPr>
          <w:color w:val="auto"/>
          <w:highlight w:val="none"/>
        </w:rPr>
      </w:r>
      <w:r>
        <w:rPr>
          <w:color w:val="auto"/>
          <w:highlight w:val="none"/>
        </w:rPr>
      </w:r>
    </w:p>
    <w:p>
      <w:pPr>
        <w:pStyle w:val="808"/>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rPr>
          <w:color w:val="auto"/>
          <w:highlight w:val="none"/>
        </w:rPr>
      </w:r>
      <w:r>
        <w:rPr>
          <w:color w:val="auto"/>
          <w:highlight w:val="none"/>
        </w:rPr>
      </w:r>
    </w:p>
    <w:p>
      <w:pPr>
        <w:pStyle w:val="808"/>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rPr>
          <w:color w:val="auto"/>
          <w:highlight w:val="none"/>
        </w:rPr>
      </w:r>
      <w:r>
        <w:rPr>
          <w:color w:val="auto"/>
          <w:highlight w:val="none"/>
        </w:rPr>
      </w:r>
    </w:p>
    <w:p>
      <w:pPr>
        <w:pStyle w:val="808"/>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color w:val="auto"/>
          <w:highlight w:val="none"/>
        </w:rPr>
      </w:r>
      <w:r>
        <w:rPr>
          <w:color w:val="auto"/>
          <w:highlight w:val="none"/>
        </w:rPr>
      </w:r>
    </w:p>
    <w:p>
      <w:pPr>
        <w:pStyle w:val="808"/>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color w:val="auto"/>
          <w:highlight w:val="none"/>
        </w:rPr>
      </w:r>
      <w:r>
        <w:rPr>
          <w:color w:val="auto"/>
          <w:highlight w:val="none"/>
        </w:rPr>
      </w:r>
    </w:p>
    <w:p>
      <w:pPr>
        <w:pStyle w:val="808"/>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rPr>
          <w:color w:val="auto"/>
          <w:highlight w:val="none"/>
        </w:rPr>
      </w:r>
      <w:r>
        <w:rPr>
          <w:color w:val="auto"/>
          <w:highlight w:val="none"/>
        </w:rPr>
      </w:r>
    </w:p>
    <w:p>
      <w:pPr>
        <w:pStyle w:val="808"/>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rPr>
          <w:color w:val="auto"/>
          <w:highlight w:val="none"/>
        </w:rPr>
      </w:r>
      <w:r>
        <w:rPr>
          <w:color w:val="auto"/>
          <w:highlight w:val="none"/>
        </w:rPr>
      </w:r>
    </w:p>
    <w:p>
      <w:pPr>
        <w:pStyle w:val="808"/>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96"/>
        <w:ind w:firstLine="360"/>
        <w:spacing w:before="0" w:after="0" w:line="500" w:lineRule="exact"/>
        <w:rPr>
          <w:rFonts w:hint="eastAsia" w:ascii="宋体" w:hAnsi="宋体"/>
          <w:b/>
          <w:color w:val="auto"/>
          <w:sz w:val="28"/>
          <w:szCs w:val="28"/>
          <w:highlight w:val="none"/>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rPr>
          <w:color w:val="auto"/>
          <w:highlight w:val="none"/>
        </w:rPr>
      </w:r>
      <w:r>
        <w:rPr>
          <w:color w:val="auto"/>
          <w:highlight w:val="none"/>
        </w:rPr>
      </w:r>
    </w:p>
    <w:p>
      <w:pPr>
        <w:pStyle w:val="896"/>
        <w:numPr>
          <w:ilvl w:val="0"/>
          <w:numId w:val="17"/>
        </w:numPr>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采购包1评分标准</w:t>
      </w:r>
      <w:r>
        <w:rPr>
          <w:color w:val="auto"/>
          <w:highlight w:val="none"/>
        </w:rPr>
      </w:r>
      <w:r>
        <w:rPr>
          <w:color w:val="auto"/>
          <w:highlight w:val="none"/>
        </w:rPr>
      </w:r>
    </w:p>
    <w:p>
      <w:pPr>
        <w:pStyle w:val="896"/>
        <w:ind w:firstLine="422"/>
        <w:spacing w:before="0" w:after="0" w:line="500" w:lineRule="exact"/>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color w:val="auto"/>
          <w:highlight w:val="none"/>
        </w:rPr>
      </w:r>
      <w:r>
        <w:rPr>
          <w:color w:val="auto"/>
          <w:highlight w:val="none"/>
        </w:rPr>
      </w:r>
    </w:p>
    <w:p>
      <w:pPr>
        <w:pStyle w:val="896"/>
        <w:ind w:firstLine="42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（一）商务部分</w:t>
      </w:r>
      <w:r>
        <w:rPr>
          <w:rFonts w:hint="eastAsia" w:ascii="宋体" w:hAnsi="宋体"/>
          <w:b/>
          <w:color w:val="auto"/>
          <w:sz w:val="28"/>
          <w:szCs w:val="28"/>
          <w:highlight w:val="none"/>
        </w:rPr>
        <w:t xml:space="preserve">（</w:t>
      </w:r>
      <w:r>
        <w:rPr>
          <w:rFonts w:hint="eastAsia" w:ascii="宋体" w:hAnsi="宋体"/>
          <w:b/>
          <w:color w:val="auto"/>
          <w:sz w:val="28"/>
          <w:szCs w:val="28"/>
          <w:highlight w:val="none"/>
        </w:rPr>
        <w:t xml:space="preserve">35</w:t>
      </w:r>
      <w:r>
        <w:rPr>
          <w:rFonts w:hint="eastAsia" w:ascii="宋体" w:hAnsi="宋体"/>
          <w:b/>
          <w:color w:val="auto"/>
          <w:sz w:val="28"/>
          <w:szCs w:val="28"/>
          <w:highlight w:val="none"/>
        </w:rPr>
        <w:t xml:space="preserve">分）</w:t>
      </w:r>
      <w:r>
        <w:rPr>
          <w:color w:val="auto"/>
          <w:highlight w:val="none"/>
        </w:rPr>
      </w:r>
      <w:r>
        <w:rPr>
          <w:color w:val="auto"/>
          <w:highlight w:val="none"/>
        </w:rPr>
      </w:r>
    </w:p>
    <w:p>
      <w:pPr>
        <w:pStyle w:val="808"/>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价格（</w:t>
      </w: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rPr>
        <w:t xml:space="preserve">2</w:t>
      </w:r>
      <w:r>
        <w:rPr>
          <w:rFonts w:hint="eastAsia" w:ascii="宋体" w:hAnsi="宋体"/>
          <w:b/>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rPr>
          <w:color w:val="auto"/>
          <w:highlight w:val="none"/>
        </w:rPr>
      </w:r>
      <w:r>
        <w:rPr>
          <w:color w:val="auto"/>
          <w:highlight w:val="none"/>
        </w:rPr>
      </w:r>
    </w:p>
    <w:p>
      <w:pPr>
        <w:pStyle w:val="808"/>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rPr>
          <w:color w:val="auto"/>
          <w:highlight w:val="none"/>
        </w:rPr>
      </w:r>
      <w:r>
        <w:rPr>
          <w:color w:val="auto"/>
          <w:highlight w:val="none"/>
        </w:rPr>
      </w:r>
    </w:p>
    <w:p>
      <w:pPr>
        <w:pStyle w:val="808"/>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项目人员配置情况（</w:t>
      </w:r>
      <w:r>
        <w:rPr>
          <w:rFonts w:hint="eastAsia" w:ascii="宋体" w:hAnsi="宋体"/>
          <w:b/>
          <w:bCs/>
          <w:color w:val="auto"/>
          <w:sz w:val="24"/>
          <w:szCs w:val="24"/>
          <w:highlight w:val="none"/>
        </w:rPr>
        <w:t xml:space="preserve">13</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考察投标人为本项目配备的</w:t>
      </w:r>
      <w:r>
        <w:rPr>
          <w:rFonts w:hint="eastAsia" w:ascii="宋体" w:hAnsi="宋体"/>
          <w:bCs/>
          <w:color w:val="auto"/>
          <w:sz w:val="24"/>
          <w:szCs w:val="24"/>
          <w:highlight w:val="none"/>
        </w:rPr>
        <w:t xml:space="preserve">驻场</w:t>
      </w:r>
      <w:r>
        <w:rPr>
          <w:rFonts w:hint="eastAsia" w:ascii="宋体" w:hAnsi="宋体"/>
          <w:bCs/>
          <w:color w:val="auto"/>
          <w:sz w:val="24"/>
          <w:szCs w:val="24"/>
          <w:highlight w:val="none"/>
        </w:rPr>
        <w:t xml:space="preserve">人员情况，人员以填列的《项目人员配置清单》为准（格式见附件），并按评分标准要求提供相应证明材料及表格要求提供所填人员社保证明，否则不得分。</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  </w:t>
      </w:r>
      <w:r>
        <w:rPr>
          <w:rFonts w:hint="eastAsia" w:ascii="宋体" w:hAnsi="宋体"/>
          <w:color w:val="auto"/>
          <w:sz w:val="24"/>
          <w:highlight w:val="none"/>
        </w:rPr>
        <w:t xml:space="preserve">项目经理</w:t>
      </w:r>
      <w:r>
        <w:rPr>
          <w:rFonts w:hint="eastAsia" w:ascii="宋体" w:hAnsi="宋体"/>
          <w:color w:val="auto"/>
          <w:sz w:val="24"/>
          <w:highlight w:val="none"/>
        </w:rPr>
        <w:t xml:space="preserve">（5分）：项目经理具有</w:t>
      </w:r>
      <w:r>
        <w:rPr>
          <w:rFonts w:hint="eastAsia" w:ascii="宋体" w:hAnsi="宋体"/>
          <w:color w:val="auto"/>
          <w:sz w:val="24"/>
          <w:highlight w:val="none"/>
        </w:rPr>
        <w:t xml:space="preserve">管理类或计算机类硕士研究生及以上学历</w:t>
      </w:r>
      <w:r>
        <w:rPr>
          <w:rFonts w:hint="eastAsia" w:ascii="宋体" w:hAnsi="宋体"/>
          <w:color w:val="auto"/>
          <w:sz w:val="24"/>
          <w:highlight w:val="none"/>
        </w:rPr>
        <w:t xml:space="preserve">的</w:t>
      </w:r>
      <w:r>
        <w:rPr>
          <w:rFonts w:hint="eastAsia" w:ascii="宋体" w:hAnsi="宋体"/>
          <w:color w:val="auto"/>
          <w:sz w:val="24"/>
          <w:highlight w:val="none"/>
        </w:rPr>
        <w:t xml:space="preserve">得1分</w:t>
      </w:r>
      <w:r>
        <w:rPr>
          <w:rFonts w:hint="eastAsia" w:ascii="宋体" w:hAnsi="宋体"/>
          <w:color w:val="auto"/>
          <w:sz w:val="24"/>
          <w:highlight w:val="none"/>
        </w:rPr>
        <w:t xml:space="preserve">；须提供学历证明扫描件。具有</w:t>
      </w:r>
      <w:r>
        <w:rPr>
          <w:rFonts w:hint="eastAsia" w:ascii="宋体" w:hAnsi="宋体"/>
          <w:color w:val="auto"/>
          <w:sz w:val="24"/>
          <w:highlight w:val="none"/>
        </w:rPr>
        <w:t xml:space="preserve">信息系统项目管理师证书</w:t>
      </w:r>
      <w:r>
        <w:rPr>
          <w:rFonts w:hint="eastAsia" w:ascii="宋体" w:hAnsi="宋体"/>
          <w:color w:val="auto"/>
          <w:sz w:val="24"/>
          <w:highlight w:val="none"/>
        </w:rPr>
        <w:t xml:space="preserve">的</w:t>
      </w:r>
      <w:r>
        <w:rPr>
          <w:rFonts w:hint="eastAsia" w:ascii="宋体" w:hAnsi="宋体"/>
          <w:color w:val="auto"/>
          <w:sz w:val="24"/>
          <w:highlight w:val="none"/>
        </w:rPr>
        <w:t xml:space="preserve">得1分</w:t>
      </w:r>
      <w:r>
        <w:rPr>
          <w:rFonts w:hint="eastAsia" w:ascii="宋体" w:hAnsi="宋体"/>
          <w:color w:val="auto"/>
          <w:sz w:val="24"/>
          <w:highlight w:val="none"/>
        </w:rPr>
        <w:t xml:space="preserve">、</w:t>
      </w:r>
      <w:r>
        <w:rPr>
          <w:rFonts w:hint="eastAsia" w:ascii="宋体" w:hAnsi="宋体"/>
          <w:color w:val="auto"/>
          <w:sz w:val="24"/>
          <w:highlight w:val="none"/>
        </w:rPr>
        <w:t xml:space="preserve">CSPM项目管理专业人员能力评价等级认证2级证书</w:t>
      </w:r>
      <w:r>
        <w:rPr>
          <w:rFonts w:hint="eastAsia" w:ascii="宋体" w:hAnsi="宋体"/>
          <w:color w:val="auto"/>
          <w:sz w:val="24"/>
          <w:highlight w:val="none"/>
        </w:rPr>
        <w:t xml:space="preserve">的</w:t>
      </w:r>
      <w:r>
        <w:rPr>
          <w:rFonts w:hint="eastAsia" w:ascii="宋体" w:hAnsi="宋体"/>
          <w:color w:val="auto"/>
          <w:sz w:val="24"/>
          <w:highlight w:val="none"/>
        </w:rPr>
        <w:t xml:space="preserve">得1分</w:t>
      </w:r>
      <w:r>
        <w:rPr>
          <w:rFonts w:hint="eastAsia" w:ascii="宋体" w:hAnsi="宋体"/>
          <w:color w:val="auto"/>
          <w:sz w:val="24"/>
          <w:highlight w:val="none"/>
        </w:rPr>
        <w:t xml:space="preserve">（</w:t>
      </w:r>
      <w:r>
        <w:rPr>
          <w:rFonts w:hint="eastAsia" w:ascii="宋体" w:hAnsi="宋体"/>
          <w:color w:val="auto"/>
          <w:sz w:val="24"/>
          <w:highlight w:val="none"/>
        </w:rPr>
        <w:t xml:space="preserve">3级及以上</w:t>
      </w:r>
      <w:r>
        <w:rPr>
          <w:rFonts w:hint="eastAsia" w:ascii="宋体" w:hAnsi="宋体"/>
          <w:color w:val="auto"/>
          <w:sz w:val="24"/>
          <w:highlight w:val="none"/>
        </w:rPr>
        <w:t xml:space="preserve">可的2分，</w:t>
      </w:r>
      <w:r>
        <w:rPr>
          <w:rFonts w:hint="eastAsia" w:ascii="宋体" w:hAnsi="宋体"/>
          <w:color w:val="auto"/>
          <w:sz w:val="24"/>
          <w:highlight w:val="none"/>
        </w:rPr>
        <w:t xml:space="preserve">CSPM项目管理专业人员能力评价等级认证</w:t>
      </w:r>
      <w:r>
        <w:rPr>
          <w:rFonts w:hint="eastAsia" w:ascii="宋体" w:hAnsi="宋体"/>
          <w:color w:val="auto"/>
          <w:sz w:val="24"/>
          <w:highlight w:val="none"/>
        </w:rPr>
        <w:t xml:space="preserve">最多2分，且不重复计算得分）、</w:t>
      </w:r>
      <w:r>
        <w:rPr>
          <w:rFonts w:hint="eastAsia" w:ascii="宋体" w:hAnsi="宋体"/>
          <w:color w:val="auto"/>
          <w:sz w:val="24"/>
          <w:highlight w:val="none"/>
        </w:rPr>
        <w:t xml:space="preserve">环保工程师证书的得1分</w:t>
      </w:r>
      <w:r>
        <w:rPr>
          <w:rFonts w:hint="eastAsia" w:ascii="宋体" w:hAnsi="宋体"/>
          <w:color w:val="auto"/>
          <w:sz w:val="24"/>
          <w:highlight w:val="none"/>
        </w:rPr>
        <w:t xml:space="preserve">；须提供相应有效证书扫描件。</w:t>
      </w:r>
      <w:r>
        <w:rPr>
          <w:color w:val="auto"/>
          <w:highlight w:val="none"/>
        </w:rPr>
      </w:r>
      <w:r>
        <w:rPr>
          <w:color w:val="auto"/>
          <w:highlight w:val="none"/>
        </w:rPr>
      </w:r>
    </w:p>
    <w:p>
      <w:pPr>
        <w:pStyle w:val="808"/>
        <w:ind w:firstLine="480"/>
        <w:spacing w:line="500" w:lineRule="exact"/>
        <w:rPr>
          <w:rFonts w:ascii="宋体" w:hAnsi="宋体"/>
          <w:color w:val="auto"/>
          <w:sz w:val="24"/>
          <w:highlight w:val="none"/>
        </w:rPr>
      </w:pPr>
      <w:r>
        <w:rPr>
          <w:rFonts w:hint="eastAsia" w:ascii="宋体" w:hAnsi="宋体"/>
          <w:color w:val="auto"/>
          <w:sz w:val="24"/>
          <w:highlight w:val="none"/>
        </w:rPr>
        <w:t xml:space="preserve">2.2  </w:t>
      </w:r>
      <w:r>
        <w:rPr>
          <w:rFonts w:hint="eastAsia" w:ascii="宋体" w:hAnsi="宋体"/>
          <w:color w:val="auto"/>
          <w:sz w:val="24"/>
          <w:highlight w:val="none"/>
        </w:rPr>
        <w:t xml:space="preserve">项目成员（6分）：除项目经理外，项目成员具有：</w:t>
      </w:r>
      <w:r>
        <w:rPr>
          <w:rFonts w:hint="eastAsia" w:ascii="宋体" w:hAnsi="宋体"/>
          <w:color w:val="auto"/>
          <w:sz w:val="24"/>
          <w:highlight w:val="none"/>
        </w:rPr>
        <w:t xml:space="preserve">管理类或计算机类全日制硕士研究生及以上学历</w:t>
      </w:r>
      <w:r>
        <w:rPr>
          <w:rFonts w:hint="eastAsia" w:ascii="宋体" w:hAnsi="宋体"/>
          <w:color w:val="auto"/>
          <w:sz w:val="24"/>
          <w:highlight w:val="none"/>
        </w:rPr>
        <w:t xml:space="preserve">的</w:t>
      </w:r>
      <w:r>
        <w:rPr>
          <w:rFonts w:hint="eastAsia" w:ascii="宋体" w:hAnsi="宋体"/>
          <w:color w:val="auto"/>
          <w:sz w:val="24"/>
          <w:highlight w:val="none"/>
        </w:rPr>
        <w:t xml:space="preserve">得1分</w:t>
      </w:r>
      <w:r>
        <w:rPr>
          <w:rFonts w:hint="eastAsia" w:ascii="宋体" w:hAnsi="宋体"/>
          <w:color w:val="auto"/>
          <w:sz w:val="24"/>
          <w:highlight w:val="none"/>
        </w:rPr>
        <w:t xml:space="preserve">、</w:t>
      </w:r>
      <w:r>
        <w:rPr>
          <w:rFonts w:hint="eastAsia" w:ascii="宋体" w:hAnsi="宋体"/>
          <w:color w:val="auto"/>
          <w:sz w:val="24"/>
          <w:highlight w:val="none"/>
        </w:rPr>
        <w:t xml:space="preserve">软件设计师证书</w:t>
      </w:r>
      <w:r>
        <w:rPr>
          <w:rFonts w:hint="eastAsia" w:ascii="宋体" w:hAnsi="宋体"/>
          <w:color w:val="auto"/>
          <w:sz w:val="24"/>
          <w:highlight w:val="none"/>
        </w:rPr>
        <w:t xml:space="preserve">的</w:t>
      </w:r>
      <w:r>
        <w:rPr>
          <w:rFonts w:hint="eastAsia" w:ascii="宋体" w:hAnsi="宋体"/>
          <w:color w:val="auto"/>
          <w:sz w:val="24"/>
          <w:highlight w:val="none"/>
        </w:rPr>
        <w:t xml:space="preserve">得1分</w:t>
      </w:r>
      <w:r>
        <w:rPr>
          <w:rFonts w:hint="eastAsia" w:ascii="宋体" w:hAnsi="宋体"/>
          <w:color w:val="auto"/>
          <w:sz w:val="24"/>
          <w:highlight w:val="none"/>
        </w:rPr>
        <w:t xml:space="preserve">、</w:t>
      </w:r>
      <w:r>
        <w:rPr>
          <w:rFonts w:hint="eastAsia" w:ascii="宋体" w:hAnsi="宋体"/>
          <w:color w:val="auto"/>
          <w:sz w:val="24"/>
          <w:highlight w:val="none"/>
        </w:rPr>
        <w:t xml:space="preserve">数据库系统工程师证书</w:t>
      </w:r>
      <w:r>
        <w:rPr>
          <w:rFonts w:hint="eastAsia" w:ascii="宋体" w:hAnsi="宋体"/>
          <w:color w:val="auto"/>
          <w:sz w:val="24"/>
          <w:highlight w:val="none"/>
        </w:rPr>
        <w:t xml:space="preserve">的得1分、</w:t>
      </w:r>
      <w:r>
        <w:rPr>
          <w:rFonts w:hint="eastAsia" w:ascii="宋体" w:hAnsi="宋体"/>
          <w:color w:val="auto"/>
          <w:sz w:val="24"/>
          <w:highlight w:val="none"/>
        </w:rPr>
        <w:t xml:space="preserve">信息安全工程师证书（或经人社部门备案的评价机构颁发的网络安全与信息安全管理员证书或其他由行政事业单位颁发的信息安全相关证书）</w:t>
      </w:r>
      <w:r>
        <w:rPr>
          <w:rFonts w:hint="eastAsia" w:ascii="宋体" w:hAnsi="宋体"/>
          <w:color w:val="auto"/>
          <w:sz w:val="24"/>
          <w:highlight w:val="none"/>
        </w:rPr>
        <w:t xml:space="preserve">的得1分、环保工程师证书的得1分、ITSS IT服务项目经理证书的得1分，</w:t>
      </w:r>
      <w:r>
        <w:rPr>
          <w:rFonts w:hint="eastAsia" w:ascii="宋体" w:hAnsi="宋体"/>
          <w:color w:val="auto"/>
          <w:sz w:val="24"/>
          <w:highlight w:val="none"/>
        </w:rPr>
        <w:t xml:space="preserve">本项共计6分，</w:t>
      </w:r>
      <w:r>
        <w:rPr>
          <w:rFonts w:hint="eastAsia" w:ascii="宋体" w:hAnsi="宋体"/>
          <w:color w:val="auto"/>
          <w:sz w:val="24"/>
          <w:highlight w:val="none"/>
        </w:rPr>
        <w:t xml:space="preserve">同一人具</w:t>
      </w:r>
      <w:r>
        <w:rPr>
          <w:rFonts w:hint="eastAsia" w:ascii="宋体" w:hAnsi="宋体"/>
          <w:color w:val="auto"/>
          <w:sz w:val="24"/>
          <w:highlight w:val="none"/>
        </w:rPr>
        <w:t xml:space="preserve">有上述多种证书的，只计算一次，</w:t>
      </w:r>
      <w:r>
        <w:rPr>
          <w:rFonts w:hint="eastAsia" w:ascii="宋体" w:hAnsi="宋体"/>
          <w:color w:val="auto"/>
          <w:sz w:val="24"/>
          <w:highlight w:val="none"/>
        </w:rPr>
        <w:t xml:space="preserve">同一种证书也只计算一次，均</w:t>
      </w:r>
      <w:r>
        <w:rPr>
          <w:rFonts w:hint="eastAsia" w:ascii="宋体" w:hAnsi="宋体"/>
          <w:color w:val="auto"/>
          <w:sz w:val="24"/>
          <w:highlight w:val="none"/>
        </w:rPr>
        <w:t xml:space="preserve">不重复得分；须提供相应有效证书扫描件。</w:t>
      </w:r>
      <w:r>
        <w:rPr>
          <w:color w:val="auto"/>
          <w:highlight w:val="none"/>
        </w:rPr>
      </w:r>
      <w:r>
        <w:rPr>
          <w:color w:val="auto"/>
          <w:highlight w:val="none"/>
        </w:rPr>
      </w:r>
    </w:p>
    <w:p>
      <w:pPr>
        <w:pStyle w:val="808"/>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rPr>
        <w:t xml:space="preserve">3</w:t>
      </w:r>
      <w:r>
        <w:rPr>
          <w:rFonts w:hint="eastAsia" w:ascii="宋体" w:hAnsi="宋体"/>
          <w:color w:val="auto"/>
          <w:sz w:val="24"/>
          <w:highlight w:val="none"/>
        </w:rPr>
        <w:t xml:space="preserve">  </w:t>
      </w:r>
      <w:r>
        <w:rPr>
          <w:rFonts w:hint="eastAsia" w:ascii="宋体" w:hAnsi="宋体"/>
          <w:color w:val="auto"/>
          <w:sz w:val="24"/>
          <w:highlight w:val="none"/>
        </w:rPr>
        <w:t xml:space="preserve">驻场人数配备承诺（2分）：投标人能够承诺，在满足招标文件要求的基础</w:t>
      </w:r>
      <w:r>
        <w:rPr>
          <w:rFonts w:hint="eastAsia" w:ascii="宋体" w:hAnsi="宋体"/>
          <w:color w:val="auto"/>
          <w:sz w:val="24"/>
          <w:highlight w:val="none"/>
        </w:rPr>
        <w:t xml:space="preserve">驻场人数5人</w:t>
      </w:r>
      <w:r>
        <w:rPr>
          <w:rFonts w:hint="eastAsia" w:ascii="宋体" w:hAnsi="宋体"/>
          <w:color w:val="auto"/>
          <w:sz w:val="24"/>
          <w:highlight w:val="none"/>
        </w:rPr>
        <w:t xml:space="preserve">的前提下，每承诺能够额外多配备一名驻场人员的得1分，</w:t>
      </w:r>
      <w:r>
        <w:rPr>
          <w:rFonts w:hint="eastAsia" w:ascii="宋体" w:hAnsi="宋体"/>
          <w:color w:val="auto"/>
          <w:sz w:val="24"/>
          <w:highlight w:val="none"/>
        </w:rPr>
        <w:t xml:space="preserve">额外多配备两名驻场人员的得</w:t>
      </w:r>
      <w:r>
        <w:rPr>
          <w:rFonts w:hint="eastAsia" w:ascii="宋体" w:hAnsi="宋体"/>
          <w:color w:val="auto"/>
          <w:sz w:val="24"/>
          <w:highlight w:val="none"/>
        </w:rPr>
        <w:t xml:space="preserve">2分</w:t>
      </w:r>
      <w:r>
        <w:rPr>
          <w:rFonts w:hint="eastAsia" w:ascii="宋体" w:hAnsi="宋体"/>
          <w:color w:val="auto"/>
          <w:sz w:val="24"/>
          <w:highlight w:val="none"/>
        </w:rPr>
        <w:t xml:space="preserve">，本项最高2分</w:t>
      </w:r>
      <w:r>
        <w:rPr>
          <w:rFonts w:hint="eastAsia" w:ascii="宋体" w:hAnsi="宋体"/>
          <w:color w:val="auto"/>
          <w:sz w:val="24"/>
          <w:highlight w:val="none"/>
        </w:rPr>
        <w:t xml:space="preserve">；须提供投标人承诺函，并加盖投标人公章。</w:t>
      </w:r>
      <w:r>
        <w:rPr>
          <w:color w:val="auto"/>
          <w:highlight w:val="none"/>
        </w:rPr>
      </w:r>
      <w:r>
        <w:rPr>
          <w:color w:val="auto"/>
          <w:highlight w:val="none"/>
        </w:rPr>
      </w:r>
    </w:p>
    <w:p>
      <w:pPr>
        <w:pStyle w:val="808"/>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投标人综合情况（</w:t>
      </w:r>
      <w:r>
        <w:rPr>
          <w:rFonts w:hint="eastAsia" w:ascii="宋体" w:hAnsi="宋体"/>
          <w:b/>
          <w:bCs/>
          <w:color w:val="auto"/>
          <w:sz w:val="24"/>
          <w:szCs w:val="24"/>
          <w:highlight w:val="none"/>
        </w:rPr>
        <w:t xml:space="preserve">10</w:t>
      </w:r>
      <w:r>
        <w:rPr>
          <w:rFonts w:hint="eastAsia" w:ascii="宋体" w:hAnsi="宋体"/>
          <w:b/>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  </w:t>
      </w:r>
      <w:r>
        <w:rPr>
          <w:rFonts w:hint="eastAsia" w:ascii="宋体" w:hAnsi="宋体"/>
          <w:color w:val="auto"/>
          <w:sz w:val="24"/>
          <w:highlight w:val="none"/>
        </w:rPr>
        <w:t xml:space="preserve">业绩（6分）：投标人</w:t>
      </w:r>
      <w:r>
        <w:rPr>
          <w:rFonts w:hint="eastAsia" w:ascii="宋体" w:hAnsi="宋体"/>
          <w:color w:val="auto"/>
          <w:sz w:val="24"/>
          <w:highlight w:val="none"/>
        </w:rPr>
        <w:t xml:space="preserve">自</w:t>
      </w:r>
      <w:r>
        <w:rPr>
          <w:rFonts w:hint="eastAsia" w:ascii="宋体" w:hAnsi="宋体"/>
          <w:color w:val="auto"/>
          <w:sz w:val="24"/>
          <w:highlight w:val="none"/>
        </w:rPr>
        <w:t xml:space="preserve">2020年1月1日以来（以合同签订时间为准）</w:t>
      </w:r>
      <w:r>
        <w:rPr>
          <w:rFonts w:hint="eastAsia" w:ascii="宋体" w:hAnsi="宋体"/>
          <w:color w:val="auto"/>
          <w:sz w:val="24"/>
          <w:highlight w:val="none"/>
        </w:rPr>
        <w:t xml:space="preserve">，具有与本项目类似项目（含</w:t>
      </w:r>
      <w:r>
        <w:rPr>
          <w:rFonts w:hint="eastAsia" w:ascii="宋体" w:hAnsi="宋体"/>
          <w:color w:val="auto"/>
          <w:sz w:val="24"/>
          <w:highlight w:val="none"/>
        </w:rPr>
        <w:t xml:space="preserve">环保信息化运维</w:t>
      </w:r>
      <w:r>
        <w:rPr>
          <w:rFonts w:hint="eastAsia" w:ascii="宋体" w:hAnsi="宋体"/>
          <w:color w:val="auto"/>
          <w:sz w:val="24"/>
          <w:highlight w:val="none"/>
        </w:rPr>
        <w:t xml:space="preserve">类）</w:t>
      </w:r>
      <w:r>
        <w:rPr>
          <w:rFonts w:hint="eastAsia" w:ascii="宋体" w:hAnsi="宋体"/>
          <w:color w:val="auto"/>
          <w:sz w:val="24"/>
          <w:highlight w:val="none"/>
        </w:rPr>
        <w:t xml:space="preserve">案例的，每</w:t>
      </w:r>
      <w:r>
        <w:rPr>
          <w:rFonts w:hint="eastAsia" w:ascii="宋体" w:hAnsi="宋体"/>
          <w:color w:val="auto"/>
          <w:sz w:val="24"/>
          <w:highlight w:val="none"/>
        </w:rPr>
        <w:t xml:space="preserve">有一个得2分，最高6分；须提供相应有效合同扫描件</w:t>
      </w:r>
      <w:r>
        <w:rPr>
          <w:rFonts w:hint="eastAsia" w:ascii="宋体" w:hAnsi="宋体"/>
          <w:color w:val="auto"/>
          <w:sz w:val="24"/>
          <w:highlight w:val="none"/>
        </w:rPr>
        <w:t xml:space="preserve">。</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3.2  </w:t>
      </w:r>
      <w:r>
        <w:rPr>
          <w:rFonts w:hint="eastAsia" w:ascii="宋体" w:hAnsi="宋体"/>
          <w:color w:val="auto"/>
          <w:sz w:val="24"/>
          <w:highlight w:val="none"/>
        </w:rPr>
        <w:t xml:space="preserve">认证</w:t>
      </w:r>
      <w:r>
        <w:rPr>
          <w:rFonts w:hint="eastAsia" w:ascii="宋体" w:hAnsi="宋体"/>
          <w:color w:val="auto"/>
          <w:sz w:val="24"/>
          <w:highlight w:val="none"/>
        </w:rPr>
        <w:t xml:space="preserve">证书（</w:t>
      </w:r>
      <w:r>
        <w:rPr>
          <w:rFonts w:hint="eastAsia" w:ascii="宋体" w:hAnsi="宋体"/>
          <w:color w:val="auto"/>
          <w:sz w:val="24"/>
          <w:highlight w:val="none"/>
        </w:rPr>
        <w:t xml:space="preserve">2</w:t>
      </w:r>
      <w:r>
        <w:rPr>
          <w:rFonts w:hint="eastAsia" w:ascii="宋体" w:hAnsi="宋体"/>
          <w:color w:val="auto"/>
          <w:sz w:val="24"/>
          <w:highlight w:val="none"/>
        </w:rPr>
        <w:t xml:space="preserve">分)：投标人具有质量</w:t>
      </w:r>
      <w:r>
        <w:rPr>
          <w:rFonts w:hint="eastAsia" w:ascii="宋体" w:hAnsi="宋体"/>
          <w:color w:val="auto"/>
          <w:sz w:val="24"/>
          <w:highlight w:val="none"/>
        </w:rPr>
        <w:t xml:space="preserve">管理</w:t>
      </w:r>
      <w:r>
        <w:rPr>
          <w:rFonts w:hint="eastAsia" w:ascii="宋体" w:hAnsi="宋体"/>
          <w:color w:val="auto"/>
          <w:sz w:val="24"/>
          <w:highlight w:val="none"/>
        </w:rPr>
        <w:t xml:space="preserve">体系认证</w:t>
      </w:r>
      <w:r>
        <w:rPr>
          <w:rFonts w:hint="eastAsia" w:ascii="宋体" w:hAnsi="宋体"/>
          <w:color w:val="auto"/>
          <w:sz w:val="24"/>
          <w:highlight w:val="none"/>
        </w:rPr>
        <w:t xml:space="preserve">证书的得1分、</w:t>
      </w:r>
      <w:r>
        <w:rPr>
          <w:rFonts w:hint="eastAsia" w:ascii="宋体" w:hAnsi="宋体"/>
          <w:color w:val="auto"/>
          <w:sz w:val="24"/>
          <w:highlight w:val="none"/>
        </w:rPr>
        <w:t xml:space="preserve">信息安全管理体系认证证书的得1分；须提供相应有效认证证书扫描件，</w:t>
      </w:r>
      <w:r>
        <w:rPr>
          <w:rFonts w:hint="eastAsia" w:ascii="宋体" w:hAnsi="宋体"/>
          <w:color w:val="auto"/>
          <w:sz w:val="24"/>
          <w:highlight w:val="none"/>
        </w:rPr>
        <w:t xml:space="preserve">同时还须提供该证书在“国家市场监督管理总局-全国认证认可信息公共服务平台”网站查询到的有效认证截图并加盖投标人公章。</w:t>
      </w:r>
      <w:r>
        <w:rPr>
          <w:color w:val="auto"/>
          <w:highlight w:val="none"/>
        </w:rPr>
      </w:r>
      <w:r>
        <w:rPr>
          <w:color w:val="auto"/>
          <w:highlight w:val="none"/>
        </w:rPr>
      </w:r>
    </w:p>
    <w:p>
      <w:pPr>
        <w:pStyle w:val="808"/>
        <w:ind w:firstLine="480"/>
        <w:spacing w:line="500" w:lineRule="exact"/>
        <w:rPr>
          <w:rFonts w:ascii="宋体" w:hAnsi="宋体"/>
          <w:color w:val="auto"/>
          <w:sz w:val="24"/>
          <w:highlight w:val="none"/>
        </w:rPr>
      </w:pPr>
      <w:r>
        <w:rPr>
          <w:rFonts w:hint="eastAsia" w:ascii="宋体" w:hAnsi="宋体"/>
          <w:color w:val="auto"/>
          <w:sz w:val="24"/>
          <w:highlight w:val="none"/>
        </w:rPr>
        <w:t xml:space="preserve">3.3  </w:t>
      </w:r>
      <w:r>
        <w:rPr>
          <w:rFonts w:hint="eastAsia" w:ascii="宋体" w:hAnsi="宋体"/>
          <w:color w:val="auto"/>
          <w:sz w:val="24"/>
          <w:highlight w:val="none"/>
        </w:rPr>
        <w:t xml:space="preserve">服务响应时间（</w:t>
      </w:r>
      <w:r>
        <w:rPr>
          <w:rFonts w:hint="eastAsia" w:ascii="宋体" w:hAnsi="宋体"/>
          <w:color w:val="auto"/>
          <w:sz w:val="24"/>
          <w:highlight w:val="none"/>
        </w:rPr>
        <w:t xml:space="preserve">2</w:t>
      </w:r>
      <w:r>
        <w:rPr>
          <w:rFonts w:hint="eastAsia" w:ascii="宋体" w:hAnsi="宋体"/>
          <w:color w:val="auto"/>
          <w:sz w:val="24"/>
          <w:highlight w:val="none"/>
        </w:rPr>
        <w:t xml:space="preserve">分）：</w:t>
      </w:r>
      <w:r>
        <w:rPr>
          <w:rFonts w:hint="eastAsia" w:ascii="宋体" w:hAnsi="宋体"/>
          <w:color w:val="auto"/>
          <w:sz w:val="24"/>
          <w:highlight w:val="none"/>
        </w:rPr>
        <w:t xml:space="preserve">投标人能够承诺，</w:t>
      </w:r>
      <w:r>
        <w:rPr>
          <w:rFonts w:hint="eastAsia" w:ascii="宋体" w:hAnsi="宋体"/>
          <w:color w:val="auto"/>
          <w:sz w:val="24"/>
          <w:highlight w:val="none"/>
        </w:rPr>
        <w:t xml:space="preserve">在运维服务过程中，接到服务指令2小时内到达物联网机房现场的得</w:t>
      </w:r>
      <w:r>
        <w:rPr>
          <w:rFonts w:hint="eastAsia" w:ascii="宋体" w:hAnsi="宋体"/>
          <w:color w:val="auto"/>
          <w:sz w:val="24"/>
          <w:highlight w:val="none"/>
        </w:rPr>
        <w:t xml:space="preserve">1</w:t>
      </w:r>
      <w:r>
        <w:rPr>
          <w:rFonts w:hint="eastAsia" w:ascii="宋体" w:hAnsi="宋体"/>
          <w:color w:val="auto"/>
          <w:sz w:val="24"/>
          <w:highlight w:val="none"/>
        </w:rPr>
        <w:t xml:space="preserve">分</w:t>
      </w:r>
      <w:r>
        <w:rPr>
          <w:rFonts w:hint="eastAsia" w:ascii="宋体" w:hAnsi="宋体"/>
          <w:color w:val="auto"/>
          <w:sz w:val="24"/>
          <w:highlight w:val="none"/>
        </w:rPr>
        <w:t xml:space="preserve">；</w:t>
      </w:r>
      <w:r>
        <w:rPr>
          <w:rFonts w:hint="eastAsia" w:ascii="宋体" w:hAnsi="宋体"/>
          <w:color w:val="auto"/>
          <w:sz w:val="24"/>
          <w:highlight w:val="none"/>
        </w:rPr>
        <w:t xml:space="preserve">接到服务指令1小时内到达物联网机房现场的得</w:t>
      </w:r>
      <w:r>
        <w:rPr>
          <w:rFonts w:hint="eastAsia" w:ascii="宋体" w:hAnsi="宋体"/>
          <w:color w:val="auto"/>
          <w:sz w:val="24"/>
          <w:highlight w:val="none"/>
        </w:rPr>
        <w:t xml:space="preserve">2</w:t>
      </w:r>
      <w:r>
        <w:rPr>
          <w:rFonts w:hint="eastAsia" w:ascii="宋体" w:hAnsi="宋体"/>
          <w:color w:val="auto"/>
          <w:sz w:val="24"/>
          <w:highlight w:val="none"/>
        </w:rPr>
        <w:t xml:space="preserve">分。</w:t>
      </w:r>
      <w:r>
        <w:rPr>
          <w:rFonts w:hint="eastAsia" w:ascii="宋体" w:hAnsi="宋体"/>
          <w:color w:val="auto"/>
          <w:sz w:val="24"/>
          <w:highlight w:val="none"/>
        </w:rPr>
        <w:t xml:space="preserve">本项最高2分，不重复得分。须提供投标人承诺函，并加盖投标人公章。</w:t>
      </w:r>
      <w:r>
        <w:rPr>
          <w:color w:val="auto"/>
          <w:highlight w:val="none"/>
        </w:rPr>
      </w:r>
      <w:r>
        <w:rPr>
          <w:color w:val="auto"/>
          <w:highlight w:val="none"/>
        </w:rPr>
      </w:r>
    </w:p>
    <w:p>
      <w:pPr>
        <w:pStyle w:val="896"/>
        <w:ind w:firstLine="360"/>
        <w:spacing w:before="0" w:after="0" w:line="500" w:lineRule="exact"/>
        <w:rPr>
          <w:rFonts w:hint="eastAsia" w:ascii="宋体" w:hAnsi="宋体"/>
          <w:b/>
          <w:color w:val="auto"/>
          <w:sz w:val="28"/>
          <w:szCs w:val="28"/>
          <w:highlight w:val="none"/>
        </w:rPr>
      </w:pPr>
      <w:r>
        <w:rPr>
          <w:rFonts w:ascii="宋体" w:hAnsi="宋体"/>
          <w:color w:val="auto"/>
          <w:highlight w:val="none"/>
        </w:rPr>
        <w:br w:type="page" w:clear="all"/>
      </w:r>
      <w:r>
        <w:rPr>
          <w:rFonts w:hint="eastAsia" w:ascii="宋体" w:hAnsi="宋体"/>
          <w:b/>
          <w:color w:val="auto"/>
          <w:sz w:val="28"/>
          <w:szCs w:val="28"/>
          <w:highlight w:val="none"/>
        </w:rPr>
        <w:t xml:space="preserve">（二）技术部分</w:t>
      </w:r>
      <w:r>
        <w:rPr>
          <w:rFonts w:hint="eastAsia" w:ascii="宋体" w:hAnsi="宋体"/>
          <w:b/>
          <w:color w:val="auto"/>
          <w:sz w:val="28"/>
          <w:szCs w:val="28"/>
          <w:highlight w:val="none"/>
        </w:rPr>
        <w:t xml:space="preserve">（</w:t>
      </w:r>
      <w:r>
        <w:rPr>
          <w:rFonts w:hint="eastAsia" w:ascii="宋体" w:hAnsi="宋体"/>
          <w:b/>
          <w:color w:val="auto"/>
          <w:sz w:val="28"/>
          <w:szCs w:val="28"/>
          <w:highlight w:val="none"/>
        </w:rPr>
        <w:t xml:space="preserve">65</w:t>
      </w:r>
      <w:r>
        <w:rPr>
          <w:rFonts w:hint="eastAsia" w:ascii="宋体" w:hAnsi="宋体"/>
          <w:b/>
          <w:color w:val="auto"/>
          <w:sz w:val="28"/>
          <w:szCs w:val="28"/>
          <w:highlight w:val="none"/>
        </w:rPr>
        <w:t xml:space="preserve">分）</w:t>
      </w:r>
      <w:r>
        <w:rPr>
          <w:color w:val="auto"/>
          <w:highlight w:val="none"/>
        </w:rPr>
      </w:r>
      <w:r>
        <w:rPr>
          <w:color w:val="auto"/>
          <w:highlight w:val="none"/>
        </w:rPr>
      </w:r>
    </w:p>
    <w:p>
      <w:pPr>
        <w:pStyle w:val="896"/>
        <w:ind w:firstLine="422"/>
        <w:spacing w:before="0" w:after="0" w:line="500" w:lineRule="exact"/>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t xml:space="preserve">注：</w:t>
      </w:r>
      <w:r>
        <w:rPr>
          <w:rFonts w:hint="eastAsia" w:ascii="宋体" w:hAnsi="宋体"/>
          <w:b/>
          <w:color w:val="auto"/>
          <w:sz w:val="28"/>
          <w:szCs w:val="28"/>
          <w:highlight w:val="none"/>
          <w:u w:val="single"/>
        </w:rPr>
        <w:t xml:space="preserve">技术部分属于暗标，投标人在制作技术部分相关内容时不得有体现投标人身份的内容，否则投标无效</w:t>
      </w:r>
      <w:r>
        <w:rPr>
          <w:rFonts w:hint="eastAsia" w:ascii="宋体" w:hAnsi="宋体"/>
          <w:b/>
          <w:color w:val="auto"/>
          <w:sz w:val="28"/>
          <w:szCs w:val="28"/>
          <w:highlight w:val="none"/>
          <w:u w:val="single"/>
        </w:rPr>
        <w:t xml:space="preserve">。</w:t>
      </w:r>
      <w:r>
        <w:rPr>
          <w:color w:val="auto"/>
          <w:highlight w:val="none"/>
        </w:rPr>
      </w:r>
      <w:r>
        <w:rPr>
          <w:color w:val="auto"/>
          <w:highlight w:val="none"/>
        </w:rPr>
      </w:r>
    </w:p>
    <w:p>
      <w:pPr>
        <w:pStyle w:val="808"/>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项目方案（</w:t>
      </w:r>
      <w:r>
        <w:rPr>
          <w:rFonts w:hint="eastAsia" w:ascii="宋体" w:hAnsi="宋体"/>
          <w:b/>
          <w:bCs/>
          <w:color w:val="auto"/>
          <w:sz w:val="24"/>
          <w:szCs w:val="24"/>
          <w:highlight w:val="none"/>
        </w:rPr>
        <w:t xml:space="preserve">65</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考察投标人项目技术方案，在响应采购文件需求的基础上针对下列各部分进行评价，要求体现科学合理性、条理性、可行性、完善性、针对性，无方案不得分。</w:t>
      </w:r>
      <w:r>
        <w:rPr>
          <w:color w:val="auto"/>
          <w:highlight w:val="none"/>
        </w:rPr>
      </w:r>
      <w:r>
        <w:rPr>
          <w:color w:val="auto"/>
          <w:highlight w:val="none"/>
        </w:rPr>
      </w:r>
    </w:p>
    <w:p>
      <w:pPr>
        <w:pStyle w:val="808"/>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rPr>
        <w:t xml:space="preserve">对现状了解程度（6分）：根据投标人对“感知环境、智慧环保”无锡环境监</w:t>
      </w:r>
      <w:r>
        <w:rPr>
          <w:rFonts w:hint="eastAsia" w:ascii="宋体" w:hAnsi="宋体"/>
          <w:bCs/>
          <w:color w:val="auto"/>
          <w:sz w:val="24"/>
          <w:szCs w:val="24"/>
          <w:highlight w:val="none"/>
        </w:rPr>
        <w:t xml:space="preserve">控物联网应用示范工程一期、二期各系统建设情况、运行现状的了解程度进行综合打分。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对建设情况、运行现状的分析透彻、细致全面，符合项目实际情况的得</w:t>
      </w:r>
      <w:r>
        <w:rPr>
          <w:rFonts w:hint="eastAsia" w:ascii="宋体" w:hAnsi="宋体"/>
          <w:bCs/>
          <w:color w:val="auto"/>
          <w:sz w:val="24"/>
          <w:szCs w:val="24"/>
          <w:highlight w:val="none"/>
        </w:rPr>
        <w:t xml:space="preserve">6分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对建设情况、运行现状的分析较透彻、较为细致全面，较符合项目实际情况的得</w:t>
      </w:r>
      <w:r>
        <w:rPr>
          <w:rFonts w:hint="eastAsia" w:ascii="宋体" w:hAnsi="宋体"/>
          <w:bCs/>
          <w:color w:val="auto"/>
          <w:sz w:val="24"/>
          <w:szCs w:val="24"/>
          <w:highlight w:val="none"/>
        </w:rPr>
        <w:t xml:space="preserve">5分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对建设情况、运行现状的分析有待提升，基本符合项目实际情况的得</w:t>
      </w:r>
      <w:r>
        <w:rPr>
          <w:rFonts w:hint="eastAsia" w:ascii="宋体" w:hAnsi="宋体"/>
          <w:bCs/>
          <w:color w:val="auto"/>
          <w:sz w:val="24"/>
          <w:szCs w:val="24"/>
          <w:highlight w:val="none"/>
        </w:rPr>
        <w:t xml:space="preserve">4分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缺少分析</w:t>
      </w:r>
      <w:r>
        <w:rPr>
          <w:rFonts w:hint="eastAsia" w:ascii="宋体" w:hAnsi="宋体"/>
          <w:bCs/>
          <w:color w:val="auto"/>
          <w:sz w:val="24"/>
          <w:szCs w:val="24"/>
          <w:highlight w:val="none"/>
        </w:rPr>
        <w:t xml:space="preserve">，只提供了基本方案的得3分。</w:t>
      </w:r>
      <w:r>
        <w:rPr>
          <w:color w:val="auto"/>
          <w:highlight w:val="none"/>
        </w:rPr>
      </w:r>
      <w:r>
        <w:rPr>
          <w:color w:val="auto"/>
          <w:highlight w:val="none"/>
        </w:rPr>
      </w:r>
    </w:p>
    <w:p>
      <w:pPr>
        <w:pStyle w:val="808"/>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rPr>
        <w:t xml:space="preserve">监管类</w:t>
      </w:r>
      <w:r>
        <w:rPr>
          <w:rFonts w:hint="eastAsia" w:ascii="宋体" w:hAnsi="宋体"/>
          <w:bCs/>
          <w:color w:val="auto"/>
          <w:sz w:val="24"/>
          <w:szCs w:val="24"/>
          <w:highlight w:val="none"/>
        </w:rPr>
        <w:t xml:space="preserve">数据交换熟悉程度</w:t>
      </w:r>
      <w:r>
        <w:rPr>
          <w:rFonts w:hint="eastAsia" w:ascii="宋体" w:hAnsi="宋体"/>
          <w:bCs/>
          <w:color w:val="auto"/>
          <w:sz w:val="24"/>
          <w:szCs w:val="24"/>
          <w:highlight w:val="none"/>
        </w:rPr>
        <w:t xml:space="preserve">（5分）：</w:t>
      </w:r>
      <w:r>
        <w:rPr>
          <w:rFonts w:hint="eastAsia" w:ascii="宋体" w:hAnsi="宋体"/>
          <w:bCs/>
          <w:color w:val="auto"/>
          <w:sz w:val="24"/>
          <w:szCs w:val="24"/>
          <w:highlight w:val="none"/>
        </w:rPr>
        <w:t xml:space="preserve">根据投标人对监测类、监管类业务系统与数据中心的数据交换标准、数据交换策略及数据交换任务的熟悉程度，有无清晰明确的数据交换维护思路等情况进行综合评分。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熟悉数据交换标准、数据交换策略及数据交换任务，有清晰明确的数据交换维护思路的得</w:t>
      </w:r>
      <w:r>
        <w:rPr>
          <w:rFonts w:hint="eastAsia" w:ascii="宋体" w:hAnsi="宋体"/>
          <w:bCs/>
          <w:color w:val="auto"/>
          <w:sz w:val="24"/>
          <w:szCs w:val="24"/>
          <w:highlight w:val="none"/>
        </w:rPr>
        <w:t xml:space="preserve">5分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较熟悉数据交换标准、数据交换策略及数据交换任务，有比较清晰明确的数据交换维护思路的得</w:t>
      </w:r>
      <w:r>
        <w:rPr>
          <w:rFonts w:hint="eastAsia" w:ascii="宋体" w:hAnsi="宋体"/>
          <w:bCs/>
          <w:color w:val="auto"/>
          <w:sz w:val="24"/>
          <w:szCs w:val="24"/>
          <w:highlight w:val="none"/>
        </w:rPr>
        <w:t xml:space="preserve">4分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数据交换标准、数据交换策略及数据交换任务的熟悉程度有待提升，数据交换维护思路的清晰明确程度也有待提升的得</w:t>
      </w:r>
      <w:r>
        <w:rPr>
          <w:rFonts w:hint="eastAsia" w:ascii="宋体" w:hAnsi="宋体"/>
          <w:bCs/>
          <w:color w:val="auto"/>
          <w:sz w:val="24"/>
          <w:szCs w:val="24"/>
          <w:highlight w:val="none"/>
        </w:rPr>
        <w:t xml:space="preserve">3分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ascii="宋体" w:hAnsi="宋体"/>
          <w:bCs/>
          <w:color w:val="auto"/>
          <w:sz w:val="24"/>
          <w:szCs w:val="24"/>
          <w:highlight w:val="none"/>
        </w:rPr>
      </w:pPr>
      <w:r>
        <w:rPr>
          <w:rFonts w:hint="eastAsia" w:ascii="宋体" w:hAnsi="宋体"/>
          <w:bCs/>
          <w:color w:val="auto"/>
          <w:sz w:val="24"/>
          <w:szCs w:val="24"/>
          <w:highlight w:val="none"/>
        </w:rPr>
        <w:t xml:space="preserve">缺少分析</w:t>
      </w:r>
      <w:r>
        <w:rPr>
          <w:rFonts w:hint="eastAsia" w:ascii="宋体" w:hAnsi="宋体"/>
          <w:bCs/>
          <w:color w:val="auto"/>
          <w:sz w:val="24"/>
          <w:szCs w:val="24"/>
          <w:highlight w:val="none"/>
        </w:rPr>
        <w:t xml:space="preserve">，只提供了基本</w:t>
      </w:r>
      <w:r>
        <w:rPr>
          <w:rFonts w:hint="eastAsia" w:ascii="宋体" w:hAnsi="宋体"/>
          <w:bCs/>
          <w:color w:val="auto"/>
          <w:sz w:val="24"/>
          <w:szCs w:val="24"/>
          <w:highlight w:val="none"/>
        </w:rPr>
        <w:t xml:space="preserve">方案的得2分。</w:t>
      </w:r>
      <w:r>
        <w:rPr>
          <w:color w:val="auto"/>
          <w:highlight w:val="none"/>
        </w:rPr>
      </w:r>
      <w:r>
        <w:rPr>
          <w:color w:val="auto"/>
          <w:highlight w:val="none"/>
        </w:rPr>
      </w:r>
    </w:p>
    <w:p>
      <w:pPr>
        <w:pStyle w:val="808"/>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rPr>
        <w:t xml:space="preserve">省厅数据交换熟悉程度</w:t>
      </w:r>
      <w:r>
        <w:rPr>
          <w:rFonts w:hint="eastAsia" w:ascii="宋体" w:hAnsi="宋体"/>
          <w:bCs/>
          <w:color w:val="auto"/>
          <w:sz w:val="24"/>
          <w:szCs w:val="24"/>
          <w:highlight w:val="none"/>
        </w:rPr>
        <w:t xml:space="preserve">（5分）：根据投标人对江苏省生态环境厅数据交换及共享的数据交换标准、数据交换策略及数据交换任务的熟悉程度，有无清晰明确的数据交换维护思路等情况进行综合评分。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熟悉数据交换标准、数据交换策略及数据交换任务，有清晰明确的数据交换维护思路的得</w:t>
      </w:r>
      <w:r>
        <w:rPr>
          <w:rFonts w:hint="eastAsia" w:ascii="宋体" w:hAnsi="宋体"/>
          <w:bCs/>
          <w:color w:val="auto"/>
          <w:sz w:val="24"/>
          <w:szCs w:val="24"/>
          <w:highlight w:val="none"/>
        </w:rPr>
        <w:t xml:space="preserve">5分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较熟悉数据交换标准、数据交换策略及数据交换任务，有比较清晰明确的数据交换维护思路的得</w:t>
      </w:r>
      <w:r>
        <w:rPr>
          <w:rFonts w:hint="eastAsia" w:ascii="宋体" w:hAnsi="宋体"/>
          <w:bCs/>
          <w:color w:val="auto"/>
          <w:sz w:val="24"/>
          <w:szCs w:val="24"/>
          <w:highlight w:val="none"/>
        </w:rPr>
        <w:t xml:space="preserve">4分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数据交换标准、数据交换策略及数据交换任务的熟悉程度有待提升，数据交换维护思路的清晰明确程度也有待提升的得</w:t>
      </w:r>
      <w:r>
        <w:rPr>
          <w:rFonts w:hint="eastAsia" w:ascii="宋体" w:hAnsi="宋体"/>
          <w:bCs/>
          <w:color w:val="auto"/>
          <w:sz w:val="24"/>
          <w:szCs w:val="24"/>
          <w:highlight w:val="none"/>
        </w:rPr>
        <w:t xml:space="preserve">3分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ascii="宋体" w:hAnsi="宋体"/>
          <w:bCs/>
          <w:color w:val="auto"/>
          <w:sz w:val="24"/>
          <w:szCs w:val="24"/>
          <w:highlight w:val="none"/>
        </w:rPr>
      </w:pPr>
      <w:r>
        <w:rPr>
          <w:rFonts w:hint="eastAsia" w:ascii="宋体" w:hAnsi="宋体"/>
          <w:bCs/>
          <w:color w:val="auto"/>
          <w:sz w:val="24"/>
          <w:szCs w:val="24"/>
          <w:highlight w:val="none"/>
        </w:rPr>
        <w:t xml:space="preserve">缺少分析</w:t>
      </w:r>
      <w:r>
        <w:rPr>
          <w:rFonts w:hint="eastAsia" w:ascii="宋体" w:hAnsi="宋体"/>
          <w:bCs/>
          <w:color w:val="auto"/>
          <w:sz w:val="24"/>
          <w:szCs w:val="24"/>
          <w:highlight w:val="none"/>
        </w:rPr>
        <w:t xml:space="preserve">，只提供了基本方案的得2分。</w:t>
      </w:r>
      <w:r>
        <w:rPr>
          <w:color w:val="auto"/>
          <w:highlight w:val="none"/>
        </w:rPr>
      </w:r>
      <w:r>
        <w:rPr>
          <w:color w:val="auto"/>
          <w:highlight w:val="none"/>
        </w:rPr>
      </w:r>
    </w:p>
    <w:p>
      <w:pPr>
        <w:pStyle w:val="808"/>
        <w:ind w:firstLine="480"/>
        <w:spacing w:line="500" w:lineRule="exact"/>
        <w:tabs>
          <w:tab w:val="left" w:pos="945" w:leader="none"/>
          <w:tab w:val="left" w:pos="1155" w:leader="none"/>
          <w:tab w:val="left" w:pos="3823"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rPr>
        <w:t xml:space="preserve">对外共享数据的熟悉程度（5分）：根据投标人对数据中心对外共享数据的数据交换标准、数据交换策略及数据交换任务的熟悉程度，有无清晰明确的数据交换维护思路等情况进行综合评分。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熟悉数据交换标准、数据交换策略及数据交换任务，有清晰明确的数据交换维护思路的得</w:t>
      </w:r>
      <w:r>
        <w:rPr>
          <w:rFonts w:hint="eastAsia" w:ascii="宋体" w:hAnsi="宋体"/>
          <w:bCs/>
          <w:color w:val="auto"/>
          <w:sz w:val="24"/>
          <w:szCs w:val="24"/>
          <w:highlight w:val="none"/>
        </w:rPr>
        <w:t xml:space="preserve">5分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较熟悉数据交换标准、数据交换策略及数据交换任务，有比较清晰明确的数据交换维护思路的得</w:t>
      </w:r>
      <w:r>
        <w:rPr>
          <w:rFonts w:hint="eastAsia" w:ascii="宋体" w:hAnsi="宋体"/>
          <w:bCs/>
          <w:color w:val="auto"/>
          <w:sz w:val="24"/>
          <w:szCs w:val="24"/>
          <w:highlight w:val="none"/>
        </w:rPr>
        <w:t xml:space="preserve">4分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数据交换标准、数据交换策略及数据交换任务的熟悉程度有待提升，数据交换维护思路的清晰明确程度也有待提升的得</w:t>
      </w:r>
      <w:r>
        <w:rPr>
          <w:rFonts w:hint="eastAsia" w:ascii="宋体" w:hAnsi="宋体"/>
          <w:bCs/>
          <w:color w:val="auto"/>
          <w:sz w:val="24"/>
          <w:szCs w:val="24"/>
          <w:highlight w:val="none"/>
        </w:rPr>
        <w:t xml:space="preserve">3分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ascii="宋体" w:hAnsi="宋体"/>
          <w:bCs/>
          <w:color w:val="auto"/>
          <w:sz w:val="24"/>
          <w:szCs w:val="24"/>
          <w:highlight w:val="none"/>
        </w:rPr>
      </w:pPr>
      <w:r>
        <w:rPr>
          <w:rFonts w:hint="eastAsia" w:ascii="宋体" w:hAnsi="宋体"/>
          <w:bCs/>
          <w:color w:val="auto"/>
          <w:sz w:val="24"/>
          <w:szCs w:val="24"/>
          <w:highlight w:val="none"/>
        </w:rPr>
        <w:t xml:space="preserve">缺少分析</w:t>
      </w:r>
      <w:r>
        <w:rPr>
          <w:rFonts w:hint="eastAsia" w:ascii="宋体" w:hAnsi="宋体"/>
          <w:bCs/>
          <w:color w:val="auto"/>
          <w:sz w:val="24"/>
          <w:szCs w:val="24"/>
          <w:highlight w:val="none"/>
        </w:rPr>
        <w:t xml:space="preserve">，只提供了基本方案的得2分。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4.5  </w:t>
      </w:r>
      <w:r>
        <w:rPr>
          <w:rFonts w:hint="eastAsia" w:ascii="宋体" w:hAnsi="宋体"/>
          <w:bCs/>
          <w:color w:val="auto"/>
          <w:sz w:val="24"/>
          <w:szCs w:val="24"/>
          <w:highlight w:val="none"/>
        </w:rPr>
        <w:t xml:space="preserve">平台支撑服务方案（11分）：</w:t>
      </w:r>
      <w:r>
        <w:rPr>
          <w:rFonts w:hint="eastAsia" w:ascii="宋体" w:hAnsi="宋体"/>
          <w:bCs/>
          <w:color w:val="auto"/>
          <w:sz w:val="24"/>
          <w:szCs w:val="24"/>
          <w:highlight w:val="none"/>
        </w:rPr>
        <w:t xml:space="preserve">由于支撑平台是“感知环境、智慧环保”无锡环境监控物联网应用示范工程的核心基础平台，支撑平台对所有的业务系统及对外服务提供了统一的技术支持，因此投标人需要对支撑平台各项支撑服务有充分的理解</w:t>
      </w:r>
      <w:r>
        <w:rPr>
          <w:rFonts w:hint="eastAsia" w:ascii="宋体" w:hAnsi="宋体"/>
          <w:bCs/>
          <w:color w:val="auto"/>
          <w:sz w:val="24"/>
          <w:szCs w:val="24"/>
          <w:highlight w:val="none"/>
        </w:rPr>
        <w:t xml:space="preserve">。投标人针对：（1）</w:t>
      </w:r>
      <w:r>
        <w:rPr>
          <w:rFonts w:hint="eastAsia"/>
          <w:color w:val="auto"/>
          <w:sz w:val="24"/>
          <w:szCs w:val="22"/>
          <w:highlight w:val="none"/>
        </w:rPr>
        <w:t xml:space="preserve">单点登录对接服务的对接过程、（2）实现方式、（3）人员组织架构体系及各业务系统人员权限、（4）</w:t>
      </w:r>
      <w:r>
        <w:rPr>
          <w:rFonts w:hint="eastAsia"/>
          <w:color w:val="auto"/>
          <w:sz w:val="24"/>
          <w:szCs w:val="22"/>
          <w:highlight w:val="none"/>
        </w:rPr>
        <w:t xml:space="preserve">支撑平台提供的服务管理服务、</w:t>
      </w:r>
      <w:r>
        <w:rPr>
          <w:rFonts w:hint="eastAsia"/>
          <w:color w:val="auto"/>
          <w:sz w:val="24"/>
          <w:szCs w:val="22"/>
          <w:highlight w:val="none"/>
        </w:rPr>
        <w:t xml:space="preserve">（5）</w:t>
      </w:r>
      <w:r>
        <w:rPr>
          <w:rFonts w:hint="eastAsia"/>
          <w:color w:val="auto"/>
          <w:sz w:val="24"/>
          <w:szCs w:val="22"/>
          <w:highlight w:val="none"/>
        </w:rPr>
        <w:t xml:space="preserve">接口管理服务、</w:t>
      </w:r>
      <w:r>
        <w:rPr>
          <w:rFonts w:hint="eastAsia"/>
          <w:color w:val="auto"/>
          <w:sz w:val="24"/>
          <w:szCs w:val="22"/>
          <w:highlight w:val="none"/>
        </w:rPr>
        <w:t xml:space="preserve">（6）</w:t>
      </w:r>
      <w:r>
        <w:rPr>
          <w:rFonts w:hint="eastAsia"/>
          <w:color w:val="auto"/>
          <w:sz w:val="24"/>
          <w:szCs w:val="22"/>
          <w:highlight w:val="none"/>
        </w:rPr>
        <w:t xml:space="preserve">消息管理服务、</w:t>
      </w:r>
      <w:r>
        <w:rPr>
          <w:rFonts w:hint="eastAsia"/>
          <w:color w:val="auto"/>
          <w:sz w:val="24"/>
          <w:szCs w:val="22"/>
          <w:highlight w:val="none"/>
        </w:rPr>
        <w:t xml:space="preserve">（7）</w:t>
      </w:r>
      <w:r>
        <w:rPr>
          <w:rFonts w:hint="eastAsia"/>
          <w:color w:val="auto"/>
          <w:sz w:val="24"/>
          <w:szCs w:val="22"/>
          <w:highlight w:val="none"/>
        </w:rPr>
        <w:t xml:space="preserve">日志管理服务、</w:t>
      </w:r>
      <w:r>
        <w:rPr>
          <w:rFonts w:hint="eastAsia"/>
          <w:color w:val="auto"/>
          <w:sz w:val="24"/>
          <w:szCs w:val="22"/>
          <w:highlight w:val="none"/>
        </w:rPr>
        <w:t xml:space="preserve">（8）</w:t>
      </w:r>
      <w:r>
        <w:rPr>
          <w:rFonts w:hint="eastAsia"/>
          <w:color w:val="auto"/>
          <w:sz w:val="24"/>
          <w:szCs w:val="22"/>
          <w:highlight w:val="none"/>
        </w:rPr>
        <w:t xml:space="preserve">标准规范管理服务、</w:t>
      </w:r>
      <w:r>
        <w:rPr>
          <w:rFonts w:hint="eastAsia"/>
          <w:color w:val="auto"/>
          <w:sz w:val="24"/>
          <w:szCs w:val="22"/>
          <w:highlight w:val="none"/>
        </w:rPr>
        <w:t xml:space="preserve">（9）</w:t>
      </w:r>
      <w:r>
        <w:rPr>
          <w:rFonts w:hint="eastAsia"/>
          <w:color w:val="auto"/>
          <w:sz w:val="24"/>
          <w:szCs w:val="22"/>
          <w:highlight w:val="none"/>
        </w:rPr>
        <w:t xml:space="preserve">平台模块配置管理服务、</w:t>
      </w:r>
      <w:r>
        <w:rPr>
          <w:rFonts w:hint="eastAsia"/>
          <w:color w:val="auto"/>
          <w:sz w:val="24"/>
          <w:szCs w:val="22"/>
          <w:highlight w:val="none"/>
        </w:rPr>
        <w:t xml:space="preserve">（10）</w:t>
      </w:r>
      <w:r>
        <w:rPr>
          <w:rFonts w:hint="eastAsia"/>
          <w:color w:val="auto"/>
          <w:sz w:val="24"/>
          <w:szCs w:val="22"/>
          <w:highlight w:val="none"/>
        </w:rPr>
        <w:t xml:space="preserve">登录公告管理服务</w:t>
      </w:r>
      <w:r>
        <w:rPr>
          <w:rFonts w:hint="eastAsia"/>
          <w:color w:val="auto"/>
          <w:sz w:val="24"/>
          <w:szCs w:val="22"/>
          <w:highlight w:val="none"/>
        </w:rPr>
        <w:t xml:space="preserve">、（11）</w:t>
      </w:r>
      <w:r>
        <w:rPr>
          <w:rFonts w:hint="eastAsia"/>
          <w:color w:val="auto"/>
          <w:sz w:val="24"/>
          <w:szCs w:val="22"/>
          <w:highlight w:val="none"/>
        </w:rPr>
        <w:t xml:space="preserve">意见反馈回复管理服务的调用方式</w:t>
      </w:r>
      <w:r>
        <w:rPr>
          <w:rFonts w:hint="eastAsia"/>
          <w:color w:val="auto"/>
          <w:sz w:val="24"/>
          <w:szCs w:val="22"/>
          <w:highlight w:val="none"/>
        </w:rPr>
        <w:t xml:space="preserve">几个方面进行阐述。</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方案清晰、合理、详细、全面、针对性强、可行性强，且</w:t>
      </w:r>
      <w:r>
        <w:rPr>
          <w:rFonts w:hint="eastAsia" w:ascii="宋体" w:hAnsi="宋体"/>
          <w:bCs/>
          <w:color w:val="auto"/>
          <w:sz w:val="24"/>
          <w:szCs w:val="24"/>
          <w:highlight w:val="none"/>
        </w:rPr>
        <w:t xml:space="preserve">11</w:t>
      </w:r>
      <w:r>
        <w:rPr>
          <w:rFonts w:hint="eastAsia" w:ascii="宋体" w:hAnsi="宋体"/>
          <w:bCs/>
          <w:color w:val="auto"/>
          <w:sz w:val="24"/>
          <w:szCs w:val="24"/>
          <w:highlight w:val="none"/>
        </w:rPr>
        <w:t xml:space="preserve">项内容方案均齐全的，得</w:t>
      </w:r>
      <w:r>
        <w:rPr>
          <w:rFonts w:hint="eastAsia" w:ascii="宋体" w:hAnsi="宋体"/>
          <w:bCs/>
          <w:color w:val="auto"/>
          <w:sz w:val="24"/>
          <w:szCs w:val="24"/>
          <w:highlight w:val="none"/>
        </w:rPr>
        <w:t xml:space="preserve">11</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方案较清晰、较合理、较详细、较全面、针对性较强、可行性较强，且能够提供</w:t>
      </w:r>
      <w:r>
        <w:rPr>
          <w:rFonts w:hint="eastAsia" w:ascii="宋体" w:hAnsi="宋体"/>
          <w:bCs/>
          <w:color w:val="auto"/>
          <w:sz w:val="24"/>
          <w:szCs w:val="24"/>
          <w:highlight w:val="none"/>
        </w:rPr>
        <w:t xml:space="preserve">至少9</w:t>
      </w:r>
      <w:r>
        <w:rPr>
          <w:rFonts w:hint="eastAsia" w:ascii="宋体" w:hAnsi="宋体"/>
          <w:bCs/>
          <w:color w:val="auto"/>
          <w:sz w:val="24"/>
          <w:szCs w:val="24"/>
          <w:highlight w:val="none"/>
        </w:rPr>
        <w:t xml:space="preserve">项内容方案的，得9分；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方案清晰度一般、合理性一般、详细性一般、全面性一般、针对性一般、可行性一般，且能够提供</w:t>
      </w:r>
      <w:r>
        <w:rPr>
          <w:rFonts w:hint="eastAsia" w:ascii="宋体" w:hAnsi="宋体"/>
          <w:bCs/>
          <w:color w:val="auto"/>
          <w:sz w:val="24"/>
          <w:szCs w:val="24"/>
          <w:highlight w:val="none"/>
        </w:rPr>
        <w:t xml:space="preserve">至少7</w:t>
      </w:r>
      <w:r>
        <w:rPr>
          <w:rFonts w:hint="eastAsia" w:ascii="宋体" w:hAnsi="宋体"/>
          <w:bCs/>
          <w:color w:val="auto"/>
          <w:sz w:val="24"/>
          <w:szCs w:val="24"/>
          <w:highlight w:val="none"/>
        </w:rPr>
        <w:t xml:space="preserve">项内容方案的，得</w:t>
      </w:r>
      <w:r>
        <w:rPr>
          <w:rFonts w:hint="eastAsia" w:ascii="宋体" w:hAnsi="宋体"/>
          <w:bCs/>
          <w:color w:val="auto"/>
          <w:sz w:val="24"/>
          <w:szCs w:val="24"/>
          <w:highlight w:val="none"/>
        </w:rPr>
        <w:t xml:space="preserve">7</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方案基本详细、基本合理、具有基本可行性，且能够提供</w:t>
      </w:r>
      <w:r>
        <w:rPr>
          <w:rFonts w:hint="eastAsia" w:ascii="宋体" w:hAnsi="宋体"/>
          <w:bCs/>
          <w:color w:val="auto"/>
          <w:sz w:val="24"/>
          <w:szCs w:val="24"/>
          <w:highlight w:val="none"/>
        </w:rPr>
        <w:t xml:space="preserve">至少5</w:t>
      </w:r>
      <w:r>
        <w:rPr>
          <w:rFonts w:hint="eastAsia" w:ascii="宋体" w:hAnsi="宋体"/>
          <w:bCs/>
          <w:color w:val="auto"/>
          <w:sz w:val="24"/>
          <w:szCs w:val="24"/>
          <w:highlight w:val="none"/>
        </w:rPr>
        <w:t xml:space="preserve">项内容方案的，得</w:t>
      </w: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缺少分析</w:t>
      </w:r>
      <w:r>
        <w:rPr>
          <w:rFonts w:hint="eastAsia" w:ascii="宋体" w:hAnsi="宋体"/>
          <w:bCs/>
          <w:color w:val="auto"/>
          <w:sz w:val="24"/>
          <w:szCs w:val="24"/>
          <w:highlight w:val="none"/>
        </w:rPr>
        <w:t xml:space="preserve">，并未对各项内容进行阐述，只提供了基本方案的得3分。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4.6  </w:t>
      </w:r>
      <w:r>
        <w:rPr>
          <w:rFonts w:hint="eastAsia" w:ascii="宋体" w:hAnsi="宋体"/>
          <w:bCs/>
          <w:color w:val="auto"/>
          <w:sz w:val="24"/>
          <w:szCs w:val="24"/>
          <w:highlight w:val="none"/>
        </w:rPr>
        <w:t xml:space="preserve">空气质量报表</w:t>
      </w:r>
      <w:r>
        <w:rPr>
          <w:rFonts w:hint="eastAsia" w:ascii="宋体" w:hAnsi="宋体"/>
          <w:bCs/>
          <w:color w:val="auto"/>
          <w:sz w:val="24"/>
          <w:szCs w:val="24"/>
          <w:highlight w:val="none"/>
        </w:rPr>
        <w:t xml:space="preserve">了解程度（5分）：</w:t>
      </w:r>
      <w:r>
        <w:rPr>
          <w:rFonts w:hint="eastAsia" w:ascii="宋体" w:hAnsi="宋体"/>
          <w:bCs/>
          <w:color w:val="auto"/>
          <w:sz w:val="24"/>
          <w:szCs w:val="24"/>
          <w:highlight w:val="none"/>
        </w:rPr>
        <w:t xml:space="preserve">根据投标人对大气环境质量方面的江苏各市环境空气质量排名报表、无锡各区环境空气质量情况报表、无锡市环境空气质量监测数据报表、无锡市乡镇（街道）排名报表、各监测点实时数据报表的数据来源及数据加工过程的了解程度进行综合性评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对上述大气环境质量方面的报表分析透彻，细致全面，符合项目实际情况的得</w:t>
      </w:r>
      <w:r>
        <w:rPr>
          <w:rFonts w:hint="eastAsia" w:ascii="宋体" w:hAnsi="宋体"/>
          <w:bCs/>
          <w:color w:val="auto"/>
          <w:sz w:val="24"/>
          <w:szCs w:val="24"/>
          <w:highlight w:val="none"/>
        </w:rPr>
        <w:t xml:space="preserve">5分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对上述大气环境质量方面的报表分析较透彻，较为细致全面，较符合项目实际情况的得</w:t>
      </w:r>
      <w:r>
        <w:rPr>
          <w:rFonts w:hint="eastAsia" w:ascii="宋体" w:hAnsi="宋体"/>
          <w:bCs/>
          <w:color w:val="auto"/>
          <w:sz w:val="24"/>
          <w:szCs w:val="24"/>
          <w:highlight w:val="none"/>
        </w:rPr>
        <w:t xml:space="preserve">4分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对上述大气环境质量方面的报表分析有待提升，基本符合项目实际情况的得</w:t>
      </w:r>
      <w:r>
        <w:rPr>
          <w:rFonts w:hint="eastAsia" w:ascii="宋体" w:hAnsi="宋体"/>
          <w:bCs/>
          <w:color w:val="auto"/>
          <w:sz w:val="24"/>
          <w:szCs w:val="24"/>
          <w:highlight w:val="none"/>
        </w:rPr>
        <w:t xml:space="preserve">3分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缺少分析</w:t>
      </w:r>
      <w:r>
        <w:rPr>
          <w:rFonts w:hint="eastAsia" w:ascii="宋体" w:hAnsi="宋体"/>
          <w:bCs/>
          <w:color w:val="auto"/>
          <w:sz w:val="24"/>
          <w:szCs w:val="24"/>
          <w:highlight w:val="none"/>
        </w:rPr>
        <w:t xml:space="preserve">，只提供了基本方案的得2分。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4.7  </w:t>
      </w:r>
      <w:r>
        <w:rPr>
          <w:rFonts w:hint="eastAsia" w:ascii="宋体" w:hAnsi="宋体"/>
          <w:bCs/>
          <w:color w:val="auto"/>
          <w:sz w:val="24"/>
          <w:szCs w:val="24"/>
          <w:highlight w:val="none"/>
        </w:rPr>
        <w:t xml:space="preserve">水质</w:t>
      </w:r>
      <w:r>
        <w:rPr>
          <w:rFonts w:hint="eastAsia" w:ascii="宋体" w:hAnsi="宋体"/>
          <w:bCs/>
          <w:color w:val="auto"/>
          <w:sz w:val="24"/>
          <w:szCs w:val="24"/>
          <w:highlight w:val="none"/>
        </w:rPr>
        <w:t xml:space="preserve">状况报表</w:t>
      </w:r>
      <w:r>
        <w:rPr>
          <w:rFonts w:hint="eastAsia" w:ascii="宋体" w:hAnsi="宋体"/>
          <w:bCs/>
          <w:color w:val="auto"/>
          <w:sz w:val="24"/>
          <w:szCs w:val="24"/>
          <w:highlight w:val="none"/>
        </w:rPr>
        <w:t xml:space="preserve">了解程度（5分）：</w:t>
      </w:r>
      <w:r>
        <w:rPr>
          <w:rFonts w:hint="eastAsia" w:ascii="宋体" w:hAnsi="宋体"/>
          <w:bCs/>
          <w:color w:val="auto"/>
          <w:sz w:val="24"/>
          <w:szCs w:val="24"/>
          <w:highlight w:val="none"/>
        </w:rPr>
        <w:t xml:space="preserve">根据投标人对水环境质量方面的国省考优Ⅲ断面比例报表、国省考断面水质状况报表、太湖水环境质量状况报表、主要出入湖河流水质状况报表、市领导担任河长的26条河湖水质情况报表的数据来源及数据加工过程的了解程度进行综合性评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对上述水环境质量方面的报表分析透彻，细致全面，符合项目实际情况的得</w:t>
      </w:r>
      <w:r>
        <w:rPr>
          <w:rFonts w:hint="eastAsia" w:ascii="宋体" w:hAnsi="宋体"/>
          <w:bCs/>
          <w:color w:val="auto"/>
          <w:sz w:val="24"/>
          <w:szCs w:val="24"/>
          <w:highlight w:val="none"/>
        </w:rPr>
        <w:t xml:space="preserve">5分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对上述水环境质量方面的报表分析较透彻，较为细致全面，较符合项目实际情况的得</w:t>
      </w:r>
      <w:r>
        <w:rPr>
          <w:rFonts w:hint="eastAsia" w:ascii="宋体" w:hAnsi="宋体"/>
          <w:bCs/>
          <w:color w:val="auto"/>
          <w:sz w:val="24"/>
          <w:szCs w:val="24"/>
          <w:highlight w:val="none"/>
        </w:rPr>
        <w:t xml:space="preserve">4分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对上述水环境质量方面的报表分析有待提升，基本符合项目实际情况的得</w:t>
      </w:r>
      <w:r>
        <w:rPr>
          <w:rFonts w:hint="eastAsia" w:ascii="宋体" w:hAnsi="宋体"/>
          <w:bCs/>
          <w:color w:val="auto"/>
          <w:sz w:val="24"/>
          <w:szCs w:val="24"/>
          <w:highlight w:val="none"/>
        </w:rPr>
        <w:t xml:space="preserve">3分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缺少分析</w:t>
      </w:r>
      <w:r>
        <w:rPr>
          <w:rFonts w:hint="eastAsia" w:ascii="宋体" w:hAnsi="宋体"/>
          <w:bCs/>
          <w:color w:val="auto"/>
          <w:sz w:val="24"/>
          <w:szCs w:val="24"/>
          <w:highlight w:val="none"/>
        </w:rPr>
        <w:t xml:space="preserve">，只提供了基本方案的得2分。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4.8  重点污染报表了解程度（5分）：</w:t>
      </w:r>
      <w:r>
        <w:rPr>
          <w:rFonts w:hint="eastAsia" w:ascii="宋体" w:hAnsi="宋体"/>
          <w:bCs/>
          <w:color w:val="auto"/>
          <w:sz w:val="24"/>
          <w:szCs w:val="24"/>
          <w:highlight w:val="none"/>
        </w:rPr>
        <w:t xml:space="preserve">根据投标人对重点污染源方面的各市（县）、区重点污染源污染物日排放量环比统计报表、重点污染源不降反升企业报表、无锡市主要重点污染源排放量增量较大企业报表、重点污染源超标企业小时超标明细报表、企业核定排放量统计报表等进行分类整理及汇总分析加工过程的了解程度进行综合性评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对上述重点污染源方面的报表分析透彻，细致全面，符合项目实际情况的得5分；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对上述重点污染源方面的报表分析较透彻，较为细致全面，较符合项目实际情况的得</w:t>
      </w:r>
      <w:r>
        <w:rPr>
          <w:rFonts w:hint="eastAsia" w:ascii="宋体" w:hAnsi="宋体"/>
          <w:bCs/>
          <w:color w:val="auto"/>
          <w:sz w:val="24"/>
          <w:szCs w:val="24"/>
          <w:highlight w:val="none"/>
        </w:rPr>
        <w:t xml:space="preserve">4分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对上述重点污染源方面的报表分析有待提升，基本符合项目实际情况的得</w:t>
      </w:r>
      <w:r>
        <w:rPr>
          <w:rFonts w:hint="eastAsia" w:ascii="宋体" w:hAnsi="宋体"/>
          <w:bCs/>
          <w:color w:val="auto"/>
          <w:sz w:val="24"/>
          <w:szCs w:val="24"/>
          <w:highlight w:val="none"/>
        </w:rPr>
        <w:t xml:space="preserve">3分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缺少分析</w:t>
      </w:r>
      <w:r>
        <w:rPr>
          <w:rFonts w:hint="eastAsia" w:ascii="宋体" w:hAnsi="宋体"/>
          <w:bCs/>
          <w:color w:val="auto"/>
          <w:sz w:val="24"/>
          <w:szCs w:val="24"/>
          <w:highlight w:val="none"/>
        </w:rPr>
        <w:t xml:space="preserve">，只提供了基本方案的得2分。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4.9  </w:t>
      </w:r>
      <w:r>
        <w:rPr>
          <w:rFonts w:hint="eastAsia" w:ascii="宋体" w:hAnsi="宋体"/>
          <w:bCs/>
          <w:color w:val="auto"/>
          <w:sz w:val="24"/>
          <w:szCs w:val="24"/>
          <w:highlight w:val="none"/>
        </w:rPr>
        <w:t xml:space="preserve">运维服务总体方案</w:t>
      </w:r>
      <w:r>
        <w:rPr>
          <w:rFonts w:hint="eastAsia" w:ascii="宋体" w:hAnsi="宋体"/>
          <w:bCs/>
          <w:color w:val="auto"/>
          <w:sz w:val="24"/>
          <w:szCs w:val="24"/>
          <w:highlight w:val="none"/>
        </w:rPr>
        <w:t xml:space="preserve">（5分）</w:t>
      </w:r>
      <w:r>
        <w:rPr>
          <w:rFonts w:hint="eastAsia" w:ascii="宋体" w:hAnsi="宋体"/>
          <w:bCs/>
          <w:color w:val="auto"/>
          <w:sz w:val="24"/>
          <w:szCs w:val="24"/>
          <w:highlight w:val="none"/>
        </w:rPr>
        <w:t xml:space="preserve">：结合用户方的业务特点和实际情况，合理、详细地描述系统运行维护服务内容进行综合性评分。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方案完整、可行，针对性强，能满足项目实施要求得</w:t>
      </w:r>
      <w:r>
        <w:rPr>
          <w:rFonts w:hint="eastAsia" w:ascii="宋体" w:hAnsi="宋体"/>
          <w:bCs/>
          <w:color w:val="auto"/>
          <w:sz w:val="24"/>
          <w:szCs w:val="24"/>
          <w:highlight w:val="none"/>
        </w:rPr>
        <w:t xml:space="preserve">5分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方案较具体、可行，针对性较强，能基本满足项目实施要求的得</w:t>
      </w:r>
      <w:r>
        <w:rPr>
          <w:rFonts w:hint="eastAsia" w:ascii="宋体" w:hAnsi="宋体"/>
          <w:bCs/>
          <w:color w:val="auto"/>
          <w:sz w:val="24"/>
          <w:szCs w:val="24"/>
          <w:highlight w:val="none"/>
        </w:rPr>
        <w:t xml:space="preserve">4分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方案有待提升，部分满足项目实施要求得</w:t>
      </w:r>
      <w:r>
        <w:rPr>
          <w:rFonts w:hint="eastAsia" w:ascii="宋体" w:hAnsi="宋体"/>
          <w:bCs/>
          <w:color w:val="auto"/>
          <w:sz w:val="24"/>
          <w:szCs w:val="24"/>
          <w:highlight w:val="none"/>
        </w:rPr>
        <w:t xml:space="preserve">3分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缺少分析</w:t>
      </w:r>
      <w:r>
        <w:rPr>
          <w:rFonts w:hint="eastAsia" w:ascii="宋体" w:hAnsi="宋体"/>
          <w:bCs/>
          <w:color w:val="auto"/>
          <w:sz w:val="24"/>
          <w:szCs w:val="24"/>
          <w:highlight w:val="none"/>
        </w:rPr>
        <w:t xml:space="preserve">，只提供了基本方案的得2分。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4.10  </w:t>
      </w:r>
      <w:r>
        <w:rPr>
          <w:rFonts w:hint="eastAsia" w:ascii="宋体" w:hAnsi="宋体"/>
          <w:bCs/>
          <w:color w:val="auto"/>
          <w:sz w:val="24"/>
          <w:szCs w:val="24"/>
          <w:highlight w:val="none"/>
        </w:rPr>
        <w:t xml:space="preserve">故障应对方案（4分）：</w:t>
      </w:r>
      <w:r>
        <w:rPr>
          <w:rFonts w:hint="eastAsia"/>
          <w:color w:val="auto"/>
          <w:sz w:val="24"/>
          <w:szCs w:val="22"/>
          <w:highlight w:val="none"/>
        </w:rPr>
        <w:t xml:space="preserve">针对每项故障级别提出详细的故障应对规范、支撑措施，以及</w:t>
      </w:r>
      <w:r>
        <w:rPr>
          <w:rFonts w:hint="eastAsia"/>
          <w:color w:val="auto"/>
          <w:sz w:val="24"/>
          <w:szCs w:val="22"/>
          <w:highlight w:val="none"/>
        </w:rPr>
        <w:t xml:space="preserve">针对每项故障级别提出详细的故障应对流程、实施方法</w:t>
      </w:r>
      <w:r>
        <w:rPr>
          <w:rFonts w:hint="eastAsia"/>
          <w:color w:val="auto"/>
          <w:sz w:val="24"/>
          <w:szCs w:val="22"/>
          <w:highlight w:val="none"/>
        </w:rPr>
        <w:t xml:space="preserve">；</w:t>
      </w:r>
      <w:r>
        <w:rPr>
          <w:rFonts w:hint="eastAsia" w:ascii="宋体" w:hAnsi="宋体"/>
          <w:bCs/>
          <w:color w:val="auto"/>
          <w:sz w:val="24"/>
          <w:szCs w:val="24"/>
          <w:highlight w:val="none"/>
        </w:rPr>
        <w:t xml:space="preserve">根据故障应对方案的合理性、科学性等情况，综合打分。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方案完整、可行，针对性强，能满足项目实施要求得</w:t>
      </w:r>
      <w:r>
        <w:rPr>
          <w:rFonts w:hint="eastAsia" w:ascii="宋体" w:hAnsi="宋体"/>
          <w:bCs/>
          <w:color w:val="auto"/>
          <w:sz w:val="24"/>
          <w:szCs w:val="24"/>
          <w:highlight w:val="none"/>
        </w:rPr>
        <w:t xml:space="preserve">4分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方案较具体、可行，针对性较强，能基本满足项目实施要求的得</w:t>
      </w:r>
      <w:r>
        <w:rPr>
          <w:rFonts w:hint="eastAsia" w:ascii="宋体" w:hAnsi="宋体"/>
          <w:bCs/>
          <w:color w:val="auto"/>
          <w:sz w:val="24"/>
          <w:szCs w:val="24"/>
          <w:highlight w:val="none"/>
        </w:rPr>
        <w:t xml:space="preserve">3分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方案有待提升，部分满足项目实施要求得</w:t>
      </w:r>
      <w:r>
        <w:rPr>
          <w:rFonts w:hint="eastAsia" w:ascii="宋体" w:hAnsi="宋体"/>
          <w:bCs/>
          <w:color w:val="auto"/>
          <w:sz w:val="24"/>
          <w:szCs w:val="24"/>
          <w:highlight w:val="none"/>
        </w:rPr>
        <w:t xml:space="preserve">2分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缺少分析</w:t>
      </w:r>
      <w:r>
        <w:rPr>
          <w:rFonts w:hint="eastAsia" w:ascii="宋体" w:hAnsi="宋体"/>
          <w:bCs/>
          <w:color w:val="auto"/>
          <w:sz w:val="24"/>
          <w:szCs w:val="24"/>
          <w:highlight w:val="none"/>
        </w:rPr>
        <w:t xml:space="preserve">，只提供了基本方案的得1分。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4.11  </w:t>
      </w:r>
      <w:r>
        <w:rPr>
          <w:rFonts w:hint="eastAsia" w:ascii="宋体" w:hAnsi="宋体"/>
          <w:bCs/>
          <w:color w:val="auto"/>
          <w:sz w:val="24"/>
          <w:szCs w:val="24"/>
          <w:highlight w:val="none"/>
        </w:rPr>
        <w:t xml:space="preserve">应急措施（5分）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根据投标人提供的软件平台及数据中心的应急故障服务、系统重大故障的应急预案以及措施安排方案进行综合性评分。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方案完整、可行，针对性强，能满足项目实施要求得</w:t>
      </w:r>
      <w:r>
        <w:rPr>
          <w:rFonts w:hint="eastAsia" w:ascii="宋体" w:hAnsi="宋体"/>
          <w:bCs/>
          <w:color w:val="auto"/>
          <w:sz w:val="24"/>
          <w:szCs w:val="24"/>
          <w:highlight w:val="none"/>
        </w:rPr>
        <w:t xml:space="preserve">5分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方案较具体、可行，针对性较强，能基本满足项目实施要求的得</w:t>
      </w:r>
      <w:r>
        <w:rPr>
          <w:rFonts w:hint="eastAsia" w:ascii="宋体" w:hAnsi="宋体"/>
          <w:bCs/>
          <w:color w:val="auto"/>
          <w:sz w:val="24"/>
          <w:szCs w:val="24"/>
          <w:highlight w:val="none"/>
        </w:rPr>
        <w:t xml:space="preserve">4分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方案有待提升，部分满足项目实施要求得</w:t>
      </w:r>
      <w:r>
        <w:rPr>
          <w:rFonts w:hint="eastAsia" w:ascii="宋体" w:hAnsi="宋体"/>
          <w:bCs/>
          <w:color w:val="auto"/>
          <w:sz w:val="24"/>
          <w:szCs w:val="24"/>
          <w:highlight w:val="none"/>
        </w:rPr>
        <w:t xml:space="preserve">3分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缺少分析</w:t>
      </w:r>
      <w:r>
        <w:rPr>
          <w:rFonts w:hint="eastAsia" w:ascii="宋体" w:hAnsi="宋体"/>
          <w:bCs/>
          <w:color w:val="auto"/>
          <w:sz w:val="24"/>
          <w:szCs w:val="24"/>
          <w:highlight w:val="none"/>
        </w:rPr>
        <w:t xml:space="preserve">，只提供了基本方案的得2分。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4.12  文档管理与培训服务（</w:t>
      </w: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 xml:space="preserve">分）：根据投标人拟定的文档管理方案、运维培训</w:t>
      </w:r>
      <w:r>
        <w:rPr>
          <w:rFonts w:hint="eastAsia" w:ascii="宋体" w:hAnsi="宋体"/>
          <w:bCs/>
          <w:color w:val="auto"/>
          <w:sz w:val="24"/>
          <w:szCs w:val="24"/>
          <w:highlight w:val="none"/>
        </w:rPr>
        <w:t xml:space="preserve">方案评分，包括文档管理的科学合理、针对性，以及培训时间、内容、人数等进行综合性评分。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方案完整、可行，针对性强，能满足项目实施要求得</w:t>
      </w: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方案较具体、可行，针对性较强，能基本满足项目实施要求的得</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方案有待提升，部分满足项目实施要求得</w:t>
      </w: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缺少分析</w:t>
      </w:r>
      <w:r>
        <w:rPr>
          <w:rFonts w:hint="eastAsia" w:ascii="宋体" w:hAnsi="宋体"/>
          <w:bCs/>
          <w:color w:val="auto"/>
          <w:sz w:val="24"/>
          <w:szCs w:val="24"/>
          <w:highlight w:val="none"/>
        </w:rPr>
        <w:t xml:space="preserve">，只提供了基本方案的得</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highlight w:val="none"/>
        </w:rPr>
      </w:r>
      <w:r>
        <w:rPr>
          <w:color w:val="auto"/>
          <w:highlight w:val="none"/>
        </w:rPr>
      </w:r>
    </w:p>
    <w:p>
      <w:pPr>
        <w:pStyle w:val="808"/>
        <w:ind w:firstLine="420"/>
        <w:spacing w:line="500" w:lineRule="exact"/>
        <w:tabs>
          <w:tab w:val="left" w:pos="525" w:leader="none"/>
          <w:tab w:val="left" w:pos="945" w:leader="none"/>
          <w:tab w:val="left" w:pos="1155" w:leader="none"/>
          <w:tab w:val="left" w:pos="3823" w:leader="none"/>
        </w:tabs>
        <w:rPr>
          <w:rFonts w:hint="eastAsia" w:ascii="宋体" w:hAnsi="宋体"/>
          <w:b/>
          <w:color w:val="auto"/>
          <w:sz w:val="28"/>
          <w:szCs w:val="28"/>
          <w:highlight w:val="none"/>
        </w:rPr>
      </w:pPr>
      <w:r>
        <w:rPr>
          <w:rFonts w:ascii="宋体" w:hAnsi="宋体"/>
          <w:color w:val="auto"/>
          <w:highlight w:val="none"/>
        </w:rPr>
        <w:br w:type="page" w:clear="all"/>
      </w:r>
      <w:r>
        <w:rPr>
          <w:rFonts w:hint="eastAsia" w:ascii="宋体" w:hAnsi="宋体"/>
          <w:b/>
          <w:color w:val="auto"/>
          <w:sz w:val="28"/>
          <w:szCs w:val="28"/>
          <w:highlight w:val="none"/>
        </w:rPr>
        <w:t xml:space="preserve">采购包2评分标准</w:t>
      </w:r>
      <w:r>
        <w:rPr>
          <w:color w:val="auto"/>
          <w:highlight w:val="none"/>
        </w:rPr>
      </w:r>
      <w:r>
        <w:rPr>
          <w:color w:val="auto"/>
          <w:highlight w:val="none"/>
        </w:rPr>
      </w:r>
    </w:p>
    <w:p>
      <w:pPr>
        <w:pStyle w:val="896"/>
        <w:ind w:firstLine="422"/>
        <w:spacing w:before="0" w:after="0" w:line="500" w:lineRule="exact"/>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color w:val="auto"/>
          <w:highlight w:val="none"/>
        </w:rPr>
      </w:r>
      <w:r>
        <w:rPr>
          <w:color w:val="auto"/>
          <w:highlight w:val="none"/>
        </w:rPr>
      </w:r>
    </w:p>
    <w:p>
      <w:pPr>
        <w:pStyle w:val="896"/>
        <w:ind w:firstLine="42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（一）商务部分（</w:t>
      </w:r>
      <w:r>
        <w:rPr>
          <w:rFonts w:hint="eastAsia" w:ascii="宋体" w:hAnsi="宋体"/>
          <w:b/>
          <w:color w:val="auto"/>
          <w:sz w:val="28"/>
          <w:szCs w:val="28"/>
          <w:highlight w:val="none"/>
        </w:rPr>
        <w:t xml:space="preserve">4</w:t>
      </w:r>
      <w:r>
        <w:rPr>
          <w:rFonts w:hint="eastAsia" w:ascii="宋体" w:hAnsi="宋体"/>
          <w:b/>
          <w:color w:val="auto"/>
          <w:sz w:val="28"/>
          <w:szCs w:val="28"/>
          <w:highlight w:val="none"/>
        </w:rPr>
        <w:t xml:space="preserve">6</w:t>
      </w:r>
      <w:r>
        <w:rPr>
          <w:rFonts w:hint="eastAsia" w:ascii="宋体" w:hAnsi="宋体"/>
          <w:b/>
          <w:color w:val="auto"/>
          <w:sz w:val="28"/>
          <w:szCs w:val="28"/>
          <w:highlight w:val="none"/>
        </w:rPr>
        <w:t xml:space="preserve">分）</w:t>
      </w:r>
      <w:r>
        <w:rPr>
          <w:color w:val="auto"/>
          <w:highlight w:val="none"/>
        </w:rPr>
      </w:r>
      <w:r>
        <w:rPr>
          <w:color w:val="auto"/>
          <w:highlight w:val="none"/>
        </w:rPr>
      </w:r>
    </w:p>
    <w:p>
      <w:pPr>
        <w:pStyle w:val="808"/>
        <w:numPr>
          <w:ilvl w:val="4"/>
          <w:numId w:val="48"/>
        </w:numPr>
        <w:ind w:left="0"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价格（</w:t>
      </w:r>
      <w:r>
        <w:rPr>
          <w:rFonts w:hint="eastAsia" w:ascii="宋体" w:hAnsi="宋体"/>
          <w:b/>
          <w:bCs/>
          <w:color w:val="auto"/>
          <w:sz w:val="24"/>
          <w:szCs w:val="24"/>
          <w:highlight w:val="none"/>
        </w:rPr>
        <w:t xml:space="preserve">20</w:t>
      </w:r>
      <w:r>
        <w:rPr>
          <w:rFonts w:hint="eastAsia" w:ascii="宋体" w:hAnsi="宋体"/>
          <w:b/>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rPr>
          <w:color w:val="auto"/>
          <w:highlight w:val="none"/>
        </w:rPr>
      </w:r>
      <w:r>
        <w:rPr>
          <w:color w:val="auto"/>
          <w:highlight w:val="none"/>
        </w:rPr>
      </w:r>
    </w:p>
    <w:p>
      <w:pPr>
        <w:pStyle w:val="808"/>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rPr>
          <w:color w:val="auto"/>
          <w:highlight w:val="none"/>
        </w:rPr>
      </w:r>
      <w:r>
        <w:rPr>
          <w:color w:val="auto"/>
          <w:highlight w:val="none"/>
        </w:rPr>
      </w:r>
    </w:p>
    <w:p>
      <w:pPr>
        <w:pStyle w:val="808"/>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rPr>
          <w:color w:val="auto"/>
          <w:highlight w:val="none"/>
        </w:rPr>
      </w:r>
      <w:r>
        <w:rPr>
          <w:color w:val="auto"/>
          <w:highlight w:val="none"/>
        </w:rPr>
      </w:r>
    </w:p>
    <w:p>
      <w:pPr>
        <w:pStyle w:val="808"/>
        <w:numPr>
          <w:ilvl w:val="4"/>
          <w:numId w:val="48"/>
        </w:numPr>
        <w:ind w:left="0"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项目人员配置情况（</w:t>
      </w: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rPr>
        <w:t xml:space="preserve">2</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color w:val="auto"/>
          <w:highlight w:val="none"/>
        </w:rPr>
      </w:r>
      <w:r>
        <w:rPr>
          <w:color w:val="auto"/>
          <w:highlight w:val="none"/>
        </w:rPr>
      </w:r>
    </w:p>
    <w:p>
      <w:pPr>
        <w:pStyle w:val="808"/>
        <w:ind w:firstLine="480"/>
        <w:spacing w:line="500" w:lineRule="exact"/>
        <w:rPr>
          <w:rFonts w:ascii="宋体" w:hAnsi="宋体"/>
          <w:color w:val="auto"/>
          <w:sz w:val="24"/>
          <w:highlight w:val="none"/>
        </w:rPr>
      </w:pPr>
      <w:r>
        <w:rPr>
          <w:rFonts w:hint="eastAsia" w:ascii="宋体" w:hAnsi="宋体"/>
          <w:color w:val="auto"/>
          <w:sz w:val="24"/>
          <w:highlight w:val="none"/>
        </w:rPr>
        <w:t xml:space="preserve">2.1  </w:t>
      </w:r>
      <w:r>
        <w:rPr>
          <w:rFonts w:hint="eastAsia" w:ascii="宋体" w:hAnsi="宋体"/>
          <w:color w:val="auto"/>
          <w:sz w:val="24"/>
          <w:highlight w:val="none"/>
        </w:rPr>
        <w:t xml:space="preserve">项目负责人（2分）：项目负责人具有高级工程师职称认证证书的得1分、具</w:t>
      </w:r>
      <w:r>
        <w:rPr>
          <w:rFonts w:hint="eastAsia" w:ascii="宋体" w:hAnsi="宋体"/>
          <w:color w:val="auto"/>
          <w:sz w:val="24"/>
          <w:highlight w:val="none"/>
        </w:rPr>
        <w:t xml:space="preserve">有</w:t>
      </w:r>
      <w:r>
        <w:rPr>
          <w:rFonts w:hint="eastAsia" w:ascii="宋体" w:hAnsi="宋体"/>
          <w:color w:val="auto"/>
          <w:sz w:val="24"/>
          <w:highlight w:val="none"/>
        </w:rPr>
        <w:t xml:space="preserve">ITSS服务项目经理认证证书的得1分</w:t>
      </w:r>
      <w:r>
        <w:rPr>
          <w:rFonts w:hint="eastAsia" w:ascii="宋体" w:hAnsi="宋体"/>
          <w:color w:val="auto"/>
          <w:sz w:val="24"/>
          <w:highlight w:val="none"/>
        </w:rPr>
        <w:t xml:space="preserve">；须提供相应有效证书扫描件。</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2.2  </w:t>
      </w:r>
      <w:r>
        <w:rPr>
          <w:rFonts w:hint="eastAsia" w:ascii="宋体" w:hAnsi="宋体"/>
          <w:color w:val="auto"/>
          <w:sz w:val="24"/>
          <w:highlight w:val="none"/>
        </w:rPr>
        <w:t xml:space="preserve">项目组成员（</w:t>
      </w:r>
      <w:r>
        <w:rPr>
          <w:rFonts w:hint="eastAsia" w:ascii="宋体" w:hAnsi="宋体"/>
          <w:color w:val="auto"/>
          <w:sz w:val="24"/>
          <w:highlight w:val="none"/>
        </w:rPr>
        <w:t xml:space="preserve">8</w:t>
      </w:r>
      <w:r>
        <w:rPr>
          <w:rFonts w:hint="eastAsia" w:ascii="宋体" w:hAnsi="宋体"/>
          <w:color w:val="auto"/>
          <w:sz w:val="24"/>
          <w:highlight w:val="none"/>
        </w:rPr>
        <w:t xml:space="preserve">分）：除项目负责人外，项目组成员具有：ITSS服务工程师证书的得1分；</w:t>
      </w:r>
      <w:r>
        <w:rPr>
          <w:rFonts w:hint="eastAsia" w:ascii="宋体" w:hAnsi="宋体"/>
          <w:color w:val="auto"/>
          <w:sz w:val="24"/>
          <w:highlight w:val="none"/>
        </w:rPr>
        <w:t xml:space="preserve">信息安全工程师证书（或经人社部门备案的评价机构颁发的网络安全与信息安全管理员证书或其他由行政事业单位颁发的信息安全相关证书）</w:t>
      </w:r>
      <w:r>
        <w:rPr>
          <w:rFonts w:hint="eastAsia" w:ascii="宋体" w:hAnsi="宋体"/>
          <w:color w:val="auto"/>
          <w:sz w:val="24"/>
          <w:highlight w:val="none"/>
        </w:rPr>
        <w:t xml:space="preserve">的，每有一人得1分，最高2分；</w:t>
      </w:r>
      <w:r>
        <w:rPr>
          <w:rFonts w:hint="eastAsia" w:ascii="宋体" w:hAnsi="宋体"/>
          <w:color w:val="auto"/>
          <w:sz w:val="24"/>
          <w:highlight w:val="none"/>
        </w:rPr>
        <w:t xml:space="preserve">网络工程师证书（或经人社部门备案的评价机构颁发的计算机网络管理员证书或其他由行政事业单位颁发网络工程师认证证书）</w:t>
      </w:r>
      <w:r>
        <w:rPr>
          <w:rFonts w:hint="eastAsia" w:ascii="宋体" w:hAnsi="宋体"/>
          <w:color w:val="auto"/>
          <w:sz w:val="24"/>
          <w:highlight w:val="none"/>
        </w:rPr>
        <w:t xml:space="preserve">的，每有一人得1分，最高2分；系统架构设计师证书的得1分；</w:t>
      </w:r>
      <w:r>
        <w:rPr>
          <w:rFonts w:hint="eastAsia" w:ascii="宋体" w:hAnsi="宋体"/>
          <w:color w:val="auto"/>
          <w:sz w:val="24"/>
          <w:highlight w:val="none"/>
        </w:rPr>
        <w:t xml:space="preserve">计算机硬件工程师认证</w:t>
      </w:r>
      <w:r>
        <w:rPr>
          <w:rFonts w:hint="eastAsia" w:ascii="宋体" w:hAnsi="宋体"/>
          <w:color w:val="auto"/>
          <w:sz w:val="24"/>
          <w:highlight w:val="none"/>
        </w:rPr>
        <w:t xml:space="preserve">证书的，每有</w:t>
      </w:r>
      <w:r>
        <w:rPr>
          <w:rFonts w:hint="eastAsia" w:ascii="宋体" w:hAnsi="宋体"/>
          <w:color w:val="auto"/>
          <w:sz w:val="24"/>
          <w:highlight w:val="none"/>
        </w:rPr>
        <w:t xml:space="preserve">一人得1分，最高2分。须提供相应有效证书扫描件。</w:t>
      </w:r>
      <w:r>
        <w:rPr>
          <w:color w:val="auto"/>
          <w:highlight w:val="none"/>
        </w:rPr>
      </w:r>
      <w:r>
        <w:rPr>
          <w:color w:val="auto"/>
          <w:highlight w:val="none"/>
        </w:rPr>
      </w:r>
    </w:p>
    <w:p>
      <w:pPr>
        <w:pStyle w:val="808"/>
        <w:ind w:firstLine="480"/>
        <w:spacing w:line="500" w:lineRule="exact"/>
        <w:rPr>
          <w:rFonts w:ascii="宋体" w:hAnsi="宋体"/>
          <w:color w:val="auto"/>
          <w:sz w:val="24"/>
          <w:highlight w:val="none"/>
        </w:rPr>
      </w:pPr>
      <w:r>
        <w:rPr>
          <w:rFonts w:hint="eastAsia" w:ascii="宋体" w:hAnsi="宋体"/>
          <w:color w:val="auto"/>
          <w:sz w:val="24"/>
          <w:highlight w:val="none"/>
        </w:rPr>
        <w:t xml:space="preserve">2.3  驻场人数配备承诺（2分）：投标人能够承诺，在满足招标文件要求的基础驻场人数3人的前提下，每承诺能够额外多配备一名驻场人员的得2分；须提供投标人</w:t>
      </w:r>
      <w:r>
        <w:rPr>
          <w:rFonts w:hint="eastAsia" w:ascii="宋体" w:hAnsi="宋体"/>
          <w:color w:val="auto"/>
          <w:sz w:val="24"/>
          <w:highlight w:val="none"/>
        </w:rPr>
        <w:t xml:space="preserve">承诺函，并加盖投标人公章。</w:t>
      </w:r>
      <w:r>
        <w:rPr>
          <w:color w:val="auto"/>
          <w:highlight w:val="none"/>
        </w:rPr>
      </w:r>
      <w:r>
        <w:rPr>
          <w:color w:val="auto"/>
          <w:highlight w:val="none"/>
        </w:rPr>
      </w:r>
    </w:p>
    <w:p>
      <w:pPr>
        <w:pStyle w:val="808"/>
        <w:numPr>
          <w:ilvl w:val="4"/>
          <w:numId w:val="48"/>
        </w:numPr>
        <w:ind w:left="0"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投标人综合情况（</w:t>
      </w:r>
      <w:r>
        <w:rPr>
          <w:rFonts w:hint="eastAsia" w:ascii="宋体" w:hAnsi="宋体"/>
          <w:b/>
          <w:bCs/>
          <w:color w:val="auto"/>
          <w:sz w:val="24"/>
          <w:szCs w:val="24"/>
          <w:highlight w:val="none"/>
        </w:rPr>
        <w:t xml:space="preserve">14</w:t>
      </w:r>
      <w:r>
        <w:rPr>
          <w:rFonts w:hint="eastAsia" w:ascii="宋体" w:hAnsi="宋体"/>
          <w:b/>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  </w:t>
      </w:r>
      <w:r>
        <w:rPr>
          <w:rFonts w:hint="eastAsia" w:ascii="宋体" w:hAnsi="宋体"/>
          <w:color w:val="auto"/>
          <w:sz w:val="24"/>
          <w:highlight w:val="none"/>
        </w:rPr>
        <w:t xml:space="preserve">业绩（</w:t>
      </w:r>
      <w:r>
        <w:rPr>
          <w:rFonts w:hint="eastAsia" w:ascii="宋体" w:hAnsi="宋体"/>
          <w:color w:val="auto"/>
          <w:sz w:val="24"/>
          <w:highlight w:val="none"/>
        </w:rPr>
        <w:t xml:space="preserve">6</w:t>
      </w:r>
      <w:r>
        <w:rPr>
          <w:rFonts w:hint="eastAsia" w:ascii="宋体" w:hAnsi="宋体"/>
          <w:color w:val="auto"/>
          <w:sz w:val="24"/>
          <w:highlight w:val="none"/>
        </w:rPr>
        <w:t xml:space="preserve">分）：投标人自2020年1月1日以来（以合同签订时间为准）具有与本项目类似项目（含硬件运维）案例的，每有一个得</w:t>
      </w:r>
      <w:r>
        <w:rPr>
          <w:rFonts w:hint="eastAsia" w:ascii="宋体" w:hAnsi="宋体"/>
          <w:color w:val="auto"/>
          <w:sz w:val="24"/>
          <w:highlight w:val="none"/>
        </w:rPr>
        <w:t xml:space="preserve">2</w:t>
      </w:r>
      <w:r>
        <w:rPr>
          <w:rFonts w:hint="eastAsia" w:ascii="宋体" w:hAnsi="宋体"/>
          <w:color w:val="auto"/>
          <w:sz w:val="24"/>
          <w:highlight w:val="none"/>
        </w:rPr>
        <w:t xml:space="preserve">分，最高</w:t>
      </w:r>
      <w:r>
        <w:rPr>
          <w:rFonts w:hint="eastAsia" w:ascii="宋体" w:hAnsi="宋体"/>
          <w:color w:val="auto"/>
          <w:sz w:val="24"/>
          <w:highlight w:val="none"/>
        </w:rPr>
        <w:t xml:space="preserve">6</w:t>
      </w:r>
      <w:r>
        <w:rPr>
          <w:rFonts w:hint="eastAsia" w:ascii="宋体" w:hAnsi="宋体"/>
          <w:color w:val="auto"/>
          <w:sz w:val="24"/>
          <w:highlight w:val="none"/>
        </w:rPr>
        <w:t xml:space="preserve">分；须提供相应</w:t>
      </w:r>
      <w:r>
        <w:rPr>
          <w:rFonts w:hint="eastAsia" w:ascii="宋体" w:hAnsi="宋体"/>
          <w:color w:val="auto"/>
          <w:sz w:val="24"/>
          <w:highlight w:val="none"/>
        </w:rPr>
        <w:t xml:space="preserve">有效合同扫描件。</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3.2  </w:t>
      </w:r>
      <w:r>
        <w:rPr>
          <w:rFonts w:hint="eastAsia" w:ascii="宋体" w:hAnsi="宋体"/>
          <w:color w:val="auto"/>
          <w:sz w:val="24"/>
          <w:highlight w:val="none"/>
        </w:rPr>
        <w:t xml:space="preserve">体系认证（3分）：</w:t>
      </w:r>
      <w:r>
        <w:rPr>
          <w:rFonts w:hint="eastAsia" w:ascii="宋体" w:hAnsi="宋体"/>
          <w:color w:val="auto"/>
          <w:sz w:val="24"/>
          <w:highlight w:val="none"/>
        </w:rPr>
        <w:t xml:space="preserve">投标人具有有效期内的</w:t>
      </w:r>
      <w:r>
        <w:rPr>
          <w:rFonts w:hint="eastAsia" w:ascii="宋体" w:hAnsi="宋体"/>
          <w:color w:val="auto"/>
          <w:sz w:val="24"/>
          <w:highlight w:val="none"/>
        </w:rPr>
        <w:t xml:space="preserve">：</w:t>
      </w:r>
      <w:r>
        <w:rPr>
          <w:rFonts w:hint="eastAsia" w:ascii="宋体" w:hAnsi="宋体"/>
          <w:color w:val="auto"/>
          <w:sz w:val="24"/>
          <w:highlight w:val="none"/>
        </w:rPr>
        <w:t xml:space="preserve">质量管理体系认证证书的得1分</w:t>
      </w:r>
      <w:r>
        <w:rPr>
          <w:rFonts w:hint="eastAsia" w:ascii="宋体" w:hAnsi="宋体"/>
          <w:color w:val="auto"/>
          <w:sz w:val="24"/>
          <w:highlight w:val="none"/>
        </w:rPr>
        <w:t xml:space="preserve">、</w:t>
      </w:r>
      <w:r>
        <w:rPr>
          <w:rFonts w:hint="eastAsia" w:ascii="宋体" w:hAnsi="宋体"/>
          <w:color w:val="auto"/>
          <w:sz w:val="24"/>
          <w:highlight w:val="none"/>
        </w:rPr>
        <w:t xml:space="preserve">信息安全管理体系认证证书的得1分</w:t>
      </w:r>
      <w:r>
        <w:rPr>
          <w:rFonts w:hint="eastAsia" w:ascii="宋体" w:hAnsi="宋体"/>
          <w:color w:val="auto"/>
          <w:sz w:val="24"/>
          <w:highlight w:val="none"/>
        </w:rPr>
        <w:t xml:space="preserve">、</w:t>
      </w:r>
      <w:r>
        <w:rPr>
          <w:rFonts w:hint="eastAsia" w:ascii="宋体" w:hAnsi="宋体"/>
          <w:color w:val="auto"/>
          <w:sz w:val="24"/>
          <w:highlight w:val="none"/>
        </w:rPr>
        <w:t xml:space="preserve">环境管理体系认证证书的得1分</w:t>
      </w:r>
      <w:r>
        <w:rPr>
          <w:rFonts w:hint="eastAsia" w:ascii="宋体" w:hAnsi="宋体"/>
          <w:color w:val="auto"/>
          <w:sz w:val="24"/>
          <w:highlight w:val="none"/>
        </w:rPr>
        <w:t xml:space="preserve">；须提供相应有效认证证书扫描件，</w:t>
      </w:r>
      <w:r>
        <w:rPr>
          <w:rFonts w:hint="eastAsia" w:ascii="宋体" w:hAnsi="宋体"/>
          <w:color w:val="auto"/>
          <w:sz w:val="24"/>
          <w:highlight w:val="none"/>
        </w:rPr>
        <w:t xml:space="preserve">同时还须提供该证书在“国家市场监督管理总局-全国认证认可信息公共服务平台”网站查询到的有效认证截图并加盖投标人公章。</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3.3  </w:t>
      </w:r>
      <w:r>
        <w:rPr>
          <w:rFonts w:hint="eastAsia" w:ascii="宋体" w:hAnsi="宋体"/>
          <w:color w:val="auto"/>
          <w:sz w:val="24"/>
          <w:highlight w:val="none"/>
        </w:rPr>
        <w:t xml:space="preserve">服务响应时间（2分）：投标人能够承诺，在运维服务过程中，接到服务指令2小时内到达物联网机房现场的得1分；接到服务指令1小时内到达物联网机房现场的得2分。本项最高2分，不重复得分。须提供投标人承诺函，并加盖投标人公章。</w:t>
      </w:r>
      <w:r>
        <w:rPr>
          <w:color w:val="auto"/>
          <w:highlight w:val="none"/>
        </w:rPr>
      </w:r>
      <w:r>
        <w:rPr>
          <w:color w:val="auto"/>
          <w:highlight w:val="none"/>
        </w:rPr>
      </w:r>
    </w:p>
    <w:p>
      <w:pPr>
        <w:pStyle w:val="808"/>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3.4  </w:t>
      </w:r>
      <w:r>
        <w:rPr>
          <w:rFonts w:hint="eastAsia" w:ascii="宋体" w:hAnsi="宋体"/>
          <w:color w:val="auto"/>
          <w:sz w:val="24"/>
          <w:highlight w:val="none"/>
        </w:rPr>
        <w:t xml:space="preserve">原厂服务保证</w:t>
      </w:r>
      <w:r>
        <w:rPr>
          <w:rFonts w:hint="eastAsia" w:ascii="宋体" w:hAnsi="宋体"/>
          <w:color w:val="auto"/>
          <w:sz w:val="24"/>
          <w:highlight w:val="none"/>
        </w:rPr>
        <w:t xml:space="preserve">（3分）：</w:t>
      </w:r>
      <w:r>
        <w:rPr>
          <w:rFonts w:hint="eastAsia" w:ascii="宋体" w:hAnsi="宋体"/>
          <w:color w:val="auto"/>
          <w:sz w:val="24"/>
          <w:highlight w:val="none"/>
        </w:rPr>
        <w:t xml:space="preserve">投标人能够</w:t>
      </w:r>
      <w:r>
        <w:rPr>
          <w:rFonts w:hint="eastAsia" w:ascii="宋体" w:hAnsi="宋体"/>
          <w:color w:val="auto"/>
          <w:sz w:val="24"/>
          <w:highlight w:val="none"/>
        </w:rPr>
        <w:t xml:space="preserve">保证</w:t>
      </w:r>
      <w:r>
        <w:rPr>
          <w:rFonts w:hint="eastAsia" w:ascii="宋体" w:hAnsi="宋体"/>
          <w:color w:val="auto"/>
          <w:sz w:val="24"/>
          <w:highlight w:val="none"/>
        </w:rPr>
        <w:t xml:space="preserve">中标后提供</w:t>
      </w:r>
      <w:r>
        <w:rPr>
          <w:rFonts w:hint="eastAsia" w:ascii="宋体" w:hAnsi="宋体"/>
          <w:color w:val="auto"/>
          <w:sz w:val="24"/>
          <w:highlight w:val="none"/>
        </w:rPr>
        <w:t xml:space="preserve">核心存储、防病毒网关、入侵防御系统</w:t>
      </w:r>
      <w:r>
        <w:rPr>
          <w:rFonts w:hint="eastAsia" w:ascii="宋体" w:hAnsi="宋体"/>
          <w:color w:val="auto"/>
          <w:sz w:val="24"/>
          <w:highlight w:val="none"/>
        </w:rPr>
        <w:t xml:space="preserve">原厂维保服务的，每针对上述一种产品进行承诺的得1分，最高3分；须提供投标人出具的承诺函并加盖投标人公章（或由上述产品原厂商出具的承诺函并加盖原厂商公章）。</w:t>
      </w:r>
      <w:r>
        <w:rPr>
          <w:color w:val="auto"/>
          <w:highlight w:val="none"/>
        </w:rPr>
      </w:r>
      <w:r>
        <w:rPr>
          <w:color w:val="auto"/>
          <w:highlight w:val="none"/>
        </w:rPr>
      </w:r>
    </w:p>
    <w:p>
      <w:pPr>
        <w:pStyle w:val="896"/>
        <w:ind w:firstLine="360"/>
        <w:spacing w:before="0" w:after="0" w:line="500" w:lineRule="exact"/>
        <w:rPr>
          <w:rFonts w:hint="eastAsia" w:ascii="宋体" w:hAnsi="宋体"/>
          <w:b/>
          <w:color w:val="auto"/>
          <w:sz w:val="28"/>
          <w:szCs w:val="28"/>
          <w:highlight w:val="none"/>
        </w:rPr>
      </w:pPr>
      <w:r>
        <w:rPr>
          <w:rFonts w:ascii="宋体" w:hAnsi="宋体"/>
          <w:color w:val="auto"/>
          <w:highlight w:val="none"/>
        </w:rPr>
        <w:br w:type="page" w:clear="all"/>
      </w:r>
      <w:r>
        <w:rPr>
          <w:rFonts w:hint="eastAsia" w:ascii="宋体" w:hAnsi="宋体"/>
          <w:b/>
          <w:color w:val="auto"/>
          <w:sz w:val="28"/>
          <w:szCs w:val="28"/>
          <w:highlight w:val="none"/>
        </w:rPr>
        <w:t xml:space="preserve">（二）技术部分（</w:t>
      </w:r>
      <w:r>
        <w:rPr>
          <w:rFonts w:hint="eastAsia" w:ascii="宋体" w:hAnsi="宋体"/>
          <w:b/>
          <w:color w:val="auto"/>
          <w:sz w:val="28"/>
          <w:szCs w:val="28"/>
          <w:highlight w:val="none"/>
        </w:rPr>
        <w:t xml:space="preserve">5</w:t>
      </w:r>
      <w:r>
        <w:rPr>
          <w:rFonts w:hint="eastAsia" w:ascii="宋体" w:hAnsi="宋体"/>
          <w:b/>
          <w:color w:val="auto"/>
          <w:sz w:val="28"/>
          <w:szCs w:val="28"/>
          <w:highlight w:val="none"/>
        </w:rPr>
        <w:t xml:space="preserve">4</w:t>
      </w:r>
      <w:r>
        <w:rPr>
          <w:rFonts w:hint="eastAsia" w:ascii="宋体" w:hAnsi="宋体"/>
          <w:b/>
          <w:color w:val="auto"/>
          <w:sz w:val="28"/>
          <w:szCs w:val="28"/>
          <w:highlight w:val="none"/>
        </w:rPr>
        <w:t xml:space="preserve">分）</w:t>
      </w:r>
      <w:r>
        <w:rPr>
          <w:color w:val="auto"/>
          <w:highlight w:val="none"/>
        </w:rPr>
      </w:r>
      <w:r>
        <w:rPr>
          <w:color w:val="auto"/>
          <w:highlight w:val="none"/>
        </w:rPr>
      </w:r>
    </w:p>
    <w:p>
      <w:pPr>
        <w:pStyle w:val="896"/>
        <w:ind w:firstLine="422"/>
        <w:spacing w:before="0" w:after="0" w:line="500" w:lineRule="exact"/>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t xml:space="preserve">注：技术部分属于暗标，投标人在制作技术部分相关内容时不得有体现投标人身份的内容，否则投标无效。</w:t>
      </w:r>
      <w:r>
        <w:rPr>
          <w:color w:val="auto"/>
          <w:highlight w:val="none"/>
        </w:rPr>
      </w:r>
      <w:r>
        <w:rPr>
          <w:color w:val="auto"/>
          <w:highlight w:val="none"/>
        </w:rPr>
      </w:r>
    </w:p>
    <w:p>
      <w:pPr>
        <w:pStyle w:val="808"/>
        <w:numPr>
          <w:ilvl w:val="4"/>
          <w:numId w:val="48"/>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项目方案（</w:t>
      </w:r>
      <w:r>
        <w:rPr>
          <w:rFonts w:hint="eastAsia" w:ascii="宋体" w:hAnsi="宋体"/>
          <w:b/>
          <w:bCs/>
          <w:color w:val="auto"/>
          <w:sz w:val="24"/>
          <w:szCs w:val="24"/>
          <w:highlight w:val="none"/>
        </w:rPr>
        <w:t xml:space="preserve">5</w:t>
      </w:r>
      <w:r>
        <w:rPr>
          <w:rFonts w:hint="eastAsia" w:ascii="宋体" w:hAnsi="宋体"/>
          <w:b/>
          <w:bCs/>
          <w:color w:val="auto"/>
          <w:sz w:val="24"/>
          <w:szCs w:val="24"/>
          <w:highlight w:val="none"/>
        </w:rPr>
        <w:t xml:space="preserve">4</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考察投标人项目技术方案，在响应采购文件需求的基础上针对下列各部分进行评价，要求体现科学合理性、条理性、可行性、完善性、针对性，</w:t>
      </w:r>
      <w:r>
        <w:rPr>
          <w:rFonts w:hint="eastAsia" w:ascii="宋体" w:hAnsi="宋体"/>
          <w:bCs/>
          <w:color w:val="auto"/>
          <w:sz w:val="24"/>
          <w:szCs w:val="24"/>
          <w:highlight w:val="none"/>
        </w:rPr>
        <w:t xml:space="preserve">无方案不得分。</w:t>
      </w:r>
      <w:r>
        <w:rPr>
          <w:color w:val="auto"/>
          <w:highlight w:val="none"/>
        </w:rPr>
      </w:r>
      <w:r>
        <w:rPr>
          <w:color w:val="auto"/>
          <w:highlight w:val="none"/>
        </w:rPr>
      </w:r>
    </w:p>
    <w:p>
      <w:pPr>
        <w:pStyle w:val="808"/>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rPr>
        <w:t xml:space="preserve">对需求的把握和理解（8分）：投标人对整体项目的理解，包括项目背景、项</w:t>
      </w:r>
      <w:r>
        <w:rPr>
          <w:rFonts w:hint="eastAsia" w:ascii="宋体" w:hAnsi="宋体"/>
          <w:bCs/>
          <w:color w:val="auto"/>
          <w:sz w:val="24"/>
          <w:szCs w:val="24"/>
          <w:highlight w:val="none"/>
        </w:rPr>
        <w:t xml:space="preserve">目需求、项目目标、以及目标达成等方面阐述，进行综合评分。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方案清晰、合理、详细、全面、针对性强、可行性强，且</w:t>
      </w: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 xml:space="preserve">项内容方案均齐全的，得</w:t>
      </w:r>
      <w:r>
        <w:rPr>
          <w:rFonts w:hint="eastAsia" w:ascii="宋体" w:hAnsi="宋体"/>
          <w:bCs/>
          <w:color w:val="auto"/>
          <w:sz w:val="24"/>
          <w:szCs w:val="24"/>
          <w:highlight w:val="none"/>
        </w:rPr>
        <w:t xml:space="preserve">8</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方案较清晰、较合理、较详细、较全面、针对性较强、可行性较强，能够提供</w:t>
      </w:r>
      <w:r>
        <w:rPr>
          <w:rFonts w:hint="eastAsia" w:ascii="宋体" w:hAnsi="宋体"/>
          <w:bCs/>
          <w:color w:val="auto"/>
          <w:sz w:val="24"/>
          <w:szCs w:val="24"/>
          <w:highlight w:val="none"/>
        </w:rPr>
        <w:t xml:space="preserve">3-4</w:t>
      </w:r>
      <w:r>
        <w:rPr>
          <w:rFonts w:hint="eastAsia" w:ascii="宋体" w:hAnsi="宋体"/>
          <w:bCs/>
          <w:color w:val="auto"/>
          <w:sz w:val="24"/>
          <w:szCs w:val="24"/>
          <w:highlight w:val="none"/>
        </w:rPr>
        <w:t xml:space="preserve">项内容方案的，得</w:t>
      </w:r>
      <w:r>
        <w:rPr>
          <w:rFonts w:hint="eastAsia" w:ascii="宋体" w:hAnsi="宋体"/>
          <w:bCs/>
          <w:color w:val="auto"/>
          <w:sz w:val="24"/>
          <w:szCs w:val="24"/>
          <w:highlight w:val="none"/>
        </w:rPr>
        <w:t xml:space="preserve">7</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方案清晰度一般、合理性一般、详细性一般、全面性一般、针对性一般、可行性一般，能够提供</w:t>
      </w:r>
      <w:r>
        <w:rPr>
          <w:rFonts w:hint="eastAsia" w:ascii="宋体" w:hAnsi="宋体"/>
          <w:bCs/>
          <w:color w:val="auto"/>
          <w:sz w:val="24"/>
          <w:szCs w:val="24"/>
          <w:highlight w:val="none"/>
        </w:rPr>
        <w:t xml:space="preserve">2-4</w:t>
      </w:r>
      <w:r>
        <w:rPr>
          <w:rFonts w:hint="eastAsia" w:ascii="宋体" w:hAnsi="宋体"/>
          <w:bCs/>
          <w:color w:val="auto"/>
          <w:sz w:val="24"/>
          <w:szCs w:val="24"/>
          <w:highlight w:val="none"/>
        </w:rPr>
        <w:t xml:space="preserve">项内容方案的，得</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ascii="宋体" w:hAnsi="宋体"/>
          <w:bCs/>
          <w:color w:val="auto"/>
          <w:sz w:val="24"/>
          <w:szCs w:val="24"/>
          <w:highlight w:val="none"/>
        </w:rPr>
      </w:pPr>
      <w:r>
        <w:rPr>
          <w:rFonts w:hint="eastAsia" w:ascii="宋体" w:hAnsi="宋体"/>
          <w:bCs/>
          <w:color w:val="auto"/>
          <w:sz w:val="24"/>
          <w:szCs w:val="24"/>
          <w:highlight w:val="none"/>
        </w:rPr>
        <w:t xml:space="preserve">方案内容基本满足要求，没有明确各项内容方案的，得</w:t>
      </w: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rPr>
        <w:t xml:space="preserve">运维服务总体内容（8分）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投标人依据项目要求结合业务特性，进行运维服务交付整体内容，详细描述内容包括：服务器、存储、网络、网络安全、数据库、虚拟化平台、视频会议、音视频系统、机房、LED大屏等运行维护服务内容以及相应技术手段、管理措施具体可执行操作，进行综合评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方案清晰、合理、详细、全面、针对性强、可行性强，且</w:t>
      </w:r>
      <w:r>
        <w:rPr>
          <w:rFonts w:hint="eastAsia" w:ascii="宋体" w:hAnsi="宋体"/>
          <w:bCs/>
          <w:color w:val="auto"/>
          <w:sz w:val="24"/>
          <w:szCs w:val="24"/>
          <w:highlight w:val="none"/>
        </w:rPr>
        <w:t xml:space="preserve">10</w:t>
      </w:r>
      <w:r>
        <w:rPr>
          <w:rFonts w:hint="eastAsia" w:ascii="宋体" w:hAnsi="宋体"/>
          <w:bCs/>
          <w:color w:val="auto"/>
          <w:sz w:val="24"/>
          <w:szCs w:val="24"/>
          <w:highlight w:val="none"/>
        </w:rPr>
        <w:t xml:space="preserve">项</w:t>
      </w:r>
      <w:r>
        <w:rPr>
          <w:rFonts w:hint="eastAsia" w:ascii="宋体" w:hAnsi="宋体"/>
          <w:bCs/>
          <w:color w:val="auto"/>
          <w:sz w:val="24"/>
          <w:szCs w:val="24"/>
          <w:highlight w:val="none"/>
        </w:rPr>
        <w:t xml:space="preserve">描述</w:t>
      </w:r>
      <w:r>
        <w:rPr>
          <w:rFonts w:hint="eastAsia" w:ascii="宋体" w:hAnsi="宋体"/>
          <w:bCs/>
          <w:color w:val="auto"/>
          <w:sz w:val="24"/>
          <w:szCs w:val="24"/>
          <w:highlight w:val="none"/>
        </w:rPr>
        <w:t xml:space="preserve">内容方案均齐全的，得</w:t>
      </w:r>
      <w:r>
        <w:rPr>
          <w:rFonts w:hint="eastAsia" w:ascii="宋体" w:hAnsi="宋体"/>
          <w:bCs/>
          <w:color w:val="auto"/>
          <w:sz w:val="24"/>
          <w:szCs w:val="24"/>
          <w:highlight w:val="none"/>
        </w:rPr>
        <w:t xml:space="preserve">8</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方案较清晰、较合理、较详细、较全面、针对性较强、可行性较强，能够提供</w:t>
      </w:r>
      <w:r>
        <w:rPr>
          <w:rFonts w:hint="eastAsia" w:ascii="宋体" w:hAnsi="宋体"/>
          <w:bCs/>
          <w:color w:val="auto"/>
          <w:sz w:val="24"/>
          <w:szCs w:val="24"/>
          <w:highlight w:val="none"/>
        </w:rPr>
        <w:t xml:space="preserve">8-10</w:t>
      </w:r>
      <w:r>
        <w:rPr>
          <w:rFonts w:hint="eastAsia" w:ascii="宋体" w:hAnsi="宋体"/>
          <w:bCs/>
          <w:color w:val="auto"/>
          <w:sz w:val="24"/>
          <w:szCs w:val="24"/>
          <w:highlight w:val="none"/>
        </w:rPr>
        <w:t xml:space="preserve">项</w:t>
      </w:r>
      <w:r>
        <w:rPr>
          <w:rFonts w:hint="eastAsia" w:ascii="宋体" w:hAnsi="宋体"/>
          <w:bCs/>
          <w:color w:val="auto"/>
          <w:sz w:val="24"/>
          <w:szCs w:val="24"/>
          <w:highlight w:val="none"/>
        </w:rPr>
        <w:t xml:space="preserve">描述</w:t>
      </w:r>
      <w:r>
        <w:rPr>
          <w:rFonts w:hint="eastAsia" w:ascii="宋体" w:hAnsi="宋体"/>
          <w:bCs/>
          <w:color w:val="auto"/>
          <w:sz w:val="24"/>
          <w:szCs w:val="24"/>
          <w:highlight w:val="none"/>
        </w:rPr>
        <w:t xml:space="preserve">内容方案的，得</w:t>
      </w:r>
      <w:r>
        <w:rPr>
          <w:rFonts w:hint="eastAsia" w:ascii="宋体" w:hAnsi="宋体"/>
          <w:bCs/>
          <w:color w:val="auto"/>
          <w:sz w:val="24"/>
          <w:szCs w:val="24"/>
          <w:highlight w:val="none"/>
        </w:rPr>
        <w:t xml:space="preserve">7</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方案清晰度一般、合理性一般、详细性一般、全面性一般、针对性一般、可行性一般，能够提供</w:t>
      </w:r>
      <w:r>
        <w:rPr>
          <w:rFonts w:hint="eastAsia" w:ascii="宋体" w:hAnsi="宋体"/>
          <w:bCs/>
          <w:color w:val="auto"/>
          <w:sz w:val="24"/>
          <w:szCs w:val="24"/>
          <w:highlight w:val="none"/>
        </w:rPr>
        <w:t xml:space="preserve">6-10</w:t>
      </w:r>
      <w:r>
        <w:rPr>
          <w:rFonts w:hint="eastAsia" w:ascii="宋体" w:hAnsi="宋体"/>
          <w:bCs/>
          <w:color w:val="auto"/>
          <w:sz w:val="24"/>
          <w:szCs w:val="24"/>
          <w:highlight w:val="none"/>
        </w:rPr>
        <w:t xml:space="preserve">项</w:t>
      </w:r>
      <w:r>
        <w:rPr>
          <w:rFonts w:hint="eastAsia" w:ascii="宋体" w:hAnsi="宋体"/>
          <w:bCs/>
          <w:color w:val="auto"/>
          <w:sz w:val="24"/>
          <w:szCs w:val="24"/>
          <w:highlight w:val="none"/>
        </w:rPr>
        <w:t xml:space="preserve">描述</w:t>
      </w:r>
      <w:r>
        <w:rPr>
          <w:rFonts w:hint="eastAsia" w:ascii="宋体" w:hAnsi="宋体"/>
          <w:bCs/>
          <w:color w:val="auto"/>
          <w:sz w:val="24"/>
          <w:szCs w:val="24"/>
          <w:highlight w:val="none"/>
        </w:rPr>
        <w:t xml:space="preserve">内容方案的，得</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ascii="宋体" w:hAnsi="宋体"/>
          <w:bCs/>
          <w:color w:val="auto"/>
          <w:sz w:val="24"/>
          <w:szCs w:val="24"/>
          <w:highlight w:val="none"/>
        </w:rPr>
      </w:pPr>
      <w:r>
        <w:rPr>
          <w:rFonts w:hint="eastAsia" w:ascii="宋体" w:hAnsi="宋体"/>
          <w:bCs/>
          <w:color w:val="auto"/>
          <w:sz w:val="24"/>
          <w:szCs w:val="24"/>
          <w:highlight w:val="none"/>
        </w:rPr>
        <w:t xml:space="preserve">方案内容基本满足要求，没有明确各项</w:t>
      </w:r>
      <w:r>
        <w:rPr>
          <w:rFonts w:hint="eastAsia" w:ascii="宋体" w:hAnsi="宋体"/>
          <w:bCs/>
          <w:color w:val="auto"/>
          <w:sz w:val="24"/>
          <w:szCs w:val="24"/>
          <w:highlight w:val="none"/>
        </w:rPr>
        <w:t xml:space="preserve">描述</w:t>
      </w:r>
      <w:r>
        <w:rPr>
          <w:rFonts w:hint="eastAsia" w:ascii="宋体" w:hAnsi="宋体"/>
          <w:bCs/>
          <w:color w:val="auto"/>
          <w:sz w:val="24"/>
          <w:szCs w:val="24"/>
          <w:highlight w:val="none"/>
        </w:rPr>
        <w:t xml:space="preserve">内容方案的，得</w:t>
      </w: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rPr>
        <w:t xml:space="preserve">运维服务方案（8分）：根据运维方案的合理性、科学性、可操作性等情况，如何保障项目的可持续稳定运行。服务方案内容包括：驻场服务、日常巡检、故障响应、优化咨询、重保支撑等。</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方案清晰、合理、详细、全面、针对性强、可行性强，且</w:t>
      </w: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项内容方案均齐全的，得</w:t>
      </w:r>
      <w:r>
        <w:rPr>
          <w:rFonts w:hint="eastAsia" w:ascii="宋体" w:hAnsi="宋体"/>
          <w:bCs/>
          <w:color w:val="auto"/>
          <w:sz w:val="24"/>
          <w:szCs w:val="24"/>
          <w:highlight w:val="none"/>
        </w:rPr>
        <w:t xml:space="preserve">8</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方案较清晰、较合理、较详细、较全面、针对性较强、可行性较强，能够提供</w:t>
      </w:r>
      <w:r>
        <w:rPr>
          <w:rFonts w:hint="eastAsia" w:ascii="宋体" w:hAnsi="宋体"/>
          <w:bCs/>
          <w:color w:val="auto"/>
          <w:sz w:val="24"/>
          <w:szCs w:val="24"/>
          <w:highlight w:val="none"/>
        </w:rPr>
        <w:t xml:space="preserve">3-5</w:t>
      </w:r>
      <w:r>
        <w:rPr>
          <w:rFonts w:hint="eastAsia" w:ascii="宋体" w:hAnsi="宋体"/>
          <w:bCs/>
          <w:color w:val="auto"/>
          <w:sz w:val="24"/>
          <w:szCs w:val="24"/>
          <w:highlight w:val="none"/>
        </w:rPr>
        <w:t xml:space="preserve">项内容方案的，得</w:t>
      </w:r>
      <w:r>
        <w:rPr>
          <w:rFonts w:hint="eastAsia" w:ascii="宋体" w:hAnsi="宋体"/>
          <w:bCs/>
          <w:color w:val="auto"/>
          <w:sz w:val="24"/>
          <w:szCs w:val="24"/>
          <w:highlight w:val="none"/>
        </w:rPr>
        <w:t xml:space="preserve">7</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方案清晰度一般、合理性一般、详细性一般、全面性一般、针对性一般、可行性一般，能够提供</w:t>
      </w:r>
      <w:r>
        <w:rPr>
          <w:rFonts w:hint="eastAsia" w:ascii="宋体" w:hAnsi="宋体"/>
          <w:bCs/>
          <w:color w:val="auto"/>
          <w:sz w:val="24"/>
          <w:szCs w:val="24"/>
          <w:highlight w:val="none"/>
        </w:rPr>
        <w:t xml:space="preserve">2-5</w:t>
      </w:r>
      <w:r>
        <w:rPr>
          <w:rFonts w:hint="eastAsia" w:ascii="宋体" w:hAnsi="宋体"/>
          <w:bCs/>
          <w:color w:val="auto"/>
          <w:sz w:val="24"/>
          <w:szCs w:val="24"/>
          <w:highlight w:val="none"/>
        </w:rPr>
        <w:t xml:space="preserve">项内容方案的，得</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ascii="宋体" w:hAnsi="宋体"/>
          <w:bCs/>
          <w:color w:val="auto"/>
          <w:sz w:val="24"/>
          <w:szCs w:val="24"/>
          <w:highlight w:val="none"/>
        </w:rPr>
      </w:pPr>
      <w:r>
        <w:rPr>
          <w:rFonts w:hint="eastAsia" w:ascii="宋体" w:hAnsi="宋体"/>
          <w:bCs/>
          <w:color w:val="auto"/>
          <w:sz w:val="24"/>
          <w:szCs w:val="24"/>
          <w:highlight w:val="none"/>
        </w:rPr>
        <w:t xml:space="preserve">方案内容基本满足要求，没有明确各项内容方案的，得</w:t>
      </w: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945" w:leader="none"/>
          <w:tab w:val="left" w:pos="1155" w:leader="none"/>
          <w:tab w:val="left" w:pos="3823"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rPr>
        <w:t xml:space="preserve">运维服务规范（</w:t>
      </w:r>
      <w:r>
        <w:rPr>
          <w:rFonts w:hint="eastAsia" w:ascii="宋体" w:hAnsi="宋体"/>
          <w:bCs/>
          <w:color w:val="auto"/>
          <w:sz w:val="24"/>
          <w:szCs w:val="24"/>
          <w:highlight w:val="none"/>
        </w:rPr>
        <w:t xml:space="preserve">8</w:t>
      </w:r>
      <w:r>
        <w:rPr>
          <w:rFonts w:hint="eastAsia" w:ascii="宋体" w:hAnsi="宋体"/>
          <w:bCs/>
          <w:color w:val="auto"/>
          <w:sz w:val="24"/>
          <w:szCs w:val="24"/>
          <w:highlight w:val="none"/>
        </w:rPr>
        <w:t xml:space="preserve">分）：根据投标人提供完整运维服规范，内容包括：驻场服务规范、巡检服务规范、运维安全规范、系统稳定运行规范、资源性能优化规范、监控与告警规范、资产变更管理规、运维日志管理规范、根据资产要求对应的服务水平协议（SLA）规范、数据安全规范。</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方案清晰、合理、详细、全面、针对性强、可行性强，且</w:t>
      </w:r>
      <w:r>
        <w:rPr>
          <w:rFonts w:hint="eastAsia" w:ascii="宋体" w:hAnsi="宋体"/>
          <w:bCs/>
          <w:color w:val="auto"/>
          <w:sz w:val="24"/>
          <w:szCs w:val="24"/>
          <w:highlight w:val="none"/>
        </w:rPr>
        <w:t xml:space="preserve">10</w:t>
      </w:r>
      <w:r>
        <w:rPr>
          <w:rFonts w:hint="eastAsia" w:ascii="宋体" w:hAnsi="宋体"/>
          <w:bCs/>
          <w:color w:val="auto"/>
          <w:sz w:val="24"/>
          <w:szCs w:val="24"/>
          <w:highlight w:val="none"/>
        </w:rPr>
        <w:t xml:space="preserve">项内容方案均齐全的，得</w:t>
      </w:r>
      <w:r>
        <w:rPr>
          <w:rFonts w:hint="eastAsia" w:ascii="宋体" w:hAnsi="宋体"/>
          <w:bCs/>
          <w:color w:val="auto"/>
          <w:sz w:val="24"/>
          <w:szCs w:val="24"/>
          <w:highlight w:val="none"/>
        </w:rPr>
        <w:t xml:space="preserve">8</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方案较清晰、较合理、较详细、较全面、针对性较强、可行性较强，能够提供</w:t>
      </w:r>
      <w:r>
        <w:rPr>
          <w:rFonts w:hint="eastAsia" w:ascii="宋体" w:hAnsi="宋体"/>
          <w:bCs/>
          <w:color w:val="auto"/>
          <w:sz w:val="24"/>
          <w:szCs w:val="24"/>
          <w:highlight w:val="none"/>
        </w:rPr>
        <w:t xml:space="preserve">8-10</w:t>
      </w:r>
      <w:r>
        <w:rPr>
          <w:rFonts w:hint="eastAsia" w:ascii="宋体" w:hAnsi="宋体"/>
          <w:bCs/>
          <w:color w:val="auto"/>
          <w:sz w:val="24"/>
          <w:szCs w:val="24"/>
          <w:highlight w:val="none"/>
        </w:rPr>
        <w:t xml:space="preserve">项内容方案的，得</w:t>
      </w:r>
      <w:r>
        <w:rPr>
          <w:rFonts w:hint="eastAsia" w:ascii="宋体" w:hAnsi="宋体"/>
          <w:bCs/>
          <w:color w:val="auto"/>
          <w:sz w:val="24"/>
          <w:szCs w:val="24"/>
          <w:highlight w:val="none"/>
        </w:rPr>
        <w:t xml:space="preserve">7</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方案清晰度一般、合理性一般、详细性一般、全面性一般、针对性一般、可行性一般，能够提供</w:t>
      </w:r>
      <w:r>
        <w:rPr>
          <w:rFonts w:hint="eastAsia" w:ascii="宋体" w:hAnsi="宋体"/>
          <w:bCs/>
          <w:color w:val="auto"/>
          <w:sz w:val="24"/>
          <w:szCs w:val="24"/>
          <w:highlight w:val="none"/>
        </w:rPr>
        <w:t xml:space="preserve">6-10</w:t>
      </w:r>
      <w:r>
        <w:rPr>
          <w:rFonts w:hint="eastAsia" w:ascii="宋体" w:hAnsi="宋体"/>
          <w:bCs/>
          <w:color w:val="auto"/>
          <w:sz w:val="24"/>
          <w:szCs w:val="24"/>
          <w:highlight w:val="none"/>
        </w:rPr>
        <w:t xml:space="preserve">项内容方案的，得</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ascii="宋体" w:hAnsi="宋体"/>
          <w:bCs/>
          <w:color w:val="auto"/>
          <w:sz w:val="24"/>
          <w:szCs w:val="24"/>
          <w:highlight w:val="none"/>
        </w:rPr>
      </w:pPr>
      <w:r>
        <w:rPr>
          <w:rFonts w:hint="eastAsia" w:ascii="宋体" w:hAnsi="宋体"/>
          <w:bCs/>
          <w:color w:val="auto"/>
          <w:sz w:val="24"/>
          <w:szCs w:val="24"/>
          <w:highlight w:val="none"/>
        </w:rPr>
        <w:t xml:space="preserve">方案内容基本满足要求，没有明确各项内容方案的，得</w:t>
      </w: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96"/>
        <w:spacing w:before="0" w:after="0" w:line="500" w:lineRule="exact"/>
        <w:rPr>
          <w:rFonts w:hint="eastAsia" w:ascii="宋体" w:hAnsi="宋体"/>
          <w:color w:val="auto"/>
          <w:highlight w:val="none"/>
        </w:rPr>
      </w:pPr>
      <w:r>
        <w:rPr>
          <w:rFonts w:hint="eastAsia" w:ascii="宋体" w:hAnsi="宋体"/>
          <w:color w:val="auto"/>
          <w:highlight w:val="none"/>
        </w:rPr>
        <w:t xml:space="preserve">4.5  项目管理方案（</w:t>
      </w:r>
      <w:r>
        <w:rPr>
          <w:rFonts w:hint="eastAsia" w:ascii="宋体" w:hAnsi="宋体"/>
          <w:color w:val="auto"/>
          <w:highlight w:val="none"/>
        </w:rPr>
        <w:t xml:space="preserve">7</w:t>
      </w:r>
      <w:r>
        <w:rPr>
          <w:rFonts w:hint="eastAsia" w:ascii="宋体" w:hAnsi="宋体"/>
          <w:color w:val="auto"/>
          <w:highlight w:val="none"/>
        </w:rPr>
        <w:t xml:space="preserve">分）：投标人提供完善项目管理方案，内容包括：项目组织管理、项目进度管理、项目质量管理、项目风险管理等方案内容。</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方案清晰、合理、详细、全面、针对性强、可行性强，且4项内容方案均齐全的，得</w:t>
      </w:r>
      <w:r>
        <w:rPr>
          <w:rFonts w:hint="eastAsia" w:ascii="宋体" w:hAnsi="宋体"/>
          <w:bCs/>
          <w:color w:val="auto"/>
          <w:sz w:val="24"/>
          <w:szCs w:val="24"/>
          <w:highlight w:val="none"/>
        </w:rPr>
        <w:t xml:space="preserve">7</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方案较清晰、较合理、较详细、较全面、针对性较强、可行性较强，能够提供3-4项内容方案的，得</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方案清晰度一般、合理性一般、详细性一般、全面性一般、针对性一般、可行性一般，能够提供2-4项内容方案的，得</w:t>
      </w: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ascii="宋体" w:hAnsi="宋体"/>
          <w:bCs/>
          <w:color w:val="auto"/>
          <w:sz w:val="24"/>
          <w:szCs w:val="24"/>
          <w:highlight w:val="none"/>
        </w:rPr>
      </w:pPr>
      <w:r>
        <w:rPr>
          <w:rFonts w:hint="eastAsia" w:ascii="宋体" w:hAnsi="宋体"/>
          <w:bCs/>
          <w:color w:val="auto"/>
          <w:sz w:val="24"/>
          <w:szCs w:val="24"/>
          <w:highlight w:val="none"/>
        </w:rPr>
        <w:t xml:space="preserve">方案内容基本满足要求，没有明确各项内容方案的，得</w:t>
      </w: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96"/>
        <w:spacing w:before="0" w:after="0" w:line="500" w:lineRule="exact"/>
        <w:rPr>
          <w:rFonts w:hint="eastAsia" w:ascii="宋体" w:hAnsi="宋体"/>
          <w:color w:val="auto"/>
          <w:highlight w:val="none"/>
        </w:rPr>
      </w:pPr>
      <w:r>
        <w:rPr>
          <w:rFonts w:hint="eastAsia" w:ascii="宋体" w:hAnsi="宋体"/>
          <w:color w:val="auto"/>
          <w:highlight w:val="none"/>
        </w:rPr>
        <w:t xml:space="preserve">4.6  建立运行维护档案（</w:t>
      </w:r>
      <w:r>
        <w:rPr>
          <w:rFonts w:hint="eastAsia" w:ascii="宋体" w:hAnsi="宋体"/>
          <w:color w:val="auto"/>
          <w:highlight w:val="none"/>
        </w:rPr>
        <w:t xml:space="preserve">7</w:t>
      </w:r>
      <w:r>
        <w:rPr>
          <w:rFonts w:hint="eastAsia" w:ascii="宋体" w:hAnsi="宋体"/>
          <w:color w:val="auto"/>
          <w:highlight w:val="none"/>
        </w:rPr>
        <w:t xml:space="preserve">分）：根据投标人提供的维护建档内容，内容包括：信息表、架构图、布局图等，服务交期间确保建档内容的及时性、完整性、可用性、保密性，并列举服务交付过程中的过程文档。</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方案清晰、合理、详细、全面、针对性强、可行性强，且3项内容方案均齐全的，得</w:t>
      </w:r>
      <w:r>
        <w:rPr>
          <w:rFonts w:hint="eastAsia" w:ascii="宋体" w:hAnsi="宋体"/>
          <w:bCs/>
          <w:color w:val="auto"/>
          <w:sz w:val="24"/>
          <w:szCs w:val="24"/>
          <w:highlight w:val="none"/>
        </w:rPr>
        <w:t xml:space="preserve">7</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方案较清晰、较合理、较详细、较全面、针对性较强、可行性较强，能够提供2-3</w:t>
      </w:r>
      <w:r>
        <w:rPr>
          <w:rFonts w:hint="eastAsia" w:ascii="宋体" w:hAnsi="宋体"/>
          <w:bCs/>
          <w:color w:val="auto"/>
          <w:sz w:val="24"/>
          <w:szCs w:val="24"/>
          <w:highlight w:val="none"/>
        </w:rPr>
        <w:t xml:space="preserve">项内容方案的，得</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方案清晰度一般、合理性一般、详细性一般、全面性一般、针对性一般、可行性一般，能够提供</w:t>
      </w:r>
      <w:r>
        <w:rPr>
          <w:rFonts w:hint="eastAsia" w:ascii="宋体" w:hAnsi="宋体"/>
          <w:bCs/>
          <w:color w:val="auto"/>
          <w:sz w:val="24"/>
          <w:szCs w:val="24"/>
          <w:highlight w:val="none"/>
        </w:rPr>
        <w:t xml:space="preserve">1-3</w:t>
      </w:r>
      <w:r>
        <w:rPr>
          <w:rFonts w:hint="eastAsia" w:ascii="宋体" w:hAnsi="宋体"/>
          <w:bCs/>
          <w:color w:val="auto"/>
          <w:sz w:val="24"/>
          <w:szCs w:val="24"/>
          <w:highlight w:val="none"/>
        </w:rPr>
        <w:t xml:space="preserve">项内容方案的，得</w:t>
      </w: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ascii="宋体" w:hAnsi="宋体"/>
          <w:bCs/>
          <w:color w:val="auto"/>
          <w:sz w:val="24"/>
          <w:szCs w:val="24"/>
          <w:highlight w:val="none"/>
        </w:rPr>
      </w:pPr>
      <w:r>
        <w:rPr>
          <w:rFonts w:hint="eastAsia" w:ascii="宋体" w:hAnsi="宋体"/>
          <w:bCs/>
          <w:color w:val="auto"/>
          <w:sz w:val="24"/>
          <w:szCs w:val="24"/>
          <w:highlight w:val="none"/>
        </w:rPr>
        <w:t xml:space="preserve">方案内容基本满足要求，没有明确各项内容方案的，得</w:t>
      </w: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96"/>
        <w:spacing w:before="0" w:after="0" w:line="500" w:lineRule="exact"/>
        <w:rPr>
          <w:rFonts w:hint="eastAsia" w:ascii="宋体" w:hAnsi="宋体"/>
          <w:color w:val="auto"/>
          <w:highlight w:val="none"/>
        </w:rPr>
      </w:pPr>
      <w:r>
        <w:rPr>
          <w:rFonts w:hint="eastAsia" w:ascii="宋体" w:hAnsi="宋体"/>
          <w:color w:val="auto"/>
          <w:highlight w:val="none"/>
        </w:rPr>
        <w:t xml:space="preserve">4.7  </w:t>
      </w:r>
      <w:r>
        <w:rPr>
          <w:rFonts w:hint="eastAsia" w:ascii="宋体" w:hAnsi="宋体"/>
          <w:color w:val="auto"/>
          <w:highlight w:val="none"/>
        </w:rPr>
        <w:t xml:space="preserve">服务响应时间及应急响应措施（8分）</w:t>
      </w:r>
      <w:r>
        <w:rPr>
          <w:rFonts w:hint="eastAsia" w:ascii="宋体" w:hAnsi="宋体"/>
          <w:color w:val="auto"/>
          <w:highlight w:val="none"/>
        </w:rPr>
        <w:t xml:space="preserve">：</w:t>
      </w:r>
      <w:r>
        <w:rPr>
          <w:rFonts w:hint="eastAsia" w:ascii="宋体" w:hAnsi="宋体"/>
          <w:color w:val="auto"/>
          <w:highlight w:val="none"/>
        </w:rPr>
        <w:t xml:space="preserve">根据投标人要求的SLA针对不同的业务提供相应的的故障响应时间及措施，提供</w:t>
      </w:r>
      <w:r>
        <w:rPr>
          <w:rFonts w:hint="eastAsia" w:ascii="宋体" w:hAnsi="宋体"/>
          <w:color w:val="auto"/>
          <w:highlight w:val="none"/>
        </w:rPr>
        <w:t xml:space="preserve">内容方案包括：</w:t>
      </w:r>
      <w:r>
        <w:rPr>
          <w:rFonts w:hint="eastAsia" w:ascii="宋体" w:hAnsi="宋体"/>
          <w:color w:val="auto"/>
          <w:highlight w:val="none"/>
        </w:rPr>
        <w:t xml:space="preserve">应急处置流程、预案以及应急演练。</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方案清晰、合理、详细、全面、针对性强、可行性强，且</w:t>
      </w: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 xml:space="preserve">项内容方案均齐全的，得</w:t>
      </w:r>
      <w:r>
        <w:rPr>
          <w:rFonts w:hint="eastAsia" w:ascii="宋体" w:hAnsi="宋体"/>
          <w:bCs/>
          <w:color w:val="auto"/>
          <w:sz w:val="24"/>
          <w:szCs w:val="24"/>
          <w:highlight w:val="none"/>
        </w:rPr>
        <w:t xml:space="preserve">8</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方案较清晰、较合理、较详细、较全面、针对性较强、可行性较强，能够提供</w:t>
      </w:r>
      <w:r>
        <w:rPr>
          <w:rFonts w:hint="eastAsia" w:ascii="宋体" w:hAnsi="宋体"/>
          <w:bCs/>
          <w:color w:val="auto"/>
          <w:sz w:val="24"/>
          <w:szCs w:val="24"/>
          <w:highlight w:val="none"/>
        </w:rPr>
        <w:t xml:space="preserve">1-2</w:t>
      </w:r>
      <w:r>
        <w:rPr>
          <w:rFonts w:hint="eastAsia" w:ascii="宋体" w:hAnsi="宋体"/>
          <w:bCs/>
          <w:color w:val="auto"/>
          <w:sz w:val="24"/>
          <w:szCs w:val="24"/>
          <w:highlight w:val="none"/>
        </w:rPr>
        <w:t xml:space="preserve">项内容方案的，得</w:t>
      </w:r>
      <w:r>
        <w:rPr>
          <w:rFonts w:hint="eastAsia" w:ascii="宋体" w:hAnsi="宋体"/>
          <w:bCs/>
          <w:color w:val="auto"/>
          <w:sz w:val="24"/>
          <w:szCs w:val="24"/>
          <w:highlight w:val="none"/>
        </w:rPr>
        <w:t xml:space="preserve">7</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方案清晰度一般、合理性一般、详细性一般、全面性一般、针对性一般、可行性一般，能够提供</w:t>
      </w:r>
      <w:r>
        <w:rPr>
          <w:rFonts w:hint="eastAsia" w:ascii="宋体" w:hAnsi="宋体"/>
          <w:bCs/>
          <w:color w:val="auto"/>
          <w:sz w:val="24"/>
          <w:szCs w:val="24"/>
          <w:highlight w:val="none"/>
        </w:rPr>
        <w:t xml:space="preserve">1-2</w:t>
      </w:r>
      <w:r>
        <w:rPr>
          <w:rFonts w:hint="eastAsia" w:ascii="宋体" w:hAnsi="宋体"/>
          <w:bCs/>
          <w:color w:val="auto"/>
          <w:sz w:val="24"/>
          <w:szCs w:val="24"/>
          <w:highlight w:val="none"/>
        </w:rPr>
        <w:t xml:space="preserve">项内容方案的，得</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08"/>
        <w:ind w:firstLine="480"/>
        <w:spacing w:line="500" w:lineRule="exact"/>
        <w:tabs>
          <w:tab w:val="left" w:pos="525" w:leader="none"/>
          <w:tab w:val="left" w:pos="945" w:leader="none"/>
          <w:tab w:val="left" w:pos="1155" w:leader="none"/>
          <w:tab w:val="left" w:pos="3823" w:leader="none"/>
        </w:tabs>
        <w:rPr>
          <w:rFonts w:hint="eastAsia" w:ascii="宋体" w:hAnsi="宋体"/>
          <w:color w:val="auto"/>
          <w:highlight w:val="none"/>
        </w:rPr>
      </w:pPr>
      <w:r>
        <w:rPr>
          <w:rFonts w:hint="eastAsia" w:ascii="宋体" w:hAnsi="宋体"/>
          <w:bCs/>
          <w:color w:val="auto"/>
          <w:sz w:val="24"/>
          <w:szCs w:val="24"/>
          <w:highlight w:val="none"/>
        </w:rPr>
        <w:t xml:space="preserve">方案内容基本满足要求，没有明确各项内容方案的，得</w:t>
      </w: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分。</w:t>
      </w:r>
      <w:r>
        <w:rPr>
          <w:color w:val="auto"/>
          <w:highlight w:val="none"/>
        </w:rPr>
      </w:r>
      <w:r>
        <w:rPr>
          <w:color w:val="auto"/>
          <w:highlight w:val="none"/>
        </w:rPr>
      </w:r>
    </w:p>
    <w:p>
      <w:pPr>
        <w:pStyle w:val="896"/>
        <w:spacing w:before="0" w:after="0" w:line="500" w:lineRule="exact"/>
        <w:rPr>
          <w:rFonts w:ascii="宋体" w:hAnsi="宋体"/>
          <w:color w:val="auto"/>
          <w:highlight w:val="none"/>
        </w:rPr>
      </w:pPr>
      <w:r>
        <w:rPr>
          <w:rFonts w:ascii="宋体" w:hAnsi="宋体"/>
          <w:color w:val="auto"/>
          <w:highlight w:val="none"/>
        </w:rPr>
      </w:r>
      <w:r>
        <w:rPr>
          <w:color w:val="auto"/>
          <w:highlight w:val="none"/>
        </w:rPr>
      </w:r>
      <w:r>
        <w:rPr>
          <w:color w:val="auto"/>
          <w:highlight w:val="none"/>
        </w:rPr>
      </w:r>
    </w:p>
    <w:p>
      <w:pPr>
        <w:pStyle w:val="896"/>
        <w:ind w:firstLine="360"/>
        <w:jc w:val="center"/>
        <w:spacing w:before="0" w:after="0" w:line="500" w:lineRule="exact"/>
        <w:rPr>
          <w:rFonts w:hint="eastAsia" w:ascii="黑体" w:eastAsia="黑体"/>
          <w:bCs/>
          <w:color w:val="auto"/>
          <w:sz w:val="36"/>
          <w:szCs w:val="36"/>
          <w:highlight w:val="none"/>
        </w:rPr>
      </w:pPr>
      <w:r>
        <w:rPr>
          <w:rFonts w:ascii="宋体" w:hAnsi="宋体"/>
          <w:color w:val="auto"/>
          <w:highlight w:val="none"/>
        </w:rPr>
        <w:br w:type="page" w:clear="all"/>
      </w:r>
      <w:r>
        <w:rPr>
          <w:rFonts w:hint="eastAsia" w:ascii="黑体" w:eastAsia="黑体"/>
          <w:bCs/>
          <w:color w:val="auto"/>
          <w:sz w:val="36"/>
          <w:szCs w:val="36"/>
          <w:highlight w:val="none"/>
        </w:rPr>
        <w:t xml:space="preserve">第六章  </w:t>
      </w:r>
      <w:bookmarkEnd w:id="191"/>
      <w:r>
        <w:rPr>
          <w:color w:val="auto"/>
          <w:highlight w:val="none"/>
        </w:rPr>
      </w:r>
      <w:bookmarkEnd w:id="192"/>
      <w:r>
        <w:rPr>
          <w:color w:val="auto"/>
          <w:highlight w:val="none"/>
        </w:rPr>
      </w:r>
      <w:bookmarkEnd w:id="214"/>
      <w:r>
        <w:rPr>
          <w:rFonts w:hint="eastAsia" w:ascii="黑体" w:eastAsia="黑体"/>
          <w:bCs/>
          <w:color w:val="auto"/>
          <w:sz w:val="36"/>
          <w:szCs w:val="36"/>
          <w:highlight w:val="none"/>
        </w:rPr>
        <w:t xml:space="preserve">投标文件内容与格式</w:t>
      </w:r>
      <w:r>
        <w:rPr>
          <w:color w:val="auto"/>
          <w:highlight w:val="none"/>
        </w:rPr>
      </w:r>
      <w:r>
        <w:rPr>
          <w:color w:val="auto"/>
          <w:highlight w:val="none"/>
        </w:rPr>
      </w:r>
    </w:p>
    <w:p>
      <w:pPr>
        <w:pStyle w:val="896"/>
        <w:ind w:firstLine="602"/>
        <w:spacing w:before="0" w:after="0" w:line="500" w:lineRule="exact"/>
        <w:rPr>
          <w:rFonts w:hint="eastAsia" w:cs="Arial"/>
          <w:b/>
          <w:color w:val="auto"/>
          <w:sz w:val="30"/>
          <w:szCs w:val="30"/>
          <w:highlight w:val="none"/>
        </w:rPr>
      </w:pPr>
      <w:r>
        <w:rPr>
          <w:color w:val="auto"/>
          <w:highlight w:val="none"/>
        </w:rPr>
      </w:r>
      <w:bookmarkStart w:id="215" w:name="_Hlt26955039"/>
      <w:r>
        <w:rPr>
          <w:color w:val="auto"/>
          <w:highlight w:val="none"/>
        </w:rPr>
      </w:r>
      <w:bookmarkEnd w:id="215"/>
      <w:r>
        <w:rPr>
          <w:color w:val="auto"/>
          <w:highlight w:val="none"/>
        </w:rPr>
      </w:r>
      <w:bookmarkStart w:id="216" w:name="_Toc49090576"/>
      <w:r>
        <w:rPr>
          <w:color w:val="auto"/>
          <w:highlight w:val="none"/>
        </w:rPr>
      </w:r>
      <w:bookmarkStart w:id="217" w:name="_Toc120614282"/>
      <w:r>
        <w:rPr>
          <w:color w:val="auto"/>
          <w:highlight w:val="none"/>
        </w:rPr>
      </w:r>
      <w:bookmarkStart w:id="218" w:name="_Toc26554094"/>
      <w:r>
        <w:rPr>
          <w:color w:val="auto"/>
          <w:highlight w:val="none"/>
        </w:rPr>
      </w:r>
      <w:bookmarkStart w:id="219" w:name="_Hlt26671244"/>
      <w:r>
        <w:rPr>
          <w:color w:val="auto"/>
          <w:highlight w:val="none"/>
        </w:rPr>
      </w:r>
      <w:bookmarkEnd w:id="219"/>
      <w:r>
        <w:rPr>
          <w:rFonts w:hint="eastAsia" w:cs="Arial"/>
          <w:b/>
          <w:color w:val="auto"/>
          <w:sz w:val="30"/>
          <w:szCs w:val="30"/>
          <w:highlight w:val="none"/>
        </w:rPr>
        <w:t xml:space="preserve">第一部分  投标文件内容</w:t>
      </w:r>
      <w:r>
        <w:rPr>
          <w:color w:val="auto"/>
          <w:highlight w:val="none"/>
        </w:rPr>
      </w:r>
      <w:r>
        <w:rPr>
          <w:color w:val="auto"/>
          <w:highlight w:val="none"/>
        </w:rPr>
      </w:r>
    </w:p>
    <w:p>
      <w:pPr>
        <w:pStyle w:val="896"/>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rPr>
          <w:color w:val="auto"/>
          <w:highlight w:val="none"/>
        </w:rPr>
      </w:r>
      <w:r>
        <w:rPr>
          <w:color w:val="auto"/>
          <w:highlight w:val="none"/>
        </w:rP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896"/>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rPr>
                <w:color w:val="auto"/>
                <w:highlight w:val="none"/>
              </w:rPr>
            </w:r>
            <w:r>
              <w:rPr>
                <w:color w:val="auto"/>
                <w:highlight w:val="none"/>
              </w:rPr>
            </w:r>
          </w:p>
        </w:tc>
        <w:tc>
          <w:tcPr>
            <w:tcW w:w="6104" w:type="dxa"/>
            <w:vAlign w:val="center"/>
            <w:textDirection w:val="lrTb"/>
            <w:noWrap w:val="false"/>
          </w:tcPr>
          <w:p>
            <w:pPr>
              <w:pStyle w:val="896"/>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评审项及评审要求</w:t>
            </w:r>
            <w:r>
              <w:rPr>
                <w:color w:val="auto"/>
                <w:highlight w:val="none"/>
              </w:rPr>
            </w:r>
            <w:r>
              <w:rPr>
                <w:color w:val="auto"/>
                <w:highlight w:val="none"/>
              </w:rPr>
            </w:r>
          </w:p>
        </w:tc>
        <w:tc>
          <w:tcPr>
            <w:tcW w:w="2449" w:type="dxa"/>
            <w:vAlign w:val="center"/>
            <w:textDirection w:val="lrTb"/>
            <w:noWrap w:val="false"/>
          </w:tcPr>
          <w:p>
            <w:pPr>
              <w:pStyle w:val="896"/>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rPr>
                <w:color w:val="auto"/>
                <w:highlight w:val="none"/>
              </w:rPr>
            </w:r>
            <w:r>
              <w:rPr>
                <w:color w:val="auto"/>
                <w:highlight w:val="none"/>
              </w:rPr>
            </w:r>
          </w:p>
        </w:tc>
      </w:tr>
      <w:tr>
        <w:trPr>
          <w:cantSplit/>
          <w:trHeight w:val="1335"/>
        </w:trPr>
        <w:tc>
          <w:tcPr>
            <w:tcW w:w="719" w:type="dxa"/>
            <w:vAlign w:val="center"/>
            <w:textDirection w:val="lrTb"/>
            <w:noWrap w:val="false"/>
          </w:tcPr>
          <w:p>
            <w:pPr>
              <w:pStyle w:val="896"/>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rPr>
                <w:color w:val="auto"/>
                <w:highlight w:val="none"/>
              </w:rPr>
            </w:r>
            <w:r>
              <w:rPr>
                <w:color w:val="auto"/>
                <w:highlight w:val="none"/>
              </w:rPr>
            </w:r>
          </w:p>
        </w:tc>
        <w:tc>
          <w:tcPr>
            <w:tcW w:w="6104" w:type="dxa"/>
            <w:vAlign w:val="center"/>
            <w:textDirection w:val="lrTb"/>
            <w:noWrap w:val="false"/>
          </w:tcPr>
          <w:p>
            <w:pPr>
              <w:pStyle w:val="896"/>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color w:val="auto"/>
                <w:highlight w:val="none"/>
              </w:rPr>
            </w:r>
            <w:r>
              <w:rPr>
                <w:color w:val="auto"/>
                <w:highlight w:val="none"/>
              </w:rPr>
            </w:r>
          </w:p>
        </w:tc>
        <w:tc>
          <w:tcPr>
            <w:tcW w:w="2449" w:type="dxa"/>
            <w:vAlign w:val="center"/>
            <w:vMerge w:val="restart"/>
            <w:textDirection w:val="lrTb"/>
            <w:noWrap w:val="false"/>
          </w:tcPr>
          <w:p>
            <w:pPr>
              <w:pStyle w:val="896"/>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rPr>
                <w:color w:val="auto"/>
                <w:highlight w:val="none"/>
              </w:rPr>
            </w:r>
            <w:r>
              <w:rPr>
                <w:color w:val="auto"/>
                <w:highlight w:val="none"/>
              </w:rPr>
            </w:r>
          </w:p>
        </w:tc>
      </w:tr>
      <w:tr>
        <w:trPr>
          <w:cantSplit/>
          <w:trHeight w:val="812"/>
        </w:trPr>
        <w:tc>
          <w:tcPr>
            <w:tcW w:w="719" w:type="dxa"/>
            <w:vAlign w:val="center"/>
            <w:textDirection w:val="lrTb"/>
            <w:noWrap w:val="false"/>
          </w:tcPr>
          <w:p>
            <w:pPr>
              <w:pStyle w:val="896"/>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rPr>
                <w:color w:val="auto"/>
                <w:highlight w:val="none"/>
              </w:rPr>
            </w:r>
            <w:r>
              <w:rPr>
                <w:color w:val="auto"/>
                <w:highlight w:val="none"/>
              </w:rPr>
            </w:r>
          </w:p>
        </w:tc>
        <w:tc>
          <w:tcPr>
            <w:tcW w:w="6104" w:type="dxa"/>
            <w:vAlign w:val="center"/>
            <w:textDirection w:val="lrTb"/>
            <w:noWrap w:val="false"/>
          </w:tcPr>
          <w:p>
            <w:pPr>
              <w:pStyle w:val="896"/>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rPr>
                <w:color w:val="auto"/>
                <w:highlight w:val="none"/>
              </w:rPr>
            </w:r>
            <w:r>
              <w:rPr>
                <w:color w:val="auto"/>
                <w:highlight w:val="none"/>
              </w:rPr>
            </w:r>
          </w:p>
        </w:tc>
        <w:tc>
          <w:tcPr>
            <w:tcW w:w="2449" w:type="dxa"/>
            <w:vAlign w:val="center"/>
            <w:vMerge w:val="continue"/>
            <w:textDirection w:val="lrTb"/>
            <w:noWrap w:val="false"/>
          </w:tcPr>
          <w:p>
            <w:pPr>
              <w:pStyle w:val="896"/>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896"/>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rPr>
                <w:color w:val="auto"/>
                <w:highlight w:val="none"/>
              </w:rPr>
            </w:r>
            <w:r>
              <w:rPr>
                <w:color w:val="auto"/>
                <w:highlight w:val="none"/>
              </w:rPr>
            </w:r>
          </w:p>
        </w:tc>
        <w:tc>
          <w:tcPr>
            <w:tcW w:w="6104" w:type="dxa"/>
            <w:vAlign w:val="center"/>
            <w:textDirection w:val="lrTb"/>
            <w:noWrap w:val="false"/>
          </w:tcPr>
          <w:p>
            <w:pPr>
              <w:pStyle w:val="896"/>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85"/>
                <w:rFonts w:hint="eastAsia" w:ascii="宋体" w:hAnsi="宋体" w:cs="宋体"/>
                <w:color w:val="auto"/>
                <w:sz w:val="24"/>
                <w:szCs w:val="24"/>
                <w:highlight w:val="none"/>
              </w:rPr>
              <w:t xml:space="preserve">。</w:t>
            </w:r>
            <w:r>
              <w:rPr>
                <w:color w:val="auto"/>
                <w:highlight w:val="none"/>
              </w:rPr>
            </w:r>
            <w:r>
              <w:rPr>
                <w:color w:val="auto"/>
                <w:highlight w:val="none"/>
              </w:rPr>
            </w:r>
          </w:p>
        </w:tc>
        <w:tc>
          <w:tcPr>
            <w:tcW w:w="2449" w:type="dxa"/>
            <w:vAlign w:val="center"/>
            <w:vMerge w:val="continue"/>
            <w:textDirection w:val="lrTb"/>
            <w:noWrap w:val="false"/>
          </w:tcPr>
          <w:p>
            <w:pPr>
              <w:pStyle w:val="896"/>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896"/>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rPr>
                <w:color w:val="auto"/>
                <w:highlight w:val="none"/>
              </w:rPr>
            </w:r>
            <w:r>
              <w:rPr>
                <w:color w:val="auto"/>
                <w:highlight w:val="none"/>
              </w:rPr>
            </w:r>
          </w:p>
        </w:tc>
        <w:tc>
          <w:tcPr>
            <w:tcW w:w="6104" w:type="dxa"/>
            <w:vAlign w:val="center"/>
            <w:textDirection w:val="lrTb"/>
            <w:noWrap w:val="false"/>
          </w:tcPr>
          <w:p>
            <w:pPr>
              <w:pStyle w:val="896"/>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rPr>
                <w:color w:val="auto"/>
                <w:highlight w:val="none"/>
              </w:rPr>
            </w:r>
            <w:r>
              <w:rPr>
                <w:color w:val="auto"/>
                <w:highlight w:val="none"/>
              </w:rPr>
            </w:r>
          </w:p>
        </w:tc>
        <w:tc>
          <w:tcPr>
            <w:tcW w:w="2449" w:type="dxa"/>
            <w:vAlign w:val="center"/>
            <w:vMerge w:val="continue"/>
            <w:textDirection w:val="lrTb"/>
            <w:noWrap w:val="false"/>
          </w:tcPr>
          <w:p>
            <w:pPr>
              <w:pStyle w:val="896"/>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896"/>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rPr>
                <w:color w:val="auto"/>
                <w:highlight w:val="none"/>
              </w:rPr>
            </w:r>
            <w:r>
              <w:rPr>
                <w:color w:val="auto"/>
                <w:highlight w:val="none"/>
              </w:rPr>
            </w:r>
          </w:p>
        </w:tc>
        <w:tc>
          <w:tcPr>
            <w:tcW w:w="6104" w:type="dxa"/>
            <w:vAlign w:val="center"/>
            <w:textDirection w:val="lrTb"/>
            <w:noWrap w:val="false"/>
          </w:tcPr>
          <w:p>
            <w:pPr>
              <w:pStyle w:val="896"/>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rPr>
                <w:color w:val="auto"/>
                <w:highlight w:val="none"/>
              </w:rPr>
            </w:r>
            <w:r>
              <w:rPr>
                <w:color w:val="auto"/>
                <w:highlight w:val="none"/>
              </w:rPr>
            </w:r>
          </w:p>
        </w:tc>
        <w:tc>
          <w:tcPr>
            <w:tcW w:w="2449" w:type="dxa"/>
            <w:vAlign w:val="center"/>
            <w:vMerge w:val="continue"/>
            <w:textDirection w:val="lrTb"/>
            <w:noWrap w:val="false"/>
          </w:tcPr>
          <w:p>
            <w:pPr>
              <w:pStyle w:val="896"/>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896"/>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rPr>
                <w:color w:val="auto"/>
                <w:highlight w:val="none"/>
              </w:rPr>
            </w:r>
            <w:r>
              <w:rPr>
                <w:color w:val="auto"/>
                <w:highlight w:val="none"/>
              </w:rPr>
            </w:r>
          </w:p>
        </w:tc>
        <w:tc>
          <w:tcPr>
            <w:tcBorders>
              <w:bottom w:val="single" w:color="000000" w:sz="4" w:space="0"/>
            </w:tcBorders>
            <w:tcW w:w="6104" w:type="dxa"/>
            <w:vAlign w:val="center"/>
            <w:textDirection w:val="lrTb"/>
            <w:noWrap w:val="false"/>
          </w:tcPr>
          <w:p>
            <w:pPr>
              <w:pStyle w:val="896"/>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rPr>
                <w:color w:val="auto"/>
                <w:highlight w:val="none"/>
              </w:rPr>
            </w:r>
            <w:r>
              <w:rPr>
                <w:color w:val="auto"/>
                <w:highlight w:val="none"/>
              </w:rPr>
            </w:r>
          </w:p>
        </w:tc>
        <w:tc>
          <w:tcPr>
            <w:tcW w:w="2449" w:type="dxa"/>
            <w:vAlign w:val="center"/>
            <w:vMerge w:val="continue"/>
            <w:textDirection w:val="lrTb"/>
            <w:noWrap w:val="false"/>
          </w:tcPr>
          <w:p>
            <w:pPr>
              <w:pStyle w:val="896"/>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896"/>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7</w:t>
            </w:r>
            <w:r>
              <w:rPr>
                <w:color w:val="auto"/>
                <w:highlight w:val="none"/>
              </w:rPr>
            </w:r>
            <w:r>
              <w:rPr>
                <w:color w:val="auto"/>
                <w:highlight w:val="none"/>
              </w:rPr>
            </w:r>
          </w:p>
        </w:tc>
        <w:tc>
          <w:tcPr>
            <w:tcW w:w="6104" w:type="dxa"/>
            <w:vAlign w:val="center"/>
            <w:textDirection w:val="lrTb"/>
            <w:noWrap w:val="false"/>
          </w:tcPr>
          <w:p>
            <w:pPr>
              <w:pStyle w:val="896"/>
              <w:ind w:firstLine="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rPr>
                <w:color w:val="auto"/>
                <w:highlight w:val="none"/>
              </w:rPr>
            </w:r>
            <w:r>
              <w:rPr>
                <w:color w:val="auto"/>
                <w:highlight w:val="none"/>
              </w:rPr>
            </w:r>
          </w:p>
        </w:tc>
        <w:tc>
          <w:tcPr>
            <w:tcW w:w="2449" w:type="dxa"/>
            <w:vAlign w:val="center"/>
            <w:textDirection w:val="lrTb"/>
            <w:noWrap w:val="false"/>
          </w:tcPr>
          <w:p>
            <w:pPr>
              <w:pStyle w:val="896"/>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rPr>
                <w:color w:val="auto"/>
                <w:highlight w:val="none"/>
              </w:rPr>
            </w:r>
            <w:r>
              <w:rPr>
                <w:color w:val="auto"/>
                <w:highlight w:val="none"/>
              </w:rPr>
            </w:r>
          </w:p>
        </w:tc>
      </w:tr>
      <w:tr>
        <w:trPr>
          <w:trHeight w:val="726"/>
        </w:trPr>
        <w:tc>
          <w:tcPr>
            <w:tcW w:w="719" w:type="dxa"/>
            <w:vAlign w:val="center"/>
            <w:textDirection w:val="lrTb"/>
            <w:noWrap w:val="false"/>
          </w:tcPr>
          <w:p>
            <w:pPr>
              <w:pStyle w:val="896"/>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rPr>
                <w:color w:val="auto"/>
                <w:highlight w:val="none"/>
              </w:rPr>
            </w:r>
            <w:r>
              <w:rPr>
                <w:color w:val="auto"/>
                <w:highlight w:val="none"/>
              </w:rPr>
            </w:r>
          </w:p>
        </w:tc>
        <w:tc>
          <w:tcPr>
            <w:tcW w:w="6104" w:type="dxa"/>
            <w:vAlign w:val="center"/>
            <w:textDirection w:val="lrTb"/>
            <w:noWrap w:val="false"/>
          </w:tcPr>
          <w:p>
            <w:pPr>
              <w:pStyle w:val="896"/>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color w:val="auto"/>
                <w:highlight w:val="none"/>
              </w:rPr>
              <w:t xml:space="preserve">（如有特定资格要求的）</w:t>
            </w:r>
            <w:r>
              <w:rPr>
                <w:rFonts w:hint="eastAsia" w:ascii="宋体" w:hAnsi="宋体" w:cs="宋体"/>
                <w:color w:val="auto"/>
                <w:highlight w:val="none"/>
              </w:rPr>
              <w:t xml:space="preserve">。</w:t>
            </w:r>
            <w:r>
              <w:rPr>
                <w:color w:val="auto"/>
                <w:highlight w:val="none"/>
              </w:rPr>
            </w:r>
            <w:r>
              <w:rPr>
                <w:color w:val="auto"/>
                <w:highlight w:val="none"/>
              </w:rPr>
            </w:r>
          </w:p>
        </w:tc>
        <w:tc>
          <w:tcPr>
            <w:tcW w:w="2449" w:type="dxa"/>
            <w:vAlign w:val="center"/>
            <w:textDirection w:val="lrTb"/>
            <w:noWrap w:val="false"/>
          </w:tcPr>
          <w:p>
            <w:pPr>
              <w:pStyle w:val="896"/>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w:t>
            </w:r>
            <w:r>
              <w:rPr>
                <w:rFonts w:hint="eastAsia" w:ascii="宋体" w:hAnsi="宋体" w:cs="宋体"/>
                <w:color w:val="auto"/>
                <w:highlight w:val="none"/>
              </w:rPr>
              <w:t xml:space="preserve">，</w:t>
            </w:r>
            <w:r>
              <w:rPr>
                <w:rFonts w:hint="eastAsia" w:ascii="宋体" w:hAnsi="宋体" w:cs="宋体"/>
                <w:color w:val="auto"/>
                <w:highlight w:val="none"/>
              </w:rPr>
              <w:t xml:space="preserve">详见第一章《投标邀请》</w:t>
            </w:r>
            <w:r>
              <w:rPr>
                <w:color w:val="auto"/>
                <w:highlight w:val="none"/>
              </w:rPr>
            </w:r>
            <w:r>
              <w:rPr>
                <w:color w:val="auto"/>
                <w:highlight w:val="none"/>
              </w:rPr>
            </w:r>
          </w:p>
        </w:tc>
      </w:tr>
      <w:tr>
        <w:trPr>
          <w:trHeight w:val="632"/>
        </w:trPr>
        <w:tc>
          <w:tcPr>
            <w:tcW w:w="719" w:type="dxa"/>
            <w:vAlign w:val="center"/>
            <w:textDirection w:val="lrTb"/>
            <w:noWrap w:val="false"/>
          </w:tcPr>
          <w:p>
            <w:pPr>
              <w:pStyle w:val="896"/>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rPr>
                <w:color w:val="auto"/>
                <w:highlight w:val="none"/>
              </w:rPr>
            </w:r>
            <w:r>
              <w:rPr>
                <w:color w:val="auto"/>
                <w:highlight w:val="none"/>
              </w:rPr>
            </w:r>
          </w:p>
        </w:tc>
        <w:tc>
          <w:tcPr>
            <w:gridSpan w:val="2"/>
            <w:tcW w:w="8553" w:type="dxa"/>
            <w:vAlign w:val="center"/>
            <w:textDirection w:val="lrTb"/>
            <w:noWrap w:val="false"/>
          </w:tcPr>
          <w:p>
            <w:pPr>
              <w:pStyle w:val="896"/>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rPr>
                <w:color w:val="auto"/>
                <w:highlight w:val="none"/>
              </w:rPr>
            </w:r>
            <w:r>
              <w:rPr>
                <w:color w:val="auto"/>
                <w:highlight w:val="none"/>
              </w:rPr>
            </w:r>
          </w:p>
        </w:tc>
      </w:tr>
    </w:tbl>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color w:val="auto"/>
          <w:highlight w:val="none"/>
        </w:rPr>
      </w:r>
      <w:r>
        <w:rPr>
          <w:color w:val="auto"/>
          <w:highlight w:val="none"/>
        </w:rPr>
      </w:r>
    </w:p>
    <w:p>
      <w:pPr>
        <w:pStyle w:val="808"/>
        <w:numPr>
          <w:ilvl w:val="0"/>
          <w:numId w:val="8"/>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auto"/>
          <w:highlight w:val="none"/>
        </w:rPr>
      </w:r>
      <w:r>
        <w:rPr>
          <w:color w:val="auto"/>
          <w:highlight w:val="none"/>
        </w:rPr>
      </w:r>
    </w:p>
    <w:p>
      <w:pPr>
        <w:pStyle w:val="808"/>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w:t>
      </w:r>
      <w:r>
        <w:rPr>
          <w:rFonts w:hint="eastAsia" w:ascii="宋体" w:hAnsi="宋体"/>
          <w:color w:val="auto"/>
          <w:sz w:val="24"/>
          <w:szCs w:val="24"/>
          <w:highlight w:val="none"/>
        </w:rPr>
        <w:t xml:space="preserve">，如本项目落实政府采购政策需满足的资格要求中有中小企业政策要求的</w:t>
      </w:r>
      <w:r>
        <w:rPr>
          <w:rFonts w:hint="eastAsia" w:ascii="宋体" w:hAnsi="宋体"/>
          <w:color w:val="auto"/>
          <w:sz w:val="24"/>
          <w:szCs w:val="24"/>
          <w:highlight w:val="none"/>
        </w:rPr>
        <w:t xml:space="preserve">（详见第一章《投标邀请》），必须提供相应证明文件，否则投标文件无效。</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w:t>
      </w:r>
      <w:r>
        <w:rPr>
          <w:rFonts w:hint="eastAsia" w:ascii="宋体" w:hAnsi="宋体"/>
          <w:color w:val="auto"/>
          <w:sz w:val="24"/>
          <w:szCs w:val="24"/>
          <w:highlight w:val="none"/>
        </w:rPr>
        <w:t xml:space="preserve">是指</w:t>
      </w:r>
      <w:r>
        <w:rPr>
          <w:rFonts w:hint="eastAsia" w:ascii="宋体" w:hAnsi="宋体"/>
          <w:color w:val="auto"/>
          <w:sz w:val="24"/>
          <w:szCs w:val="24"/>
          <w:highlight w:val="none"/>
        </w:rPr>
        <w:t xml:space="preserve">专门面向</w:t>
      </w:r>
      <w:r>
        <w:rPr>
          <w:rFonts w:hint="eastAsia" w:ascii="宋体" w:hAnsi="宋体"/>
          <w:color w:val="auto"/>
          <w:sz w:val="24"/>
          <w:szCs w:val="24"/>
          <w:highlight w:val="none"/>
        </w:rPr>
        <w:t xml:space="preserve">中</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小</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微</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企业、监狱企业或残疾人福利性单位；专门面向小微企业，</w:t>
      </w:r>
      <w:r>
        <w:rPr>
          <w:rFonts w:hint="eastAsia" w:ascii="宋体" w:hAnsi="宋体"/>
          <w:color w:val="auto"/>
          <w:sz w:val="24"/>
          <w:szCs w:val="24"/>
          <w:highlight w:val="none"/>
        </w:rPr>
        <w:t xml:space="preserve">是指</w:t>
      </w:r>
      <w:r>
        <w:rPr>
          <w:rFonts w:hint="eastAsia" w:ascii="宋体" w:hAnsi="宋体"/>
          <w:color w:val="auto"/>
          <w:sz w:val="24"/>
          <w:szCs w:val="24"/>
          <w:highlight w:val="none"/>
        </w:rPr>
        <w:t xml:space="preserve">专门面向小型、微型企业</w:t>
      </w:r>
      <w:r>
        <w:rPr>
          <w:rFonts w:hint="eastAsia" w:ascii="宋体" w:hAnsi="宋体"/>
          <w:color w:val="auto"/>
          <w:sz w:val="24"/>
          <w:szCs w:val="24"/>
          <w:highlight w:val="none"/>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color w:val="auto"/>
          <w:highlight w:val="none"/>
        </w:rPr>
      </w:r>
      <w:r>
        <w:rPr>
          <w:color w:val="auto"/>
          <w:highlight w:val="none"/>
        </w:rPr>
      </w:r>
    </w:p>
    <w:p>
      <w:pPr>
        <w:pStyle w:val="808"/>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w:t>
      </w:r>
      <w:r>
        <w:rPr>
          <w:rFonts w:hint="eastAsia" w:ascii="宋体" w:hAnsi="宋体"/>
          <w:color w:val="auto"/>
          <w:sz w:val="24"/>
          <w:szCs w:val="24"/>
          <w:highlight w:val="none"/>
        </w:rPr>
        <w:t xml:space="preserve">项，如本项目有特定资格要求的（详见第一章《投标邀请》），须提供相应的特定资格证明文件。</w:t>
      </w:r>
      <w:r>
        <w:rPr>
          <w:color w:val="auto"/>
          <w:highlight w:val="none"/>
        </w:rPr>
      </w:r>
      <w:r>
        <w:rPr>
          <w:color w:val="auto"/>
          <w:highlight w:val="none"/>
        </w:rPr>
      </w:r>
    </w:p>
    <w:p>
      <w:pPr>
        <w:pStyle w:val="808"/>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color w:val="auto"/>
          <w:highlight w:val="none"/>
        </w:rPr>
      </w:r>
      <w:r>
        <w:rPr>
          <w:color w:val="auto"/>
          <w:highlight w:val="none"/>
        </w:rPr>
      </w:r>
    </w:p>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w:t>
      </w:r>
      <w:r>
        <w:rPr>
          <w:rFonts w:hint="eastAsia" w:ascii="宋体" w:hAnsi="宋体"/>
          <w:color w:val="auto"/>
          <w:sz w:val="24"/>
          <w:szCs w:val="24"/>
          <w:highlight w:val="none"/>
        </w:rPr>
        <w:t xml:space="preserve">由联合体主体单位（即联合体牵头人）代表联合体提供；第1、3、4、5、</w:t>
      </w:r>
      <w:r>
        <w:rPr>
          <w:rFonts w:hint="eastAsia" w:ascii="宋体" w:hAnsi="宋体"/>
          <w:color w:val="auto"/>
          <w:sz w:val="24"/>
          <w:szCs w:val="24"/>
          <w:highlight w:val="none"/>
        </w:rPr>
        <w:t xml:space="preserve">7（如有要求）、8（如有要求）</w:t>
      </w:r>
      <w:r>
        <w:rPr>
          <w:rFonts w:hint="eastAsia" w:ascii="宋体" w:hAnsi="宋体"/>
          <w:color w:val="auto"/>
          <w:sz w:val="24"/>
          <w:szCs w:val="24"/>
          <w:highlight w:val="none"/>
        </w:rPr>
        <w:t xml:space="preserve">项，联合体各方均须提供。</w:t>
      </w:r>
      <w:r>
        <w:rPr>
          <w:color w:val="auto"/>
          <w:highlight w:val="none"/>
        </w:rPr>
      </w:r>
      <w:r>
        <w:rPr>
          <w:color w:val="auto"/>
          <w:highlight w:val="none"/>
        </w:rPr>
      </w:r>
    </w:p>
    <w:p>
      <w:pPr>
        <w:pStyle w:val="808"/>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rPr>
          <w:color w:val="auto"/>
          <w:highlight w:val="none"/>
        </w:rPr>
      </w:r>
      <w:r>
        <w:rPr>
          <w:color w:val="auto"/>
          <w:highlight w:val="none"/>
        </w:rPr>
      </w:r>
    </w:p>
    <w:p>
      <w:pPr>
        <w:pStyle w:val="808"/>
        <w:rPr>
          <w:b/>
          <w:color w:val="auto"/>
          <w:sz w:val="28"/>
          <w:szCs w:val="28"/>
          <w:highlight w:val="none"/>
        </w:rPr>
      </w:pPr>
      <w:r>
        <w:rPr>
          <w:rFonts w:hint="eastAsia"/>
          <w:b/>
          <w:color w:val="auto"/>
          <w:sz w:val="28"/>
          <w:szCs w:val="28"/>
          <w:highlight w:val="none"/>
        </w:rPr>
        <w:t xml:space="preserve">（一）符合性证明文件</w:t>
      </w:r>
      <w:r>
        <w:rPr>
          <w:color w:val="auto"/>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896"/>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rPr>
                <w:color w:val="auto"/>
                <w:highlight w:val="none"/>
              </w:rPr>
            </w:r>
            <w:r>
              <w:rPr>
                <w:color w:val="auto"/>
                <w:highlight w:val="none"/>
              </w:rPr>
            </w:r>
          </w:p>
        </w:tc>
        <w:tc>
          <w:tcPr>
            <w:tcW w:w="6095" w:type="dxa"/>
            <w:vAlign w:val="center"/>
            <w:textDirection w:val="lrTb"/>
            <w:noWrap w:val="false"/>
          </w:tcPr>
          <w:p>
            <w:pPr>
              <w:pStyle w:val="896"/>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评审项及评审要求</w:t>
            </w:r>
            <w:r>
              <w:rPr>
                <w:color w:val="auto"/>
                <w:highlight w:val="none"/>
              </w:rPr>
            </w:r>
            <w:r>
              <w:rPr>
                <w:color w:val="auto"/>
                <w:highlight w:val="none"/>
              </w:rPr>
            </w:r>
          </w:p>
        </w:tc>
        <w:tc>
          <w:tcPr>
            <w:tcW w:w="1979" w:type="dxa"/>
            <w:vAlign w:val="center"/>
            <w:textDirection w:val="lrTb"/>
            <w:noWrap w:val="false"/>
          </w:tcPr>
          <w:p>
            <w:pPr>
              <w:pStyle w:val="896"/>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rPr>
                <w:color w:val="auto"/>
                <w:highlight w:val="none"/>
              </w:rPr>
            </w:r>
            <w:r>
              <w:rPr>
                <w:color w:val="auto"/>
                <w:highlight w:val="none"/>
              </w:rPr>
            </w:r>
          </w:p>
        </w:tc>
      </w:tr>
      <w:tr>
        <w:trPr>
          <w:cantSplit/>
          <w:trHeight w:val="567"/>
        </w:trPr>
        <w:tc>
          <w:tcPr>
            <w:tcW w:w="823" w:type="dxa"/>
            <w:vAlign w:val="center"/>
            <w:textDirection w:val="lrTb"/>
            <w:noWrap w:val="false"/>
          </w:tcPr>
          <w:p>
            <w:pPr>
              <w:pStyle w:val="896"/>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rPr>
                <w:color w:val="auto"/>
                <w:highlight w:val="none"/>
              </w:rPr>
            </w:r>
            <w:r>
              <w:rPr>
                <w:color w:val="auto"/>
                <w:highlight w:val="none"/>
              </w:rPr>
            </w:r>
          </w:p>
        </w:tc>
        <w:tc>
          <w:tcPr>
            <w:tcW w:w="6095" w:type="dxa"/>
            <w:vAlign w:val="center"/>
            <w:textDirection w:val="lrTb"/>
            <w:noWrap w:val="false"/>
          </w:tcPr>
          <w:p>
            <w:pPr>
              <w:pStyle w:val="896"/>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rPr>
                <w:color w:val="auto"/>
                <w:highlight w:val="none"/>
              </w:rPr>
            </w:r>
            <w:r>
              <w:rPr>
                <w:color w:val="auto"/>
                <w:highlight w:val="none"/>
              </w:rPr>
            </w:r>
          </w:p>
        </w:tc>
        <w:tc>
          <w:tcPr>
            <w:tcW w:w="1979" w:type="dxa"/>
            <w:vAlign w:val="center"/>
            <w:vMerge w:val="restart"/>
            <w:textDirection w:val="lrTb"/>
            <w:noWrap w:val="false"/>
          </w:tcPr>
          <w:p>
            <w:pPr>
              <w:pStyle w:val="896"/>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rPr>
                <w:color w:val="auto"/>
                <w:highlight w:val="none"/>
              </w:rPr>
            </w:r>
            <w:r>
              <w:rPr>
                <w:color w:val="auto"/>
                <w:highlight w:val="none"/>
              </w:rPr>
            </w:r>
          </w:p>
        </w:tc>
      </w:tr>
      <w:tr>
        <w:trPr>
          <w:cantSplit/>
          <w:trHeight w:val="567"/>
        </w:trPr>
        <w:tc>
          <w:tcPr>
            <w:tcW w:w="823" w:type="dxa"/>
            <w:vAlign w:val="center"/>
            <w:textDirection w:val="lrTb"/>
            <w:noWrap w:val="false"/>
          </w:tcPr>
          <w:p>
            <w:pPr>
              <w:pStyle w:val="896"/>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rPr>
                <w:color w:val="auto"/>
                <w:highlight w:val="none"/>
              </w:rPr>
            </w:r>
            <w:r>
              <w:rPr>
                <w:color w:val="auto"/>
                <w:highlight w:val="none"/>
              </w:rPr>
            </w:r>
          </w:p>
        </w:tc>
        <w:tc>
          <w:tcPr>
            <w:tcW w:w="6095" w:type="dxa"/>
            <w:vAlign w:val="center"/>
            <w:textDirection w:val="lrTb"/>
            <w:noWrap w:val="false"/>
          </w:tcPr>
          <w:p>
            <w:pPr>
              <w:pStyle w:val="896"/>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rPr>
                <w:color w:val="auto"/>
                <w:highlight w:val="none"/>
              </w:rPr>
            </w:r>
            <w:r>
              <w:rPr>
                <w:color w:val="auto"/>
                <w:highlight w:val="none"/>
              </w:rPr>
            </w:r>
          </w:p>
        </w:tc>
        <w:tc>
          <w:tcPr>
            <w:tcW w:w="1979" w:type="dxa"/>
            <w:vAlign w:val="center"/>
            <w:vMerge w:val="continue"/>
            <w:textDirection w:val="lrTb"/>
            <w:noWrap w:val="false"/>
          </w:tcPr>
          <w:p>
            <w:pPr>
              <w:pStyle w:val="896"/>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896"/>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rPr>
                <w:color w:val="auto"/>
                <w:highlight w:val="none"/>
              </w:rPr>
            </w:r>
            <w:r>
              <w:rPr>
                <w:color w:val="auto"/>
                <w:highlight w:val="none"/>
              </w:rPr>
            </w:r>
          </w:p>
        </w:tc>
        <w:tc>
          <w:tcPr>
            <w:tcW w:w="6095" w:type="dxa"/>
            <w:vAlign w:val="center"/>
            <w:textDirection w:val="lrTb"/>
            <w:noWrap w:val="false"/>
          </w:tcPr>
          <w:p>
            <w:pPr>
              <w:pStyle w:val="896"/>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开标一览表（给定格式）</w:t>
            </w:r>
            <w:r>
              <w:rPr>
                <w:color w:val="auto"/>
                <w:highlight w:val="none"/>
              </w:rPr>
            </w:r>
            <w:r>
              <w:rPr>
                <w:color w:val="auto"/>
                <w:highlight w:val="none"/>
              </w:rPr>
            </w:r>
          </w:p>
        </w:tc>
        <w:tc>
          <w:tcPr>
            <w:tcW w:w="1979" w:type="dxa"/>
            <w:vAlign w:val="center"/>
            <w:vMerge w:val="restart"/>
            <w:textDirection w:val="lrTb"/>
            <w:noWrap w:val="false"/>
          </w:tcPr>
          <w:p>
            <w:pPr>
              <w:pStyle w:val="896"/>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rPr>
                <w:color w:val="auto"/>
                <w:highlight w:val="none"/>
              </w:rPr>
            </w:r>
            <w:r>
              <w:rPr>
                <w:color w:val="auto"/>
                <w:highlight w:val="none"/>
              </w:rPr>
            </w:r>
          </w:p>
        </w:tc>
      </w:tr>
      <w:tr>
        <w:trPr>
          <w:cantSplit/>
          <w:trHeight w:val="567"/>
        </w:trPr>
        <w:tc>
          <w:tcPr>
            <w:tcW w:w="823" w:type="dxa"/>
            <w:vAlign w:val="center"/>
            <w:textDirection w:val="lrTb"/>
            <w:noWrap w:val="false"/>
          </w:tcPr>
          <w:p>
            <w:pPr>
              <w:pStyle w:val="896"/>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rPr>
                <w:color w:val="auto"/>
                <w:highlight w:val="none"/>
              </w:rPr>
            </w:r>
            <w:r>
              <w:rPr>
                <w:color w:val="auto"/>
                <w:highlight w:val="none"/>
              </w:rPr>
            </w:r>
          </w:p>
        </w:tc>
        <w:tc>
          <w:tcPr>
            <w:tcW w:w="6095" w:type="dxa"/>
            <w:vAlign w:val="center"/>
            <w:textDirection w:val="lrTb"/>
            <w:noWrap w:val="false"/>
          </w:tcPr>
          <w:p>
            <w:pPr>
              <w:pStyle w:val="896"/>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rPr>
                <w:color w:val="auto"/>
                <w:highlight w:val="none"/>
              </w:rPr>
            </w:r>
            <w:r>
              <w:rPr>
                <w:color w:val="auto"/>
                <w:highlight w:val="none"/>
              </w:rPr>
            </w:r>
          </w:p>
        </w:tc>
        <w:tc>
          <w:tcPr>
            <w:tcW w:w="1979" w:type="dxa"/>
            <w:vAlign w:val="center"/>
            <w:vMerge w:val="continue"/>
            <w:textDirection w:val="lrTb"/>
            <w:noWrap w:val="false"/>
          </w:tcPr>
          <w:p>
            <w:pPr>
              <w:pStyle w:val="896"/>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896"/>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rPr>
                <w:color w:val="auto"/>
                <w:highlight w:val="none"/>
              </w:rPr>
            </w:r>
            <w:r>
              <w:rPr>
                <w:color w:val="auto"/>
                <w:highlight w:val="none"/>
              </w:rPr>
            </w:r>
          </w:p>
        </w:tc>
        <w:tc>
          <w:tcPr>
            <w:tcW w:w="6095" w:type="dxa"/>
            <w:vAlign w:val="center"/>
            <w:textDirection w:val="lrTb"/>
            <w:noWrap w:val="false"/>
          </w:tcPr>
          <w:p>
            <w:pPr>
              <w:pStyle w:val="896"/>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rPr>
                <w:color w:val="auto"/>
                <w:highlight w:val="none"/>
              </w:rPr>
            </w:r>
            <w:r>
              <w:rPr>
                <w:color w:val="auto"/>
                <w:highlight w:val="none"/>
              </w:rPr>
            </w:r>
          </w:p>
        </w:tc>
        <w:tc>
          <w:tcPr>
            <w:tcW w:w="1979" w:type="dxa"/>
            <w:vAlign w:val="center"/>
            <w:vMerge w:val="restart"/>
            <w:textDirection w:val="lrTb"/>
            <w:noWrap w:val="false"/>
          </w:tcPr>
          <w:p>
            <w:pPr>
              <w:pStyle w:val="896"/>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rPr>
                <w:color w:val="auto"/>
                <w:highlight w:val="none"/>
              </w:rPr>
            </w:r>
            <w:r>
              <w:rPr>
                <w:color w:val="auto"/>
                <w:highlight w:val="none"/>
              </w:rPr>
            </w:r>
          </w:p>
        </w:tc>
      </w:tr>
      <w:tr>
        <w:trPr>
          <w:cantSplit/>
          <w:trHeight w:val="567"/>
        </w:trPr>
        <w:tc>
          <w:tcPr>
            <w:tcW w:w="823" w:type="dxa"/>
            <w:vAlign w:val="center"/>
            <w:textDirection w:val="lrTb"/>
            <w:noWrap w:val="false"/>
          </w:tcPr>
          <w:p>
            <w:pPr>
              <w:pStyle w:val="896"/>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rPr>
                <w:color w:val="auto"/>
                <w:highlight w:val="none"/>
              </w:rPr>
            </w:r>
            <w:r>
              <w:rPr>
                <w:color w:val="auto"/>
                <w:highlight w:val="none"/>
              </w:rPr>
            </w:r>
          </w:p>
        </w:tc>
        <w:tc>
          <w:tcPr>
            <w:tcW w:w="6095" w:type="dxa"/>
            <w:vAlign w:val="center"/>
            <w:textDirection w:val="lrTb"/>
            <w:noWrap w:val="false"/>
          </w:tcPr>
          <w:p>
            <w:pPr>
              <w:pStyle w:val="896"/>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《采购需求》中要求提供的证明材料（如有）</w:t>
            </w:r>
            <w:r>
              <w:rPr>
                <w:color w:val="auto"/>
                <w:highlight w:val="none"/>
              </w:rPr>
            </w:r>
            <w:r>
              <w:rPr>
                <w:color w:val="auto"/>
                <w:highlight w:val="none"/>
              </w:rPr>
            </w:r>
          </w:p>
        </w:tc>
        <w:tc>
          <w:tcPr>
            <w:tcW w:w="1979" w:type="dxa"/>
            <w:vAlign w:val="center"/>
            <w:vMerge w:val="continue"/>
            <w:textDirection w:val="lrTb"/>
            <w:noWrap w:val="false"/>
          </w:tcPr>
          <w:p>
            <w:pPr>
              <w:pStyle w:val="896"/>
              <w:ind w:firstLine="0"/>
              <w:jc w:val="both"/>
              <w:spacing w:before="0" w:after="0" w:line="240" w:lineRule="auto"/>
              <w:rPr>
                <w:rFonts w:hint="eastAsia" w:cs="Arial"/>
              </w:rPr>
            </w:pPr>
            <w:r>
              <w:rPr>
                <w:rFonts w:hint="eastAsia" w:cs="Arial"/>
              </w:rPr>
            </w:r>
            <w:r/>
          </w:p>
        </w:tc>
      </w:tr>
    </w:tbl>
    <w:p>
      <w:pPr>
        <w:pStyle w:val="808"/>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color w:val="auto"/>
          <w:highlight w:val="none"/>
        </w:rPr>
      </w:r>
      <w:r>
        <w:rPr>
          <w:color w:val="auto"/>
          <w:highlight w:val="none"/>
        </w:rPr>
      </w:r>
    </w:p>
    <w:p>
      <w:pPr>
        <w:pStyle w:val="808"/>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rPr>
          <w:color w:val="auto"/>
          <w:highlight w:val="none"/>
        </w:rPr>
      </w:r>
      <w:r>
        <w:rPr>
          <w:color w:val="auto"/>
          <w:highlight w:val="none"/>
        </w:rPr>
      </w:r>
    </w:p>
    <w:p>
      <w:pPr>
        <w:pStyle w:val="808"/>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rPr>
          <w:color w:val="auto"/>
          <w:highlight w:val="none"/>
        </w:rPr>
      </w:r>
      <w:r>
        <w:rPr>
          <w:color w:val="auto"/>
          <w:highlight w:val="none"/>
        </w:rPr>
      </w:r>
    </w:p>
    <w:p>
      <w:pPr>
        <w:pStyle w:val="808"/>
        <w:numPr>
          <w:ilvl w:val="0"/>
          <w:numId w:val="9"/>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rPr>
          <w:rFonts w:hint="eastAsia" w:ascii="宋体" w:hAnsi="宋体" w:cs="宋体"/>
          <w:color w:val="auto"/>
          <w:sz w:val="24"/>
          <w:szCs w:val="24"/>
          <w:highlight w:val="none"/>
        </w:rPr>
        <w:t xml:space="preserve">第6项按《采购需求》中的相应要求（如有）进行提供。</w:t>
      </w:r>
      <w:r>
        <w:rPr>
          <w:color w:val="auto"/>
          <w:highlight w:val="none"/>
        </w:rPr>
      </w:r>
      <w:r>
        <w:rPr>
          <w:color w:val="auto"/>
          <w:highlight w:val="none"/>
        </w:rPr>
      </w:r>
    </w:p>
    <w:p>
      <w:pPr>
        <w:pStyle w:val="808"/>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rPr>
          <w:color w:val="auto"/>
          <w:highlight w:val="none"/>
        </w:rPr>
      </w:r>
    </w:p>
    <w:p>
      <w:pPr>
        <w:pStyle w:val="808"/>
        <w:rPr>
          <w:rFonts w:hint="eastAsia"/>
          <w:b/>
          <w:color w:val="auto"/>
          <w:sz w:val="28"/>
          <w:szCs w:val="28"/>
          <w:highlight w:val="none"/>
        </w:rPr>
      </w:pPr>
      <w:r>
        <w:rPr>
          <w:rFonts w:hint="eastAsia"/>
          <w:b/>
          <w:color w:val="auto"/>
          <w:sz w:val="28"/>
          <w:szCs w:val="28"/>
          <w:highlight w:val="none"/>
        </w:rPr>
        <w:t xml:space="preserve">（二）其他证明文件</w:t>
      </w:r>
      <w:r>
        <w:rPr>
          <w:color w:val="auto"/>
          <w:highlight w:val="none"/>
        </w:rPr>
      </w:r>
      <w:r>
        <w:rPr>
          <w:color w:val="auto"/>
          <w:highlight w:val="none"/>
        </w:rPr>
      </w:r>
    </w:p>
    <w:p>
      <w:pPr>
        <w:pStyle w:val="808"/>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rPr>
          <w:color w:val="auto"/>
          <w:highlight w:val="none"/>
        </w:rPr>
      </w:r>
      <w:r>
        <w:rPr>
          <w:color w:val="auto"/>
          <w:highlight w:val="none"/>
        </w:rPr>
      </w:r>
    </w:p>
    <w:p>
      <w:pPr>
        <w:pStyle w:val="808"/>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rPr>
          <w:color w:val="auto"/>
          <w:highlight w:val="none"/>
        </w:rPr>
      </w:r>
      <w:r>
        <w:rPr>
          <w:color w:val="auto"/>
          <w:highlight w:val="none"/>
        </w:rPr>
      </w:r>
    </w:p>
    <w:p>
      <w:pPr>
        <w:pStyle w:val="808"/>
        <w:ind w:firstLine="480"/>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rPr>
          <w:color w:val="auto"/>
          <w:highlight w:val="none"/>
        </w:rPr>
      </w:r>
      <w:r>
        <w:rPr>
          <w:color w:val="auto"/>
          <w:highlight w:val="none"/>
        </w:rPr>
      </w:r>
    </w:p>
    <w:p>
      <w:pPr>
        <w:pStyle w:val="896"/>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w:t>
      </w:r>
      <w:r>
        <w:rPr>
          <w:rFonts w:hint="eastAsia" w:cs="Arial"/>
          <w:b/>
          <w:color w:val="auto"/>
          <w:sz w:val="28"/>
          <w:szCs w:val="28"/>
          <w:highlight w:val="none"/>
        </w:rPr>
        <w:t xml:space="preserve">（参考格式）</w:t>
      </w:r>
      <w:r>
        <w:rPr>
          <w:rFonts w:hint="eastAsia" w:cs="Arial"/>
          <w:b/>
          <w:color w:val="auto"/>
          <w:sz w:val="28"/>
          <w:szCs w:val="28"/>
          <w:highlight w:val="none"/>
        </w:rPr>
        <w:t xml:space="preserve">：</w:t>
      </w:r>
      <w:r>
        <w:rPr>
          <w:color w:val="auto"/>
          <w:highlight w:val="none"/>
        </w:rPr>
      </w:r>
      <w:r>
        <w:rPr>
          <w:color w:val="auto"/>
          <w:highlight w:val="none"/>
        </w:rPr>
      </w:r>
    </w:p>
    <w:p>
      <w:pPr>
        <w:pStyle w:val="808"/>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r>
        <w:rPr>
          <w:color w:val="auto"/>
          <w:highlight w:val="none"/>
        </w:rPr>
      </w:r>
    </w:p>
    <w:p>
      <w:pPr>
        <w:pStyle w:val="808"/>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r>
        <w:rPr>
          <w:color w:val="auto"/>
          <w:highlight w:val="none"/>
        </w:rPr>
      </w:r>
    </w:p>
    <w:p>
      <w:pPr>
        <w:pStyle w:val="808"/>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rPr>
          <w:color w:val="auto"/>
          <w:highlight w:val="none"/>
        </w:rPr>
      </w:r>
      <w:r>
        <w:rPr>
          <w:color w:val="auto"/>
          <w:highlight w:val="none"/>
        </w:rPr>
      </w:r>
    </w:p>
    <w:p>
      <w:pPr>
        <w:pStyle w:val="808"/>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r>
        <w:rPr>
          <w:color w:val="auto"/>
          <w:highlight w:val="none"/>
        </w:rPr>
      </w:r>
    </w:p>
    <w:p>
      <w:pPr>
        <w:pStyle w:val="808"/>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r>
        <w:rPr>
          <w:color w:val="auto"/>
          <w:highlight w:val="none"/>
        </w:rPr>
      </w:r>
    </w:p>
    <w:p>
      <w:pPr>
        <w:pStyle w:val="808"/>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r>
        <w:rPr>
          <w:color w:val="auto"/>
          <w:highlight w:val="none"/>
        </w:rPr>
      </w:r>
    </w:p>
    <w:p>
      <w:pPr>
        <w:pStyle w:val="808"/>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r>
        <w:rPr>
          <w:color w:val="auto"/>
          <w:highlight w:val="none"/>
        </w:rPr>
      </w:r>
    </w:p>
    <w:p>
      <w:pPr>
        <w:pStyle w:val="808"/>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rPr>
        <w:t xml:space="preserve">JSZC-320200-JZCG-G2024-0086</w:t>
      </w:r>
      <w:r>
        <w:rPr>
          <w:color w:val="auto"/>
          <w:highlight w:val="none"/>
        </w:rPr>
      </w:r>
      <w:r>
        <w:rPr>
          <w:color w:val="auto"/>
          <w:highlight w:val="none"/>
        </w:rPr>
      </w:r>
    </w:p>
    <w:p>
      <w:pPr>
        <w:pStyle w:val="808"/>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rPr>
        <w:t xml:space="preserve">“感知环境、智慧环保”无锡环境监控物联网应用示范工程运行维护服务</w:t>
      </w:r>
      <w:r>
        <w:rPr>
          <w:color w:val="auto"/>
          <w:highlight w:val="none"/>
        </w:rPr>
      </w:r>
      <w:r>
        <w:rPr>
          <w:color w:val="auto"/>
          <w:highlight w:val="none"/>
        </w:rPr>
      </w:r>
    </w:p>
    <w:p>
      <w:pPr>
        <w:pStyle w:val="808"/>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rPr>
          <w:color w:val="auto"/>
          <w:highlight w:val="none"/>
        </w:rPr>
      </w:r>
      <w:r>
        <w:rPr>
          <w:color w:val="auto"/>
          <w:highlight w:val="none"/>
        </w:rPr>
      </w:r>
    </w:p>
    <w:p>
      <w:pPr>
        <w:pStyle w:val="808"/>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rPr>
          <w:color w:val="auto"/>
          <w:highlight w:val="none"/>
        </w:rPr>
      </w:r>
      <w:r>
        <w:rPr>
          <w:color w:val="auto"/>
          <w:highlight w:val="none"/>
        </w:rPr>
      </w:r>
    </w:p>
    <w:p>
      <w:pPr>
        <w:pStyle w:val="808"/>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rPr>
          <w:color w:val="auto"/>
          <w:highlight w:val="none"/>
        </w:rPr>
      </w:r>
      <w:r>
        <w:rPr>
          <w:color w:val="auto"/>
          <w:highlight w:val="none"/>
        </w:rPr>
      </w:r>
    </w:p>
    <w:p>
      <w:pPr>
        <w:pStyle w:val="808"/>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rPr>
          <w:color w:val="auto"/>
          <w:highlight w:val="none"/>
        </w:rPr>
      </w:r>
      <w:r>
        <w:rPr>
          <w:color w:val="auto"/>
          <w:highlight w:val="none"/>
        </w:rPr>
      </w:r>
    </w:p>
    <w:p>
      <w:pPr>
        <w:pStyle w:val="894"/>
        <w:ind w:firstLine="480"/>
        <w:rPr>
          <w:rFonts w:hint="eastAsia"/>
          <w:color w:val="auto"/>
          <w:sz w:val="24"/>
          <w:szCs w:val="24"/>
          <w:highlight w:val="none"/>
        </w:rPr>
      </w:pPr>
      <w:r>
        <w:rPr>
          <w:rFonts w:hint="eastAsia"/>
          <w:color w:val="auto"/>
          <w:sz w:val="24"/>
          <w:szCs w:val="24"/>
          <w:highlight w:val="none"/>
        </w:rPr>
        <w:t xml:space="preserve">我公司（单位</w:t>
      </w:r>
      <w:r>
        <w:rPr>
          <w:rFonts w:hint="eastAsia"/>
          <w:color w:val="auto"/>
          <w:sz w:val="24"/>
          <w:szCs w:val="24"/>
          <w:highlight w:val="none"/>
        </w:rPr>
        <w:t xml:space="preserve">、联合体</w:t>
      </w:r>
      <w:r>
        <w:rPr>
          <w:rFonts w:hint="eastAsia"/>
          <w:color w:val="auto"/>
          <w:sz w:val="24"/>
          <w:szCs w:val="24"/>
          <w:highlight w:val="none"/>
        </w:rPr>
        <w:t xml:space="preserve">）针对</w:t>
      </w:r>
      <w:r>
        <w:rPr>
          <w:rFonts w:hint="eastAsia" w:ascii="宋体" w:hAnsi="宋体"/>
          <w:bCs/>
          <w:color w:val="auto"/>
          <w:sz w:val="24"/>
          <w:szCs w:val="24"/>
          <w:highlight w:val="none"/>
        </w:rPr>
        <w:t xml:space="preserve">JSZC-320200-JZCG-G2024-0086</w:t>
      </w:r>
      <w:r>
        <w:rPr>
          <w:rFonts w:hint="eastAsia" w:ascii="宋体" w:hAnsi="宋体"/>
          <w:bCs/>
          <w:color w:val="auto"/>
          <w:sz w:val="24"/>
          <w:szCs w:val="24"/>
          <w:highlight w:val="none"/>
        </w:rPr>
        <w:t xml:space="preserve">项目，兹授权：</w:t>
      </w:r>
      <w:r>
        <w:rPr>
          <w:color w:val="auto"/>
          <w:highlight w:val="none"/>
        </w:rPr>
      </w:r>
      <w:r>
        <w:rPr>
          <w:color w:val="auto"/>
          <w:highlight w:val="none"/>
        </w:rPr>
      </w:r>
    </w:p>
    <w:p>
      <w:pPr>
        <w:pStyle w:val="894"/>
        <w:ind w:firstLine="480"/>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rPr>
          <w:color w:val="auto"/>
          <w:highlight w:val="none"/>
        </w:rPr>
      </w:r>
      <w:r>
        <w:rPr>
          <w:color w:val="auto"/>
          <w:highlight w:val="none"/>
        </w:rPr>
      </w:r>
    </w:p>
    <w:p>
      <w:pPr>
        <w:pStyle w:val="894"/>
        <w:ind w:firstLine="480"/>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rPr>
          <w:color w:val="auto"/>
          <w:highlight w:val="none"/>
        </w:rPr>
      </w:r>
      <w:r>
        <w:rPr>
          <w:color w:val="auto"/>
          <w:highlight w:val="none"/>
        </w:rPr>
      </w:r>
    </w:p>
    <w:p>
      <w:pPr>
        <w:pStyle w:val="894"/>
        <w:ind w:firstLine="480"/>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rPr>
          <w:color w:val="auto"/>
          <w:highlight w:val="none"/>
        </w:rPr>
      </w:r>
      <w:r>
        <w:rPr>
          <w:color w:val="auto"/>
          <w:highlight w:val="none"/>
        </w:rPr>
      </w:r>
    </w:p>
    <w:p>
      <w:pPr>
        <w:pStyle w:val="894"/>
        <w:ind w:firstLine="480"/>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rPr>
          <w:color w:val="auto"/>
          <w:highlight w:val="none"/>
        </w:rPr>
      </w:r>
      <w:r>
        <w:rPr>
          <w:color w:val="auto"/>
          <w:highlight w:val="none"/>
        </w:rPr>
      </w:r>
    </w:p>
    <w:p>
      <w:pPr>
        <w:pStyle w:val="894"/>
        <w:ind w:firstLine="480"/>
        <w:rPr>
          <w:rFonts w:hint="eastAsia"/>
          <w:color w:val="auto"/>
          <w:sz w:val="24"/>
          <w:szCs w:val="24"/>
          <w:highlight w:val="none"/>
        </w:rPr>
      </w:pPr>
      <w:r>
        <w:rPr>
          <w:rFonts w:hint="eastAsia"/>
          <w:color w:val="auto"/>
          <w:sz w:val="24"/>
          <w:szCs w:val="24"/>
          <w:highlight w:val="none"/>
        </w:rPr>
        <w:t xml:space="preserve">特此授权委托。</w:t>
      </w:r>
      <w:r>
        <w:rPr>
          <w:color w:val="auto"/>
          <w:highlight w:val="none"/>
        </w:rPr>
      </w:r>
      <w:r>
        <w:rPr>
          <w:color w:val="auto"/>
          <w:highlight w:val="none"/>
        </w:rPr>
      </w:r>
    </w:p>
    <w:p>
      <w:pPr>
        <w:pStyle w:val="894"/>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rPr>
          <w:color w:val="auto"/>
          <w:highlight w:val="none"/>
        </w:rPr>
      </w:r>
      <w:r>
        <w:rPr>
          <w:color w:val="auto"/>
          <w:highlight w:val="none"/>
        </w:rPr>
      </w:r>
    </w:p>
    <w:p>
      <w:pPr>
        <w:pStyle w:val="894"/>
        <w:ind w:firstLine="0"/>
        <w:rPr>
          <w:rFonts w:hint="eastAsia"/>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rPr>
        <w:t xml:space="preserve">或盖章</w:t>
      </w:r>
      <w:r>
        <w:rPr>
          <w:rFonts w:hint="eastAsia"/>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rPr>
        <w:t xml:space="preserve">或盖章</w:t>
      </w:r>
      <w:r>
        <w:rPr>
          <w:rFonts w:hint="eastAsia"/>
          <w:color w:val="auto"/>
          <w:sz w:val="24"/>
          <w:szCs w:val="24"/>
          <w:highlight w:val="none"/>
        </w:rPr>
        <w:t xml:space="preserve">：</w:t>
      </w:r>
      <w:r>
        <w:rPr>
          <w:rFonts w:hint="eastAsia"/>
          <w:color w:val="auto"/>
          <w:sz w:val="24"/>
          <w:szCs w:val="24"/>
          <w:highlight w:val="none"/>
          <w:u w:val="single"/>
        </w:rPr>
        <w:t xml:space="preserve">        </w:t>
      </w:r>
      <w:r>
        <w:rPr>
          <w:color w:val="auto"/>
          <w:highlight w:val="none"/>
        </w:rPr>
      </w:r>
      <w:r>
        <w:rPr>
          <w:color w:val="auto"/>
          <w:highlight w:val="none"/>
        </w:rPr>
      </w:r>
    </w:p>
    <w:p>
      <w:pPr>
        <w:pStyle w:val="894"/>
        <w:ind w:firstLine="0"/>
        <w:rPr>
          <w:rFonts w:hint="eastAsia"/>
          <w:color w:val="auto"/>
          <w:sz w:val="24"/>
          <w:szCs w:val="24"/>
          <w:highlight w:val="none"/>
        </w:rPr>
      </w:pPr>
      <w:r>
        <w:rPr>
          <w:rFonts w:hint="eastAsia" w:ascii="宋体" w:hAnsi="宋体" w:cs="宋体"/>
          <w:b/>
          <w:color w:val="auto"/>
          <w:sz w:val="30"/>
          <w:highlight w:val="none"/>
        </w:rPr>
        <w:t xml:space="preserve">(被授权人身份证原件扫描件附后)</w:t>
      </w:r>
      <w:r>
        <w:rPr>
          <w:color w:val="auto"/>
          <w:highlight w:val="none"/>
        </w:rPr>
      </w:r>
      <w:r>
        <w:rPr>
          <w:color w:val="auto"/>
          <w:highlight w:val="none"/>
        </w:rPr>
      </w:r>
    </w:p>
    <w:p>
      <w:pPr>
        <w:pStyle w:val="894"/>
        <w:ind w:firstLine="0"/>
        <w:rPr>
          <w:rFonts w:hint="eastAsia"/>
          <w:color w:val="auto"/>
          <w:sz w:val="24"/>
          <w:szCs w:val="24"/>
          <w:highlight w:val="none"/>
        </w:rPr>
      </w:pPr>
      <w:r>
        <w:rPr>
          <w:rFonts w:hint="eastAsia"/>
          <w:color w:val="auto"/>
          <w:sz w:val="24"/>
          <w:szCs w:val="24"/>
          <w:highlight w:val="none"/>
        </w:rPr>
        <w:t xml:space="preserve">说明：</w:t>
      </w:r>
      <w:r>
        <w:rPr>
          <w:color w:val="auto"/>
          <w:highlight w:val="none"/>
        </w:rPr>
      </w:r>
      <w:r>
        <w:rPr>
          <w:color w:val="auto"/>
          <w:highlight w:val="none"/>
        </w:rPr>
      </w:r>
    </w:p>
    <w:p>
      <w:pPr>
        <w:pStyle w:val="894"/>
        <w:numPr>
          <w:ilvl w:val="0"/>
          <w:numId w:val="10"/>
        </w:numPr>
        <w:ind w:firstLine="480"/>
        <w:rPr>
          <w:rFonts w:hint="eastAsia"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rPr>
          <w:color w:val="auto"/>
          <w:highlight w:val="none"/>
        </w:rPr>
      </w:r>
      <w:r>
        <w:rPr>
          <w:color w:val="auto"/>
          <w:highlight w:val="none"/>
        </w:rPr>
      </w:r>
    </w:p>
    <w:p>
      <w:pPr>
        <w:pStyle w:val="894"/>
        <w:numPr>
          <w:ilvl w:val="0"/>
          <w:numId w:val="10"/>
        </w:numPr>
        <w:ind w:firstLine="480"/>
        <w:rPr>
          <w:rFonts w:hint="eastAsia" w:ascii="宋体" w:hAnsi="宋体"/>
          <w:color w:val="auto"/>
          <w:sz w:val="24"/>
          <w:szCs w:val="20"/>
          <w:highlight w:val="none"/>
        </w:rPr>
      </w:pPr>
      <w:r>
        <w:rPr>
          <w:rFonts w:hint="eastAsia" w:ascii="宋体" w:hAnsi="宋体"/>
          <w:color w:val="auto"/>
          <w:sz w:val="24"/>
          <w:szCs w:val="20"/>
          <w:highlight w:val="none"/>
        </w:rPr>
        <w:t xml:space="preserve">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w:t>
      </w:r>
      <w:r>
        <w:rPr>
          <w:rFonts w:hint="eastAsia"/>
          <w:color w:val="auto"/>
          <w:sz w:val="24"/>
          <w:szCs w:val="24"/>
          <w:highlight w:val="none"/>
        </w:rPr>
        <w:t xml:space="preserve">或盖章</w:t>
      </w:r>
      <w:r>
        <w:rPr>
          <w:rFonts w:hint="eastAsia" w:ascii="宋体" w:hAnsi="宋体"/>
          <w:color w:val="auto"/>
          <w:sz w:val="24"/>
          <w:szCs w:val="20"/>
          <w:highlight w:val="none"/>
        </w:rPr>
        <w:t xml:space="preserve">即可。</w:t>
      </w:r>
      <w:r>
        <w:rPr>
          <w:color w:val="auto"/>
          <w:highlight w:val="none"/>
        </w:rPr>
      </w:r>
      <w:r>
        <w:rPr>
          <w:color w:val="auto"/>
          <w:highlight w:val="none"/>
        </w:rPr>
      </w:r>
    </w:p>
    <w:p>
      <w:pPr>
        <w:pStyle w:val="894"/>
        <w:numPr>
          <w:ilvl w:val="0"/>
          <w:numId w:val="10"/>
        </w:numPr>
        <w:ind w:firstLine="480"/>
        <w:rPr>
          <w:rFonts w:hint="eastAsia"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rPr>
          <w:color w:val="auto"/>
          <w:highlight w:val="none"/>
        </w:rPr>
      </w:r>
      <w:r>
        <w:rPr>
          <w:color w:val="auto"/>
          <w:highlight w:val="none"/>
        </w:rPr>
      </w:r>
    </w:p>
    <w:p>
      <w:pPr>
        <w:pStyle w:val="894"/>
        <w:numPr>
          <w:ilvl w:val="0"/>
          <w:numId w:val="10"/>
        </w:numPr>
        <w:ind w:firstLine="480"/>
        <w:rPr>
          <w:rFonts w:hint="eastAsia"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被授权人为外籍、港、澳、台地区人士的，其身份证明须提供有效的护照或港澳同胞来往内地通行证、台湾同胞来往大陆通行证，或其它可在中国大陆有效居留的许可证明。</w:t>
      </w:r>
      <w:r>
        <w:rPr>
          <w:color w:val="auto"/>
          <w:highlight w:val="none"/>
        </w:rPr>
      </w:r>
      <w:r>
        <w:rPr>
          <w:color w:val="auto"/>
          <w:highlight w:val="none"/>
        </w:rPr>
      </w:r>
    </w:p>
    <w:p>
      <w:pPr>
        <w:pStyle w:val="894"/>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rPr>
          <w:color w:val="auto"/>
          <w:highlight w:val="none"/>
        </w:rPr>
      </w:r>
      <w:r>
        <w:rPr>
          <w:color w:val="auto"/>
          <w:highlight w:val="none"/>
        </w:rPr>
      </w:r>
    </w:p>
    <w:p>
      <w:pPr>
        <w:pStyle w:val="808"/>
        <w:jc w:val="center"/>
        <w:rPr>
          <w:rFonts w:ascii="黑体" w:eastAsia="黑体"/>
          <w:bCs/>
          <w:color w:val="auto"/>
          <w:sz w:val="28"/>
          <w:szCs w:val="28"/>
          <w:highlight w:val="none"/>
        </w:rPr>
        <w:outlineLvl w:val="0"/>
      </w:pPr>
      <w:r>
        <w:rPr>
          <w:color w:val="auto"/>
          <w:highlight w:val="none"/>
        </w:rPr>
      </w:r>
      <w:bookmarkStart w:id="220" w:name="报价方关于资格的声明函（格式）"/>
      <w:r>
        <w:rPr>
          <w:color w:val="auto"/>
          <w:highlight w:val="none"/>
        </w:rPr>
      </w:r>
      <w:bookmarkEnd w:id="220"/>
      <w:r>
        <w:rPr>
          <w:rFonts w:hint="eastAsia" w:ascii="黑体" w:eastAsia="黑体"/>
          <w:bCs/>
          <w:color w:val="auto"/>
          <w:sz w:val="28"/>
          <w:szCs w:val="28"/>
          <w:highlight w:val="none"/>
        </w:rPr>
        <w:t xml:space="preserve">资格声明函</w:t>
      </w:r>
      <w:r>
        <w:rPr>
          <w:color w:val="auto"/>
          <w:highlight w:val="none"/>
        </w:rPr>
      </w:r>
      <w:r>
        <w:rPr>
          <w:color w:val="auto"/>
          <w:highlight w:val="none"/>
        </w:rPr>
      </w:r>
    </w:p>
    <w:p>
      <w:pPr>
        <w:pStyle w:val="808"/>
        <w:jc w:val="center"/>
        <w:spacing w:line="480" w:lineRule="auto"/>
        <w:rPr>
          <w:rFonts w:ascii="宋体"/>
          <w:bCs/>
          <w:color w:val="auto"/>
          <w:sz w:val="24"/>
          <w:szCs w:val="24"/>
          <w:highlight w:val="none"/>
        </w:rPr>
      </w:pPr>
      <w:r>
        <w:rPr>
          <w:rFonts w:ascii="宋体"/>
          <w:bCs/>
          <w:color w:val="auto"/>
          <w:sz w:val="24"/>
          <w:szCs w:val="24"/>
          <w:highlight w:val="none"/>
        </w:rPr>
      </w:r>
      <w:r>
        <w:rPr>
          <w:color w:val="auto"/>
          <w:highlight w:val="none"/>
        </w:rPr>
      </w:r>
      <w:r>
        <w:rPr>
          <w:color w:val="auto"/>
          <w:highlight w:val="none"/>
        </w:rPr>
      </w:r>
    </w:p>
    <w:p>
      <w:pPr>
        <w:pStyle w:val="808"/>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无锡市公共资源交易中心：</w:t>
      </w:r>
      <w:r>
        <w:rPr>
          <w:color w:val="auto"/>
          <w:highlight w:val="none"/>
        </w:rPr>
      </w:r>
      <w:r>
        <w:rPr>
          <w:color w:val="auto"/>
          <w:highlight w:val="none"/>
        </w:rPr>
      </w:r>
    </w:p>
    <w:p>
      <w:pPr>
        <w:pStyle w:val="808"/>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）针对本次项目</w:t>
      </w:r>
      <w:r>
        <w:rPr>
          <w:rFonts w:hint="eastAsia" w:ascii="宋体" w:hAnsi="宋体"/>
          <w:bCs/>
          <w:color w:val="auto"/>
          <w:sz w:val="24"/>
          <w:szCs w:val="24"/>
          <w:highlight w:val="none"/>
        </w:rPr>
        <w:t xml:space="preserve">JSZC-320200-JZCG-G2024-0086</w:t>
      </w:r>
      <w:r>
        <w:rPr>
          <w:rFonts w:hint="eastAsia" w:ascii="宋体" w:hAnsi="宋体"/>
          <w:bCs/>
          <w:color w:val="auto"/>
          <w:sz w:val="24"/>
          <w:szCs w:val="24"/>
          <w:highlight w:val="none"/>
        </w:rPr>
        <w:t xml:space="preserve">进行投标，</w:t>
      </w:r>
      <w:r>
        <w:rPr>
          <w:rFonts w:hint="eastAsia" w:ascii="宋体" w:hAnsi="宋体"/>
          <w:bCs/>
          <w:color w:val="auto"/>
          <w:sz w:val="24"/>
          <w:szCs w:val="24"/>
          <w:highlight w:val="none"/>
        </w:rPr>
        <w:t xml:space="preserve">并</w:t>
      </w:r>
      <w:r>
        <w:rPr>
          <w:rFonts w:hint="eastAsia" w:ascii="宋体" w:hAnsi="宋体"/>
          <w:bCs/>
          <w:color w:val="auto"/>
          <w:sz w:val="24"/>
          <w:szCs w:val="24"/>
          <w:highlight w:val="none"/>
        </w:rPr>
        <w:t xml:space="preserve">作如下声明</w:t>
      </w:r>
      <w:r>
        <w:rPr>
          <w:color w:val="auto"/>
          <w:highlight w:val="none"/>
        </w:rPr>
      </w:r>
      <w:r>
        <w:rPr>
          <w:color w:val="auto"/>
          <w:highlight w:val="none"/>
        </w:rPr>
      </w:r>
    </w:p>
    <w:p>
      <w:pPr>
        <w:pStyle w:val="808"/>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）参加本次项目政府采购活动前三年内，在经营活动中没有重大违法（因违法经营受到刑事处罚或者责令停产停业、吊销许可证或者执照、较大数额罚款等行政处罚）记录。</w:t>
      </w:r>
      <w:r>
        <w:rPr>
          <w:color w:val="auto"/>
          <w:highlight w:val="none"/>
        </w:rPr>
      </w:r>
      <w:r>
        <w:rPr>
          <w:color w:val="auto"/>
          <w:highlight w:val="none"/>
        </w:rPr>
      </w:r>
    </w:p>
    <w:p>
      <w:pPr>
        <w:pStyle w:val="808"/>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）具备本次项目履行合同所必需的设备和专业技术能力。</w:t>
      </w:r>
      <w:r>
        <w:rPr>
          <w:color w:val="auto"/>
          <w:highlight w:val="none"/>
        </w:rPr>
      </w:r>
      <w:r>
        <w:rPr>
          <w:color w:val="auto"/>
          <w:highlight w:val="none"/>
        </w:rPr>
      </w:r>
    </w:p>
    <w:p>
      <w:pPr>
        <w:pStyle w:val="808"/>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color w:val="auto"/>
          <w:highlight w:val="none"/>
        </w:rPr>
      </w:r>
      <w:r>
        <w:rPr>
          <w:color w:val="auto"/>
          <w:highlight w:val="none"/>
        </w:rPr>
      </w:r>
    </w:p>
    <w:p>
      <w:pPr>
        <w:pStyle w:val="808"/>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）针对本次项目的上述声明以及投标文件中所有关于投标资格的文件、证明、陈述均是真实的、准确的。若有违背，我公司（单位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）愿意承担由此而产生的一切后果。</w:t>
      </w:r>
      <w:r>
        <w:rPr>
          <w:color w:val="auto"/>
          <w:highlight w:val="none"/>
        </w:rPr>
      </w:r>
      <w:r>
        <w:rPr>
          <w:color w:val="auto"/>
          <w:highlight w:val="none"/>
        </w:rPr>
      </w:r>
    </w:p>
    <w:p>
      <w:pPr>
        <w:pStyle w:val="808"/>
        <w:spacing w:line="480" w:lineRule="auto"/>
        <w:rPr>
          <w:rFonts w:ascii="宋体"/>
          <w:bCs/>
          <w:color w:val="auto"/>
          <w:sz w:val="24"/>
          <w:szCs w:val="24"/>
          <w:highlight w:val="none"/>
        </w:rPr>
      </w:pPr>
      <w:r>
        <w:rPr>
          <w:rFonts w:ascii="宋体"/>
          <w:bCs/>
          <w:color w:val="auto"/>
          <w:sz w:val="24"/>
          <w:szCs w:val="24"/>
          <w:highlight w:val="none"/>
        </w:rPr>
      </w:r>
      <w:r>
        <w:rPr>
          <w:color w:val="auto"/>
          <w:highlight w:val="none"/>
        </w:rPr>
      </w:r>
      <w:r>
        <w:rPr>
          <w:color w:val="auto"/>
          <w:highlight w:val="none"/>
        </w:rPr>
      </w:r>
    </w:p>
    <w:p>
      <w:pPr>
        <w:pStyle w:val="808"/>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rPr>
          <w:color w:val="auto"/>
          <w:highlight w:val="none"/>
        </w:rPr>
      </w:r>
      <w:r>
        <w:rPr>
          <w:color w:val="auto"/>
          <w:highlight w:val="none"/>
        </w:rPr>
      </w:r>
    </w:p>
    <w:p>
      <w:pPr>
        <w:pStyle w:val="808"/>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rPr>
          <w:color w:val="auto"/>
          <w:highlight w:val="none"/>
        </w:rPr>
      </w:r>
      <w:r>
        <w:rPr>
          <w:color w:val="auto"/>
          <w:highlight w:val="none"/>
        </w:rPr>
      </w:r>
    </w:p>
    <w:p>
      <w:pPr>
        <w:pStyle w:val="808"/>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rPr>
          <w:color w:val="auto"/>
          <w:highlight w:val="none"/>
        </w:rPr>
      </w:r>
      <w:r>
        <w:rPr>
          <w:color w:val="auto"/>
          <w:highlight w:val="none"/>
        </w:rPr>
      </w:r>
    </w:p>
    <w:p>
      <w:pPr>
        <w:pStyle w:val="808"/>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rPr>
          <w:color w:val="auto"/>
          <w:highlight w:val="none"/>
        </w:rPr>
      </w:r>
      <w:r>
        <w:rPr>
          <w:color w:val="auto"/>
          <w:highlight w:val="none"/>
        </w:rPr>
      </w:r>
    </w:p>
    <w:p>
      <w:pPr>
        <w:pStyle w:val="808"/>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rPr>
          <w:color w:val="auto"/>
          <w:highlight w:val="none"/>
        </w:rPr>
      </w:r>
      <w:r>
        <w:rPr>
          <w:color w:val="auto"/>
          <w:highlight w:val="none"/>
        </w:rPr>
      </w:r>
    </w:p>
    <w:p>
      <w:pPr>
        <w:pStyle w:val="808"/>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color w:val="auto"/>
          <w:highlight w:val="none"/>
        </w:rPr>
      </w:r>
      <w:r>
        <w:rPr>
          <w:color w:val="auto"/>
          <w:highlight w:val="none"/>
        </w:rPr>
      </w:r>
    </w:p>
    <w:p>
      <w:pPr>
        <w:pStyle w:val="808"/>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rPr>
          <w:color w:val="auto"/>
          <w:highlight w:val="none"/>
        </w:rPr>
      </w:r>
      <w:r>
        <w:rPr>
          <w:color w:val="auto"/>
          <w:highlight w:val="none"/>
        </w:rPr>
      </w:r>
    </w:p>
    <w:p>
      <w:pPr>
        <w:pStyle w:val="808"/>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color w:val="auto"/>
          <w:highlight w:val="none"/>
        </w:rPr>
      </w:r>
      <w:r>
        <w:rPr>
          <w:color w:val="auto"/>
          <w:highlight w:val="none"/>
        </w:rPr>
      </w:r>
    </w:p>
    <w:p>
      <w:pPr>
        <w:pStyle w:val="808"/>
        <w:ind w:firstLine="420"/>
        <w:spacing w:line="360" w:lineRule="auto"/>
        <w:rPr>
          <w:rFonts w:hint="eastAsia"/>
          <w:color w:val="auto"/>
          <w:highlight w:val="none"/>
        </w:rPr>
      </w:pPr>
      <w:r>
        <w:rPr>
          <w:rFonts w:hint="eastAsia"/>
          <w:color w:val="auto"/>
          <w:highlight w:val="none"/>
        </w:rPr>
      </w:r>
      <w:r>
        <w:rPr>
          <w:color w:val="auto"/>
          <w:highlight w:val="none"/>
        </w:rPr>
      </w:r>
      <w:r>
        <w:rPr>
          <w:color w:val="auto"/>
          <w:highlight w:val="none"/>
        </w:rPr>
      </w:r>
    </w:p>
    <w:p>
      <w:pPr>
        <w:pStyle w:val="808"/>
        <w:ind w:firstLine="420"/>
        <w:spacing w:line="360" w:lineRule="auto"/>
        <w:rPr>
          <w:rFonts w:hint="eastAsia"/>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auto"/>
          <w:highlight w:val="none"/>
        </w:rPr>
      </w:r>
      <w:r>
        <w:rPr>
          <w:color w:val="auto"/>
          <w:highlight w:val="none"/>
        </w:rPr>
      </w:r>
    </w:p>
    <w:p>
      <w:pPr>
        <w:pStyle w:val="808"/>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rPr>
          <w:color w:val="auto"/>
          <w:highlight w:val="none"/>
        </w:rPr>
      </w:r>
      <w:r>
        <w:rPr>
          <w:color w:val="auto"/>
          <w:highlight w:val="none"/>
        </w:rPr>
      </w:r>
    </w:p>
    <w:p>
      <w:pPr>
        <w:pStyle w:val="808"/>
        <w:ind w:firstLine="420"/>
        <w:spacing w:line="360" w:lineRule="auto"/>
        <w:rPr>
          <w:rFonts w:hint="eastAsia"/>
          <w:color w:val="auto"/>
          <w:highlight w:val="none"/>
        </w:rPr>
      </w:pPr>
      <w:r>
        <w:rPr>
          <w:rFonts w:hint="eastAsia"/>
          <w:color w:val="auto"/>
          <w:highlight w:val="none"/>
        </w:rPr>
        <w:t xml:space="preserve">（3）中标供应商的《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auto"/>
          <w:highlight w:val="none"/>
        </w:rPr>
      </w:r>
      <w:r>
        <w:rPr>
          <w:color w:val="auto"/>
          <w:highlight w:val="none"/>
        </w:rPr>
      </w:r>
    </w:p>
    <w:p>
      <w:pPr>
        <w:pStyle w:val="808"/>
        <w:spacing w:line="440" w:lineRule="exact"/>
        <w:rPr>
          <w:rFonts w:hint="eastAsia" w:ascii="宋体" w:hAnsi="宋体" w:cs="宋体"/>
          <w:b/>
          <w:color w:val="auto"/>
          <w:sz w:val="28"/>
          <w:szCs w:val="28"/>
          <w:highlight w:val="none"/>
        </w:rPr>
      </w:pPr>
      <w:r>
        <w:rPr>
          <w:rFonts w:hint="eastAsia"/>
          <w:color w:val="auto"/>
          <w:highlight w:val="none"/>
        </w:rPr>
        <w:br w:type="page" w:clear="all"/>
      </w:r>
      <w:r>
        <w:rPr>
          <w:rFonts w:hint="eastAsia" w:ascii="宋体" w:hAnsi="宋体" w:cs="宋体"/>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rPr>
          <w:color w:val="auto"/>
          <w:highlight w:val="none"/>
        </w:rPr>
      </w:r>
      <w:r>
        <w:rPr>
          <w:color w:val="auto"/>
          <w:highlight w:val="none"/>
        </w:rPr>
      </w:r>
    </w:p>
    <w:p>
      <w:pPr>
        <w:pStyle w:val="808"/>
        <w:ind w:firstLine="482"/>
        <w:spacing w:line="440" w:lineRule="exact"/>
        <w:rPr>
          <w:rFonts w:ascii="Arial" w:hAnsi="Arial"/>
          <w:b/>
          <w:color w:val="auto"/>
          <w:sz w:val="24"/>
          <w:highlight w:val="none"/>
        </w:rPr>
      </w:pPr>
      <w:r>
        <w:rPr>
          <w:rFonts w:ascii="Arial" w:hAnsi="Arial"/>
          <w:b/>
          <w:color w:val="auto"/>
          <w:sz w:val="24"/>
          <w:highlight w:val="none"/>
        </w:rPr>
      </w:r>
      <w:r>
        <w:rPr>
          <w:color w:val="auto"/>
          <w:highlight w:val="none"/>
        </w:rPr>
      </w:r>
      <w:r>
        <w:rPr>
          <w:color w:val="auto"/>
          <w:highlight w:val="none"/>
        </w:rPr>
      </w:r>
    </w:p>
    <w:p>
      <w:pPr>
        <w:pStyle w:val="808"/>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rPr>
          <w:color w:val="auto"/>
          <w:highlight w:val="none"/>
        </w:rPr>
      </w:r>
      <w:r>
        <w:rPr>
          <w:color w:val="auto"/>
          <w:highlight w:val="none"/>
        </w:rPr>
      </w:r>
    </w:p>
    <w:p>
      <w:pPr>
        <w:pStyle w:val="808"/>
        <w:jc w:val="center"/>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r>
        <w:rPr>
          <w:color w:val="auto"/>
          <w:highlight w:val="none"/>
        </w:rPr>
      </w:r>
    </w:p>
    <w:p>
      <w:pPr>
        <w:pStyle w:val="808"/>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highlight w:val="none"/>
        </w:rPr>
      </w:r>
      <w:r>
        <w:rPr>
          <w:color w:val="auto"/>
          <w:highlight w:val="none"/>
        </w:rPr>
      </w:r>
    </w:p>
    <w:p>
      <w:pPr>
        <w:pStyle w:val="808"/>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rPr>
          <w:color w:val="auto"/>
          <w:highlight w:val="none"/>
        </w:rPr>
      </w:r>
      <w:r>
        <w:rPr>
          <w:color w:val="auto"/>
          <w:highlight w:val="none"/>
        </w:rPr>
      </w:r>
    </w:p>
    <w:p>
      <w:pPr>
        <w:pStyle w:val="808"/>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r>
        <w:rPr>
          <w:color w:val="auto"/>
          <w:highlight w:val="none"/>
        </w:rPr>
      </w:r>
    </w:p>
    <w:p>
      <w:pPr>
        <w:pStyle w:val="808"/>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r>
        <w:rPr>
          <w:color w:val="auto"/>
          <w:highlight w:val="none"/>
        </w:rPr>
      </w:r>
    </w:p>
    <w:p>
      <w:pPr>
        <w:pStyle w:val="808"/>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rPr>
          <w:color w:val="auto"/>
          <w:highlight w:val="none"/>
        </w:rPr>
      </w:r>
      <w:r>
        <w:rPr>
          <w:color w:val="auto"/>
          <w:highlight w:val="none"/>
        </w:rPr>
      </w:r>
    </w:p>
    <w:p>
      <w:pPr>
        <w:pStyle w:val="808"/>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color w:val="auto"/>
          <w:highlight w:val="none"/>
        </w:rPr>
      </w:r>
      <w:r>
        <w:rPr>
          <w:color w:val="auto"/>
          <w:highlight w:val="none"/>
        </w:rPr>
      </w:r>
    </w:p>
    <w:p>
      <w:pPr>
        <w:pStyle w:val="808"/>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rPr>
          <w:color w:val="auto"/>
          <w:highlight w:val="none"/>
        </w:rPr>
      </w:r>
      <w:r>
        <w:rPr>
          <w:color w:val="auto"/>
          <w:highlight w:val="none"/>
        </w:rPr>
      </w:r>
    </w:p>
    <w:p>
      <w:pPr>
        <w:pStyle w:val="808"/>
        <w:spacing w:line="360" w:lineRule="auto"/>
        <w:rPr>
          <w:rFonts w:hint="eastAsia"/>
          <w:b/>
          <w:color w:val="auto"/>
          <w:sz w:val="30"/>
          <w:szCs w:val="30"/>
          <w:highlight w:val="none"/>
        </w:rPr>
      </w:pPr>
      <w:r>
        <w:rPr>
          <w:rFonts w:hint="eastAsia"/>
          <w:b/>
          <w:color w:val="auto"/>
          <w:sz w:val="30"/>
          <w:szCs w:val="30"/>
          <w:highlight w:val="none"/>
        </w:rPr>
      </w:r>
      <w:r>
        <w:rPr>
          <w:color w:val="auto"/>
          <w:highlight w:val="none"/>
        </w:rPr>
      </w:r>
      <w:r>
        <w:rPr>
          <w:color w:val="auto"/>
          <w:highlight w:val="none"/>
        </w:rPr>
      </w:r>
    </w:p>
    <w:p>
      <w:pPr>
        <w:pStyle w:val="808"/>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rPr>
          <w:color w:val="auto"/>
          <w:highlight w:val="none"/>
        </w:rPr>
      </w:r>
      <w:r>
        <w:rPr>
          <w:color w:val="auto"/>
          <w:highlight w:val="none"/>
        </w:rPr>
      </w:r>
    </w:p>
    <w:p>
      <w:pPr>
        <w:pStyle w:val="808"/>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致无锡市公共资源交易中心：</w:t>
      </w:r>
      <w:r>
        <w:rPr>
          <w:color w:val="auto"/>
          <w:highlight w:val="none"/>
        </w:rPr>
      </w:r>
      <w:r>
        <w:rPr>
          <w:color w:val="auto"/>
          <w:highlight w:val="none"/>
        </w:rPr>
      </w:r>
    </w:p>
    <w:p>
      <w:pPr>
        <w:pStyle w:val="808"/>
        <w:ind w:firstLine="480"/>
        <w:spacing w:line="400" w:lineRule="exact"/>
        <w:rPr>
          <w:rFonts w:ascii="宋体"/>
          <w:bCs/>
          <w:color w:val="auto"/>
          <w:sz w:val="24"/>
          <w:szCs w:val="24"/>
          <w:highlight w:val="none"/>
        </w:rPr>
      </w:pPr>
      <w:r>
        <w:rPr>
          <w:rFonts w:ascii="宋体"/>
          <w:bCs/>
          <w:color w:val="auto"/>
          <w:sz w:val="24"/>
          <w:szCs w:val="24"/>
          <w:highlight w:val="none"/>
        </w:rPr>
      </w:r>
      <w:r>
        <w:rPr>
          <w:color w:val="auto"/>
          <w:highlight w:val="none"/>
        </w:rPr>
      </w:r>
      <w:r>
        <w:rPr>
          <w:color w:val="auto"/>
          <w:highlight w:val="none"/>
        </w:rPr>
      </w:r>
    </w:p>
    <w:p>
      <w:pPr>
        <w:pStyle w:val="808"/>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rPr>
        <w:t xml:space="preserve">JSZC-320200-JZCG-G2024-0086</w:t>
      </w:r>
      <w:r>
        <w:rPr>
          <w:rFonts w:hint="eastAsia" w:ascii="宋体" w:hAnsi="宋体"/>
          <w:bCs/>
          <w:color w:val="auto"/>
          <w:sz w:val="24"/>
          <w:szCs w:val="24"/>
          <w:highlight w:val="none"/>
        </w:rPr>
        <w:t xml:space="preserve">招标文件，经仔细阅读和研究，我</w:t>
      </w:r>
      <w:r>
        <w:rPr>
          <w:rFonts w:hint="eastAsia" w:ascii="宋体" w:hAnsi="宋体"/>
          <w:bCs/>
          <w:color w:val="auto"/>
          <w:sz w:val="24"/>
          <w:szCs w:val="24"/>
          <w:highlight w:val="none"/>
        </w:rPr>
        <w:t xml:space="preserve">方决定参加此项目的投标。</w:t>
      </w:r>
      <w:r>
        <w:rPr>
          <w:color w:val="auto"/>
          <w:highlight w:val="none"/>
        </w:rPr>
      </w:r>
      <w:r>
        <w:rPr>
          <w:color w:val="auto"/>
          <w:highlight w:val="none"/>
        </w:rPr>
      </w:r>
    </w:p>
    <w:p>
      <w:pPr>
        <w:pStyle w:val="808"/>
        <w:numPr>
          <w:ilvl w:val="0"/>
          <w:numId w:val="11"/>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rPr>
          <w:color w:val="auto"/>
          <w:highlight w:val="none"/>
        </w:rPr>
      </w:r>
      <w:r>
        <w:rPr>
          <w:color w:val="auto"/>
          <w:highlight w:val="none"/>
        </w:rPr>
      </w:r>
    </w:p>
    <w:p>
      <w:pPr>
        <w:pStyle w:val="808"/>
        <w:numPr>
          <w:ilvl w:val="0"/>
          <w:numId w:val="11"/>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883"/>
          <w:bCs/>
          <w:color w:val="auto"/>
          <w:highlight w:val="none"/>
        </w:rPr>
      </w:pPr>
      <w:r>
        <w:rPr>
          <w:rFonts w:hint="eastAsia" w:ascii="宋体" w:hAnsi="宋体"/>
          <w:bCs/>
          <w:color w:val="auto"/>
          <w:sz w:val="24"/>
          <w:szCs w:val="24"/>
          <w:highlight w:val="none"/>
        </w:rPr>
        <w:t xml:space="preserve">我方愿意提供无锡市公共资源交易中心在招标文件中要求的文件、资料。</w:t>
      </w:r>
      <w:r>
        <w:rPr>
          <w:color w:val="auto"/>
          <w:highlight w:val="none"/>
        </w:rPr>
      </w:r>
      <w:r>
        <w:rPr>
          <w:color w:val="auto"/>
          <w:highlight w:val="none"/>
        </w:rPr>
      </w:r>
    </w:p>
    <w:p>
      <w:pPr>
        <w:pStyle w:val="808"/>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rPr>
          <w:color w:val="auto"/>
          <w:highlight w:val="none"/>
        </w:rPr>
      </w:r>
      <w:r>
        <w:rPr>
          <w:color w:val="auto"/>
          <w:highlight w:val="none"/>
        </w:rPr>
      </w:r>
    </w:p>
    <w:p>
      <w:pPr>
        <w:pStyle w:val="808"/>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rPr>
          <w:color w:val="auto"/>
          <w:highlight w:val="none"/>
        </w:rPr>
      </w:r>
      <w:r>
        <w:rPr>
          <w:color w:val="auto"/>
          <w:highlight w:val="none"/>
        </w:rPr>
      </w:r>
    </w:p>
    <w:p>
      <w:pPr>
        <w:pStyle w:val="808"/>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rPr>
          <w:color w:val="auto"/>
          <w:highlight w:val="none"/>
        </w:rPr>
      </w:r>
      <w:r>
        <w:rPr>
          <w:color w:val="auto"/>
          <w:highlight w:val="none"/>
        </w:rPr>
      </w:r>
    </w:p>
    <w:p>
      <w:pPr>
        <w:pStyle w:val="808"/>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bCs/>
          <w:color w:val="auto"/>
          <w:sz w:val="24"/>
          <w:szCs w:val="24"/>
          <w:highlight w:val="none"/>
        </w:rPr>
        <w:t xml:space="preserve">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rPr>
          <w:color w:val="auto"/>
          <w:highlight w:val="none"/>
        </w:rPr>
      </w:r>
      <w:r>
        <w:rPr>
          <w:color w:val="auto"/>
          <w:highlight w:val="none"/>
        </w:rPr>
      </w:r>
    </w:p>
    <w:p>
      <w:pPr>
        <w:pStyle w:val="808"/>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w:t>
      </w:r>
      <w:r>
        <w:rPr>
          <w:rFonts w:hint="eastAsia" w:ascii="宋体" w:hAnsi="宋体"/>
          <w:bCs/>
          <w:color w:val="auto"/>
          <w:sz w:val="24"/>
          <w:szCs w:val="24"/>
          <w:highlight w:val="none"/>
        </w:rPr>
        <w:t xml:space="preserve">方</w:t>
      </w:r>
      <w:r>
        <w:rPr>
          <w:rFonts w:hint="eastAsia" w:ascii="宋体" w:hAnsi="宋体"/>
          <w:bCs/>
          <w:color w:val="auto"/>
          <w:sz w:val="24"/>
          <w:szCs w:val="24"/>
          <w:highlight w:val="none"/>
        </w:rPr>
        <w:t xml:space="preserve">已详细审核全部招标文件及其有效补充文件，我们知道必须放弃提出含糊不清或误解问题的权利。</w:t>
      </w:r>
      <w:r>
        <w:rPr>
          <w:color w:val="auto"/>
          <w:highlight w:val="none"/>
        </w:rPr>
      </w:r>
      <w:r>
        <w:rPr>
          <w:color w:val="auto"/>
          <w:highlight w:val="none"/>
        </w:rPr>
      </w:r>
    </w:p>
    <w:p>
      <w:pPr>
        <w:pStyle w:val="808"/>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rPr>
          <w:color w:val="auto"/>
          <w:highlight w:val="none"/>
        </w:rPr>
      </w:r>
      <w:r>
        <w:rPr>
          <w:color w:val="auto"/>
          <w:highlight w:val="none"/>
        </w:rPr>
      </w:r>
    </w:p>
    <w:p>
      <w:pPr>
        <w:pStyle w:val="808"/>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bCs/>
          <w:color w:val="auto"/>
          <w:sz w:val="24"/>
          <w:szCs w:val="24"/>
          <w:highlight w:val="none"/>
        </w:rPr>
        <w:t xml:space="preserve">按采购人要求</w:t>
      </w:r>
      <w:r>
        <w:rPr>
          <w:rFonts w:hint="eastAsia" w:ascii="宋体" w:hAnsi="宋体"/>
          <w:bCs/>
          <w:color w:val="auto"/>
          <w:sz w:val="24"/>
          <w:szCs w:val="24"/>
          <w:highlight w:val="none"/>
        </w:rPr>
        <w:t xml:space="preserve">交纳履约保证金。且我方如无不可抗力，又未履行招标文件、投标文件和合同条款的，一经查实，我方愿意赔偿由此而造成的一切损失，并同意接受按招标文件的相关要求对我方进行的处理。</w:t>
      </w:r>
      <w:r>
        <w:rPr>
          <w:color w:val="auto"/>
          <w:highlight w:val="none"/>
        </w:rPr>
      </w:r>
      <w:r>
        <w:rPr>
          <w:color w:val="auto"/>
          <w:highlight w:val="none"/>
        </w:rPr>
      </w:r>
    </w:p>
    <w:p>
      <w:pPr>
        <w:pStyle w:val="808"/>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color w:val="auto"/>
          <w:highlight w:val="none"/>
        </w:rPr>
      </w:r>
      <w:r>
        <w:rPr>
          <w:color w:val="auto"/>
          <w:highlight w:val="none"/>
        </w:rPr>
      </w:r>
    </w:p>
    <w:p>
      <w:pPr>
        <w:pStyle w:val="808"/>
        <w:ind w:firstLine="720"/>
        <w:spacing w:line="400" w:lineRule="exact"/>
        <w:rPr>
          <w:rFonts w:ascii="宋体"/>
          <w:bCs/>
          <w:color w:val="auto"/>
          <w:sz w:val="24"/>
          <w:szCs w:val="24"/>
          <w:highlight w:val="none"/>
        </w:rPr>
      </w:pPr>
      <w:r>
        <w:rPr>
          <w:rFonts w:ascii="宋体"/>
          <w:bCs/>
          <w:color w:val="auto"/>
          <w:sz w:val="24"/>
          <w:szCs w:val="24"/>
          <w:highlight w:val="none"/>
        </w:rPr>
      </w:r>
      <w:r>
        <w:rPr>
          <w:color w:val="auto"/>
          <w:highlight w:val="none"/>
        </w:rPr>
      </w:r>
      <w:r>
        <w:rPr>
          <w:color w:val="auto"/>
          <w:highlight w:val="none"/>
        </w:rPr>
      </w:r>
    </w:p>
    <w:p>
      <w:pPr>
        <w:pStyle w:val="808"/>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rPr>
          <w:color w:val="auto"/>
          <w:highlight w:val="none"/>
        </w:rPr>
      </w:r>
      <w:r>
        <w:rPr>
          <w:color w:val="auto"/>
          <w:highlight w:val="none"/>
        </w:rPr>
      </w:r>
    </w:p>
    <w:p>
      <w:pPr>
        <w:pStyle w:val="808"/>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rPr>
          <w:color w:val="auto"/>
          <w:highlight w:val="none"/>
        </w:rPr>
      </w:r>
      <w:r>
        <w:rPr>
          <w:color w:val="auto"/>
          <w:highlight w:val="none"/>
        </w:rPr>
      </w:r>
    </w:p>
    <w:p>
      <w:pPr>
        <w:pStyle w:val="808"/>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rPr>
          <w:color w:val="auto"/>
          <w:highlight w:val="none"/>
        </w:rPr>
      </w:r>
      <w:r>
        <w:rPr>
          <w:color w:val="auto"/>
          <w:highlight w:val="none"/>
        </w:rPr>
      </w:r>
    </w:p>
    <w:p>
      <w:pPr>
        <w:pStyle w:val="808"/>
        <w:spacing w:line="360" w:lineRule="auto"/>
        <w:rPr>
          <w:rFonts w:hint="eastAsia"/>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rPr>
          <w:color w:val="auto"/>
          <w:highlight w:val="none"/>
        </w:rPr>
      </w:r>
      <w:r>
        <w:rPr>
          <w:color w:val="auto"/>
          <w:highlight w:val="none"/>
        </w:rPr>
      </w:r>
    </w:p>
    <w:p>
      <w:pPr>
        <w:pStyle w:val="808"/>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rPr>
          <w:color w:val="auto"/>
          <w:highlight w:val="none"/>
        </w:rPr>
      </w:r>
      <w:r>
        <w:rPr>
          <w:color w:val="auto"/>
          <w:highlight w:val="none"/>
        </w:rPr>
      </w:r>
    </w:p>
    <w:p>
      <w:pPr>
        <w:pStyle w:val="808"/>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JSZC-320200-JZCG-G2024-0086</w:t>
      </w:r>
      <w:r>
        <w:rPr>
          <w:rFonts w:hint="eastAsia" w:ascii="宋体" w:hAnsi="宋体"/>
          <w:color w:val="auto"/>
          <w:sz w:val="24"/>
          <w:szCs w:val="24"/>
          <w:highlight w:val="none"/>
        </w:rPr>
        <w:t xml:space="preserve">在此承诺：</w:t>
      </w:r>
      <w:r>
        <w:rPr>
          <w:color w:val="auto"/>
          <w:highlight w:val="none"/>
        </w:rPr>
      </w:r>
      <w:r>
        <w:rPr>
          <w:color w:val="auto"/>
          <w:highlight w:val="none"/>
        </w:rPr>
      </w:r>
    </w:p>
    <w:p>
      <w:pPr>
        <w:pStyle w:val="808"/>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rPr>
        <w:t xml:space="preserve">所提供的货物均为原厂全新合格品，提供的服务符合招标文件要求。</w:t>
      </w:r>
      <w:r>
        <w:rPr>
          <w:color w:val="auto"/>
          <w:highlight w:val="none"/>
        </w:rPr>
      </w:r>
      <w:r>
        <w:rPr>
          <w:color w:val="auto"/>
          <w:highlight w:val="none"/>
        </w:rPr>
      </w:r>
    </w:p>
    <w:p>
      <w:pPr>
        <w:pStyle w:val="808"/>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2.本项目中如有涉及到商品包装、快递包装要求的，本公司（单位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rPr>
          <w:color w:val="auto"/>
          <w:highlight w:val="none"/>
        </w:rPr>
      </w:r>
      <w:r>
        <w:rPr>
          <w:color w:val="auto"/>
          <w:highlight w:val="none"/>
        </w:rPr>
      </w:r>
    </w:p>
    <w:p>
      <w:pPr>
        <w:pStyle w:val="808"/>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color w:val="auto"/>
          <w:highlight w:val="none"/>
        </w:rPr>
      </w:r>
      <w:r>
        <w:rPr>
          <w:color w:val="auto"/>
          <w:highlight w:val="none"/>
        </w:rPr>
      </w:r>
    </w:p>
    <w:p>
      <w:pPr>
        <w:pStyle w:val="808"/>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w:t>
      </w:r>
      <w:r>
        <w:rPr>
          <w:rFonts w:hint="eastAsia" w:ascii="宋体" w:hAnsi="宋体"/>
          <w:bCs/>
          <w:color w:val="auto"/>
          <w:sz w:val="24"/>
          <w:szCs w:val="24"/>
          <w:highlight w:val="none"/>
        </w:rPr>
        <w:t xml:space="preserve">优先</w:t>
      </w:r>
      <w:r>
        <w:rPr>
          <w:rFonts w:hint="eastAsia" w:ascii="宋体" w:hAnsi="宋体"/>
          <w:bCs/>
          <w:color w:val="auto"/>
          <w:sz w:val="24"/>
          <w:szCs w:val="24"/>
          <w:highlight w:val="none"/>
        </w:rPr>
        <w:t xml:space="preserve">提供符合推荐性标准的涂料、胶黏剂、油墨、清洗剂等挥发性有机物产品或者在通用类货物、家具、印刷、公务车辆维修等采购项目中优先使用低挥发性原辅材料。</w:t>
      </w:r>
      <w:r>
        <w:rPr>
          <w:color w:val="auto"/>
          <w:highlight w:val="none"/>
        </w:rPr>
      </w:r>
      <w:r>
        <w:rPr>
          <w:color w:val="auto"/>
          <w:highlight w:val="none"/>
        </w:rPr>
      </w:r>
    </w:p>
    <w:p>
      <w:pPr>
        <w:pStyle w:val="808"/>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4.</w:t>
      </w:r>
      <w:r>
        <w:rPr>
          <w:rFonts w:hint="eastAsia" w:ascii="宋体" w:hAnsi="宋体" w:cs="宋体"/>
          <w:color w:val="auto"/>
          <w:sz w:val="24"/>
          <w:szCs w:val="24"/>
          <w:highlight w:val="none"/>
        </w:rPr>
        <w:t xml:space="preserve">根据财库〔2023〕29号、30号、31号、32号、33号、34号、35号</w:t>
      </w:r>
      <w:r>
        <w:rPr>
          <w:rFonts w:hint="eastAsia" w:ascii="宋体" w:hAnsi="宋体" w:cs="宋体"/>
          <w:color w:val="auto"/>
          <w:sz w:val="24"/>
          <w:szCs w:val="24"/>
          <w:highlight w:val="none"/>
        </w:rPr>
        <w:t xml:space="preserve">（简称《需求标准》）</w:t>
      </w:r>
      <w:r>
        <w:rPr>
          <w:rFonts w:hint="eastAsia" w:ascii="宋体" w:hAnsi="宋体" w:cs="宋体"/>
          <w:color w:val="auto"/>
          <w:sz w:val="24"/>
          <w:szCs w:val="24"/>
          <w:highlight w:val="none"/>
        </w:rPr>
        <w:t xml:space="preserve">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w:t>
      </w:r>
      <w:r>
        <w:rPr>
          <w:rFonts w:hint="eastAsia" w:ascii="宋体"/>
          <w:bCs/>
          <w:color w:val="auto"/>
          <w:sz w:val="24"/>
          <w:szCs w:val="24"/>
          <w:highlight w:val="none"/>
        </w:rPr>
        <w:t xml:space="preserve">，</w:t>
      </w:r>
      <w:r>
        <w:rPr>
          <w:rFonts w:hint="eastAsia" w:ascii="宋体"/>
          <w:bCs/>
          <w:color w:val="auto"/>
          <w:sz w:val="24"/>
          <w:szCs w:val="24"/>
          <w:highlight w:val="none"/>
        </w:rPr>
        <w:t xml:space="preserve">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rPr>
          <w:color w:val="auto"/>
          <w:highlight w:val="none"/>
        </w:rPr>
      </w:r>
      <w:r>
        <w:rPr>
          <w:color w:val="auto"/>
          <w:highlight w:val="none"/>
        </w:rPr>
      </w:r>
    </w:p>
    <w:p>
      <w:pPr>
        <w:pStyle w:val="808"/>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rPr>
          <w:color w:val="auto"/>
          <w:highlight w:val="none"/>
        </w:rPr>
      </w:r>
      <w:r>
        <w:rPr>
          <w:color w:val="auto"/>
          <w:highlight w:val="none"/>
        </w:rPr>
      </w:r>
    </w:p>
    <w:p>
      <w:pPr>
        <w:pStyle w:val="808"/>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w:t>
      </w:r>
      <w:r>
        <w:rPr>
          <w:rFonts w:hint="eastAsia" w:ascii="宋体"/>
          <w:bCs/>
          <w:color w:val="auto"/>
          <w:sz w:val="24"/>
          <w:szCs w:val="24"/>
          <w:highlight w:val="none"/>
        </w:rPr>
        <w:t xml:space="preserve">如</w:t>
      </w:r>
      <w:r>
        <w:rPr>
          <w:rFonts w:hint="eastAsia" w:ascii="宋体"/>
          <w:bCs/>
          <w:color w:val="auto"/>
          <w:sz w:val="24"/>
          <w:szCs w:val="24"/>
          <w:highlight w:val="none"/>
        </w:rPr>
        <w:t xml:space="preserve">有其他承诺的可在此处添加）</w:t>
      </w:r>
      <w:r>
        <w:rPr>
          <w:color w:val="auto"/>
          <w:highlight w:val="none"/>
        </w:rPr>
      </w:r>
      <w:r>
        <w:rPr>
          <w:color w:val="auto"/>
          <w:highlight w:val="none"/>
        </w:rPr>
      </w:r>
    </w:p>
    <w:p>
      <w:pPr>
        <w:pStyle w:val="808"/>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rPr>
          <w:color w:val="auto"/>
          <w:highlight w:val="none"/>
        </w:rPr>
      </w:r>
      <w:r>
        <w:rPr>
          <w:color w:val="auto"/>
          <w:highlight w:val="none"/>
        </w:rPr>
      </w:r>
    </w:p>
    <w:p>
      <w:pPr>
        <w:pStyle w:val="808"/>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rPr>
          <w:color w:val="auto"/>
          <w:highlight w:val="none"/>
        </w:rPr>
      </w:r>
      <w:r>
        <w:rPr>
          <w:color w:val="auto"/>
          <w:highlight w:val="none"/>
        </w:rPr>
      </w:r>
    </w:p>
    <w:p>
      <w:pPr>
        <w:pStyle w:val="808"/>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r>
        <w:rPr>
          <w:color w:val="auto"/>
          <w:highlight w:val="none"/>
        </w:rPr>
      </w:r>
    </w:p>
    <w:p>
      <w:pPr>
        <w:pStyle w:val="808"/>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rPr>
          <w:color w:val="auto"/>
          <w:highlight w:val="none"/>
        </w:rPr>
      </w:r>
      <w:r>
        <w:rPr>
          <w:color w:val="auto"/>
          <w:highlight w:val="none"/>
        </w:rPr>
      </w:r>
    </w:p>
    <w:p>
      <w:pPr>
        <w:pStyle w:val="808"/>
        <w:rPr>
          <w:rFonts w:hint="eastAsia"/>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八、开标一览表（给定格式）：</w:t>
      </w:r>
      <w:r>
        <w:rPr>
          <w:color w:val="auto"/>
          <w:highlight w:val="none"/>
        </w:rPr>
      </w:r>
      <w:r>
        <w:rPr>
          <w:color w:val="auto"/>
          <w:highlight w:val="none"/>
        </w:rPr>
      </w:r>
    </w:p>
    <w:p>
      <w:pPr>
        <w:pStyle w:val="808"/>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rPr>
          <w:color w:val="auto"/>
          <w:highlight w:val="none"/>
        </w:rPr>
      </w:r>
      <w:r>
        <w:rPr>
          <w:color w:val="auto"/>
          <w:highlight w:val="none"/>
        </w:rPr>
      </w:r>
    </w:p>
    <w:p>
      <w:pPr>
        <w:pStyle w:val="808"/>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rPr>
          <w:color w:val="auto"/>
          <w:highlight w:val="none"/>
        </w:rPr>
      </w:r>
      <w:r>
        <w:rPr>
          <w:color w:val="auto"/>
          <w:highlight w:val="none"/>
        </w:rPr>
      </w:r>
    </w:p>
    <w:p>
      <w:pPr>
        <w:pStyle w:val="808"/>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rPr>
        <w:t xml:space="preserve">JSZC-320200-JZCG-G2024-0086</w:t>
      </w:r>
      <w:r>
        <w:rPr>
          <w:color w:val="auto"/>
          <w:highlight w:val="none"/>
        </w:rPr>
      </w:r>
      <w:r>
        <w:rPr>
          <w:color w:val="auto"/>
          <w:highlight w:val="none"/>
        </w:rPr>
      </w:r>
    </w:p>
    <w:p>
      <w:pPr>
        <w:pStyle w:val="808"/>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项目名称：</w:t>
      </w:r>
      <w:r>
        <w:rPr>
          <w:rFonts w:hint="eastAsia" w:ascii="黑体" w:eastAsia="黑体"/>
          <w:bCs/>
          <w:color w:val="auto"/>
          <w:sz w:val="24"/>
          <w:szCs w:val="24"/>
          <w:highlight w:val="none"/>
        </w:rPr>
        <w:t xml:space="preserve">“感知环境、智慧环保”无锡环境监控物联网应用示范工程运行维护服务</w:t>
      </w:r>
      <w:r>
        <w:rPr>
          <w:color w:val="auto"/>
          <w:highlight w:val="none"/>
        </w:rPr>
      </w:r>
      <w:r>
        <w:rPr>
          <w:color w:val="auto"/>
          <w:highlight w:val="none"/>
        </w:rPr>
      </w:r>
    </w:p>
    <w:p>
      <w:pPr>
        <w:pStyle w:val="808"/>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r>
        <w:rPr>
          <w:color w:val="auto"/>
          <w:highlight w:val="none"/>
        </w:rPr>
      </w:r>
    </w:p>
    <w:p>
      <w:pPr>
        <w:pStyle w:val="808"/>
        <w:numPr>
          <w:ilvl w:val="0"/>
          <w:numId w:val="17"/>
        </w:numPr>
        <w:ind w:left="0" w:firstLine="0"/>
        <w:spacing w:line="360" w:lineRule="auto"/>
        <w:rPr>
          <w:rFonts w:ascii="黑体" w:eastAsia="黑体"/>
          <w:bCs/>
          <w:color w:val="auto"/>
          <w:sz w:val="24"/>
          <w:szCs w:val="24"/>
          <w:highlight w:val="none"/>
        </w:rPr>
      </w:pPr>
      <w:r>
        <w:rPr>
          <w:rFonts w:ascii="黑体" w:eastAsia="黑体"/>
          <w:bCs/>
          <w:color w:val="auto"/>
          <w:sz w:val="24"/>
          <w:szCs w:val="24"/>
          <w:highlight w:val="none"/>
        </w:rPr>
        <w:t xml:space="preserve">采购包</w:t>
      </w:r>
      <w:r>
        <w:rPr>
          <w:rFonts w:hint="eastAsia" w:ascii="黑体" w:eastAsia="黑体"/>
          <w:bCs/>
          <w:color w:val="auto"/>
          <w:sz w:val="24"/>
          <w:szCs w:val="24"/>
          <w:highlight w:val="none"/>
        </w:rPr>
        <w:t xml:space="preserve">1：</w:t>
      </w:r>
      <w:r>
        <w:rPr>
          <w:rFonts w:ascii="黑体" w:eastAsia="黑体"/>
          <w:bCs/>
          <w:color w:val="auto"/>
          <w:sz w:val="24"/>
          <w:szCs w:val="24"/>
          <w:highlight w:val="none"/>
        </w:rPr>
        <w:t xml:space="preserve"> </w:t>
      </w:r>
      <w:r>
        <w:rPr>
          <w:color w:val="auto"/>
          <w:highlight w:val="none"/>
        </w:rPr>
      </w:r>
      <w:r>
        <w:rPr>
          <w:color w:val="auto"/>
          <w:highlight w:val="none"/>
        </w:rP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08"/>
              <w:jc w:val="center"/>
              <w:rPr>
                <w:rFonts w:ascii="宋体"/>
                <w:b/>
                <w:bCs/>
                <w:color w:val="auto"/>
                <w:sz w:val="24"/>
                <w:szCs w:val="24"/>
                <w:highlight w:val="none"/>
              </w:rPr>
            </w:pPr>
            <w:r>
              <w:rPr>
                <w:rFonts w:hint="eastAsia" w:ascii="宋体" w:hAnsi="宋体"/>
                <w:b/>
                <w:bCs/>
                <w:color w:val="auto"/>
                <w:sz w:val="24"/>
                <w:szCs w:val="24"/>
                <w:highlight w:val="none"/>
              </w:rPr>
              <w:t xml:space="preserve">内容名称</w:t>
            </w:r>
            <w:r>
              <w:rPr>
                <w:color w:val="auto"/>
                <w:highlight w:val="none"/>
              </w:rPr>
            </w:r>
            <w:r>
              <w:rPr>
                <w:color w:val="auto"/>
                <w:highlight w:val="none"/>
              </w:rPr>
            </w:r>
          </w:p>
        </w:tc>
        <w:tc>
          <w:tcPr>
            <w:tcW w:w="3188" w:type="dxa"/>
            <w:vAlign w:val="center"/>
            <w:textDirection w:val="lrTb"/>
            <w:noWrap w:val="false"/>
          </w:tcPr>
          <w:p>
            <w:pPr>
              <w:pStyle w:val="808"/>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rPr>
                <w:color w:val="auto"/>
                <w:highlight w:val="none"/>
              </w:rPr>
            </w:r>
            <w:r>
              <w:rPr>
                <w:color w:val="auto"/>
                <w:highlight w:val="none"/>
              </w:rPr>
            </w:r>
          </w:p>
        </w:tc>
      </w:tr>
      <w:tr>
        <w:trPr>
          <w:cantSplit/>
          <w:trHeight w:val="1630"/>
        </w:trPr>
        <w:tc>
          <w:tcPr>
            <w:tcW w:w="5697" w:type="dxa"/>
            <w:vAlign w:val="center"/>
            <w:textDirection w:val="lrTb"/>
            <w:noWrap w:val="false"/>
          </w:tcPr>
          <w:p>
            <w:pPr>
              <w:pStyle w:val="922"/>
              <w:jc w:val="center"/>
              <w:spacing w:line="400" w:lineRule="exact"/>
              <w:rPr>
                <w:rFonts w:hAnsi="宋体"/>
                <w:bCs/>
                <w:color w:val="auto"/>
                <w:szCs w:val="24"/>
                <w:highlight w:val="none"/>
              </w:rPr>
            </w:pPr>
            <w:r>
              <w:rPr>
                <w:rFonts w:hint="eastAsia" w:hAnsi="宋体"/>
                <w:bCs/>
                <w:color w:val="auto"/>
                <w:szCs w:val="24"/>
                <w:highlight w:val="none"/>
              </w:rPr>
              <w:t xml:space="preserve"> </w:t>
            </w:r>
            <w:r>
              <w:rPr>
                <w:rFonts w:hint="eastAsia" w:ascii="黑体" w:eastAsia="黑体"/>
                <w:bCs/>
                <w:color w:val="auto"/>
                <w:szCs w:val="24"/>
                <w:highlight w:val="none"/>
              </w:rPr>
              <w:t xml:space="preserve">“感知环境、智慧环保”无锡环境监控物联网应用示范工程软件运行维护服务（2024年—2025年）</w:t>
            </w:r>
            <w:r>
              <w:rPr>
                <w:color w:val="auto"/>
                <w:highlight w:val="none"/>
              </w:rPr>
            </w:r>
            <w:r>
              <w:rPr>
                <w:color w:val="auto"/>
                <w:highlight w:val="none"/>
              </w:rPr>
            </w:r>
          </w:p>
        </w:tc>
        <w:tc>
          <w:tcPr>
            <w:tcW w:w="3188" w:type="dxa"/>
            <w:vAlign w:val="center"/>
            <w:textDirection w:val="lrTb"/>
            <w:noWrap w:val="false"/>
          </w:tcPr>
          <w:p>
            <w:pPr>
              <w:pStyle w:val="922"/>
              <w:rPr>
                <w:rFonts w:hAnsi="宋体"/>
                <w:b/>
                <w:color w:val="auto"/>
                <w:szCs w:val="24"/>
                <w:highlight w:val="none"/>
              </w:rPr>
            </w:pPr>
            <w:r>
              <w:rPr>
                <w:rFonts w:hAnsi="宋体"/>
                <w:b/>
                <w:color w:val="auto"/>
                <w:szCs w:val="24"/>
                <w:highlight w:val="none"/>
              </w:rPr>
            </w:r>
            <w:r>
              <w:rPr>
                <w:color w:val="auto"/>
                <w:highlight w:val="none"/>
              </w:rPr>
            </w:r>
            <w:r>
              <w:rPr>
                <w:color w:val="auto"/>
                <w:highlight w:val="none"/>
              </w:rPr>
            </w:r>
          </w:p>
        </w:tc>
      </w:tr>
      <w:tr>
        <w:trPr>
          <w:cantSplit/>
          <w:trHeight w:val="780"/>
        </w:trPr>
        <w:tc>
          <w:tcPr>
            <w:gridSpan w:val="2"/>
            <w:tcW w:w="8885" w:type="dxa"/>
            <w:vAlign w:val="center"/>
            <w:textDirection w:val="lrTb"/>
            <w:noWrap w:val="false"/>
          </w:tcPr>
          <w:p>
            <w:pPr>
              <w:pStyle w:val="808"/>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rPr>
                <w:color w:val="auto"/>
                <w:highlight w:val="none"/>
              </w:rPr>
            </w:r>
            <w:r>
              <w:rPr>
                <w:color w:val="auto"/>
                <w:highlight w:val="none"/>
              </w:rPr>
            </w:r>
          </w:p>
        </w:tc>
      </w:tr>
    </w:tbl>
    <w:p>
      <w:pPr>
        <w:pStyle w:val="808"/>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rPr>
          <w:color w:val="auto"/>
          <w:highlight w:val="none"/>
        </w:rPr>
      </w:r>
      <w:r>
        <w:rPr>
          <w:color w:val="auto"/>
          <w:highlight w:val="none"/>
        </w:rPr>
      </w:r>
    </w:p>
    <w:p>
      <w:pPr>
        <w:pStyle w:val="808"/>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r>
        <w:rPr>
          <w:color w:val="auto"/>
          <w:highlight w:val="none"/>
        </w:rPr>
      </w:r>
    </w:p>
    <w:p>
      <w:pPr>
        <w:pStyle w:val="808"/>
        <w:numPr>
          <w:ilvl w:val="0"/>
          <w:numId w:val="17"/>
        </w:numPr>
        <w:ind w:left="0" w:firstLine="0"/>
        <w:spacing w:line="400" w:lineRule="exact"/>
        <w:rPr>
          <w:rFonts w:hint="eastAsia" w:ascii="黑体" w:eastAsia="黑体"/>
          <w:bCs/>
          <w:color w:val="auto"/>
          <w:sz w:val="24"/>
          <w:szCs w:val="24"/>
          <w:highlight w:val="none"/>
        </w:rPr>
      </w:pPr>
      <w:r>
        <w:rPr>
          <w:rFonts w:ascii="黑体" w:eastAsia="黑体"/>
          <w:bCs/>
          <w:color w:val="auto"/>
          <w:sz w:val="24"/>
          <w:szCs w:val="24"/>
          <w:highlight w:val="none"/>
        </w:rPr>
        <w:t xml:space="preserve">采购包</w:t>
      </w:r>
      <w:r>
        <w:rPr>
          <w:rFonts w:hint="eastAsia" w:ascii="黑体" w:eastAsia="黑体"/>
          <w:bCs/>
          <w:color w:val="auto"/>
          <w:sz w:val="24"/>
          <w:szCs w:val="24"/>
          <w:highlight w:val="none"/>
        </w:rPr>
        <w:t xml:space="preserve">2：</w:t>
      </w:r>
      <w:r>
        <w:rPr>
          <w:rFonts w:ascii="黑体" w:eastAsia="黑体"/>
          <w:bCs/>
          <w:color w:val="auto"/>
          <w:sz w:val="24"/>
          <w:szCs w:val="24"/>
          <w:highlight w:val="none"/>
        </w:rPr>
        <w:t xml:space="preserve"> </w:t>
      </w:r>
      <w:r>
        <w:rPr>
          <w:color w:val="auto"/>
          <w:highlight w:val="none"/>
        </w:rPr>
      </w:r>
      <w:r>
        <w:rPr>
          <w:color w:val="auto"/>
          <w:highlight w:val="none"/>
        </w:rP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08"/>
              <w:jc w:val="center"/>
              <w:rPr>
                <w:rFonts w:ascii="宋体"/>
                <w:b/>
                <w:bCs/>
                <w:color w:val="auto"/>
                <w:sz w:val="24"/>
                <w:szCs w:val="24"/>
                <w:highlight w:val="none"/>
              </w:rPr>
            </w:pPr>
            <w:r>
              <w:rPr>
                <w:rFonts w:hint="eastAsia" w:ascii="宋体" w:hAnsi="宋体"/>
                <w:b/>
                <w:bCs/>
                <w:color w:val="auto"/>
                <w:sz w:val="24"/>
                <w:szCs w:val="24"/>
                <w:highlight w:val="none"/>
              </w:rPr>
              <w:t xml:space="preserve">内容名称</w:t>
            </w:r>
            <w:r>
              <w:rPr>
                <w:color w:val="auto"/>
                <w:highlight w:val="none"/>
              </w:rPr>
            </w:r>
            <w:r>
              <w:rPr>
                <w:color w:val="auto"/>
                <w:highlight w:val="none"/>
              </w:rPr>
            </w:r>
          </w:p>
        </w:tc>
        <w:tc>
          <w:tcPr>
            <w:tcW w:w="3188" w:type="dxa"/>
            <w:vAlign w:val="center"/>
            <w:textDirection w:val="lrTb"/>
            <w:noWrap w:val="false"/>
          </w:tcPr>
          <w:p>
            <w:pPr>
              <w:pStyle w:val="808"/>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rPr>
                <w:color w:val="auto"/>
                <w:highlight w:val="none"/>
              </w:rPr>
            </w:r>
            <w:r>
              <w:rPr>
                <w:color w:val="auto"/>
                <w:highlight w:val="none"/>
              </w:rPr>
            </w:r>
          </w:p>
        </w:tc>
      </w:tr>
      <w:tr>
        <w:trPr>
          <w:cantSplit/>
          <w:trHeight w:val="1630"/>
        </w:trPr>
        <w:tc>
          <w:tcPr>
            <w:tcW w:w="5697" w:type="dxa"/>
            <w:vAlign w:val="center"/>
            <w:textDirection w:val="lrTb"/>
            <w:noWrap w:val="false"/>
          </w:tcPr>
          <w:p>
            <w:pPr>
              <w:pStyle w:val="922"/>
              <w:jc w:val="center"/>
              <w:spacing w:line="400" w:lineRule="exact"/>
              <w:rPr>
                <w:rFonts w:hAnsi="宋体"/>
                <w:bCs/>
                <w:color w:val="auto"/>
                <w:szCs w:val="24"/>
                <w:highlight w:val="none"/>
              </w:rPr>
            </w:pPr>
            <w:r>
              <w:rPr>
                <w:rFonts w:hint="eastAsia" w:hAnsi="宋体"/>
                <w:bCs/>
                <w:color w:val="auto"/>
                <w:szCs w:val="24"/>
                <w:highlight w:val="none"/>
              </w:rPr>
              <w:t xml:space="preserve"> </w:t>
            </w:r>
            <w:r>
              <w:rPr>
                <w:rFonts w:hint="eastAsia" w:ascii="黑体" w:eastAsia="黑体"/>
                <w:bCs/>
                <w:color w:val="auto"/>
                <w:szCs w:val="24"/>
                <w:highlight w:val="none"/>
              </w:rPr>
              <w:t xml:space="preserve">“感知环境、智慧环保”无锡环境监控物联网应用示范工程硬件运行维护服务（2024年—2025年）</w:t>
            </w:r>
            <w:r>
              <w:rPr>
                <w:color w:val="auto"/>
                <w:highlight w:val="none"/>
              </w:rPr>
            </w:r>
            <w:r>
              <w:rPr>
                <w:color w:val="auto"/>
                <w:highlight w:val="none"/>
              </w:rPr>
            </w:r>
          </w:p>
        </w:tc>
        <w:tc>
          <w:tcPr>
            <w:tcW w:w="3188" w:type="dxa"/>
            <w:vAlign w:val="center"/>
            <w:textDirection w:val="lrTb"/>
            <w:noWrap w:val="false"/>
          </w:tcPr>
          <w:p>
            <w:pPr>
              <w:pStyle w:val="922"/>
              <w:rPr>
                <w:rFonts w:hAnsi="宋体"/>
                <w:b/>
                <w:color w:val="auto"/>
                <w:szCs w:val="24"/>
                <w:highlight w:val="none"/>
              </w:rPr>
            </w:pPr>
            <w:r>
              <w:rPr>
                <w:rFonts w:hAnsi="宋体"/>
                <w:b/>
                <w:color w:val="auto"/>
                <w:szCs w:val="24"/>
                <w:highlight w:val="none"/>
              </w:rPr>
            </w:r>
            <w:r>
              <w:rPr>
                <w:color w:val="auto"/>
                <w:highlight w:val="none"/>
              </w:rPr>
            </w:r>
            <w:r>
              <w:rPr>
                <w:color w:val="auto"/>
                <w:highlight w:val="none"/>
              </w:rPr>
            </w:r>
          </w:p>
        </w:tc>
      </w:tr>
      <w:tr>
        <w:trPr>
          <w:cantSplit/>
          <w:trHeight w:val="780"/>
        </w:trPr>
        <w:tc>
          <w:tcPr>
            <w:gridSpan w:val="2"/>
            <w:tcW w:w="8885" w:type="dxa"/>
            <w:vAlign w:val="center"/>
            <w:textDirection w:val="lrTb"/>
            <w:noWrap w:val="false"/>
          </w:tcPr>
          <w:p>
            <w:pPr>
              <w:pStyle w:val="808"/>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rPr>
                <w:color w:val="auto"/>
                <w:highlight w:val="none"/>
              </w:rPr>
            </w:r>
            <w:r>
              <w:rPr>
                <w:color w:val="auto"/>
                <w:highlight w:val="none"/>
              </w:rPr>
            </w:r>
          </w:p>
        </w:tc>
      </w:tr>
    </w:tbl>
    <w:p>
      <w:pPr>
        <w:pStyle w:val="808"/>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rPr>
          <w:color w:val="auto"/>
          <w:highlight w:val="none"/>
        </w:rPr>
      </w:r>
      <w:r>
        <w:rPr>
          <w:color w:val="auto"/>
          <w:highlight w:val="none"/>
        </w:rPr>
      </w:r>
    </w:p>
    <w:p>
      <w:pPr>
        <w:pStyle w:val="808"/>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r>
        <w:rPr>
          <w:color w:val="auto"/>
          <w:highlight w:val="none"/>
        </w:rPr>
      </w:r>
    </w:p>
    <w:p>
      <w:pPr>
        <w:pStyle w:val="808"/>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r>
        <w:rPr>
          <w:color w:val="auto"/>
          <w:highlight w:val="none"/>
        </w:rPr>
      </w:r>
    </w:p>
    <w:p>
      <w:pPr>
        <w:pStyle w:val="808"/>
        <w:spacing w:line="400" w:lineRule="exact"/>
        <w:rPr>
          <w:rFonts w:hint="eastAsia" w:ascii="黑体" w:eastAsia="黑体"/>
          <w:bCs/>
          <w:color w:val="auto"/>
          <w:sz w:val="24"/>
          <w:szCs w:val="24"/>
          <w:highlight w:val="none"/>
        </w:rPr>
      </w:pPr>
      <w:r>
        <w:rPr>
          <w:rFonts w:hint="eastAsia" w:ascii="宋体" w:hAnsi="宋体"/>
          <w:bCs/>
          <w:color w:val="auto"/>
          <w:sz w:val="24"/>
          <w:szCs w:val="24"/>
          <w:highlight w:val="none"/>
        </w:rPr>
        <w:t xml:space="preserve">注：投标人按自身所投的采购包进行填报。</w:t>
      </w:r>
      <w:r>
        <w:rPr>
          <w:color w:val="auto"/>
          <w:highlight w:val="none"/>
        </w:rPr>
      </w:r>
      <w:r>
        <w:rPr>
          <w:color w:val="auto"/>
          <w:highlight w:val="none"/>
        </w:rPr>
      </w:r>
    </w:p>
    <w:p>
      <w:pPr>
        <w:pStyle w:val="808"/>
        <w:spacing w:line="360" w:lineRule="auto"/>
        <w:rPr>
          <w:rFonts w:hint="eastAsia"/>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rPr>
          <w:color w:val="auto"/>
          <w:highlight w:val="none"/>
        </w:rPr>
      </w:r>
      <w:r>
        <w:rPr>
          <w:color w:val="auto"/>
          <w:highlight w:val="none"/>
        </w:rPr>
      </w:r>
    </w:p>
    <w:p>
      <w:pPr>
        <w:pStyle w:val="808"/>
        <w:spacing w:line="360" w:lineRule="auto"/>
        <w:rPr>
          <w:rFonts w:hint="eastAsia"/>
          <w:b/>
          <w:color w:val="auto"/>
          <w:sz w:val="30"/>
          <w:szCs w:val="30"/>
          <w:highlight w:val="none"/>
        </w:rPr>
      </w:pPr>
      <w:r>
        <w:rPr>
          <w:rFonts w:hint="eastAsia"/>
          <w:b/>
          <w:color w:val="auto"/>
          <w:sz w:val="30"/>
          <w:szCs w:val="30"/>
          <w:highlight w:val="none"/>
        </w:rPr>
      </w:r>
      <w:r>
        <w:rPr>
          <w:color w:val="auto"/>
          <w:highlight w:val="none"/>
        </w:rPr>
      </w:r>
      <w:r>
        <w:rPr>
          <w:color w:val="auto"/>
          <w:highlight w:val="none"/>
        </w:rPr>
      </w:r>
    </w:p>
    <w:p>
      <w:pPr>
        <w:pStyle w:val="808"/>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分项报价表</w:t>
      </w:r>
      <w:r>
        <w:rPr>
          <w:color w:val="auto"/>
          <w:highlight w:val="none"/>
        </w:rPr>
      </w:r>
      <w:r>
        <w:rPr>
          <w:color w:val="auto"/>
          <w:highlight w:val="none"/>
        </w:rPr>
      </w:r>
    </w:p>
    <w:p>
      <w:pPr>
        <w:pStyle w:val="808"/>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JSZC-320200-JZCG-G2024-0086</w:t>
      </w:r>
      <w:r>
        <w:rPr>
          <w:color w:val="auto"/>
          <w:highlight w:val="none"/>
        </w:rPr>
      </w:r>
      <w:r>
        <w:rPr>
          <w:color w:val="auto"/>
          <w:highlight w:val="none"/>
        </w:rP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808"/>
              <w:jc w:val="center"/>
              <w:spacing w:before="5"/>
              <w:rPr>
                <w:color w:val="auto"/>
                <w:sz w:val="18"/>
                <w:highlight w:val="none"/>
              </w:rPr>
            </w:pPr>
            <w:r>
              <w:rPr>
                <w:rFonts w:hint="eastAsia"/>
                <w:color w:val="auto"/>
                <w:sz w:val="18"/>
                <w:highlight w:val="none"/>
              </w:rPr>
              <w:t xml:space="preserve">序号</w:t>
            </w:r>
            <w:r>
              <w:rPr>
                <w:color w:val="auto"/>
                <w:highlight w:val="none"/>
              </w:rPr>
            </w:r>
            <w:r>
              <w:rPr>
                <w:color w:val="auto"/>
                <w:highlight w:val="none"/>
              </w:rPr>
            </w:r>
          </w:p>
        </w:tc>
        <w:tc>
          <w:tcPr>
            <w:tcMar>
              <w:left w:w="15" w:type="dxa"/>
              <w:top w:w="15" w:type="dxa"/>
              <w:right w:w="15" w:type="dxa"/>
              <w:bottom w:w="0" w:type="dxa"/>
            </w:tcMar>
            <w:tcW w:w="4930" w:type="dxa"/>
            <w:vAlign w:val="center"/>
            <w:textDirection w:val="lrTb"/>
            <w:noWrap/>
          </w:tcPr>
          <w:p>
            <w:pPr>
              <w:pStyle w:val="808"/>
              <w:jc w:val="center"/>
              <w:spacing w:before="5"/>
              <w:rPr>
                <w:color w:val="auto"/>
                <w:sz w:val="18"/>
                <w:highlight w:val="none"/>
              </w:rPr>
            </w:pPr>
            <w:r>
              <w:rPr>
                <w:color w:val="auto"/>
                <w:sz w:val="18"/>
                <w:highlight w:val="none"/>
              </w:rPr>
              <w:t xml:space="preserve">服务内容</w:t>
            </w:r>
            <w:r>
              <w:rPr>
                <w:color w:val="auto"/>
                <w:highlight w:val="none"/>
              </w:rPr>
            </w:r>
            <w:r>
              <w:rPr>
                <w:color w:val="auto"/>
                <w:highlight w:val="none"/>
              </w:rPr>
            </w:r>
          </w:p>
        </w:tc>
        <w:tc>
          <w:tcPr>
            <w:tcW w:w="851" w:type="dxa"/>
            <w:vAlign w:val="center"/>
            <w:textDirection w:val="lrTb"/>
            <w:noWrap w:val="false"/>
          </w:tcPr>
          <w:p>
            <w:pPr>
              <w:pStyle w:val="808"/>
              <w:jc w:val="center"/>
              <w:spacing w:before="5"/>
              <w:rPr>
                <w:color w:val="auto"/>
                <w:sz w:val="18"/>
                <w:highlight w:val="none"/>
              </w:rPr>
            </w:pPr>
            <w:r>
              <w:rPr>
                <w:rFonts w:hint="eastAsia"/>
                <w:color w:val="auto"/>
                <w:sz w:val="18"/>
                <w:highlight w:val="none"/>
              </w:rPr>
              <w:t xml:space="preserve">数量</w:t>
            </w:r>
            <w:r>
              <w:rPr>
                <w:color w:val="auto"/>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808"/>
              <w:jc w:val="center"/>
              <w:spacing w:before="5"/>
              <w:rPr>
                <w:color w:val="auto"/>
                <w:sz w:val="18"/>
                <w:highlight w:val="none"/>
              </w:rPr>
            </w:pPr>
            <w:r>
              <w:rPr>
                <w:rFonts w:hint="eastAsia"/>
                <w:color w:val="auto"/>
                <w:sz w:val="18"/>
                <w:highlight w:val="none"/>
              </w:rPr>
              <w:t xml:space="preserve">单位</w:t>
            </w:r>
            <w:r>
              <w:rPr>
                <w:color w:val="auto"/>
                <w:highlight w:val="none"/>
              </w:rPr>
            </w:r>
            <w:r>
              <w:rPr>
                <w:color w:val="auto"/>
                <w:highlight w:val="none"/>
              </w:rPr>
            </w:r>
          </w:p>
        </w:tc>
        <w:tc>
          <w:tcPr>
            <w:tcW w:w="1134" w:type="dxa"/>
            <w:vAlign w:val="center"/>
            <w:textDirection w:val="lrTb"/>
            <w:noWrap w:val="false"/>
          </w:tcPr>
          <w:p>
            <w:pPr>
              <w:pStyle w:val="808"/>
              <w:jc w:val="center"/>
              <w:spacing w:before="5"/>
              <w:rPr>
                <w:color w:val="auto"/>
                <w:sz w:val="18"/>
                <w:highlight w:val="none"/>
              </w:rPr>
            </w:pPr>
            <w:r>
              <w:rPr>
                <w:rFonts w:hint="eastAsia"/>
                <w:color w:val="auto"/>
                <w:sz w:val="18"/>
                <w:highlight w:val="none"/>
              </w:rPr>
              <w:t xml:space="preserve">单报价</w:t>
            </w:r>
            <w:r>
              <w:rPr>
                <w:color w:val="auto"/>
                <w:highlight w:val="none"/>
              </w:rPr>
            </w:r>
            <w:r>
              <w:rPr>
                <w:color w:val="auto"/>
                <w:highlight w:val="none"/>
              </w:rPr>
            </w:r>
          </w:p>
        </w:tc>
        <w:tc>
          <w:tcPr>
            <w:tcW w:w="1276" w:type="dxa"/>
            <w:vAlign w:val="center"/>
            <w:textDirection w:val="lrTb"/>
            <w:noWrap w:val="false"/>
          </w:tcPr>
          <w:p>
            <w:pPr>
              <w:pStyle w:val="808"/>
              <w:jc w:val="center"/>
              <w:spacing w:before="5"/>
              <w:rPr>
                <w:color w:val="auto"/>
                <w:sz w:val="18"/>
                <w:highlight w:val="none"/>
              </w:rPr>
            </w:pPr>
            <w:r>
              <w:rPr>
                <w:rFonts w:hint="eastAsia"/>
                <w:color w:val="auto"/>
                <w:sz w:val="18"/>
                <w:highlight w:val="none"/>
              </w:rPr>
              <w:t xml:space="preserve">分项总报价</w:t>
            </w:r>
            <w:r>
              <w:rPr>
                <w:color w:val="auto"/>
                <w:highlight w:val="none"/>
              </w:rPr>
            </w:r>
            <w:r>
              <w:rPr>
                <w:color w:val="auto"/>
                <w:highlight w:val="none"/>
              </w:rPr>
            </w:r>
          </w:p>
        </w:tc>
      </w:tr>
      <w:tr>
        <w:trPr>
          <w:cantSplit/>
          <w:trHeight w:val="717"/>
        </w:trPr>
        <w:tc>
          <w:tcPr>
            <w:tcMar>
              <w:left w:w="15" w:type="dxa"/>
              <w:top w:w="15" w:type="dxa"/>
              <w:right w:w="15" w:type="dxa"/>
              <w:bottom w:w="0" w:type="dxa"/>
            </w:tcMar>
            <w:tcW w:w="420" w:type="dxa"/>
            <w:vAlign w:val="center"/>
            <w:textDirection w:val="lrTb"/>
            <w:noWrap/>
          </w:tcPr>
          <w:p>
            <w:pPr>
              <w:pStyle w:val="858"/>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rPr>
                <w:color w:val="auto"/>
                <w:highlight w:val="none"/>
              </w:rPr>
            </w:r>
            <w:r>
              <w:rPr>
                <w:color w:val="auto"/>
                <w:highlight w:val="none"/>
              </w:rPr>
            </w:r>
          </w:p>
        </w:tc>
        <w:tc>
          <w:tcPr>
            <w:tcMar>
              <w:left w:w="15" w:type="dxa"/>
              <w:top w:w="15" w:type="dxa"/>
              <w:right w:w="15" w:type="dxa"/>
              <w:bottom w:w="0" w:type="dxa"/>
            </w:tcMar>
            <w:tcW w:w="4930" w:type="dxa"/>
            <w:vAlign w:val="center"/>
            <w:textDirection w:val="lrTb"/>
            <w:noWrap/>
          </w:tcPr>
          <w:p>
            <w:pPr>
              <w:pStyle w:val="808"/>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color w:val="auto"/>
                <w:highlight w:val="none"/>
              </w:rPr>
            </w:r>
            <w:r>
              <w:rPr>
                <w:color w:val="auto"/>
                <w:highlight w:val="none"/>
              </w:rPr>
            </w:r>
          </w:p>
        </w:tc>
        <w:tc>
          <w:tcPr>
            <w:tcW w:w="851" w:type="dxa"/>
            <w:vAlign w:val="center"/>
            <w:textDirection w:val="lrTb"/>
            <w:noWrap w:val="false"/>
          </w:tcPr>
          <w:p>
            <w:pPr>
              <w:pStyle w:val="808"/>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808"/>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color w:val="auto"/>
                <w:highlight w:val="none"/>
              </w:rPr>
            </w:r>
            <w:r>
              <w:rPr>
                <w:color w:val="auto"/>
                <w:highlight w:val="none"/>
              </w:rPr>
            </w:r>
          </w:p>
        </w:tc>
        <w:tc>
          <w:tcPr>
            <w:tcW w:w="1134" w:type="dxa"/>
            <w:vAlign w:val="center"/>
            <w:textDirection w:val="lrTb"/>
            <w:noWrap w:val="false"/>
          </w:tcPr>
          <w:p>
            <w:pPr>
              <w:pStyle w:val="808"/>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r>
              <w:rPr>
                <w:color w:val="auto"/>
                <w:highlight w:val="none"/>
              </w:rPr>
            </w:r>
          </w:p>
        </w:tc>
        <w:tc>
          <w:tcPr>
            <w:tcW w:w="1276" w:type="dxa"/>
            <w:vAlign w:val="center"/>
            <w:textDirection w:val="lrTb"/>
            <w:noWrap w:val="false"/>
          </w:tcPr>
          <w:p>
            <w:pPr>
              <w:pStyle w:val="808"/>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r>
              <w:rPr>
                <w:color w:val="auto"/>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808"/>
              <w:jc w:val="center"/>
              <w:rPr>
                <w:rFonts w:ascii="宋体"/>
                <w:color w:val="auto"/>
                <w:sz w:val="18"/>
                <w:highlight w:val="none"/>
              </w:rPr>
            </w:pPr>
            <w:r>
              <w:rPr>
                <w:rFonts w:hint="eastAsia" w:ascii="宋体"/>
                <w:color w:val="auto"/>
                <w:sz w:val="18"/>
                <w:highlight w:val="none"/>
              </w:rPr>
              <w:t xml:space="preserve">2</w:t>
            </w:r>
            <w:r>
              <w:rPr>
                <w:color w:val="auto"/>
                <w:highlight w:val="none"/>
              </w:rPr>
            </w:r>
            <w:r>
              <w:rPr>
                <w:color w:val="auto"/>
                <w:highlight w:val="none"/>
              </w:rPr>
            </w:r>
          </w:p>
        </w:tc>
        <w:tc>
          <w:tcPr>
            <w:tcMar>
              <w:left w:w="15" w:type="dxa"/>
              <w:top w:w="15" w:type="dxa"/>
              <w:right w:w="15" w:type="dxa"/>
              <w:bottom w:w="0" w:type="dxa"/>
            </w:tcMar>
            <w:tcW w:w="4930" w:type="dxa"/>
            <w:vAlign w:val="center"/>
            <w:textDirection w:val="lrTb"/>
            <w:noWrap/>
          </w:tcPr>
          <w:p>
            <w:pPr>
              <w:pStyle w:val="808"/>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color w:val="auto"/>
                <w:highlight w:val="none"/>
              </w:rPr>
            </w:r>
            <w:r>
              <w:rPr>
                <w:color w:val="auto"/>
                <w:highlight w:val="none"/>
              </w:rPr>
            </w:r>
          </w:p>
        </w:tc>
        <w:tc>
          <w:tcPr>
            <w:tcW w:w="851" w:type="dxa"/>
            <w:vAlign w:val="center"/>
            <w:textDirection w:val="lrTb"/>
            <w:noWrap w:val="false"/>
          </w:tcPr>
          <w:p>
            <w:pPr>
              <w:pStyle w:val="808"/>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808"/>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color w:val="auto"/>
                <w:highlight w:val="none"/>
              </w:rPr>
            </w:r>
            <w:r>
              <w:rPr>
                <w:color w:val="auto"/>
                <w:highlight w:val="none"/>
              </w:rPr>
            </w:r>
          </w:p>
        </w:tc>
        <w:tc>
          <w:tcPr>
            <w:tcW w:w="1134" w:type="dxa"/>
            <w:vAlign w:val="center"/>
            <w:textDirection w:val="lrTb"/>
            <w:noWrap w:val="false"/>
          </w:tcPr>
          <w:p>
            <w:pPr>
              <w:pStyle w:val="808"/>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r>
              <w:rPr>
                <w:color w:val="auto"/>
                <w:highlight w:val="none"/>
              </w:rPr>
            </w:r>
          </w:p>
        </w:tc>
        <w:tc>
          <w:tcPr>
            <w:tcW w:w="1276" w:type="dxa"/>
            <w:vAlign w:val="center"/>
            <w:textDirection w:val="lrTb"/>
            <w:noWrap w:val="false"/>
          </w:tcPr>
          <w:p>
            <w:pPr>
              <w:pStyle w:val="808"/>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r>
              <w:rPr>
                <w:color w:val="auto"/>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808"/>
              <w:jc w:val="center"/>
              <w:rPr>
                <w:rFonts w:ascii="宋体"/>
                <w:color w:val="auto"/>
                <w:sz w:val="18"/>
                <w:highlight w:val="none"/>
              </w:rPr>
            </w:pPr>
            <w:r>
              <w:rPr>
                <w:rFonts w:ascii="宋体"/>
                <w:color w:val="auto"/>
                <w:sz w:val="18"/>
                <w:highlight w:val="none"/>
              </w:rPr>
            </w:r>
            <w:r>
              <w:rPr>
                <w:color w:val="auto"/>
                <w:highlight w:val="none"/>
              </w:rPr>
            </w:r>
            <w:r>
              <w:rPr>
                <w:color w:val="auto"/>
                <w:highlight w:val="none"/>
              </w:rPr>
            </w:r>
          </w:p>
        </w:tc>
        <w:tc>
          <w:tcPr>
            <w:tcMar>
              <w:left w:w="15" w:type="dxa"/>
              <w:top w:w="15" w:type="dxa"/>
              <w:right w:w="15" w:type="dxa"/>
              <w:bottom w:w="0" w:type="dxa"/>
            </w:tcMar>
            <w:tcW w:w="4930" w:type="dxa"/>
            <w:vAlign w:val="center"/>
            <w:textDirection w:val="lrTb"/>
            <w:noWrap/>
          </w:tcPr>
          <w:p>
            <w:pPr>
              <w:pStyle w:val="808"/>
              <w:jc w:val="center"/>
              <w:rPr>
                <w:rFonts w:hint="eastAsia" w:ascii="黑体" w:eastAsia="黑体"/>
                <w:b/>
                <w:bCs/>
                <w:color w:val="auto"/>
                <w:highlight w:val="none"/>
              </w:rPr>
            </w:pPr>
            <w:r>
              <w:rPr>
                <w:rFonts w:ascii="黑体" w:eastAsia="黑体"/>
                <w:b/>
                <w:bCs/>
                <w:color w:val="auto"/>
                <w:highlight w:val="none"/>
              </w:rPr>
              <w:t xml:space="preserve">……</w:t>
            </w:r>
            <w:r>
              <w:rPr>
                <w:color w:val="auto"/>
                <w:highlight w:val="none"/>
              </w:rPr>
            </w:r>
            <w:r>
              <w:rPr>
                <w:color w:val="auto"/>
                <w:highlight w:val="none"/>
              </w:rPr>
            </w:r>
          </w:p>
        </w:tc>
        <w:tc>
          <w:tcPr>
            <w:tcW w:w="851" w:type="dxa"/>
            <w:vAlign w:val="center"/>
            <w:textDirection w:val="lrTb"/>
            <w:noWrap w:val="false"/>
          </w:tcPr>
          <w:p>
            <w:pPr>
              <w:pStyle w:val="808"/>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808"/>
              <w:jc w:val="center"/>
              <w:rPr>
                <w:rFonts w:hint="eastAsia" w:ascii="黑体" w:eastAsia="黑体"/>
                <w:b/>
                <w:bCs/>
                <w:color w:val="auto"/>
                <w:highlight w:val="none"/>
              </w:rPr>
            </w:pPr>
            <w:r>
              <w:rPr>
                <w:rFonts w:hint="eastAsia" w:ascii="黑体" w:eastAsia="黑体"/>
                <w:b/>
                <w:bCs/>
                <w:color w:val="auto"/>
                <w:highlight w:val="none"/>
              </w:rPr>
            </w:r>
            <w:r>
              <w:rPr>
                <w:color w:val="auto"/>
                <w:highlight w:val="none"/>
              </w:rPr>
            </w:r>
            <w:r>
              <w:rPr>
                <w:color w:val="auto"/>
                <w:highlight w:val="none"/>
              </w:rPr>
            </w:r>
          </w:p>
        </w:tc>
        <w:tc>
          <w:tcPr>
            <w:tcW w:w="1134" w:type="dxa"/>
            <w:vAlign w:val="center"/>
            <w:textDirection w:val="lrTb"/>
            <w:noWrap w:val="false"/>
          </w:tcPr>
          <w:p>
            <w:pPr>
              <w:pStyle w:val="808"/>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r>
              <w:rPr>
                <w:color w:val="auto"/>
                <w:highlight w:val="none"/>
              </w:rPr>
            </w:r>
          </w:p>
        </w:tc>
        <w:tc>
          <w:tcPr>
            <w:tcW w:w="1276" w:type="dxa"/>
            <w:vAlign w:val="center"/>
            <w:textDirection w:val="lrTb"/>
            <w:noWrap w:val="false"/>
          </w:tcPr>
          <w:p>
            <w:pPr>
              <w:pStyle w:val="808"/>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r>
              <w:rPr>
                <w:color w:val="auto"/>
                <w:highlight w:val="none"/>
              </w:rPr>
            </w:r>
          </w:p>
        </w:tc>
      </w:tr>
    </w:tbl>
    <w:p>
      <w:pPr>
        <w:pStyle w:val="808"/>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rPr>
          <w:color w:val="auto"/>
          <w:highlight w:val="none"/>
        </w:rPr>
      </w:r>
      <w:r>
        <w:rPr>
          <w:color w:val="auto"/>
          <w:highlight w:val="none"/>
        </w:rPr>
      </w:r>
    </w:p>
    <w:p>
      <w:pPr>
        <w:pStyle w:val="808"/>
        <w:spacing w:line="400" w:lineRule="exact"/>
        <w:rPr>
          <w:rFonts w:hint="eastAsia" w:ascii="宋体" w:hAnsi="宋体"/>
          <w:b/>
          <w:color w:val="auto"/>
          <w:highlight w:val="none"/>
        </w:rPr>
        <w:outlineLvl w:val="0"/>
      </w:pPr>
      <w:r>
        <w:rPr>
          <w:rFonts w:hint="eastAsia" w:ascii="宋体" w:hAnsi="宋体"/>
          <w:b/>
          <w:color w:val="auto"/>
          <w:highlight w:val="none"/>
        </w:rPr>
      </w:r>
      <w:r>
        <w:rPr>
          <w:color w:val="auto"/>
          <w:highlight w:val="none"/>
        </w:rPr>
      </w:r>
      <w:r>
        <w:rPr>
          <w:color w:val="auto"/>
          <w:highlight w:val="none"/>
        </w:rPr>
      </w:r>
    </w:p>
    <w:p>
      <w:pPr>
        <w:pStyle w:val="808"/>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color w:val="auto"/>
          <w:highlight w:val="none"/>
        </w:rPr>
      </w:r>
      <w:r>
        <w:rPr>
          <w:color w:val="auto"/>
          <w:highlight w:val="none"/>
        </w:rPr>
      </w:r>
    </w:p>
    <w:p>
      <w:pPr>
        <w:pStyle w:val="808"/>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w:t>
      </w:r>
      <w:r>
        <w:rPr>
          <w:rFonts w:hint="eastAsia" w:ascii="宋体" w:hAnsi="宋体"/>
          <w:bCs/>
          <w:color w:val="auto"/>
          <w:highlight w:val="none"/>
        </w:rPr>
        <w:t xml:space="preserve">采购需求</w:t>
      </w:r>
      <w:r>
        <w:rPr>
          <w:rFonts w:hint="eastAsia" w:ascii="宋体" w:hAnsi="宋体"/>
          <w:bCs/>
          <w:color w:val="auto"/>
          <w:highlight w:val="none"/>
        </w:rPr>
        <w:t xml:space="preserve">”的内容在上表中详细填写；</w:t>
      </w:r>
      <w:r>
        <w:rPr>
          <w:color w:val="auto"/>
          <w:highlight w:val="none"/>
        </w:rPr>
      </w:r>
      <w:r>
        <w:rPr>
          <w:color w:val="auto"/>
          <w:highlight w:val="none"/>
        </w:rPr>
      </w:r>
    </w:p>
    <w:p>
      <w:pPr>
        <w:pStyle w:val="808"/>
        <w:ind w:firstLine="315"/>
        <w:spacing w:line="400" w:lineRule="exact"/>
        <w:rPr>
          <w:rFonts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rPr>
          <w:color w:val="auto"/>
          <w:highlight w:val="none"/>
        </w:rPr>
      </w:r>
      <w:r>
        <w:rPr>
          <w:color w:val="auto"/>
          <w:highlight w:val="none"/>
        </w:rPr>
      </w:r>
    </w:p>
    <w:p>
      <w:pPr>
        <w:pStyle w:val="808"/>
        <w:spacing w:line="400" w:lineRule="exact"/>
        <w:rPr>
          <w:rFonts w:hint="eastAsia"/>
          <w:b/>
          <w:color w:val="auto"/>
          <w:sz w:val="28"/>
          <w:szCs w:val="28"/>
          <w:highlight w:val="none"/>
        </w:rPr>
        <w:outlineLvl w:val="0"/>
      </w:pPr>
      <w:r>
        <w:rPr>
          <w:rFonts w:ascii="宋体" w:hAnsi="宋体"/>
          <w:bCs/>
          <w:color w:val="auto"/>
          <w:highlight w:val="none"/>
        </w:rPr>
        <w:br w:type="page" w:clear="all"/>
      </w:r>
      <w:bookmarkEnd w:id="216"/>
      <w:r>
        <w:rPr>
          <w:color w:val="auto"/>
          <w:highlight w:val="none"/>
        </w:rPr>
      </w:r>
      <w:bookmarkEnd w:id="217"/>
      <w:r>
        <w:rPr>
          <w:color w:val="auto"/>
          <w:highlight w:val="none"/>
        </w:rPr>
      </w:r>
      <w:bookmarkEnd w:id="218"/>
      <w:r>
        <w:rPr>
          <w:color w:val="auto"/>
          <w:highlight w:val="none"/>
        </w:rPr>
      </w:r>
      <w:bookmarkStart w:id="221" w:name="_Toc120614284"/>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rPr>
          <w:color w:val="auto"/>
          <w:highlight w:val="none"/>
        </w:rPr>
      </w:r>
      <w:r>
        <w:rPr>
          <w:color w:val="auto"/>
          <w:highlight w:val="none"/>
        </w:rPr>
      </w:r>
    </w:p>
    <w:p>
      <w:pPr>
        <w:pStyle w:val="808"/>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r>
        <w:rPr>
          <w:color w:val="auto"/>
          <w:highlight w:val="none"/>
        </w:rPr>
      </w:r>
    </w:p>
    <w:p>
      <w:pPr>
        <w:pStyle w:val="808"/>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rPr>
          <w:color w:val="auto"/>
          <w:highlight w:val="none"/>
        </w:rPr>
      </w:r>
      <w:r>
        <w:rPr>
          <w:color w:val="auto"/>
          <w:highlight w:val="none"/>
        </w:rPr>
      </w:r>
    </w:p>
    <w:p>
      <w:pPr>
        <w:pStyle w:val="808"/>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r>
        <w:rPr>
          <w:color w:val="auto"/>
          <w:highlight w:val="none"/>
        </w:rPr>
      </w:r>
    </w:p>
    <w:p>
      <w:pPr>
        <w:pStyle w:val="808"/>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r>
        <w:rPr>
          <w:color w:val="auto"/>
          <w:highlight w:val="none"/>
        </w:rPr>
      </w:r>
    </w:p>
    <w:p>
      <w:pPr>
        <w:pStyle w:val="808"/>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JSZC-320200-JZCG-G2024-0086</w:t>
      </w:r>
      <w:r>
        <w:rPr>
          <w:color w:val="auto"/>
          <w:highlight w:val="none"/>
        </w:rPr>
      </w:r>
      <w:r>
        <w:rPr>
          <w:color w:val="auto"/>
          <w:highlight w:val="none"/>
        </w:rP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08"/>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08"/>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08"/>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08"/>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rPr>
                <w:color w:val="auto"/>
                <w:highlight w:val="none"/>
              </w:rPr>
            </w:r>
            <w:r>
              <w:rPr>
                <w:color w:val="auto"/>
                <w:highlight w:val="none"/>
              </w:rP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08"/>
              <w:jc w:val="center"/>
              <w:rPr>
                <w:rFonts w:ascii="宋体"/>
                <w:bCs/>
                <w:color w:val="auto"/>
                <w:highlight w:val="none"/>
              </w:rPr>
            </w:pPr>
            <w:r>
              <w:rPr>
                <w:rFonts w:ascii="宋体"/>
                <w:bCs/>
                <w:color w:val="auto"/>
                <w:highlight w:val="none"/>
              </w:rPr>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08"/>
              <w:rPr>
                <w:rFonts w:ascii="宋体"/>
                <w:bCs/>
                <w:color w:val="auto"/>
                <w:highlight w:val="none"/>
              </w:rPr>
            </w:pPr>
            <w:r>
              <w:rPr>
                <w:rFonts w:ascii="宋体"/>
                <w:bCs/>
                <w:color w:val="auto"/>
                <w:highlight w:val="none"/>
              </w:rPr>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08"/>
              <w:jc w:val="center"/>
              <w:rPr>
                <w:rFonts w:ascii="宋体"/>
                <w:bCs/>
                <w:color w:val="auto"/>
                <w:highlight w:val="none"/>
              </w:rPr>
            </w:pPr>
            <w:r>
              <w:rPr>
                <w:rFonts w:ascii="宋体"/>
                <w:bCs/>
                <w:color w:val="auto"/>
                <w:highlight w:val="none"/>
              </w:rPr>
            </w:r>
            <w:r>
              <w:rPr>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08"/>
              <w:jc w:val="center"/>
              <w:rPr>
                <w:rFonts w:ascii="宋体"/>
                <w:bCs/>
                <w:color w:val="auto"/>
                <w:highlight w:val="none"/>
              </w:rPr>
            </w:pPr>
            <w:r>
              <w:rPr>
                <w:rFonts w:ascii="宋体"/>
                <w:bCs/>
                <w:color w:val="auto"/>
                <w:highlight w:val="none"/>
              </w:rPr>
            </w:r>
            <w:r>
              <w:rPr>
                <w:color w:val="auto"/>
                <w:highlight w:val="none"/>
              </w:rPr>
            </w:r>
            <w:r>
              <w:rPr>
                <w:color w:val="auto"/>
                <w:highlight w:val="none"/>
              </w:rPr>
            </w:r>
          </w:p>
        </w:tc>
      </w:tr>
    </w:tbl>
    <w:p>
      <w:pPr>
        <w:pStyle w:val="808"/>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rPr>
          <w:color w:val="auto"/>
          <w:highlight w:val="none"/>
        </w:rPr>
      </w:r>
      <w:r>
        <w:rPr>
          <w:color w:val="auto"/>
          <w:highlight w:val="none"/>
        </w:rPr>
      </w:r>
    </w:p>
    <w:p>
      <w:pPr>
        <w:pStyle w:val="808"/>
        <w:rPr>
          <w:rFonts w:ascii="宋体"/>
          <w:bCs/>
          <w:color w:val="auto"/>
          <w:sz w:val="30"/>
          <w:highlight w:val="none"/>
        </w:rPr>
      </w:pPr>
      <w:r>
        <w:rPr>
          <w:rFonts w:ascii="宋体"/>
          <w:bCs/>
          <w:color w:val="auto"/>
          <w:sz w:val="30"/>
          <w:highlight w:val="none"/>
        </w:rPr>
      </w:r>
      <w:r>
        <w:rPr>
          <w:color w:val="auto"/>
          <w:highlight w:val="none"/>
        </w:rPr>
      </w:r>
      <w:r>
        <w:rPr>
          <w:color w:val="auto"/>
          <w:highlight w:val="none"/>
        </w:rPr>
      </w:r>
    </w:p>
    <w:p>
      <w:pPr>
        <w:pStyle w:val="808"/>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rPr>
          <w:color w:val="auto"/>
          <w:highlight w:val="none"/>
        </w:rPr>
      </w:r>
      <w:r>
        <w:rPr>
          <w:color w:val="auto"/>
          <w:highlight w:val="none"/>
        </w:rPr>
      </w:r>
    </w:p>
    <w:p>
      <w:pPr>
        <w:pStyle w:val="808"/>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rPr>
          <w:color w:val="auto"/>
          <w:highlight w:val="none"/>
        </w:rPr>
      </w:r>
      <w:r>
        <w:rPr>
          <w:color w:val="auto"/>
          <w:highlight w:val="none"/>
        </w:rPr>
      </w:r>
    </w:p>
    <w:p>
      <w:pPr>
        <w:pStyle w:val="808"/>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89"/>
      <w:r>
        <w:rPr>
          <w:color w:val="auto"/>
          <w:highlight w:val="none"/>
        </w:rPr>
      </w:r>
      <w:bookmarkEnd w:id="190"/>
      <w:r>
        <w:rPr>
          <w:color w:val="auto"/>
          <w:highlight w:val="none"/>
        </w:rPr>
      </w:r>
      <w:bookmarkEnd w:id="221"/>
      <w:r>
        <w:rPr>
          <w:color w:val="auto"/>
          <w:highlight w:val="none"/>
        </w:rPr>
      </w:r>
      <w:bookmarkStart w:id="222" w:name="_Hlt26671374"/>
      <w:r>
        <w:rPr>
          <w:color w:val="auto"/>
          <w:highlight w:val="none"/>
        </w:rPr>
      </w:r>
      <w:bookmarkEnd w:id="222"/>
      <w:r>
        <w:rPr>
          <w:color w:val="auto"/>
          <w:highlight w:val="none"/>
        </w:rPr>
      </w:r>
      <w:bookmarkStart w:id="223" w:name="_格式2__法定代表人授权书"/>
      <w:r>
        <w:rPr>
          <w:color w:val="auto"/>
          <w:highlight w:val="none"/>
        </w:rPr>
      </w:r>
      <w:bookmarkEnd w:id="223"/>
      <w:r>
        <w:rPr>
          <w:color w:val="auto"/>
          <w:highlight w:val="none"/>
        </w:rPr>
      </w:r>
      <w:bookmarkStart w:id="224" w:name="_Hlt26955066"/>
      <w:r>
        <w:rPr>
          <w:color w:val="auto"/>
          <w:highlight w:val="none"/>
        </w:rPr>
      </w:r>
      <w:bookmarkEnd w:id="224"/>
      <w:r>
        <w:rPr>
          <w:color w:val="auto"/>
          <w:highlight w:val="none"/>
        </w:rPr>
      </w:r>
      <w:bookmarkStart w:id="225" w:name="_Hlt26609389"/>
      <w:r>
        <w:rPr>
          <w:color w:val="auto"/>
          <w:highlight w:val="none"/>
        </w:rPr>
      </w:r>
      <w:bookmarkEnd w:id="225"/>
      <w:r>
        <w:rPr>
          <w:color w:val="auto"/>
          <w:highlight w:val="none"/>
        </w:rPr>
      </w:r>
      <w:r>
        <w:rPr>
          <w:color w:val="auto"/>
          <w:highlight w:val="none"/>
        </w:rPr>
      </w:r>
    </w:p>
    <w:p>
      <w:pPr>
        <w:pStyle w:val="808"/>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rPr>
          <w:color w:val="auto"/>
          <w:highlight w:val="none"/>
        </w:rPr>
      </w:r>
      <w:r>
        <w:rPr>
          <w:color w:val="auto"/>
          <w:highlight w:val="none"/>
        </w:rPr>
      </w:r>
    </w:p>
    <w:p>
      <w:pPr>
        <w:pStyle w:val="808"/>
        <w:ind w:firstLine="420"/>
        <w:rPr>
          <w:rFonts w:ascii="宋体" w:hAnsi="宋体"/>
          <w:bCs/>
          <w:color w:val="auto"/>
          <w:sz w:val="24"/>
          <w:szCs w:val="24"/>
          <w:highlight w:val="none"/>
        </w:rPr>
        <w:outlineLvl w:val="0"/>
      </w:pPr>
      <w:r>
        <w:rPr>
          <w:rFonts w:ascii="宋体" w:hAnsi="宋体"/>
          <w:bCs/>
          <w:color w:val="auto"/>
          <w:sz w:val="24"/>
          <w:szCs w:val="24"/>
          <w:highlight w:val="none"/>
        </w:rPr>
      </w:r>
      <w:r>
        <w:rPr>
          <w:color w:val="auto"/>
          <w:highlight w:val="none"/>
        </w:rPr>
      </w:r>
      <w:r>
        <w:rPr>
          <w:color w:val="auto"/>
          <w:highlight w:val="none"/>
        </w:rPr>
      </w:r>
    </w:p>
    <w:p>
      <w:pPr>
        <w:pStyle w:val="808"/>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十一</w:t>
      </w:r>
      <w:r>
        <w:rPr>
          <w:rFonts w:hint="eastAsia"/>
          <w:b/>
          <w:color w:val="auto"/>
          <w:sz w:val="28"/>
          <w:szCs w:val="28"/>
          <w:highlight w:val="none"/>
        </w:rPr>
        <w:t xml:space="preserve">、</w:t>
      </w:r>
      <w:r>
        <w:rPr>
          <w:rFonts w:hint="eastAsia"/>
          <w:b/>
          <w:color w:val="auto"/>
          <w:sz w:val="28"/>
          <w:szCs w:val="28"/>
          <w:highlight w:val="none"/>
        </w:rPr>
        <w:t xml:space="preserve">项目人员配置清单（格式）</w:t>
      </w:r>
      <w:r>
        <w:rPr>
          <w:color w:val="auto"/>
          <w:highlight w:val="none"/>
        </w:rPr>
      </w:r>
      <w:r>
        <w:rPr>
          <w:color w:val="auto"/>
          <w:highlight w:val="none"/>
        </w:rPr>
      </w:r>
    </w:p>
    <w:p>
      <w:pPr>
        <w:pStyle w:val="808"/>
        <w:spacing w:line="400" w:lineRule="exact"/>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r>
        <w:rPr>
          <w:color w:val="auto"/>
          <w:highlight w:val="none"/>
        </w:rPr>
      </w:r>
    </w:p>
    <w:p>
      <w:pPr>
        <w:pStyle w:val="808"/>
        <w:jc w:val="center"/>
        <w:spacing w:line="400" w:lineRule="exact"/>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rPr>
          <w:color w:val="auto"/>
          <w:highlight w:val="none"/>
        </w:rPr>
      </w:r>
      <w:r>
        <w:rPr>
          <w:color w:val="auto"/>
          <w:highlight w:val="none"/>
        </w:rPr>
      </w:r>
    </w:p>
    <w:p>
      <w:pPr>
        <w:pStyle w:val="808"/>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r>
        <w:rPr>
          <w:color w:val="auto"/>
          <w:highlight w:val="none"/>
        </w:rPr>
      </w:r>
    </w:p>
    <w:p>
      <w:pPr>
        <w:pStyle w:val="808"/>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JSZC-320200-JZCG-G2024-0086</w:t>
      </w:r>
      <w:r>
        <w:rPr>
          <w:color w:val="auto"/>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08"/>
              <w:jc w:val="center"/>
              <w:rPr>
                <w:b/>
                <w:color w:val="auto"/>
                <w:sz w:val="24"/>
                <w:highlight w:val="none"/>
              </w:rPr>
            </w:pPr>
            <w:r>
              <w:rPr>
                <w:rFonts w:hint="eastAsia"/>
                <w:b/>
                <w:color w:val="auto"/>
                <w:sz w:val="24"/>
                <w:highlight w:val="none"/>
              </w:rPr>
              <w:t xml:space="preserve">序号</w:t>
            </w:r>
            <w:r>
              <w:rPr>
                <w:color w:val="auto"/>
                <w:highlight w:val="none"/>
              </w:rPr>
            </w:r>
            <w:r>
              <w:rPr>
                <w:color w:val="auto"/>
                <w:highlight w:val="none"/>
              </w:rPr>
            </w:r>
          </w:p>
        </w:tc>
        <w:tc>
          <w:tcPr>
            <w:tcW w:w="1476" w:type="dxa"/>
            <w:vAlign w:val="center"/>
            <w:textDirection w:val="lrTb"/>
            <w:noWrap w:val="false"/>
          </w:tcPr>
          <w:p>
            <w:pPr>
              <w:pStyle w:val="808"/>
              <w:jc w:val="center"/>
              <w:rPr>
                <w:b/>
                <w:color w:val="auto"/>
                <w:sz w:val="24"/>
                <w:highlight w:val="none"/>
              </w:rPr>
            </w:pPr>
            <w:r>
              <w:rPr>
                <w:rFonts w:hint="eastAsia"/>
                <w:b/>
                <w:color w:val="auto"/>
                <w:sz w:val="24"/>
                <w:highlight w:val="none"/>
              </w:rPr>
              <w:t xml:space="preserve">姓名</w:t>
            </w:r>
            <w:r>
              <w:rPr>
                <w:color w:val="auto"/>
                <w:highlight w:val="none"/>
              </w:rPr>
            </w:r>
            <w:r>
              <w:rPr>
                <w:color w:val="auto"/>
                <w:highlight w:val="none"/>
              </w:rPr>
            </w:r>
          </w:p>
        </w:tc>
        <w:tc>
          <w:tcPr>
            <w:tcW w:w="720" w:type="dxa"/>
            <w:vAlign w:val="center"/>
            <w:textDirection w:val="lrTb"/>
            <w:noWrap w:val="false"/>
          </w:tcPr>
          <w:p>
            <w:pPr>
              <w:pStyle w:val="808"/>
              <w:jc w:val="center"/>
              <w:rPr>
                <w:b/>
                <w:color w:val="auto"/>
                <w:sz w:val="24"/>
                <w:highlight w:val="none"/>
              </w:rPr>
            </w:pPr>
            <w:r>
              <w:rPr>
                <w:rFonts w:hint="eastAsia"/>
                <w:b/>
                <w:color w:val="auto"/>
                <w:sz w:val="24"/>
                <w:highlight w:val="none"/>
              </w:rPr>
              <w:t xml:space="preserve">年龄</w:t>
            </w:r>
            <w:r>
              <w:rPr>
                <w:color w:val="auto"/>
                <w:highlight w:val="none"/>
              </w:rPr>
            </w:r>
            <w:r>
              <w:rPr>
                <w:color w:val="auto"/>
                <w:highlight w:val="none"/>
              </w:rPr>
            </w:r>
          </w:p>
        </w:tc>
        <w:tc>
          <w:tcPr>
            <w:tcW w:w="2520" w:type="dxa"/>
            <w:vAlign w:val="center"/>
            <w:textDirection w:val="lrTb"/>
            <w:noWrap w:val="false"/>
          </w:tcPr>
          <w:p>
            <w:pPr>
              <w:pStyle w:val="808"/>
              <w:jc w:val="center"/>
              <w:rPr>
                <w:b/>
                <w:color w:val="auto"/>
                <w:sz w:val="24"/>
                <w:highlight w:val="none"/>
              </w:rPr>
            </w:pPr>
            <w:r>
              <w:rPr>
                <w:rFonts w:hint="eastAsia"/>
                <w:b/>
                <w:color w:val="auto"/>
                <w:sz w:val="24"/>
                <w:highlight w:val="none"/>
              </w:rPr>
              <w:t xml:space="preserve">本项目职责</w:t>
            </w:r>
            <w:r>
              <w:rPr>
                <w:color w:val="auto"/>
                <w:highlight w:val="none"/>
              </w:rPr>
            </w:r>
            <w:r>
              <w:rPr>
                <w:color w:val="auto"/>
                <w:highlight w:val="none"/>
              </w:rPr>
            </w:r>
          </w:p>
        </w:tc>
        <w:tc>
          <w:tcPr>
            <w:tcW w:w="3274" w:type="dxa"/>
            <w:vAlign w:val="center"/>
            <w:textDirection w:val="lrTb"/>
            <w:noWrap w:val="false"/>
          </w:tcPr>
          <w:p>
            <w:pPr>
              <w:pStyle w:val="808"/>
              <w:jc w:val="center"/>
              <w:rPr>
                <w:b/>
                <w:color w:val="auto"/>
                <w:sz w:val="24"/>
                <w:highlight w:val="none"/>
              </w:rPr>
            </w:pPr>
            <w:r>
              <w:rPr>
                <w:rFonts w:hint="eastAsia"/>
                <w:b/>
                <w:color w:val="auto"/>
                <w:sz w:val="24"/>
                <w:highlight w:val="none"/>
              </w:rPr>
              <w:t xml:space="preserve">人员证书名称</w:t>
            </w:r>
            <w:r>
              <w:rPr>
                <w:color w:val="auto"/>
                <w:highlight w:val="none"/>
              </w:rPr>
            </w:r>
            <w:r>
              <w:rPr>
                <w:color w:val="auto"/>
                <w:highlight w:val="none"/>
              </w:rPr>
            </w:r>
          </w:p>
        </w:tc>
      </w:tr>
      <w:tr>
        <w:trPr>
          <w:trHeight w:val="680"/>
        </w:trPr>
        <w:tc>
          <w:tcPr>
            <w:tcW w:w="704"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c>
          <w:tcPr>
            <w:tcW w:w="1476"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c>
          <w:tcPr>
            <w:tcW w:w="720"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c>
          <w:tcPr>
            <w:tcW w:w="2520"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c>
          <w:tcPr>
            <w:tcW w:w="3274"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r>
      <w:tr>
        <w:trPr>
          <w:trHeight w:val="680"/>
        </w:trPr>
        <w:tc>
          <w:tcPr>
            <w:tcW w:w="704"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c>
          <w:tcPr>
            <w:tcW w:w="1476"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c>
          <w:tcPr>
            <w:tcW w:w="720"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c>
          <w:tcPr>
            <w:tcW w:w="2520"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c>
          <w:tcPr>
            <w:tcW w:w="3274"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r>
      <w:tr>
        <w:trPr>
          <w:trHeight w:val="680"/>
        </w:trPr>
        <w:tc>
          <w:tcPr>
            <w:tcW w:w="704"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c>
          <w:tcPr>
            <w:tcW w:w="1476"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c>
          <w:tcPr>
            <w:tcW w:w="720"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c>
          <w:tcPr>
            <w:tcW w:w="2520"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c>
          <w:tcPr>
            <w:tcW w:w="3274"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r>
      <w:tr>
        <w:trPr>
          <w:trHeight w:val="680"/>
        </w:trPr>
        <w:tc>
          <w:tcPr>
            <w:tcW w:w="704"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c>
          <w:tcPr>
            <w:tcW w:w="1476"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c>
          <w:tcPr>
            <w:tcW w:w="720"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c>
          <w:tcPr>
            <w:tcW w:w="2520"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c>
          <w:tcPr>
            <w:tcW w:w="3274"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r>
      <w:tr>
        <w:trPr>
          <w:trHeight w:val="680"/>
        </w:trPr>
        <w:tc>
          <w:tcPr>
            <w:tcW w:w="704"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c>
          <w:tcPr>
            <w:tcW w:w="1476"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c>
          <w:tcPr>
            <w:tcW w:w="720"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c>
          <w:tcPr>
            <w:tcW w:w="2520"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c>
          <w:tcPr>
            <w:tcW w:w="3274" w:type="dxa"/>
            <w:vAlign w:val="top"/>
            <w:textDirection w:val="lrTb"/>
            <w:noWrap w:val="false"/>
          </w:tcPr>
          <w:p>
            <w:pPr>
              <w:pStyle w:val="808"/>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r>
              <w:rPr>
                <w:color w:val="auto"/>
                <w:highlight w:val="none"/>
              </w:rPr>
            </w:r>
          </w:p>
        </w:tc>
      </w:tr>
    </w:tbl>
    <w:p>
      <w:pPr>
        <w:pStyle w:val="808"/>
        <w:rPr>
          <w:b/>
          <w:bCs/>
          <w:color w:val="auto"/>
          <w:sz w:val="24"/>
          <w:szCs w:val="24"/>
          <w:highlight w:val="none"/>
        </w:rPr>
      </w:pPr>
      <w:r>
        <w:rPr>
          <w:rFonts w:hint="eastAsia" w:ascii="黑体" w:eastAsia="黑体"/>
          <w:bCs/>
          <w:color w:val="auto"/>
          <w:sz w:val="24"/>
          <w:szCs w:val="24"/>
          <w:highlight w:val="none"/>
        </w:rPr>
        <w:t xml:space="preserve">投标人名称（盖章）</w:t>
      </w:r>
      <w:r>
        <w:rPr>
          <w:color w:val="auto"/>
          <w:highlight w:val="none"/>
        </w:rPr>
      </w:r>
      <w:r>
        <w:rPr>
          <w:color w:val="auto"/>
          <w:highlight w:val="none"/>
        </w:rPr>
      </w:r>
    </w:p>
    <w:p>
      <w:pPr>
        <w:pStyle w:val="808"/>
        <w:rPr>
          <w:rFonts w:hint="eastAsia" w:ascii="宋体" w:hAnsi="宋体"/>
          <w:bCs/>
          <w:color w:val="auto"/>
          <w:highlight w:val="none"/>
        </w:rPr>
      </w:pPr>
      <w:r>
        <w:rPr>
          <w:rFonts w:hint="eastAsia" w:ascii="宋体" w:hAnsi="宋体"/>
          <w:bCs/>
          <w:color w:val="auto"/>
          <w:highlight w:val="none"/>
        </w:rPr>
      </w:r>
      <w:r>
        <w:rPr>
          <w:color w:val="auto"/>
          <w:highlight w:val="none"/>
        </w:rPr>
      </w:r>
      <w:r>
        <w:rPr>
          <w:color w:val="auto"/>
          <w:highlight w:val="none"/>
        </w:rPr>
      </w:r>
    </w:p>
    <w:p>
      <w:pPr>
        <w:pStyle w:val="808"/>
        <w:rPr>
          <w:rFonts w:ascii="宋体" w:hAnsi="宋体"/>
          <w:bCs/>
          <w:color w:val="auto"/>
          <w:highlight w:val="none"/>
        </w:rPr>
      </w:pPr>
      <w:r>
        <w:rPr>
          <w:rFonts w:hint="eastAsia" w:ascii="宋体" w:hAnsi="宋体"/>
          <w:bCs/>
          <w:color w:val="auto"/>
          <w:highlight w:val="none"/>
        </w:rPr>
        <w:t xml:space="preserve">注：1.</w:t>
      </w:r>
      <w:r>
        <w:rPr>
          <w:rFonts w:hint="eastAsia" w:ascii="宋体" w:hAnsi="宋体"/>
          <w:bCs/>
          <w:color w:val="auto"/>
          <w:highlight w:val="none"/>
        </w:rPr>
        <w:t xml:space="preserve">本表对应评分标准中</w:t>
      </w:r>
      <w:r>
        <w:rPr>
          <w:rFonts w:hint="eastAsia" w:ascii="宋体" w:hAnsi="宋体"/>
          <w:bCs/>
          <w:color w:val="auto"/>
          <w:highlight w:val="none"/>
        </w:rPr>
        <w:t xml:space="preserve">项目人员配置情况</w:t>
      </w:r>
      <w:r>
        <w:rPr>
          <w:rFonts w:hint="eastAsia" w:ascii="宋体" w:hAnsi="宋体"/>
          <w:bCs/>
          <w:color w:val="auto"/>
          <w:highlight w:val="none"/>
        </w:rPr>
        <w:t xml:space="preserve">，适用采购包1和采购包2，投标人根据自身所投采购包结合对应的采购包的评分标准和自身情况进行填报，</w:t>
      </w:r>
      <w:r>
        <w:rPr>
          <w:rFonts w:hint="eastAsia" w:ascii="宋体" w:hAnsi="宋体"/>
          <w:bCs/>
          <w:color w:val="auto"/>
          <w:highlight w:val="none"/>
        </w:rPr>
        <w:t xml:space="preserve">表格不够可自行延长。</w:t>
      </w:r>
      <w:r>
        <w:rPr>
          <w:color w:val="auto"/>
          <w:highlight w:val="none"/>
        </w:rPr>
      </w:r>
      <w:r>
        <w:rPr>
          <w:color w:val="auto"/>
          <w:highlight w:val="none"/>
        </w:rPr>
      </w:r>
    </w:p>
    <w:p>
      <w:pPr>
        <w:pStyle w:val="808"/>
        <w:ind w:firstLine="420"/>
        <w:rPr>
          <w:rFonts w:hint="eastAsia" w:ascii="宋体" w:hAnsi="宋体"/>
          <w:bCs/>
          <w:color w:val="auto"/>
          <w:highlight w:val="none"/>
        </w:rPr>
      </w:pPr>
      <w:r>
        <w:rPr>
          <w:rFonts w:hint="eastAsia" w:ascii="宋体" w:hAnsi="宋体"/>
          <w:bCs/>
          <w:color w:val="auto"/>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auto"/>
          <w:highlight w:val="none"/>
        </w:rPr>
      </w:r>
      <w:r>
        <w:rPr>
          <w:color w:val="auto"/>
          <w:highlight w:val="none"/>
        </w:rPr>
      </w:r>
    </w:p>
    <w:sectPr>
      <w:headerReference w:type="default" r:id="rId9"/>
      <w:footerReference w:type="default" r:id="rId10"/>
      <w:footerReference w:type="even" r:id="rId11"/>
      <w:footnotePr/>
      <w:endnotePr/>
      <w:type w:val="nextPage"/>
      <w:pgSz w:w="11906" w:h="16838" w:orient="portrait"/>
      <w:pgMar w:top="1411" w:right="1584" w:bottom="1411" w:left="1354"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881"/>
        <w:rFonts w:ascii="宋体" w:hAnsi="宋体"/>
      </w:rPr>
      <w:framePr w:wrap="around" w:vAnchor="text" w:hAnchor="margin" w:xAlign="center" w:y="1"/>
    </w:pPr>
    <w:r>
      <w:rPr>
        <w:rFonts w:ascii="宋体" w:hAnsi="宋体"/>
      </w:rPr>
      <w:fldChar w:fldCharType="begin"/>
    </w:r>
    <w:r>
      <w:rPr>
        <w:rStyle w:val="881"/>
        <w:rFonts w:ascii="宋体" w:hAnsi="宋体"/>
      </w:rPr>
      <w:instrText xml:space="preserve">PAGE  </w:instrText>
    </w:r>
    <w:r>
      <w:rPr>
        <w:rFonts w:ascii="宋体" w:hAnsi="宋体"/>
      </w:rPr>
      <w:fldChar w:fldCharType="separate"/>
    </w:r>
    <w:r>
      <w:rPr>
        <w:rStyle w:val="881"/>
        <w:rFonts w:ascii="宋体" w:hAnsi="宋体"/>
      </w:rPr>
      <w:t xml:space="preserve">１０４</w:t>
    </w:r>
    <w:r>
      <w:rPr>
        <w:rFonts w:ascii="宋体" w:hAnsi="宋体"/>
      </w:rPr>
      <w:fldChar w:fldCharType="end"/>
    </w:r>
    <w:r>
      <w:rPr>
        <w:rStyle w:val="881"/>
        <w:rFonts w:ascii="宋体" w:hAnsi="宋体"/>
      </w:rPr>
    </w:r>
    <w:r/>
  </w:p>
  <w:p>
    <w:pPr>
      <w:pStyle w:val="856"/>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881"/>
      </w:rPr>
      <w:framePr w:wrap="around" w:vAnchor="text" w:hAnchor="margin" w:xAlign="center" w:y="1"/>
    </w:pPr>
    <w:r>
      <w:fldChar w:fldCharType="begin"/>
    </w:r>
    <w:r>
      <w:rPr>
        <w:rStyle w:val="881"/>
      </w:rPr>
      <w:instrText xml:space="preserve">PAGE  </w:instrText>
    </w:r>
    <w:r>
      <w:fldChar w:fldCharType="separate"/>
    </w:r>
    <w:r>
      <w:rPr>
        <w:rStyle w:val="881"/>
      </w:rPr>
      <w:t xml:space="preserve">1</w:t>
    </w:r>
    <w:r>
      <w:fldChar w:fldCharType="end"/>
    </w:r>
    <w:r>
      <w:rPr>
        <w:rStyle w:val="881"/>
      </w:rPr>
    </w:r>
    <w:r/>
  </w:p>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08"/>
        <w:ind w:left="1080" w:hanging="1080"/>
        <w:tabs>
          <w:tab w:val="num" w:pos="1080" w:leader="none"/>
        </w:tabs>
      </w:pPr>
      <w:rPr>
        <w:rFonts w:hint="eastAsia" w:cs="Times New Roman"/>
      </w:rPr>
    </w:lvl>
    <w:lvl w:ilvl="1">
      <w:start w:val="1"/>
      <w:numFmt w:val="decimal"/>
      <w:isLgl w:val="false"/>
      <w:suff w:val="tab"/>
      <w:lvlText w:val="%2."/>
      <w:lvlJc w:val="left"/>
      <w:pPr>
        <w:pStyle w:val="80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08"/>
        <w:ind w:left="1260" w:hanging="420"/>
        <w:tabs>
          <w:tab w:val="num" w:pos="1260" w:leader="none"/>
        </w:tabs>
      </w:pPr>
      <w:rPr>
        <w:rFonts w:cs="Times New Roman"/>
      </w:rPr>
    </w:lvl>
    <w:lvl w:ilvl="3">
      <w:start w:val="1"/>
      <w:numFmt w:val="decimal"/>
      <w:isLgl w:val="false"/>
      <w:suff w:val="tab"/>
      <w:lvlText w:val="%4."/>
      <w:lvlJc w:val="left"/>
      <w:pPr>
        <w:pStyle w:val="808"/>
        <w:ind w:left="1680" w:hanging="420"/>
        <w:tabs>
          <w:tab w:val="num" w:pos="1680" w:leader="none"/>
        </w:tabs>
      </w:pPr>
      <w:rPr>
        <w:rFonts w:cs="Times New Roman"/>
      </w:rPr>
    </w:lvl>
    <w:lvl w:ilvl="4">
      <w:start w:val="1"/>
      <w:numFmt w:val="lowerLetter"/>
      <w:isLgl w:val="false"/>
      <w:suff w:val="tab"/>
      <w:lvlText w:val="%5)"/>
      <w:lvlJc w:val="left"/>
      <w:pPr>
        <w:pStyle w:val="808"/>
        <w:ind w:left="2100" w:hanging="420"/>
        <w:tabs>
          <w:tab w:val="num" w:pos="2100" w:leader="none"/>
        </w:tabs>
      </w:pPr>
      <w:rPr>
        <w:rFonts w:cs="Times New Roman"/>
      </w:rPr>
    </w:lvl>
    <w:lvl w:ilvl="5">
      <w:start w:val="1"/>
      <w:numFmt w:val="lowerRoman"/>
      <w:isLgl w:val="false"/>
      <w:suff w:val="tab"/>
      <w:lvlText w:val="%6."/>
      <w:lvlJc w:val="right"/>
      <w:pPr>
        <w:pStyle w:val="808"/>
        <w:ind w:left="2520" w:hanging="420"/>
        <w:tabs>
          <w:tab w:val="num" w:pos="2520" w:leader="none"/>
        </w:tabs>
      </w:pPr>
      <w:rPr>
        <w:rFonts w:cs="Times New Roman"/>
      </w:rPr>
    </w:lvl>
    <w:lvl w:ilvl="6">
      <w:start w:val="1"/>
      <w:numFmt w:val="decimal"/>
      <w:isLgl w:val="false"/>
      <w:suff w:val="tab"/>
      <w:lvlText w:val="%7."/>
      <w:lvlJc w:val="left"/>
      <w:pPr>
        <w:pStyle w:val="808"/>
        <w:ind w:left="2940" w:hanging="420"/>
        <w:tabs>
          <w:tab w:val="num" w:pos="2940" w:leader="none"/>
        </w:tabs>
      </w:pPr>
      <w:rPr>
        <w:rFonts w:cs="Times New Roman"/>
      </w:rPr>
    </w:lvl>
    <w:lvl w:ilvl="7">
      <w:start w:val="1"/>
      <w:numFmt w:val="lowerLetter"/>
      <w:isLgl w:val="false"/>
      <w:suff w:val="tab"/>
      <w:lvlText w:val="%8)"/>
      <w:lvlJc w:val="left"/>
      <w:pPr>
        <w:pStyle w:val="808"/>
        <w:ind w:left="3360" w:hanging="420"/>
        <w:tabs>
          <w:tab w:val="num" w:pos="3360" w:leader="none"/>
        </w:tabs>
      </w:pPr>
      <w:rPr>
        <w:rFonts w:cs="Times New Roman"/>
      </w:rPr>
    </w:lvl>
    <w:lvl w:ilvl="8">
      <w:start w:val="1"/>
      <w:numFmt w:val="lowerRoman"/>
      <w:isLgl w:val="false"/>
      <w:suff w:val="tab"/>
      <w:lvlText w:val="%9."/>
      <w:lvlJc w:val="right"/>
      <w:pPr>
        <w:pStyle w:val="808"/>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08"/>
        <w:ind w:left="440" w:hanging="440"/>
      </w:pPr>
    </w:lvl>
    <w:lvl w:ilvl="1">
      <w:start w:val="1"/>
      <w:numFmt w:val="lowerLetter"/>
      <w:isLgl w:val="false"/>
      <w:suff w:val="tab"/>
      <w:lvlText w:val="%2)"/>
      <w:lvlJc w:val="left"/>
      <w:pPr>
        <w:pStyle w:val="808"/>
        <w:ind w:left="880" w:hanging="440"/>
      </w:pPr>
    </w:lvl>
    <w:lvl w:ilvl="2">
      <w:start w:val="1"/>
      <w:numFmt w:val="lowerRoman"/>
      <w:isLgl w:val="false"/>
      <w:suff w:val="tab"/>
      <w:lvlText w:val="%3."/>
      <w:lvlJc w:val="right"/>
      <w:pPr>
        <w:pStyle w:val="808"/>
        <w:ind w:left="1320" w:hanging="440"/>
      </w:pPr>
    </w:lvl>
    <w:lvl w:ilvl="3">
      <w:start w:val="1"/>
      <w:numFmt w:val="decimal"/>
      <w:isLgl w:val="false"/>
      <w:suff w:val="tab"/>
      <w:lvlText w:val="%4."/>
      <w:lvlJc w:val="left"/>
      <w:pPr>
        <w:pStyle w:val="808"/>
        <w:ind w:left="1760" w:hanging="440"/>
      </w:pPr>
    </w:lvl>
    <w:lvl w:ilvl="4">
      <w:start w:val="1"/>
      <w:numFmt w:val="lowerLetter"/>
      <w:isLgl w:val="false"/>
      <w:suff w:val="tab"/>
      <w:lvlText w:val="%5)"/>
      <w:lvlJc w:val="left"/>
      <w:pPr>
        <w:pStyle w:val="808"/>
        <w:ind w:left="2200" w:hanging="440"/>
      </w:pPr>
    </w:lvl>
    <w:lvl w:ilvl="5">
      <w:start w:val="1"/>
      <w:numFmt w:val="lowerRoman"/>
      <w:isLgl w:val="false"/>
      <w:suff w:val="tab"/>
      <w:lvlText w:val="%6."/>
      <w:lvlJc w:val="right"/>
      <w:pPr>
        <w:pStyle w:val="808"/>
        <w:ind w:left="2640" w:hanging="440"/>
      </w:pPr>
    </w:lvl>
    <w:lvl w:ilvl="6">
      <w:start w:val="1"/>
      <w:numFmt w:val="decimal"/>
      <w:isLgl w:val="false"/>
      <w:suff w:val="tab"/>
      <w:lvlText w:val="%7."/>
      <w:lvlJc w:val="left"/>
      <w:pPr>
        <w:pStyle w:val="808"/>
        <w:ind w:left="3080" w:hanging="440"/>
      </w:pPr>
    </w:lvl>
    <w:lvl w:ilvl="7">
      <w:start w:val="1"/>
      <w:numFmt w:val="lowerLetter"/>
      <w:isLgl w:val="false"/>
      <w:suff w:val="tab"/>
      <w:lvlText w:val="%8)"/>
      <w:lvlJc w:val="left"/>
      <w:pPr>
        <w:pStyle w:val="808"/>
        <w:ind w:left="3520" w:hanging="440"/>
      </w:pPr>
    </w:lvl>
    <w:lvl w:ilvl="8">
      <w:start w:val="1"/>
      <w:numFmt w:val="lowerRoman"/>
      <w:isLgl w:val="false"/>
      <w:suff w:val="tab"/>
      <w:lvlText w:val="%9."/>
      <w:lvlJc w:val="right"/>
      <w:pPr>
        <w:pStyle w:val="808"/>
        <w:ind w:left="3960" w:hanging="440"/>
      </w:pPr>
    </w:lvl>
  </w:abstractNum>
  <w:abstractNum w:abstractNumId="4">
    <w:multiLevelType w:val="hybridMultilevel"/>
    <w:lvl w:ilvl="0">
      <w:start w:val="1"/>
      <w:numFmt w:val="upperLetter"/>
      <w:pStyle w:val="888"/>
      <w:isLgl w:val="false"/>
      <w:suff w:val="tab"/>
      <w:lvlText w:val="附录%1."/>
      <w:lvlJc w:val="left"/>
      <w:pPr>
        <w:pStyle w:val="80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pStyle w:val="808"/>
        <w:ind w:left="920" w:hanging="440"/>
      </w:pPr>
      <w:rPr>
        <w:rFonts w:ascii="Wingdings" w:hAnsi="Wingdings"/>
      </w:rPr>
    </w:lvl>
    <w:lvl w:ilvl="1">
      <w:start w:val="1"/>
      <w:numFmt w:val="bullet"/>
      <w:isLgl w:val="false"/>
      <w:suff w:val="tab"/>
      <w:lvlText w:val=""/>
      <w:lvlJc w:val="left"/>
      <w:pPr>
        <w:pStyle w:val="808"/>
        <w:ind w:left="1360" w:hanging="440"/>
      </w:pPr>
      <w:rPr>
        <w:rFonts w:ascii="Wingdings" w:hAnsi="Wingdings"/>
      </w:rPr>
    </w:lvl>
    <w:lvl w:ilvl="2">
      <w:start w:val="1"/>
      <w:numFmt w:val="bullet"/>
      <w:isLgl w:val="false"/>
      <w:suff w:val="tab"/>
      <w:lvlText w:val=""/>
      <w:lvlJc w:val="left"/>
      <w:pPr>
        <w:pStyle w:val="808"/>
        <w:ind w:left="1800" w:hanging="440"/>
      </w:pPr>
      <w:rPr>
        <w:rFonts w:ascii="Wingdings" w:hAnsi="Wingdings"/>
      </w:rPr>
    </w:lvl>
    <w:lvl w:ilvl="3">
      <w:start w:val="1"/>
      <w:numFmt w:val="bullet"/>
      <w:isLgl w:val="false"/>
      <w:suff w:val="tab"/>
      <w:lvlText w:val=""/>
      <w:lvlJc w:val="left"/>
      <w:pPr>
        <w:pStyle w:val="808"/>
        <w:ind w:left="2240" w:hanging="440"/>
      </w:pPr>
      <w:rPr>
        <w:rFonts w:ascii="Wingdings" w:hAnsi="Wingdings"/>
      </w:rPr>
    </w:lvl>
    <w:lvl w:ilvl="4">
      <w:start w:val="1"/>
      <w:numFmt w:val="bullet"/>
      <w:isLgl w:val="false"/>
      <w:suff w:val="tab"/>
      <w:lvlText w:val=""/>
      <w:lvlJc w:val="left"/>
      <w:pPr>
        <w:pStyle w:val="808"/>
        <w:ind w:left="2680" w:hanging="440"/>
      </w:pPr>
      <w:rPr>
        <w:rFonts w:ascii="Wingdings" w:hAnsi="Wingdings"/>
      </w:rPr>
    </w:lvl>
    <w:lvl w:ilvl="5">
      <w:start w:val="1"/>
      <w:numFmt w:val="bullet"/>
      <w:isLgl w:val="false"/>
      <w:suff w:val="tab"/>
      <w:lvlText w:val=""/>
      <w:lvlJc w:val="left"/>
      <w:pPr>
        <w:pStyle w:val="808"/>
        <w:ind w:left="3120" w:hanging="440"/>
      </w:pPr>
      <w:rPr>
        <w:rFonts w:ascii="Wingdings" w:hAnsi="Wingdings"/>
      </w:rPr>
    </w:lvl>
    <w:lvl w:ilvl="6">
      <w:start w:val="1"/>
      <w:numFmt w:val="bullet"/>
      <w:isLgl w:val="false"/>
      <w:suff w:val="tab"/>
      <w:lvlText w:val=""/>
      <w:lvlJc w:val="left"/>
      <w:pPr>
        <w:pStyle w:val="808"/>
        <w:ind w:left="3560" w:hanging="440"/>
      </w:pPr>
      <w:rPr>
        <w:rFonts w:ascii="Wingdings" w:hAnsi="Wingdings"/>
      </w:rPr>
    </w:lvl>
    <w:lvl w:ilvl="7">
      <w:start w:val="1"/>
      <w:numFmt w:val="bullet"/>
      <w:isLgl w:val="false"/>
      <w:suff w:val="tab"/>
      <w:lvlText w:val=""/>
      <w:lvlJc w:val="left"/>
      <w:pPr>
        <w:pStyle w:val="808"/>
        <w:ind w:left="4000" w:hanging="440"/>
      </w:pPr>
      <w:rPr>
        <w:rFonts w:ascii="Wingdings" w:hAnsi="Wingdings"/>
      </w:rPr>
    </w:lvl>
    <w:lvl w:ilvl="8">
      <w:start w:val="1"/>
      <w:numFmt w:val="bullet"/>
      <w:isLgl w:val="false"/>
      <w:suff w:val="tab"/>
      <w:lvlText w:val=""/>
      <w:lvlJc w:val="left"/>
      <w:pPr>
        <w:pStyle w:val="808"/>
        <w:ind w:left="4440" w:hanging="440"/>
      </w:pPr>
      <w:rPr>
        <w:rFonts w:ascii="Wingdings" w:hAnsi="Wingdings"/>
      </w:rPr>
    </w:lvl>
  </w:abstractNum>
  <w:abstractNum w:abstractNumId="6">
    <w:multiLevelType w:val="hybridMultilevel"/>
    <w:lvl w:ilvl="0">
      <w:start w:val="1"/>
      <w:numFmt w:val="japaneseCounting"/>
      <w:isLgl w:val="false"/>
      <w:suff w:val="tab"/>
      <w:lvlText w:val="（%1）"/>
      <w:lvlJc w:val="left"/>
      <w:pPr>
        <w:pStyle w:val="808"/>
        <w:ind w:left="1080" w:hanging="1080"/>
        <w:tabs>
          <w:tab w:val="num" w:pos="1080" w:leader="none"/>
        </w:tabs>
      </w:pPr>
      <w:rPr>
        <w:rFonts w:hint="eastAsia" w:cs="Times New Roman"/>
      </w:rPr>
    </w:lvl>
    <w:lvl w:ilvl="1">
      <w:start w:val="1"/>
      <w:numFmt w:val="decimal"/>
      <w:isLgl w:val="false"/>
      <w:suff w:val="tab"/>
      <w:lvlText w:val="%2."/>
      <w:lvlJc w:val="left"/>
      <w:pPr>
        <w:pStyle w:val="80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08"/>
        <w:ind w:left="1260" w:hanging="420"/>
        <w:tabs>
          <w:tab w:val="num" w:pos="1260" w:leader="none"/>
        </w:tabs>
      </w:pPr>
      <w:rPr>
        <w:rFonts w:cs="Times New Roman"/>
      </w:rPr>
    </w:lvl>
    <w:lvl w:ilvl="3">
      <w:start w:val="1"/>
      <w:numFmt w:val="decimal"/>
      <w:isLgl w:val="false"/>
      <w:suff w:val="tab"/>
      <w:lvlText w:val="%4."/>
      <w:lvlJc w:val="left"/>
      <w:pPr>
        <w:pStyle w:val="808"/>
        <w:ind w:left="1680" w:hanging="420"/>
        <w:tabs>
          <w:tab w:val="num" w:pos="1680" w:leader="none"/>
        </w:tabs>
      </w:pPr>
      <w:rPr>
        <w:rFonts w:cs="Times New Roman"/>
      </w:rPr>
    </w:lvl>
    <w:lvl w:ilvl="4">
      <w:start w:val="1"/>
      <w:numFmt w:val="lowerLetter"/>
      <w:isLgl w:val="false"/>
      <w:suff w:val="tab"/>
      <w:lvlText w:val="%5)"/>
      <w:lvlJc w:val="left"/>
      <w:pPr>
        <w:pStyle w:val="808"/>
        <w:ind w:left="2100" w:hanging="420"/>
        <w:tabs>
          <w:tab w:val="num" w:pos="2100" w:leader="none"/>
        </w:tabs>
      </w:pPr>
      <w:rPr>
        <w:rFonts w:cs="Times New Roman"/>
      </w:rPr>
    </w:lvl>
    <w:lvl w:ilvl="5">
      <w:start w:val="1"/>
      <w:numFmt w:val="lowerRoman"/>
      <w:isLgl w:val="false"/>
      <w:suff w:val="tab"/>
      <w:lvlText w:val="%6."/>
      <w:lvlJc w:val="right"/>
      <w:pPr>
        <w:pStyle w:val="808"/>
        <w:ind w:left="2520" w:hanging="420"/>
        <w:tabs>
          <w:tab w:val="num" w:pos="2520" w:leader="none"/>
        </w:tabs>
      </w:pPr>
      <w:rPr>
        <w:rFonts w:cs="Times New Roman"/>
      </w:rPr>
    </w:lvl>
    <w:lvl w:ilvl="6">
      <w:start w:val="1"/>
      <w:numFmt w:val="decimal"/>
      <w:isLgl w:val="false"/>
      <w:suff w:val="tab"/>
      <w:lvlText w:val="%7."/>
      <w:lvlJc w:val="left"/>
      <w:pPr>
        <w:pStyle w:val="808"/>
        <w:ind w:left="2940" w:hanging="420"/>
        <w:tabs>
          <w:tab w:val="num" w:pos="2940" w:leader="none"/>
        </w:tabs>
      </w:pPr>
      <w:rPr>
        <w:rFonts w:cs="Times New Roman"/>
      </w:rPr>
    </w:lvl>
    <w:lvl w:ilvl="7">
      <w:start w:val="1"/>
      <w:numFmt w:val="lowerLetter"/>
      <w:isLgl w:val="false"/>
      <w:suff w:val="tab"/>
      <w:lvlText w:val="%8)"/>
      <w:lvlJc w:val="left"/>
      <w:pPr>
        <w:pStyle w:val="808"/>
        <w:ind w:left="3360" w:hanging="420"/>
        <w:tabs>
          <w:tab w:val="num" w:pos="3360" w:leader="none"/>
        </w:tabs>
      </w:pPr>
      <w:rPr>
        <w:rFonts w:cs="Times New Roman"/>
      </w:rPr>
    </w:lvl>
    <w:lvl w:ilvl="8">
      <w:start w:val="1"/>
      <w:numFmt w:val="lowerRoman"/>
      <w:isLgl w:val="false"/>
      <w:suff w:val="tab"/>
      <w:lvlText w:val="%9."/>
      <w:lvlJc w:val="right"/>
      <w:pPr>
        <w:pStyle w:val="808"/>
        <w:ind w:left="3780" w:hanging="420"/>
        <w:tabs>
          <w:tab w:val="num" w:pos="3780" w:leader="none"/>
        </w:tabs>
      </w:pPr>
      <w:rPr>
        <w:rFonts w:cs="Times New Roman"/>
      </w:rPr>
    </w:lvl>
  </w:abstractNum>
  <w:abstractNum w:abstractNumId="7">
    <w:multiLevelType w:val="hybridMultilevel"/>
    <w:lvl w:ilvl="0">
      <w:start w:val="1"/>
      <w:numFmt w:val="bullet"/>
      <w:isLgl w:val="false"/>
      <w:suff w:val="tab"/>
      <w:lvlText w:val=""/>
      <w:lvlJc w:val="left"/>
      <w:pPr>
        <w:pStyle w:val="808"/>
        <w:ind w:left="920" w:hanging="440"/>
      </w:pPr>
      <w:rPr>
        <w:rFonts w:ascii="Wingdings" w:hAnsi="Wingdings"/>
      </w:rPr>
    </w:lvl>
    <w:lvl w:ilvl="1">
      <w:start w:val="1"/>
      <w:numFmt w:val="bullet"/>
      <w:isLgl w:val="false"/>
      <w:suff w:val="tab"/>
      <w:lvlText w:val=""/>
      <w:lvlJc w:val="left"/>
      <w:pPr>
        <w:pStyle w:val="808"/>
        <w:ind w:left="1360" w:hanging="440"/>
      </w:pPr>
      <w:rPr>
        <w:rFonts w:ascii="Wingdings" w:hAnsi="Wingdings"/>
      </w:rPr>
    </w:lvl>
    <w:lvl w:ilvl="2">
      <w:start w:val="1"/>
      <w:numFmt w:val="bullet"/>
      <w:isLgl w:val="false"/>
      <w:suff w:val="tab"/>
      <w:lvlText w:val=""/>
      <w:lvlJc w:val="left"/>
      <w:pPr>
        <w:pStyle w:val="808"/>
        <w:ind w:left="1800" w:hanging="440"/>
      </w:pPr>
      <w:rPr>
        <w:rFonts w:ascii="Wingdings" w:hAnsi="Wingdings"/>
      </w:rPr>
    </w:lvl>
    <w:lvl w:ilvl="3">
      <w:start w:val="1"/>
      <w:numFmt w:val="bullet"/>
      <w:isLgl w:val="false"/>
      <w:suff w:val="tab"/>
      <w:lvlText w:val=""/>
      <w:lvlJc w:val="left"/>
      <w:pPr>
        <w:pStyle w:val="808"/>
        <w:ind w:left="2240" w:hanging="440"/>
      </w:pPr>
      <w:rPr>
        <w:rFonts w:ascii="Wingdings" w:hAnsi="Wingdings"/>
      </w:rPr>
    </w:lvl>
    <w:lvl w:ilvl="4">
      <w:start w:val="1"/>
      <w:numFmt w:val="bullet"/>
      <w:isLgl w:val="false"/>
      <w:suff w:val="tab"/>
      <w:lvlText w:val=""/>
      <w:lvlJc w:val="left"/>
      <w:pPr>
        <w:pStyle w:val="808"/>
        <w:ind w:left="2680" w:hanging="440"/>
      </w:pPr>
      <w:rPr>
        <w:rFonts w:ascii="Wingdings" w:hAnsi="Wingdings"/>
      </w:rPr>
    </w:lvl>
    <w:lvl w:ilvl="5">
      <w:start w:val="1"/>
      <w:numFmt w:val="bullet"/>
      <w:isLgl w:val="false"/>
      <w:suff w:val="tab"/>
      <w:lvlText w:val=""/>
      <w:lvlJc w:val="left"/>
      <w:pPr>
        <w:pStyle w:val="808"/>
        <w:ind w:left="3120" w:hanging="440"/>
      </w:pPr>
      <w:rPr>
        <w:rFonts w:ascii="Wingdings" w:hAnsi="Wingdings"/>
      </w:rPr>
    </w:lvl>
    <w:lvl w:ilvl="6">
      <w:start w:val="1"/>
      <w:numFmt w:val="bullet"/>
      <w:isLgl w:val="false"/>
      <w:suff w:val="tab"/>
      <w:lvlText w:val=""/>
      <w:lvlJc w:val="left"/>
      <w:pPr>
        <w:pStyle w:val="808"/>
        <w:ind w:left="3560" w:hanging="440"/>
      </w:pPr>
      <w:rPr>
        <w:rFonts w:ascii="Wingdings" w:hAnsi="Wingdings"/>
      </w:rPr>
    </w:lvl>
    <w:lvl w:ilvl="7">
      <w:start w:val="1"/>
      <w:numFmt w:val="bullet"/>
      <w:isLgl w:val="false"/>
      <w:suff w:val="tab"/>
      <w:lvlText w:val=""/>
      <w:lvlJc w:val="left"/>
      <w:pPr>
        <w:pStyle w:val="808"/>
        <w:ind w:left="4000" w:hanging="440"/>
      </w:pPr>
      <w:rPr>
        <w:rFonts w:ascii="Wingdings" w:hAnsi="Wingdings"/>
      </w:rPr>
    </w:lvl>
    <w:lvl w:ilvl="8">
      <w:start w:val="1"/>
      <w:numFmt w:val="bullet"/>
      <w:isLgl w:val="false"/>
      <w:suff w:val="tab"/>
      <w:lvlText w:val=""/>
      <w:lvlJc w:val="left"/>
      <w:pPr>
        <w:pStyle w:val="808"/>
        <w:ind w:left="4440" w:hanging="440"/>
      </w:pPr>
      <w:rPr>
        <w:rFonts w:ascii="Wingdings" w:hAnsi="Wingdings"/>
      </w:rPr>
    </w:lvl>
  </w:abstractNum>
  <w:abstractNum w:abstractNumId="8">
    <w:multiLevelType w:val="hybridMultilevel"/>
    <w:lvl w:ilvl="0">
      <w:start w:val="1"/>
      <w:numFmt w:val="decimal"/>
      <w:isLgl w:val="false"/>
      <w:suff w:val="tab"/>
      <w:lvlText w:val="%1."/>
      <w:lvlJc w:val="left"/>
      <w:pPr>
        <w:pStyle w:val="808"/>
        <w:ind w:left="440" w:hanging="440"/>
      </w:pPr>
    </w:lvl>
    <w:lvl w:ilvl="1">
      <w:start w:val="1"/>
      <w:numFmt w:val="decimal"/>
      <w:isLgl w:val="false"/>
      <w:suff w:val="tab"/>
      <w:lvlText w:val="（%2）"/>
      <w:lvlJc w:val="left"/>
      <w:pPr>
        <w:pStyle w:val="808"/>
        <w:ind w:left="1160" w:hanging="720"/>
      </w:pPr>
    </w:lvl>
    <w:lvl w:ilvl="2">
      <w:start w:val="1"/>
      <w:numFmt w:val="decimal"/>
      <w:isLgl w:val="false"/>
      <w:suff w:val="tab"/>
      <w:lvlText w:val="%3）"/>
      <w:lvlJc w:val="left"/>
      <w:pPr>
        <w:pStyle w:val="808"/>
        <w:ind w:left="1240" w:hanging="360"/>
      </w:pPr>
    </w:lvl>
    <w:lvl w:ilvl="3">
      <w:start w:val="1"/>
      <w:numFmt w:val="lowerLetter"/>
      <w:isLgl w:val="false"/>
      <w:suff w:val="tab"/>
      <w:lvlText w:val="%4)"/>
      <w:lvlJc w:val="left"/>
      <w:pPr>
        <w:pStyle w:val="808"/>
        <w:ind w:left="1680" w:hanging="360"/>
      </w:pPr>
    </w:lvl>
    <w:lvl w:ilvl="4">
      <w:start w:val="1"/>
      <w:numFmt w:val="lowerLetter"/>
      <w:isLgl w:val="false"/>
      <w:suff w:val="tab"/>
      <w:lvlText w:val="%5)"/>
      <w:lvlJc w:val="left"/>
      <w:pPr>
        <w:pStyle w:val="808"/>
        <w:ind w:left="2200" w:hanging="440"/>
      </w:pPr>
    </w:lvl>
    <w:lvl w:ilvl="5">
      <w:start w:val="1"/>
      <w:numFmt w:val="lowerRoman"/>
      <w:isLgl w:val="false"/>
      <w:suff w:val="tab"/>
      <w:lvlText w:val="%6."/>
      <w:lvlJc w:val="right"/>
      <w:pPr>
        <w:pStyle w:val="808"/>
        <w:ind w:left="2640" w:hanging="440"/>
      </w:pPr>
    </w:lvl>
    <w:lvl w:ilvl="6">
      <w:start w:val="1"/>
      <w:numFmt w:val="decimal"/>
      <w:isLgl w:val="false"/>
      <w:suff w:val="tab"/>
      <w:lvlText w:val="%7."/>
      <w:lvlJc w:val="left"/>
      <w:pPr>
        <w:pStyle w:val="808"/>
        <w:ind w:left="3080" w:hanging="440"/>
      </w:pPr>
    </w:lvl>
    <w:lvl w:ilvl="7">
      <w:start w:val="1"/>
      <w:numFmt w:val="lowerLetter"/>
      <w:isLgl w:val="false"/>
      <w:suff w:val="tab"/>
      <w:lvlText w:val="%8)"/>
      <w:lvlJc w:val="left"/>
      <w:pPr>
        <w:pStyle w:val="808"/>
        <w:ind w:left="3520" w:hanging="440"/>
      </w:pPr>
    </w:lvl>
    <w:lvl w:ilvl="8">
      <w:start w:val="1"/>
      <w:numFmt w:val="lowerRoman"/>
      <w:isLgl w:val="false"/>
      <w:suff w:val="tab"/>
      <w:lvlText w:val="%9."/>
      <w:lvlJc w:val="right"/>
      <w:pPr>
        <w:pStyle w:val="808"/>
        <w:ind w:left="3960" w:hanging="440"/>
      </w:pPr>
    </w:lvl>
  </w:abstractNum>
  <w:abstractNum w:abstractNumId="9">
    <w:multiLevelType w:val="hybridMultilevel"/>
    <w:lvl w:ilvl="0">
      <w:start w:val="1"/>
      <w:numFmt w:val="decimal"/>
      <w:isLgl w:val="false"/>
      <w:suff w:val="tab"/>
      <w:lvlText w:val="%1."/>
      <w:lvlJc w:val="left"/>
      <w:pPr>
        <w:pStyle w:val="808"/>
        <w:ind w:left="510" w:hanging="360"/>
        <w:tabs>
          <w:tab w:val="num" w:pos="510" w:leader="none"/>
        </w:tabs>
      </w:pPr>
      <w:rPr>
        <w:rFonts w:hint="eastAsia" w:cs="Times New Roman"/>
      </w:rPr>
    </w:lvl>
    <w:lvl w:ilvl="1">
      <w:start w:val="1"/>
      <w:numFmt w:val="decimal"/>
      <w:isLgl w:val="false"/>
      <w:suff w:val="tab"/>
      <w:lvlText w:val="%2．"/>
      <w:lvlJc w:val="left"/>
      <w:pPr>
        <w:pStyle w:val="808"/>
        <w:ind w:left="1290" w:hanging="720"/>
        <w:tabs>
          <w:tab w:val="num" w:pos="1290" w:leader="none"/>
        </w:tabs>
      </w:pPr>
      <w:rPr>
        <w:rFonts w:hint="eastAsia" w:cs="Times New Roman"/>
      </w:rPr>
    </w:lvl>
    <w:lvl w:ilvl="2">
      <w:start w:val="3"/>
      <w:numFmt w:val="decimal"/>
      <w:isLgl w:val="false"/>
      <w:suff w:val="tab"/>
      <w:lvlText w:val="（%3）"/>
      <w:lvlJc w:val="left"/>
      <w:pPr>
        <w:pStyle w:val="808"/>
        <w:ind w:left="1140" w:hanging="720"/>
        <w:tabs>
          <w:tab w:val="num" w:pos="1140" w:leader="none"/>
        </w:tabs>
      </w:pPr>
      <w:rPr>
        <w:rFonts w:hint="eastAsia" w:cs="Times New Roman"/>
      </w:rPr>
    </w:lvl>
    <w:lvl w:ilvl="3">
      <w:start w:val="1"/>
      <w:numFmt w:val="decimal"/>
      <w:isLgl w:val="false"/>
      <w:suff w:val="tab"/>
      <w:lvlText w:val="（%4）"/>
      <w:lvlJc w:val="left"/>
      <w:pPr>
        <w:pStyle w:val="80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08"/>
        <w:ind w:left="2250" w:hanging="420"/>
        <w:tabs>
          <w:tab w:val="num" w:pos="2250" w:leader="none"/>
        </w:tabs>
      </w:pPr>
      <w:rPr>
        <w:rFonts w:hint="eastAsia"/>
        <w:b/>
        <w:lang w:val="en-US"/>
      </w:rPr>
    </w:lvl>
    <w:lvl w:ilvl="5">
      <w:start w:val="10"/>
      <w:numFmt w:val="japaneseCounting"/>
      <w:isLgl w:val="false"/>
      <w:suff w:val="tab"/>
      <w:lvlText w:val="（%6）"/>
      <w:lvlJc w:val="left"/>
      <w:pPr>
        <w:pStyle w:val="808"/>
        <w:ind w:left="2970" w:hanging="720"/>
      </w:pPr>
      <w:rPr>
        <w:rFonts w:cs="Times New Roman"/>
      </w:rPr>
    </w:lvl>
    <w:lvl w:ilvl="6">
      <w:start w:val="1"/>
      <w:numFmt w:val="decimal"/>
      <w:isLgl w:val="false"/>
      <w:suff w:val="tab"/>
      <w:lvlText w:val="（%7）"/>
      <w:lvlJc w:val="left"/>
      <w:pPr>
        <w:pStyle w:val="80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08"/>
        <w:ind w:left="3510" w:hanging="420"/>
        <w:tabs>
          <w:tab w:val="num" w:pos="3510" w:leader="none"/>
        </w:tabs>
      </w:pPr>
      <w:rPr>
        <w:rFonts w:cs="Times New Roman"/>
      </w:rPr>
    </w:lvl>
    <w:lvl w:ilvl="8">
      <w:start w:val="1"/>
      <w:numFmt w:val="lowerRoman"/>
      <w:isLgl w:val="false"/>
      <w:suff w:val="tab"/>
      <w:lvlText w:val="%9."/>
      <w:lvlJc w:val="right"/>
      <w:pPr>
        <w:pStyle w:val="808"/>
        <w:ind w:left="3930" w:hanging="420"/>
        <w:tabs>
          <w:tab w:val="num" w:pos="3930" w:leader="none"/>
        </w:tabs>
      </w:pPr>
      <w:rPr>
        <w:rFonts w:cs="Times New Roman"/>
      </w:rPr>
    </w:lvl>
  </w:abstractNum>
  <w:abstractNum w:abstractNumId="10">
    <w:multiLevelType w:val="hybridMultilevel"/>
    <w:lvl w:ilvl="0">
      <w:start w:val="1"/>
      <w:numFmt w:val="decimal"/>
      <w:isLgl w:val="false"/>
      <w:suff w:val="space"/>
      <w:lvlText w:val="%1"/>
      <w:lvlJc w:val="left"/>
      <w:pPr>
        <w:pStyle w:val="808"/>
        <w:ind w:left="0" w:firstLine="0"/>
      </w:pPr>
      <w:rPr>
        <w:rFonts w:hint="eastAsia"/>
      </w:rPr>
    </w:lvl>
    <w:lvl w:ilvl="1">
      <w:start w:val="1"/>
      <w:numFmt w:val="decimal"/>
      <w:pStyle w:val="1088"/>
      <w:isLgl w:val="false"/>
      <w:suff w:val="space"/>
      <w:lvlText w:val="3.%2"/>
      <w:lvlJc w:val="left"/>
      <w:pPr>
        <w:pStyle w:val="808"/>
        <w:ind w:left="0" w:firstLine="0"/>
      </w:pPr>
      <w:rPr>
        <w:rFonts w:hint="eastAsia"/>
      </w:rPr>
    </w:lvl>
    <w:lvl w:ilvl="2">
      <w:start w:val="1"/>
      <w:numFmt w:val="decimal"/>
      <w:isLgl w:val="false"/>
      <w:suff w:val="space"/>
      <w:lvlText w:val="%1.%2.%3"/>
      <w:lvlJc w:val="left"/>
      <w:pPr>
        <w:pStyle w:val="808"/>
        <w:ind w:left="0" w:firstLine="0"/>
      </w:pPr>
      <w:rPr>
        <w:rFonts w:ascii="Times New Roman" w:hAnsi="Times New Roman" w:eastAsia="宋体"/>
        <w:b/>
        <w:i w:val="0"/>
        <w:sz w:val="24"/>
        <w:szCs w:val="24"/>
      </w:rPr>
    </w:lvl>
    <w:lvl w:ilvl="3">
      <w:start w:val="1"/>
      <w:numFmt w:val="decimal"/>
      <w:pStyle w:val="1089"/>
      <w:isLgl w:val="false"/>
      <w:suff w:val="space"/>
      <w:lvlText w:val="%1.%2.%3.%4"/>
      <w:lvlJc w:val="left"/>
      <w:pPr>
        <w:pStyle w:val="808"/>
        <w:ind w:left="0" w:firstLine="0"/>
      </w:pPr>
      <w:rPr>
        <w:rFonts w:ascii="Times New Roman" w:hAnsi="Times New Roman" w:eastAsia="宋体"/>
        <w:b/>
        <w:i w:val="0"/>
        <w:sz w:val="28"/>
      </w:rPr>
    </w:lvl>
    <w:lvl w:ilvl="4">
      <w:start w:val="1"/>
      <w:numFmt w:val="decimal"/>
      <w:isLgl w:val="false"/>
      <w:suff w:val="space"/>
      <w:lvlText w:val="%1.%2.%3.%4.%5"/>
      <w:lvlJc w:val="left"/>
      <w:pPr>
        <w:pStyle w:val="808"/>
        <w:ind w:left="0" w:firstLine="0"/>
      </w:pPr>
      <w:rPr>
        <w:rFonts w:hint="eastAsia"/>
      </w:rPr>
    </w:lvl>
    <w:lvl w:ilvl="5">
      <w:start w:val="1"/>
      <w:numFmt w:val="decimal"/>
      <w:isLgl w:val="false"/>
      <w:suff w:val="space"/>
      <w:lvlText w:val="%1.%2.%3.%4.%5.%6"/>
      <w:lvlJc w:val="left"/>
      <w:pPr>
        <w:pStyle w:val="808"/>
        <w:ind w:left="0" w:firstLine="0"/>
      </w:pPr>
      <w:rPr>
        <w:rFonts w:ascii="Times New Roman" w:hAnsi="Times New Roman" w:eastAsia="宋体"/>
        <w:b/>
        <w:i w:val="0"/>
        <w:sz w:val="24"/>
      </w:rPr>
    </w:lvl>
    <w:lvl w:ilvl="6">
      <w:start w:val="1"/>
      <w:numFmt w:val="decimal"/>
      <w:isLgl w:val="false"/>
      <w:suff w:val="tab"/>
      <w:lvlText w:val="%1.%2.%3.%4.%5.%6.%7"/>
      <w:lvlJc w:val="left"/>
      <w:pPr>
        <w:pStyle w:val="808"/>
        <w:ind w:left="0" w:firstLine="0"/>
      </w:pPr>
      <w:rPr>
        <w:rFonts w:ascii="Times New Roman" w:hAnsi="Times New Roman" w:eastAsia="宋体" w:cs="Times New Roman"/>
        <w:b/>
        <w:bCs w:val="0"/>
        <w:i w:val="0"/>
        <w:iCs w:val="0"/>
        <w:caps w:val="0"/>
        <w:smallCaps w:val="0"/>
        <w:strike w:val="0"/>
        <w:vanish w:val="0"/>
        <w:color w:val="000000"/>
        <w:spacing w:val="0"/>
        <w:position w:val="0"/>
        <w:sz w:val="24"/>
        <w:szCs w:val="0"/>
        <w:u w:val="none"/>
        <w:vertAlign w:val="baseline"/>
      </w:rPr>
    </w:lvl>
    <w:lvl w:ilvl="7">
      <w:start w:val="1"/>
      <w:numFmt w:val="decimal"/>
      <w:isLgl w:val="false"/>
      <w:suff w:val="tab"/>
      <w:lvlText w:val="%1.%2.%3.%4.%5.%6.%7.%8"/>
      <w:lvlJc w:val="left"/>
      <w:pPr>
        <w:pStyle w:val="808"/>
        <w:ind w:left="0" w:firstLine="0"/>
      </w:pPr>
      <w:rPr>
        <w:rFonts w:ascii="Times New Roman" w:hAnsi="Times New Roman" w:eastAsia="宋体"/>
        <w:b/>
        <w:i w:val="0"/>
        <w:sz w:val="24"/>
      </w:rPr>
    </w:lvl>
    <w:lvl w:ilvl="8">
      <w:start w:val="1"/>
      <w:numFmt w:val="decimal"/>
      <w:isLgl w:val="false"/>
      <w:suff w:val="tab"/>
      <w:lvlText w:val="%1.%2.%3.%4.%5.%6.%7.%8.%9"/>
      <w:lvlJc w:val="left"/>
      <w:pPr>
        <w:pStyle w:val="808"/>
        <w:ind w:left="0" w:firstLine="0"/>
      </w:pPr>
      <w:rPr>
        <w:rFonts w:ascii="Times New Roman" w:hAnsi="Times New Roman" w:eastAsia="宋体"/>
        <w:b/>
        <w:i w:val="0"/>
        <w:sz w:val="24"/>
      </w:rPr>
    </w:lvl>
  </w:abstractNum>
  <w:abstractNum w:abstractNumId="11">
    <w:multiLevelType w:val="hybridMultilevel"/>
    <w:lvl w:ilvl="0">
      <w:start w:val="1"/>
      <w:numFmt w:val="bullet"/>
      <w:isLgl w:val="false"/>
      <w:suff w:val="tab"/>
      <w:lvlText w:val=""/>
      <w:lvlJc w:val="left"/>
      <w:pPr>
        <w:pStyle w:val="808"/>
        <w:ind w:left="1022" w:hanging="420"/>
      </w:pPr>
      <w:rPr>
        <w:rFonts w:ascii="Wingdings" w:hAnsi="Wingdings"/>
      </w:rPr>
    </w:lvl>
    <w:lvl w:ilvl="1">
      <w:start w:val="1"/>
      <w:numFmt w:val="bullet"/>
      <w:isLgl w:val="false"/>
      <w:suff w:val="tab"/>
      <w:lvlText w:val=""/>
      <w:lvlJc w:val="left"/>
      <w:pPr>
        <w:pStyle w:val="808"/>
        <w:ind w:left="1442" w:hanging="420"/>
      </w:pPr>
      <w:rPr>
        <w:rFonts w:ascii="Wingdings" w:hAnsi="Wingdings"/>
      </w:rPr>
    </w:lvl>
    <w:lvl w:ilvl="2">
      <w:start w:val="1"/>
      <w:numFmt w:val="bullet"/>
      <w:isLgl w:val="false"/>
      <w:suff w:val="tab"/>
      <w:lvlText w:val=""/>
      <w:lvlJc w:val="left"/>
      <w:pPr>
        <w:pStyle w:val="808"/>
        <w:ind w:left="1862" w:hanging="420"/>
      </w:pPr>
      <w:rPr>
        <w:rFonts w:ascii="Wingdings" w:hAnsi="Wingdings"/>
      </w:rPr>
    </w:lvl>
    <w:lvl w:ilvl="3">
      <w:start w:val="1"/>
      <w:numFmt w:val="bullet"/>
      <w:isLgl w:val="false"/>
      <w:suff w:val="tab"/>
      <w:lvlText w:val=""/>
      <w:lvlJc w:val="left"/>
      <w:pPr>
        <w:pStyle w:val="808"/>
        <w:ind w:left="2282" w:hanging="420"/>
      </w:pPr>
      <w:rPr>
        <w:rFonts w:ascii="Wingdings" w:hAnsi="Wingdings"/>
      </w:rPr>
    </w:lvl>
    <w:lvl w:ilvl="4">
      <w:start w:val="1"/>
      <w:numFmt w:val="bullet"/>
      <w:isLgl w:val="false"/>
      <w:suff w:val="tab"/>
      <w:lvlText w:val=""/>
      <w:lvlJc w:val="left"/>
      <w:pPr>
        <w:pStyle w:val="808"/>
        <w:ind w:left="2702" w:hanging="420"/>
      </w:pPr>
      <w:rPr>
        <w:rFonts w:ascii="Wingdings" w:hAnsi="Wingdings"/>
      </w:rPr>
    </w:lvl>
    <w:lvl w:ilvl="5">
      <w:start w:val="1"/>
      <w:numFmt w:val="bullet"/>
      <w:isLgl w:val="false"/>
      <w:suff w:val="tab"/>
      <w:lvlText w:val=""/>
      <w:lvlJc w:val="left"/>
      <w:pPr>
        <w:pStyle w:val="808"/>
        <w:ind w:left="3122" w:hanging="420"/>
      </w:pPr>
      <w:rPr>
        <w:rFonts w:ascii="Wingdings" w:hAnsi="Wingdings"/>
      </w:rPr>
    </w:lvl>
    <w:lvl w:ilvl="6">
      <w:start w:val="1"/>
      <w:numFmt w:val="bullet"/>
      <w:isLgl w:val="false"/>
      <w:suff w:val="tab"/>
      <w:lvlText w:val=""/>
      <w:lvlJc w:val="left"/>
      <w:pPr>
        <w:pStyle w:val="808"/>
        <w:ind w:left="3542" w:hanging="420"/>
      </w:pPr>
      <w:rPr>
        <w:rFonts w:ascii="Wingdings" w:hAnsi="Wingdings"/>
      </w:rPr>
    </w:lvl>
    <w:lvl w:ilvl="7">
      <w:start w:val="1"/>
      <w:numFmt w:val="bullet"/>
      <w:isLgl w:val="false"/>
      <w:suff w:val="tab"/>
      <w:lvlText w:val=""/>
      <w:lvlJc w:val="left"/>
      <w:pPr>
        <w:pStyle w:val="808"/>
        <w:ind w:left="3962" w:hanging="420"/>
      </w:pPr>
      <w:rPr>
        <w:rFonts w:ascii="Wingdings" w:hAnsi="Wingdings"/>
      </w:rPr>
    </w:lvl>
    <w:lvl w:ilvl="8">
      <w:start w:val="1"/>
      <w:numFmt w:val="bullet"/>
      <w:isLgl w:val="false"/>
      <w:suff w:val="tab"/>
      <w:lvlText w:val=""/>
      <w:lvlJc w:val="left"/>
      <w:pPr>
        <w:pStyle w:val="808"/>
        <w:ind w:left="4382" w:hanging="420"/>
      </w:pPr>
      <w:rPr>
        <w:rFonts w:ascii="Wingdings" w:hAnsi="Wingdings"/>
      </w:rPr>
    </w:lvl>
  </w:abstractNum>
  <w:abstractNum w:abstractNumId="12">
    <w:multiLevelType w:val="hybridMultilevel"/>
    <w:lvl w:ilvl="0">
      <w:start w:val="1"/>
      <w:numFmt w:val="bullet"/>
      <w:isLgl w:val="false"/>
      <w:suff w:val="tab"/>
      <w:lvlText w:val=""/>
      <w:lvlJc w:val="left"/>
      <w:pPr>
        <w:pStyle w:val="808"/>
        <w:ind w:left="920" w:hanging="440"/>
      </w:pPr>
      <w:rPr>
        <w:rFonts w:ascii="Wingdings" w:hAnsi="Wingdings"/>
      </w:rPr>
    </w:lvl>
    <w:lvl w:ilvl="1">
      <w:start w:val="1"/>
      <w:numFmt w:val="bullet"/>
      <w:isLgl w:val="false"/>
      <w:suff w:val="tab"/>
      <w:lvlText w:val=""/>
      <w:lvlJc w:val="left"/>
      <w:pPr>
        <w:pStyle w:val="808"/>
        <w:ind w:left="1360" w:hanging="440"/>
      </w:pPr>
      <w:rPr>
        <w:rFonts w:ascii="Wingdings" w:hAnsi="Wingdings"/>
      </w:rPr>
    </w:lvl>
    <w:lvl w:ilvl="2">
      <w:start w:val="1"/>
      <w:numFmt w:val="bullet"/>
      <w:isLgl w:val="false"/>
      <w:suff w:val="tab"/>
      <w:lvlText w:val=""/>
      <w:lvlJc w:val="left"/>
      <w:pPr>
        <w:pStyle w:val="808"/>
        <w:ind w:left="1800" w:hanging="440"/>
      </w:pPr>
      <w:rPr>
        <w:rFonts w:ascii="Wingdings" w:hAnsi="Wingdings"/>
      </w:rPr>
    </w:lvl>
    <w:lvl w:ilvl="3">
      <w:start w:val="1"/>
      <w:numFmt w:val="bullet"/>
      <w:isLgl w:val="false"/>
      <w:suff w:val="tab"/>
      <w:lvlText w:val=""/>
      <w:lvlJc w:val="left"/>
      <w:pPr>
        <w:pStyle w:val="808"/>
        <w:ind w:left="2240" w:hanging="440"/>
      </w:pPr>
      <w:rPr>
        <w:rFonts w:ascii="Wingdings" w:hAnsi="Wingdings"/>
      </w:rPr>
    </w:lvl>
    <w:lvl w:ilvl="4">
      <w:start w:val="1"/>
      <w:numFmt w:val="bullet"/>
      <w:isLgl w:val="false"/>
      <w:suff w:val="tab"/>
      <w:lvlText w:val=""/>
      <w:lvlJc w:val="left"/>
      <w:pPr>
        <w:pStyle w:val="808"/>
        <w:ind w:left="2680" w:hanging="440"/>
      </w:pPr>
      <w:rPr>
        <w:rFonts w:ascii="Wingdings" w:hAnsi="Wingdings"/>
      </w:rPr>
    </w:lvl>
    <w:lvl w:ilvl="5">
      <w:start w:val="1"/>
      <w:numFmt w:val="bullet"/>
      <w:isLgl w:val="false"/>
      <w:suff w:val="tab"/>
      <w:lvlText w:val=""/>
      <w:lvlJc w:val="left"/>
      <w:pPr>
        <w:pStyle w:val="808"/>
        <w:ind w:left="3120" w:hanging="440"/>
      </w:pPr>
      <w:rPr>
        <w:rFonts w:ascii="Wingdings" w:hAnsi="Wingdings"/>
      </w:rPr>
    </w:lvl>
    <w:lvl w:ilvl="6">
      <w:start w:val="1"/>
      <w:numFmt w:val="bullet"/>
      <w:isLgl w:val="false"/>
      <w:suff w:val="tab"/>
      <w:lvlText w:val=""/>
      <w:lvlJc w:val="left"/>
      <w:pPr>
        <w:pStyle w:val="808"/>
        <w:ind w:left="3560" w:hanging="440"/>
      </w:pPr>
      <w:rPr>
        <w:rFonts w:ascii="Wingdings" w:hAnsi="Wingdings"/>
      </w:rPr>
    </w:lvl>
    <w:lvl w:ilvl="7">
      <w:start w:val="1"/>
      <w:numFmt w:val="bullet"/>
      <w:isLgl w:val="false"/>
      <w:suff w:val="tab"/>
      <w:lvlText w:val=""/>
      <w:lvlJc w:val="left"/>
      <w:pPr>
        <w:pStyle w:val="808"/>
        <w:ind w:left="4000" w:hanging="440"/>
      </w:pPr>
      <w:rPr>
        <w:rFonts w:ascii="Wingdings" w:hAnsi="Wingdings"/>
      </w:rPr>
    </w:lvl>
    <w:lvl w:ilvl="8">
      <w:start w:val="1"/>
      <w:numFmt w:val="bullet"/>
      <w:isLgl w:val="false"/>
      <w:suff w:val="tab"/>
      <w:lvlText w:val=""/>
      <w:lvlJc w:val="left"/>
      <w:pPr>
        <w:pStyle w:val="808"/>
        <w:ind w:left="4440" w:hanging="440"/>
      </w:pPr>
      <w:rPr>
        <w:rFonts w:ascii="Wingdings" w:hAnsi="Wingdings"/>
      </w:rPr>
    </w:lvl>
  </w:abstractNum>
  <w:abstractNum w:abstractNumId="13">
    <w:multiLevelType w:val="hybridMultilevel"/>
    <w:lvl w:ilvl="0">
      <w:start w:val="1"/>
      <w:numFmt w:val="bullet"/>
      <w:isLgl w:val="false"/>
      <w:suff w:val="tab"/>
      <w:lvlText w:val=""/>
      <w:lvlJc w:val="left"/>
      <w:pPr>
        <w:pStyle w:val="808"/>
        <w:ind w:left="920" w:hanging="440"/>
      </w:pPr>
      <w:rPr>
        <w:rFonts w:ascii="Wingdings" w:hAnsi="Wingdings"/>
      </w:rPr>
    </w:lvl>
    <w:lvl w:ilvl="1">
      <w:start w:val="1"/>
      <w:numFmt w:val="bullet"/>
      <w:isLgl w:val="false"/>
      <w:suff w:val="tab"/>
      <w:lvlText w:val=""/>
      <w:lvlJc w:val="left"/>
      <w:pPr>
        <w:pStyle w:val="808"/>
        <w:ind w:left="1360" w:hanging="440"/>
      </w:pPr>
      <w:rPr>
        <w:rFonts w:ascii="Wingdings" w:hAnsi="Wingdings"/>
      </w:rPr>
    </w:lvl>
    <w:lvl w:ilvl="2">
      <w:start w:val="1"/>
      <w:numFmt w:val="bullet"/>
      <w:isLgl w:val="false"/>
      <w:suff w:val="tab"/>
      <w:lvlText w:val=""/>
      <w:lvlJc w:val="left"/>
      <w:pPr>
        <w:pStyle w:val="808"/>
        <w:ind w:left="1800" w:hanging="440"/>
      </w:pPr>
      <w:rPr>
        <w:rFonts w:ascii="Wingdings" w:hAnsi="Wingdings"/>
      </w:rPr>
    </w:lvl>
    <w:lvl w:ilvl="3">
      <w:start w:val="1"/>
      <w:numFmt w:val="bullet"/>
      <w:isLgl w:val="false"/>
      <w:suff w:val="tab"/>
      <w:lvlText w:val=""/>
      <w:lvlJc w:val="left"/>
      <w:pPr>
        <w:pStyle w:val="808"/>
        <w:ind w:left="2240" w:hanging="440"/>
      </w:pPr>
      <w:rPr>
        <w:rFonts w:ascii="Wingdings" w:hAnsi="Wingdings"/>
      </w:rPr>
    </w:lvl>
    <w:lvl w:ilvl="4">
      <w:start w:val="1"/>
      <w:numFmt w:val="bullet"/>
      <w:isLgl w:val="false"/>
      <w:suff w:val="tab"/>
      <w:lvlText w:val=""/>
      <w:lvlJc w:val="left"/>
      <w:pPr>
        <w:pStyle w:val="808"/>
        <w:ind w:left="2680" w:hanging="440"/>
      </w:pPr>
      <w:rPr>
        <w:rFonts w:ascii="Wingdings" w:hAnsi="Wingdings"/>
      </w:rPr>
    </w:lvl>
    <w:lvl w:ilvl="5">
      <w:start w:val="1"/>
      <w:numFmt w:val="bullet"/>
      <w:isLgl w:val="false"/>
      <w:suff w:val="tab"/>
      <w:lvlText w:val=""/>
      <w:lvlJc w:val="left"/>
      <w:pPr>
        <w:pStyle w:val="808"/>
        <w:ind w:left="3120" w:hanging="440"/>
      </w:pPr>
      <w:rPr>
        <w:rFonts w:ascii="Wingdings" w:hAnsi="Wingdings"/>
      </w:rPr>
    </w:lvl>
    <w:lvl w:ilvl="6">
      <w:start w:val="1"/>
      <w:numFmt w:val="bullet"/>
      <w:isLgl w:val="false"/>
      <w:suff w:val="tab"/>
      <w:lvlText w:val=""/>
      <w:lvlJc w:val="left"/>
      <w:pPr>
        <w:pStyle w:val="808"/>
        <w:ind w:left="3560" w:hanging="440"/>
      </w:pPr>
      <w:rPr>
        <w:rFonts w:ascii="Wingdings" w:hAnsi="Wingdings"/>
      </w:rPr>
    </w:lvl>
    <w:lvl w:ilvl="7">
      <w:start w:val="1"/>
      <w:numFmt w:val="bullet"/>
      <w:isLgl w:val="false"/>
      <w:suff w:val="tab"/>
      <w:lvlText w:val=""/>
      <w:lvlJc w:val="left"/>
      <w:pPr>
        <w:pStyle w:val="808"/>
        <w:ind w:left="4000" w:hanging="440"/>
      </w:pPr>
      <w:rPr>
        <w:rFonts w:ascii="Wingdings" w:hAnsi="Wingdings"/>
      </w:rPr>
    </w:lvl>
    <w:lvl w:ilvl="8">
      <w:start w:val="1"/>
      <w:numFmt w:val="bullet"/>
      <w:isLgl w:val="false"/>
      <w:suff w:val="tab"/>
      <w:lvlText w:val=""/>
      <w:lvlJc w:val="left"/>
      <w:pPr>
        <w:pStyle w:val="808"/>
        <w:ind w:left="4440" w:hanging="440"/>
      </w:pPr>
      <w:rPr>
        <w:rFonts w:ascii="Wingdings" w:hAnsi="Wingdings"/>
      </w:rPr>
    </w:lvl>
  </w:abstractNum>
  <w:abstractNum w:abstractNumId="14">
    <w:multiLevelType w:val="hybridMultilevel"/>
    <w:lvl w:ilvl="0">
      <w:start w:val="1"/>
      <w:numFmt w:val="decimal"/>
      <w:isLgl w:val="false"/>
      <w:suff w:val="tab"/>
      <w:lvlText w:val="%1."/>
      <w:lvlJc w:val="left"/>
      <w:pPr>
        <w:pStyle w:val="808"/>
        <w:ind w:left="510" w:hanging="360"/>
        <w:tabs>
          <w:tab w:val="num" w:pos="510" w:leader="none"/>
        </w:tabs>
      </w:pPr>
      <w:rPr>
        <w:rFonts w:hint="eastAsia" w:cs="Times New Roman"/>
      </w:rPr>
    </w:lvl>
    <w:lvl w:ilvl="1">
      <w:start w:val="1"/>
      <w:numFmt w:val="decimal"/>
      <w:isLgl w:val="false"/>
      <w:suff w:val="tab"/>
      <w:lvlText w:val="%2．"/>
      <w:lvlJc w:val="left"/>
      <w:pPr>
        <w:pStyle w:val="808"/>
        <w:ind w:left="1290" w:hanging="720"/>
        <w:tabs>
          <w:tab w:val="num" w:pos="1290" w:leader="none"/>
        </w:tabs>
      </w:pPr>
      <w:rPr>
        <w:rFonts w:hint="eastAsia" w:cs="Times New Roman"/>
      </w:rPr>
    </w:lvl>
    <w:lvl w:ilvl="2">
      <w:start w:val="3"/>
      <w:numFmt w:val="decimal"/>
      <w:isLgl w:val="false"/>
      <w:suff w:val="tab"/>
      <w:lvlText w:val="（%3）"/>
      <w:lvlJc w:val="left"/>
      <w:pPr>
        <w:pStyle w:val="808"/>
        <w:ind w:left="1140" w:hanging="720"/>
        <w:tabs>
          <w:tab w:val="num" w:pos="1140" w:leader="none"/>
        </w:tabs>
      </w:pPr>
      <w:rPr>
        <w:rFonts w:hint="eastAsia" w:cs="Times New Roman"/>
      </w:rPr>
    </w:lvl>
    <w:lvl w:ilvl="3">
      <w:start w:val="1"/>
      <w:numFmt w:val="decimal"/>
      <w:isLgl w:val="false"/>
      <w:suff w:val="tab"/>
      <w:lvlText w:val="（%4）"/>
      <w:lvlJc w:val="left"/>
      <w:pPr>
        <w:pStyle w:val="80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08"/>
        <w:ind w:left="2250" w:hanging="420"/>
        <w:tabs>
          <w:tab w:val="num" w:pos="2250" w:leader="none"/>
        </w:tabs>
      </w:pPr>
      <w:rPr>
        <w:rFonts w:hint="eastAsia"/>
        <w:b/>
        <w:lang w:val="en-US"/>
      </w:rPr>
    </w:lvl>
    <w:lvl w:ilvl="5">
      <w:start w:val="10"/>
      <w:numFmt w:val="japaneseCounting"/>
      <w:isLgl w:val="false"/>
      <w:suff w:val="tab"/>
      <w:lvlText w:val="（%6）"/>
      <w:lvlJc w:val="left"/>
      <w:pPr>
        <w:pStyle w:val="808"/>
        <w:ind w:left="2970" w:hanging="720"/>
      </w:pPr>
      <w:rPr>
        <w:rFonts w:cs="Times New Roman"/>
      </w:rPr>
    </w:lvl>
    <w:lvl w:ilvl="6">
      <w:start w:val="1"/>
      <w:numFmt w:val="decimal"/>
      <w:isLgl w:val="false"/>
      <w:suff w:val="tab"/>
      <w:lvlText w:val="（%7）"/>
      <w:lvlJc w:val="left"/>
      <w:pPr>
        <w:pStyle w:val="80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08"/>
        <w:ind w:left="3510" w:hanging="420"/>
        <w:tabs>
          <w:tab w:val="num" w:pos="3510" w:leader="none"/>
        </w:tabs>
      </w:pPr>
      <w:rPr>
        <w:rFonts w:cs="Times New Roman"/>
      </w:rPr>
    </w:lvl>
    <w:lvl w:ilvl="8">
      <w:start w:val="1"/>
      <w:numFmt w:val="lowerRoman"/>
      <w:isLgl w:val="false"/>
      <w:suff w:val="tab"/>
      <w:lvlText w:val="%9."/>
      <w:lvlJc w:val="right"/>
      <w:pPr>
        <w:pStyle w:val="808"/>
        <w:ind w:left="3930" w:hanging="420"/>
        <w:tabs>
          <w:tab w:val="num" w:pos="3930" w:leader="none"/>
        </w:tabs>
      </w:pPr>
      <w:rPr>
        <w:rFonts w:cs="Times New Roman"/>
      </w:rPr>
    </w:lvl>
  </w:abstractNum>
  <w:abstractNum w:abstractNumId="15">
    <w:multiLevelType w:val="hybridMultilevel"/>
    <w:lvl w:ilvl="0">
      <w:start w:val="1"/>
      <w:numFmt w:val="bullet"/>
      <w:isLgl w:val="false"/>
      <w:suff w:val="tab"/>
      <w:lvlText w:val=""/>
      <w:lvlJc w:val="left"/>
      <w:pPr>
        <w:pStyle w:val="808"/>
        <w:ind w:left="920" w:hanging="440"/>
      </w:pPr>
      <w:rPr>
        <w:rFonts w:ascii="Wingdings" w:hAnsi="Wingdings"/>
      </w:rPr>
    </w:lvl>
    <w:lvl w:ilvl="1">
      <w:start w:val="1"/>
      <w:numFmt w:val="bullet"/>
      <w:isLgl w:val="false"/>
      <w:suff w:val="tab"/>
      <w:lvlText w:val=""/>
      <w:lvlJc w:val="left"/>
      <w:pPr>
        <w:pStyle w:val="808"/>
        <w:ind w:left="1360" w:hanging="440"/>
      </w:pPr>
      <w:rPr>
        <w:rFonts w:ascii="Wingdings" w:hAnsi="Wingdings"/>
      </w:rPr>
    </w:lvl>
    <w:lvl w:ilvl="2">
      <w:start w:val="1"/>
      <w:numFmt w:val="bullet"/>
      <w:isLgl w:val="false"/>
      <w:suff w:val="tab"/>
      <w:lvlText w:val=""/>
      <w:lvlJc w:val="left"/>
      <w:pPr>
        <w:pStyle w:val="808"/>
        <w:ind w:left="1800" w:hanging="440"/>
      </w:pPr>
      <w:rPr>
        <w:rFonts w:ascii="Wingdings" w:hAnsi="Wingdings"/>
      </w:rPr>
    </w:lvl>
    <w:lvl w:ilvl="3">
      <w:start w:val="1"/>
      <w:numFmt w:val="bullet"/>
      <w:isLgl w:val="false"/>
      <w:suff w:val="tab"/>
      <w:lvlText w:val=""/>
      <w:lvlJc w:val="left"/>
      <w:pPr>
        <w:pStyle w:val="808"/>
        <w:ind w:left="2240" w:hanging="440"/>
      </w:pPr>
      <w:rPr>
        <w:rFonts w:ascii="Wingdings" w:hAnsi="Wingdings"/>
      </w:rPr>
    </w:lvl>
    <w:lvl w:ilvl="4">
      <w:start w:val="1"/>
      <w:numFmt w:val="bullet"/>
      <w:isLgl w:val="false"/>
      <w:suff w:val="tab"/>
      <w:lvlText w:val=""/>
      <w:lvlJc w:val="left"/>
      <w:pPr>
        <w:pStyle w:val="808"/>
        <w:ind w:left="2680" w:hanging="440"/>
      </w:pPr>
      <w:rPr>
        <w:rFonts w:ascii="Wingdings" w:hAnsi="Wingdings"/>
      </w:rPr>
    </w:lvl>
    <w:lvl w:ilvl="5">
      <w:start w:val="1"/>
      <w:numFmt w:val="bullet"/>
      <w:isLgl w:val="false"/>
      <w:suff w:val="tab"/>
      <w:lvlText w:val=""/>
      <w:lvlJc w:val="left"/>
      <w:pPr>
        <w:pStyle w:val="808"/>
        <w:ind w:left="3120" w:hanging="440"/>
      </w:pPr>
      <w:rPr>
        <w:rFonts w:ascii="Wingdings" w:hAnsi="Wingdings"/>
      </w:rPr>
    </w:lvl>
    <w:lvl w:ilvl="6">
      <w:start w:val="1"/>
      <w:numFmt w:val="bullet"/>
      <w:isLgl w:val="false"/>
      <w:suff w:val="tab"/>
      <w:lvlText w:val=""/>
      <w:lvlJc w:val="left"/>
      <w:pPr>
        <w:pStyle w:val="808"/>
        <w:ind w:left="3560" w:hanging="440"/>
      </w:pPr>
      <w:rPr>
        <w:rFonts w:ascii="Wingdings" w:hAnsi="Wingdings"/>
      </w:rPr>
    </w:lvl>
    <w:lvl w:ilvl="7">
      <w:start w:val="1"/>
      <w:numFmt w:val="bullet"/>
      <w:isLgl w:val="false"/>
      <w:suff w:val="tab"/>
      <w:lvlText w:val=""/>
      <w:lvlJc w:val="left"/>
      <w:pPr>
        <w:pStyle w:val="808"/>
        <w:ind w:left="4000" w:hanging="440"/>
      </w:pPr>
      <w:rPr>
        <w:rFonts w:ascii="Wingdings" w:hAnsi="Wingdings"/>
      </w:rPr>
    </w:lvl>
    <w:lvl w:ilvl="8">
      <w:start w:val="1"/>
      <w:numFmt w:val="bullet"/>
      <w:isLgl w:val="false"/>
      <w:suff w:val="tab"/>
      <w:lvlText w:val=""/>
      <w:lvlJc w:val="left"/>
      <w:pPr>
        <w:pStyle w:val="808"/>
        <w:ind w:left="4440" w:hanging="440"/>
      </w:pPr>
      <w:rPr>
        <w:rFonts w:ascii="Wingdings" w:hAnsi="Wingdings"/>
      </w:rPr>
    </w:lvl>
  </w:abstractNum>
  <w:abstractNum w:abstractNumId="16">
    <w:multiLevelType w:val="hybridMultilevel"/>
    <w:lvl w:ilvl="0">
      <w:start w:val="1"/>
      <w:numFmt w:val="bullet"/>
      <w:isLgl w:val="false"/>
      <w:suff w:val="tab"/>
      <w:lvlText w:val=""/>
      <w:lvlJc w:val="left"/>
      <w:pPr>
        <w:pStyle w:val="808"/>
        <w:ind w:left="920" w:hanging="440"/>
      </w:pPr>
      <w:rPr>
        <w:rFonts w:ascii="Wingdings" w:hAnsi="Wingdings"/>
      </w:rPr>
    </w:lvl>
    <w:lvl w:ilvl="1">
      <w:start w:val="1"/>
      <w:numFmt w:val="bullet"/>
      <w:isLgl w:val="false"/>
      <w:suff w:val="tab"/>
      <w:lvlText w:val=""/>
      <w:lvlJc w:val="left"/>
      <w:pPr>
        <w:pStyle w:val="808"/>
        <w:ind w:left="1360" w:hanging="440"/>
      </w:pPr>
      <w:rPr>
        <w:rFonts w:ascii="Wingdings" w:hAnsi="Wingdings"/>
      </w:rPr>
    </w:lvl>
    <w:lvl w:ilvl="2">
      <w:start w:val="1"/>
      <w:numFmt w:val="bullet"/>
      <w:isLgl w:val="false"/>
      <w:suff w:val="tab"/>
      <w:lvlText w:val=""/>
      <w:lvlJc w:val="left"/>
      <w:pPr>
        <w:pStyle w:val="808"/>
        <w:ind w:left="1800" w:hanging="440"/>
      </w:pPr>
      <w:rPr>
        <w:rFonts w:ascii="Wingdings" w:hAnsi="Wingdings"/>
      </w:rPr>
    </w:lvl>
    <w:lvl w:ilvl="3">
      <w:start w:val="1"/>
      <w:numFmt w:val="bullet"/>
      <w:isLgl w:val="false"/>
      <w:suff w:val="tab"/>
      <w:lvlText w:val=""/>
      <w:lvlJc w:val="left"/>
      <w:pPr>
        <w:pStyle w:val="808"/>
        <w:ind w:left="2240" w:hanging="440"/>
      </w:pPr>
      <w:rPr>
        <w:rFonts w:ascii="Wingdings" w:hAnsi="Wingdings"/>
      </w:rPr>
    </w:lvl>
    <w:lvl w:ilvl="4">
      <w:start w:val="1"/>
      <w:numFmt w:val="bullet"/>
      <w:isLgl w:val="false"/>
      <w:suff w:val="tab"/>
      <w:lvlText w:val=""/>
      <w:lvlJc w:val="left"/>
      <w:pPr>
        <w:pStyle w:val="808"/>
        <w:ind w:left="2680" w:hanging="440"/>
      </w:pPr>
      <w:rPr>
        <w:rFonts w:ascii="Wingdings" w:hAnsi="Wingdings"/>
      </w:rPr>
    </w:lvl>
    <w:lvl w:ilvl="5">
      <w:start w:val="1"/>
      <w:numFmt w:val="bullet"/>
      <w:isLgl w:val="false"/>
      <w:suff w:val="tab"/>
      <w:lvlText w:val=""/>
      <w:lvlJc w:val="left"/>
      <w:pPr>
        <w:pStyle w:val="808"/>
        <w:ind w:left="3120" w:hanging="440"/>
      </w:pPr>
      <w:rPr>
        <w:rFonts w:ascii="Wingdings" w:hAnsi="Wingdings"/>
      </w:rPr>
    </w:lvl>
    <w:lvl w:ilvl="6">
      <w:start w:val="1"/>
      <w:numFmt w:val="bullet"/>
      <w:isLgl w:val="false"/>
      <w:suff w:val="tab"/>
      <w:lvlText w:val=""/>
      <w:lvlJc w:val="left"/>
      <w:pPr>
        <w:pStyle w:val="808"/>
        <w:ind w:left="3560" w:hanging="440"/>
      </w:pPr>
      <w:rPr>
        <w:rFonts w:ascii="Wingdings" w:hAnsi="Wingdings"/>
      </w:rPr>
    </w:lvl>
    <w:lvl w:ilvl="7">
      <w:start w:val="1"/>
      <w:numFmt w:val="bullet"/>
      <w:isLgl w:val="false"/>
      <w:suff w:val="tab"/>
      <w:lvlText w:val=""/>
      <w:lvlJc w:val="left"/>
      <w:pPr>
        <w:pStyle w:val="808"/>
        <w:ind w:left="4000" w:hanging="440"/>
      </w:pPr>
      <w:rPr>
        <w:rFonts w:ascii="Wingdings" w:hAnsi="Wingdings"/>
      </w:rPr>
    </w:lvl>
    <w:lvl w:ilvl="8">
      <w:start w:val="1"/>
      <w:numFmt w:val="bullet"/>
      <w:isLgl w:val="false"/>
      <w:suff w:val="tab"/>
      <w:lvlText w:val=""/>
      <w:lvlJc w:val="left"/>
      <w:pPr>
        <w:pStyle w:val="808"/>
        <w:ind w:left="4440" w:hanging="440"/>
      </w:pPr>
      <w:rPr>
        <w:rFonts w:ascii="Wingdings" w:hAnsi="Wingdings"/>
      </w:rPr>
    </w:lvl>
  </w:abstractNum>
  <w:abstractNum w:abstractNumId="17">
    <w:multiLevelType w:val="hybridMultilevel"/>
    <w:lvl w:ilvl="0">
      <w:start w:val="1"/>
      <w:numFmt w:val="bullet"/>
      <w:isLgl w:val="false"/>
      <w:suff w:val="tab"/>
      <w:lvlText w:val=""/>
      <w:lvlJc w:val="left"/>
      <w:pPr>
        <w:pStyle w:val="808"/>
        <w:ind w:left="920" w:hanging="440"/>
      </w:pPr>
      <w:rPr>
        <w:rFonts w:ascii="Wingdings" w:hAnsi="Wingdings"/>
      </w:rPr>
    </w:lvl>
    <w:lvl w:ilvl="1">
      <w:start w:val="1"/>
      <w:numFmt w:val="bullet"/>
      <w:isLgl w:val="false"/>
      <w:suff w:val="tab"/>
      <w:lvlText w:val=""/>
      <w:lvlJc w:val="left"/>
      <w:pPr>
        <w:pStyle w:val="808"/>
        <w:ind w:left="1360" w:hanging="440"/>
      </w:pPr>
      <w:rPr>
        <w:rFonts w:ascii="Wingdings" w:hAnsi="Wingdings"/>
      </w:rPr>
    </w:lvl>
    <w:lvl w:ilvl="2">
      <w:start w:val="1"/>
      <w:numFmt w:val="bullet"/>
      <w:isLgl w:val="false"/>
      <w:suff w:val="tab"/>
      <w:lvlText w:val=""/>
      <w:lvlJc w:val="left"/>
      <w:pPr>
        <w:pStyle w:val="808"/>
        <w:ind w:left="1800" w:hanging="440"/>
      </w:pPr>
      <w:rPr>
        <w:rFonts w:ascii="Wingdings" w:hAnsi="Wingdings"/>
      </w:rPr>
    </w:lvl>
    <w:lvl w:ilvl="3">
      <w:start w:val="1"/>
      <w:numFmt w:val="bullet"/>
      <w:isLgl w:val="false"/>
      <w:suff w:val="tab"/>
      <w:lvlText w:val=""/>
      <w:lvlJc w:val="left"/>
      <w:pPr>
        <w:pStyle w:val="808"/>
        <w:ind w:left="2240" w:hanging="440"/>
      </w:pPr>
      <w:rPr>
        <w:rFonts w:ascii="Wingdings" w:hAnsi="Wingdings"/>
      </w:rPr>
    </w:lvl>
    <w:lvl w:ilvl="4">
      <w:start w:val="1"/>
      <w:numFmt w:val="bullet"/>
      <w:isLgl w:val="false"/>
      <w:suff w:val="tab"/>
      <w:lvlText w:val=""/>
      <w:lvlJc w:val="left"/>
      <w:pPr>
        <w:pStyle w:val="808"/>
        <w:ind w:left="2680" w:hanging="440"/>
      </w:pPr>
      <w:rPr>
        <w:rFonts w:ascii="Wingdings" w:hAnsi="Wingdings"/>
      </w:rPr>
    </w:lvl>
    <w:lvl w:ilvl="5">
      <w:start w:val="1"/>
      <w:numFmt w:val="bullet"/>
      <w:isLgl w:val="false"/>
      <w:suff w:val="tab"/>
      <w:lvlText w:val=""/>
      <w:lvlJc w:val="left"/>
      <w:pPr>
        <w:pStyle w:val="808"/>
        <w:ind w:left="3120" w:hanging="440"/>
      </w:pPr>
      <w:rPr>
        <w:rFonts w:ascii="Wingdings" w:hAnsi="Wingdings"/>
      </w:rPr>
    </w:lvl>
    <w:lvl w:ilvl="6">
      <w:start w:val="1"/>
      <w:numFmt w:val="bullet"/>
      <w:isLgl w:val="false"/>
      <w:suff w:val="tab"/>
      <w:lvlText w:val=""/>
      <w:lvlJc w:val="left"/>
      <w:pPr>
        <w:pStyle w:val="808"/>
        <w:ind w:left="3560" w:hanging="440"/>
      </w:pPr>
      <w:rPr>
        <w:rFonts w:ascii="Wingdings" w:hAnsi="Wingdings"/>
      </w:rPr>
    </w:lvl>
    <w:lvl w:ilvl="7">
      <w:start w:val="1"/>
      <w:numFmt w:val="bullet"/>
      <w:isLgl w:val="false"/>
      <w:suff w:val="tab"/>
      <w:lvlText w:val=""/>
      <w:lvlJc w:val="left"/>
      <w:pPr>
        <w:pStyle w:val="808"/>
        <w:ind w:left="4000" w:hanging="440"/>
      </w:pPr>
      <w:rPr>
        <w:rFonts w:ascii="Wingdings" w:hAnsi="Wingdings"/>
      </w:rPr>
    </w:lvl>
    <w:lvl w:ilvl="8">
      <w:start w:val="1"/>
      <w:numFmt w:val="bullet"/>
      <w:isLgl w:val="false"/>
      <w:suff w:val="tab"/>
      <w:lvlText w:val=""/>
      <w:lvlJc w:val="left"/>
      <w:pPr>
        <w:pStyle w:val="808"/>
        <w:ind w:left="4440" w:hanging="440"/>
      </w:pPr>
      <w:rPr>
        <w:rFonts w:ascii="Wingdings" w:hAnsi="Wingdings"/>
      </w:rPr>
    </w:lvl>
  </w:abstractNum>
  <w:abstractNum w:abstractNumId="18">
    <w:multiLevelType w:val="hybridMultilevel"/>
    <w:lvl w:ilvl="0">
      <w:start w:val="1"/>
      <w:numFmt w:val="decimal"/>
      <w:isLgl w:val="false"/>
      <w:suff w:val="tab"/>
      <w:lvlText w:val="%1."/>
      <w:lvlJc w:val="left"/>
      <w:pPr>
        <w:pStyle w:val="808"/>
        <w:ind w:left="425" w:hanging="425"/>
      </w:pPr>
      <w:rPr>
        <w:rFonts w:hint="eastAsia"/>
      </w:rPr>
    </w:lvl>
    <w:lvl w:ilvl="1">
      <w:start w:val="1"/>
      <w:numFmt w:val="decimal"/>
      <w:isLgl w:val="false"/>
      <w:suff w:val="tab"/>
      <w:lvlText w:val="%1.%2."/>
      <w:lvlJc w:val="left"/>
      <w:pPr>
        <w:pStyle w:val="808"/>
        <w:ind w:left="567" w:hanging="567"/>
      </w:pPr>
      <w:rPr>
        <w:rFonts w:hint="eastAsia"/>
      </w:rPr>
    </w:lvl>
    <w:lvl w:ilvl="2">
      <w:start w:val="1"/>
      <w:numFmt w:val="decimal"/>
      <w:isLgl w:val="false"/>
      <w:suff w:val="tab"/>
      <w:lvlText w:val="3.2.%3"/>
      <w:lvlJc w:val="left"/>
      <w:pPr>
        <w:pStyle w:val="808"/>
        <w:ind w:left="709" w:hanging="709"/>
      </w:pPr>
      <w:rPr>
        <w:rFonts w:hint="eastAsia"/>
      </w:rPr>
    </w:lvl>
    <w:lvl w:ilvl="3">
      <w:start w:val="1"/>
      <w:numFmt w:val="decimal"/>
      <w:isLgl w:val="false"/>
      <w:suff w:val="tab"/>
      <w:lvlText w:val="%1.%2.%3.%4."/>
      <w:lvlJc w:val="left"/>
      <w:pPr>
        <w:pStyle w:val="808"/>
        <w:ind w:left="851" w:hanging="851"/>
      </w:pPr>
      <w:rPr>
        <w:rFonts w:hint="eastAsia"/>
      </w:rPr>
    </w:lvl>
    <w:lvl w:ilvl="4">
      <w:start w:val="1"/>
      <w:numFmt w:val="decimal"/>
      <w:isLgl w:val="false"/>
      <w:suff w:val="tab"/>
      <w:lvlText w:val="%1.%2.%3.%4.%5."/>
      <w:lvlJc w:val="left"/>
      <w:pPr>
        <w:pStyle w:val="808"/>
        <w:ind w:left="992" w:hanging="992"/>
      </w:pPr>
      <w:rPr>
        <w:rFonts w:hint="eastAsia"/>
      </w:rPr>
    </w:lvl>
    <w:lvl w:ilvl="5">
      <w:start w:val="1"/>
      <w:numFmt w:val="decimal"/>
      <w:isLgl w:val="false"/>
      <w:suff w:val="tab"/>
      <w:lvlText w:val="%1.%2.%3.%4.%5.%6."/>
      <w:lvlJc w:val="left"/>
      <w:pPr>
        <w:pStyle w:val="808"/>
        <w:ind w:left="1134" w:hanging="1134"/>
      </w:pPr>
      <w:rPr>
        <w:rFonts w:hint="eastAsia"/>
      </w:rPr>
    </w:lvl>
    <w:lvl w:ilvl="6">
      <w:start w:val="1"/>
      <w:numFmt w:val="decimal"/>
      <w:isLgl w:val="false"/>
      <w:suff w:val="tab"/>
      <w:lvlText w:val="%1.%2.%3.%4.%5.%6.%7."/>
      <w:lvlJc w:val="left"/>
      <w:pPr>
        <w:pStyle w:val="808"/>
        <w:ind w:left="1276" w:hanging="1276"/>
      </w:pPr>
      <w:rPr>
        <w:rFonts w:hint="eastAsia"/>
      </w:rPr>
    </w:lvl>
    <w:lvl w:ilvl="7">
      <w:start w:val="1"/>
      <w:numFmt w:val="decimal"/>
      <w:isLgl w:val="false"/>
      <w:suff w:val="tab"/>
      <w:lvlText w:val="%1.%2.%3.%4.%5.%6.%7.%8."/>
      <w:lvlJc w:val="left"/>
      <w:pPr>
        <w:pStyle w:val="808"/>
        <w:ind w:left="1418" w:hanging="1418"/>
      </w:pPr>
      <w:rPr>
        <w:rFonts w:hint="eastAsia"/>
      </w:rPr>
    </w:lvl>
    <w:lvl w:ilvl="8">
      <w:start w:val="1"/>
      <w:numFmt w:val="decimal"/>
      <w:isLgl w:val="false"/>
      <w:suff w:val="tab"/>
      <w:lvlText w:val="%1.%2.%3.%4.%5.%6.%7.%8.%9."/>
      <w:lvlJc w:val="left"/>
      <w:pPr>
        <w:pStyle w:val="808"/>
        <w:ind w:left="1559" w:hanging="1559"/>
      </w:pPr>
      <w:rPr>
        <w:rFonts w:hint="eastAsia"/>
      </w:rPr>
    </w:lvl>
  </w:abstractNum>
  <w:abstractNum w:abstractNumId="19">
    <w:multiLevelType w:val="hybridMultilevel"/>
    <w:lvl w:ilvl="0">
      <w:start w:val="1"/>
      <w:numFmt w:val="decimal"/>
      <w:isLgl w:val="false"/>
      <w:suff w:val="tab"/>
      <w:lvlText w:val="%1、"/>
      <w:lvlJc w:val="left"/>
      <w:pPr>
        <w:pStyle w:val="808"/>
        <w:ind w:left="927" w:hanging="360"/>
      </w:pPr>
    </w:lvl>
    <w:lvl w:ilvl="1">
      <w:start w:val="1"/>
      <w:numFmt w:val="lowerLetter"/>
      <w:isLgl w:val="false"/>
      <w:suff w:val="tab"/>
      <w:lvlText w:val="%2)"/>
      <w:lvlJc w:val="left"/>
      <w:pPr>
        <w:pStyle w:val="808"/>
        <w:ind w:left="1447" w:hanging="440"/>
      </w:pPr>
    </w:lvl>
    <w:lvl w:ilvl="2">
      <w:start w:val="1"/>
      <w:numFmt w:val="lowerRoman"/>
      <w:isLgl w:val="false"/>
      <w:suff w:val="tab"/>
      <w:lvlText w:val="%3."/>
      <w:lvlJc w:val="right"/>
      <w:pPr>
        <w:pStyle w:val="808"/>
        <w:ind w:left="1887" w:hanging="440"/>
      </w:pPr>
    </w:lvl>
    <w:lvl w:ilvl="3">
      <w:start w:val="1"/>
      <w:numFmt w:val="decimal"/>
      <w:isLgl w:val="false"/>
      <w:suff w:val="tab"/>
      <w:lvlText w:val="%4."/>
      <w:lvlJc w:val="left"/>
      <w:pPr>
        <w:pStyle w:val="808"/>
        <w:ind w:left="2327" w:hanging="440"/>
      </w:pPr>
    </w:lvl>
    <w:lvl w:ilvl="4">
      <w:start w:val="1"/>
      <w:numFmt w:val="lowerLetter"/>
      <w:isLgl w:val="false"/>
      <w:suff w:val="tab"/>
      <w:lvlText w:val="%5)"/>
      <w:lvlJc w:val="left"/>
      <w:pPr>
        <w:pStyle w:val="808"/>
        <w:ind w:left="2767" w:hanging="440"/>
      </w:pPr>
    </w:lvl>
    <w:lvl w:ilvl="5">
      <w:start w:val="1"/>
      <w:numFmt w:val="lowerRoman"/>
      <w:isLgl w:val="false"/>
      <w:suff w:val="tab"/>
      <w:lvlText w:val="%6."/>
      <w:lvlJc w:val="right"/>
      <w:pPr>
        <w:pStyle w:val="808"/>
        <w:ind w:left="3207" w:hanging="440"/>
      </w:pPr>
    </w:lvl>
    <w:lvl w:ilvl="6">
      <w:start w:val="1"/>
      <w:numFmt w:val="decimal"/>
      <w:isLgl w:val="false"/>
      <w:suff w:val="tab"/>
      <w:lvlText w:val="%7."/>
      <w:lvlJc w:val="left"/>
      <w:pPr>
        <w:pStyle w:val="808"/>
        <w:ind w:left="3647" w:hanging="440"/>
      </w:pPr>
    </w:lvl>
    <w:lvl w:ilvl="7">
      <w:start w:val="1"/>
      <w:numFmt w:val="lowerLetter"/>
      <w:isLgl w:val="false"/>
      <w:suff w:val="tab"/>
      <w:lvlText w:val="%8)"/>
      <w:lvlJc w:val="left"/>
      <w:pPr>
        <w:pStyle w:val="808"/>
        <w:ind w:left="4087" w:hanging="440"/>
      </w:pPr>
    </w:lvl>
    <w:lvl w:ilvl="8">
      <w:start w:val="1"/>
      <w:numFmt w:val="lowerRoman"/>
      <w:isLgl w:val="false"/>
      <w:suff w:val="tab"/>
      <w:lvlText w:val="%9."/>
      <w:lvlJc w:val="right"/>
      <w:pPr>
        <w:pStyle w:val="808"/>
        <w:ind w:left="4527" w:hanging="440"/>
      </w:pPr>
    </w:lvl>
  </w:abstractNum>
  <w:abstractNum w:abstractNumId="20">
    <w:multiLevelType w:val="hybridMultilevel"/>
    <w:lvl w:ilvl="0">
      <w:start w:val="1"/>
      <w:numFmt w:val="bullet"/>
      <w:isLgl w:val="false"/>
      <w:suff w:val="tab"/>
      <w:lvlText w:val=""/>
      <w:lvlJc w:val="left"/>
      <w:pPr>
        <w:pStyle w:val="808"/>
        <w:ind w:left="920" w:hanging="440"/>
      </w:pPr>
      <w:rPr>
        <w:rFonts w:ascii="Wingdings" w:hAnsi="Wingdings"/>
      </w:rPr>
    </w:lvl>
    <w:lvl w:ilvl="1">
      <w:start w:val="1"/>
      <w:numFmt w:val="bullet"/>
      <w:isLgl w:val="false"/>
      <w:suff w:val="tab"/>
      <w:lvlText w:val=""/>
      <w:lvlJc w:val="left"/>
      <w:pPr>
        <w:pStyle w:val="808"/>
        <w:ind w:left="1360" w:hanging="440"/>
      </w:pPr>
      <w:rPr>
        <w:rFonts w:ascii="Wingdings" w:hAnsi="Wingdings"/>
      </w:rPr>
    </w:lvl>
    <w:lvl w:ilvl="2">
      <w:start w:val="1"/>
      <w:numFmt w:val="bullet"/>
      <w:isLgl w:val="false"/>
      <w:suff w:val="tab"/>
      <w:lvlText w:val=""/>
      <w:lvlJc w:val="left"/>
      <w:pPr>
        <w:pStyle w:val="808"/>
        <w:ind w:left="1800" w:hanging="440"/>
      </w:pPr>
      <w:rPr>
        <w:rFonts w:ascii="Wingdings" w:hAnsi="Wingdings"/>
      </w:rPr>
    </w:lvl>
    <w:lvl w:ilvl="3">
      <w:start w:val="1"/>
      <w:numFmt w:val="bullet"/>
      <w:isLgl w:val="false"/>
      <w:suff w:val="tab"/>
      <w:lvlText w:val=""/>
      <w:lvlJc w:val="left"/>
      <w:pPr>
        <w:pStyle w:val="808"/>
        <w:ind w:left="920" w:hanging="440"/>
      </w:pPr>
      <w:rPr>
        <w:rFonts w:ascii="Wingdings" w:hAnsi="Wingdings"/>
      </w:rPr>
    </w:lvl>
    <w:lvl w:ilvl="4">
      <w:start w:val="1"/>
      <w:numFmt w:val="bullet"/>
      <w:isLgl w:val="false"/>
      <w:suff w:val="tab"/>
      <w:lvlText w:val=""/>
      <w:lvlJc w:val="left"/>
      <w:pPr>
        <w:pStyle w:val="808"/>
        <w:ind w:left="2680" w:hanging="440"/>
      </w:pPr>
      <w:rPr>
        <w:rFonts w:ascii="Wingdings" w:hAnsi="Wingdings"/>
      </w:rPr>
    </w:lvl>
    <w:lvl w:ilvl="5">
      <w:start w:val="1"/>
      <w:numFmt w:val="bullet"/>
      <w:isLgl w:val="false"/>
      <w:suff w:val="tab"/>
      <w:lvlText w:val=""/>
      <w:lvlJc w:val="left"/>
      <w:pPr>
        <w:pStyle w:val="808"/>
        <w:ind w:left="3120" w:hanging="440"/>
      </w:pPr>
      <w:rPr>
        <w:rFonts w:ascii="Wingdings" w:hAnsi="Wingdings"/>
      </w:rPr>
    </w:lvl>
    <w:lvl w:ilvl="6">
      <w:start w:val="1"/>
      <w:numFmt w:val="bullet"/>
      <w:isLgl w:val="false"/>
      <w:suff w:val="tab"/>
      <w:lvlText w:val=""/>
      <w:lvlJc w:val="left"/>
      <w:pPr>
        <w:pStyle w:val="808"/>
        <w:ind w:left="3560" w:hanging="440"/>
      </w:pPr>
      <w:rPr>
        <w:rFonts w:ascii="Wingdings" w:hAnsi="Wingdings"/>
      </w:rPr>
    </w:lvl>
    <w:lvl w:ilvl="7">
      <w:start w:val="1"/>
      <w:numFmt w:val="bullet"/>
      <w:isLgl w:val="false"/>
      <w:suff w:val="tab"/>
      <w:lvlText w:val=""/>
      <w:lvlJc w:val="left"/>
      <w:pPr>
        <w:pStyle w:val="808"/>
        <w:ind w:left="4000" w:hanging="440"/>
      </w:pPr>
      <w:rPr>
        <w:rFonts w:ascii="Wingdings" w:hAnsi="Wingdings"/>
      </w:rPr>
    </w:lvl>
    <w:lvl w:ilvl="8">
      <w:start w:val="1"/>
      <w:numFmt w:val="bullet"/>
      <w:isLgl w:val="false"/>
      <w:suff w:val="tab"/>
      <w:lvlText w:val=""/>
      <w:lvlJc w:val="left"/>
      <w:pPr>
        <w:pStyle w:val="808"/>
        <w:ind w:left="4440" w:hanging="440"/>
      </w:pPr>
      <w:rPr>
        <w:rFonts w:ascii="Wingdings" w:hAnsi="Wingdings"/>
      </w:rPr>
    </w:lvl>
  </w:abstractNum>
  <w:abstractNum w:abstractNumId="21">
    <w:multiLevelType w:val="hybridMultilevel"/>
    <w:lvl w:ilvl="0">
      <w:start w:val="1"/>
      <w:numFmt w:val="decimal"/>
      <w:isLgl w:val="false"/>
      <w:suff w:val="tab"/>
      <w:lvlText w:val="%1."/>
      <w:lvlJc w:val="left"/>
      <w:pPr>
        <w:pStyle w:val="808"/>
        <w:ind w:left="510" w:hanging="360"/>
        <w:tabs>
          <w:tab w:val="num" w:pos="510" w:leader="none"/>
        </w:tabs>
      </w:pPr>
      <w:rPr>
        <w:rFonts w:hint="eastAsia" w:cs="Times New Roman"/>
      </w:rPr>
    </w:lvl>
    <w:lvl w:ilvl="1">
      <w:start w:val="1"/>
      <w:numFmt w:val="decimal"/>
      <w:isLgl w:val="false"/>
      <w:suff w:val="tab"/>
      <w:lvlText w:val="%2．"/>
      <w:lvlJc w:val="left"/>
      <w:pPr>
        <w:pStyle w:val="808"/>
        <w:ind w:left="1290" w:hanging="720"/>
        <w:tabs>
          <w:tab w:val="num" w:pos="1290" w:leader="none"/>
        </w:tabs>
      </w:pPr>
      <w:rPr>
        <w:rFonts w:hint="eastAsia" w:cs="Times New Roman"/>
      </w:rPr>
    </w:lvl>
    <w:lvl w:ilvl="2">
      <w:start w:val="3"/>
      <w:numFmt w:val="decimal"/>
      <w:isLgl w:val="false"/>
      <w:suff w:val="tab"/>
      <w:lvlText w:val="（%3）"/>
      <w:lvlJc w:val="left"/>
      <w:pPr>
        <w:pStyle w:val="808"/>
        <w:ind w:left="1140" w:hanging="720"/>
        <w:tabs>
          <w:tab w:val="num" w:pos="1140" w:leader="none"/>
        </w:tabs>
      </w:pPr>
      <w:rPr>
        <w:rFonts w:hint="eastAsia" w:cs="Times New Roman"/>
      </w:rPr>
    </w:lvl>
    <w:lvl w:ilvl="3">
      <w:start w:val="1"/>
      <w:numFmt w:val="decimal"/>
      <w:isLgl w:val="false"/>
      <w:suff w:val="tab"/>
      <w:lvlText w:val="（%4）"/>
      <w:lvlJc w:val="left"/>
      <w:pPr>
        <w:pStyle w:val="80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08"/>
        <w:ind w:left="2250" w:hanging="420"/>
        <w:tabs>
          <w:tab w:val="num" w:pos="2250" w:leader="none"/>
        </w:tabs>
      </w:pPr>
      <w:rPr>
        <w:rFonts w:hint="eastAsia"/>
        <w:b/>
        <w:lang w:val="en-US"/>
      </w:rPr>
    </w:lvl>
    <w:lvl w:ilvl="5">
      <w:start w:val="10"/>
      <w:numFmt w:val="japaneseCounting"/>
      <w:isLgl w:val="false"/>
      <w:suff w:val="tab"/>
      <w:lvlText w:val="（%6）"/>
      <w:lvlJc w:val="left"/>
      <w:pPr>
        <w:pStyle w:val="808"/>
        <w:ind w:left="2970" w:hanging="720"/>
      </w:pPr>
      <w:rPr>
        <w:rFonts w:cs="Times New Roman"/>
      </w:rPr>
    </w:lvl>
    <w:lvl w:ilvl="6">
      <w:start w:val="1"/>
      <w:numFmt w:val="decimal"/>
      <w:isLgl w:val="false"/>
      <w:suff w:val="tab"/>
      <w:lvlText w:val="（%7）"/>
      <w:lvlJc w:val="left"/>
      <w:pPr>
        <w:pStyle w:val="80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08"/>
        <w:ind w:left="3510" w:hanging="420"/>
        <w:tabs>
          <w:tab w:val="num" w:pos="3510" w:leader="none"/>
        </w:tabs>
      </w:pPr>
      <w:rPr>
        <w:rFonts w:cs="Times New Roman"/>
      </w:rPr>
    </w:lvl>
    <w:lvl w:ilvl="8">
      <w:start w:val="1"/>
      <w:numFmt w:val="lowerRoman"/>
      <w:isLgl w:val="false"/>
      <w:suff w:val="tab"/>
      <w:lvlText w:val="%9."/>
      <w:lvlJc w:val="right"/>
      <w:pPr>
        <w:pStyle w:val="808"/>
        <w:ind w:left="3930" w:hanging="420"/>
        <w:tabs>
          <w:tab w:val="num" w:pos="3930" w:leader="none"/>
        </w:tabs>
      </w:pPr>
      <w:rPr>
        <w:rFonts w:cs="Times New Roman"/>
      </w:rPr>
    </w:lvl>
  </w:abstractNum>
  <w:abstractNum w:abstractNumId="22">
    <w:multiLevelType w:val="hybridMultilevel"/>
    <w:lvl w:ilvl="0">
      <w:start w:val="1"/>
      <w:numFmt w:val="bullet"/>
      <w:isLgl w:val="false"/>
      <w:suff w:val="tab"/>
      <w:lvlText w:val=""/>
      <w:lvlJc w:val="left"/>
      <w:pPr>
        <w:pStyle w:val="808"/>
        <w:ind w:left="920" w:hanging="440"/>
      </w:pPr>
      <w:rPr>
        <w:rFonts w:ascii="Wingdings" w:hAnsi="Wingdings"/>
      </w:rPr>
    </w:lvl>
    <w:lvl w:ilvl="1">
      <w:start w:val="1"/>
      <w:numFmt w:val="bullet"/>
      <w:isLgl w:val="false"/>
      <w:suff w:val="tab"/>
      <w:lvlText w:val=""/>
      <w:lvlJc w:val="left"/>
      <w:pPr>
        <w:pStyle w:val="808"/>
        <w:ind w:left="1360" w:hanging="440"/>
      </w:pPr>
      <w:rPr>
        <w:rFonts w:ascii="Wingdings" w:hAnsi="Wingdings"/>
      </w:rPr>
    </w:lvl>
    <w:lvl w:ilvl="2">
      <w:start w:val="1"/>
      <w:numFmt w:val="bullet"/>
      <w:isLgl w:val="false"/>
      <w:suff w:val="tab"/>
      <w:lvlText w:val=""/>
      <w:lvlJc w:val="left"/>
      <w:pPr>
        <w:pStyle w:val="808"/>
        <w:ind w:left="1800" w:hanging="440"/>
      </w:pPr>
      <w:rPr>
        <w:rFonts w:ascii="Wingdings" w:hAnsi="Wingdings"/>
      </w:rPr>
    </w:lvl>
    <w:lvl w:ilvl="3">
      <w:start w:val="1"/>
      <w:numFmt w:val="bullet"/>
      <w:isLgl w:val="false"/>
      <w:suff w:val="tab"/>
      <w:lvlText w:val=""/>
      <w:lvlJc w:val="left"/>
      <w:pPr>
        <w:pStyle w:val="808"/>
        <w:ind w:left="2240" w:hanging="440"/>
      </w:pPr>
      <w:rPr>
        <w:rFonts w:ascii="Wingdings" w:hAnsi="Wingdings"/>
      </w:rPr>
    </w:lvl>
    <w:lvl w:ilvl="4">
      <w:start w:val="1"/>
      <w:numFmt w:val="bullet"/>
      <w:isLgl w:val="false"/>
      <w:suff w:val="tab"/>
      <w:lvlText w:val=""/>
      <w:lvlJc w:val="left"/>
      <w:pPr>
        <w:pStyle w:val="808"/>
        <w:ind w:left="2680" w:hanging="440"/>
      </w:pPr>
      <w:rPr>
        <w:rFonts w:ascii="Wingdings" w:hAnsi="Wingdings"/>
      </w:rPr>
    </w:lvl>
    <w:lvl w:ilvl="5">
      <w:start w:val="1"/>
      <w:numFmt w:val="bullet"/>
      <w:isLgl w:val="false"/>
      <w:suff w:val="tab"/>
      <w:lvlText w:val=""/>
      <w:lvlJc w:val="left"/>
      <w:pPr>
        <w:pStyle w:val="808"/>
        <w:ind w:left="3120" w:hanging="440"/>
      </w:pPr>
      <w:rPr>
        <w:rFonts w:ascii="Wingdings" w:hAnsi="Wingdings"/>
      </w:rPr>
    </w:lvl>
    <w:lvl w:ilvl="6">
      <w:start w:val="1"/>
      <w:numFmt w:val="bullet"/>
      <w:isLgl w:val="false"/>
      <w:suff w:val="tab"/>
      <w:lvlText w:val=""/>
      <w:lvlJc w:val="left"/>
      <w:pPr>
        <w:pStyle w:val="808"/>
        <w:ind w:left="3560" w:hanging="440"/>
      </w:pPr>
      <w:rPr>
        <w:rFonts w:ascii="Wingdings" w:hAnsi="Wingdings"/>
      </w:rPr>
    </w:lvl>
    <w:lvl w:ilvl="7">
      <w:start w:val="1"/>
      <w:numFmt w:val="bullet"/>
      <w:isLgl w:val="false"/>
      <w:suff w:val="tab"/>
      <w:lvlText w:val=""/>
      <w:lvlJc w:val="left"/>
      <w:pPr>
        <w:pStyle w:val="808"/>
        <w:ind w:left="4000" w:hanging="440"/>
      </w:pPr>
      <w:rPr>
        <w:rFonts w:ascii="Wingdings" w:hAnsi="Wingdings"/>
      </w:rPr>
    </w:lvl>
    <w:lvl w:ilvl="8">
      <w:start w:val="1"/>
      <w:numFmt w:val="bullet"/>
      <w:isLgl w:val="false"/>
      <w:suff w:val="tab"/>
      <w:lvlText w:val=""/>
      <w:lvlJc w:val="left"/>
      <w:pPr>
        <w:pStyle w:val="808"/>
        <w:ind w:left="4440" w:hanging="440"/>
      </w:pPr>
      <w:rPr>
        <w:rFonts w:ascii="Wingdings" w:hAnsi="Wingdings"/>
      </w:rPr>
    </w:lvl>
  </w:abstractNum>
  <w:abstractNum w:abstractNumId="23">
    <w:multiLevelType w:val="hybridMultilevel"/>
    <w:lvl w:ilvl="0">
      <w:start w:val="1"/>
      <w:numFmt w:val="decimal"/>
      <w:pStyle w:val="905"/>
      <w:isLgl w:val="false"/>
      <w:suff w:val="tab"/>
      <w:lvlText w:val="%1."/>
      <w:lvlJc w:val="left"/>
      <w:pPr>
        <w:pStyle w:val="808"/>
        <w:ind w:left="709" w:hanging="709"/>
        <w:tabs>
          <w:tab w:val="num" w:pos="709" w:leader="none"/>
        </w:tabs>
      </w:pPr>
      <w:rPr>
        <w:rFonts w:hint="eastAsia"/>
      </w:rPr>
    </w:lvl>
    <w:lvl w:ilvl="1">
      <w:start w:val="1"/>
      <w:numFmt w:val="decimal"/>
      <w:isLgl w:val="false"/>
      <w:suff w:val="tab"/>
      <w:lvlText w:val="%1.%2"/>
      <w:lvlJc w:val="left"/>
      <w:pPr>
        <w:pStyle w:val="808"/>
        <w:ind w:left="709" w:hanging="709"/>
        <w:tabs>
          <w:tab w:val="num" w:pos="709" w:leader="none"/>
        </w:tabs>
      </w:pPr>
      <w:rPr>
        <w:rFonts w:hint="eastAsia"/>
      </w:rPr>
    </w:lvl>
    <w:lvl w:ilvl="2">
      <w:start w:val="1"/>
      <w:numFmt w:val="decimal"/>
      <w:isLgl w:val="false"/>
      <w:suff w:val="tab"/>
      <w:lvlText w:val="%1.%2.%3."/>
      <w:lvlJc w:val="left"/>
      <w:pPr>
        <w:pStyle w:val="808"/>
        <w:ind w:left="425" w:hanging="425"/>
        <w:tabs>
          <w:tab w:val="num" w:pos="425" w:leader="none"/>
        </w:tabs>
      </w:pPr>
      <w:rPr>
        <w:rFonts w:hint="eastAsia"/>
      </w:rPr>
    </w:lvl>
    <w:lvl w:ilvl="3">
      <w:start w:val="1"/>
      <w:numFmt w:val="decimal"/>
      <w:isLgl w:val="false"/>
      <w:suff w:val="tab"/>
      <w:lvlText w:val="%1.%2.%3.%4."/>
      <w:lvlJc w:val="left"/>
      <w:pPr>
        <w:pStyle w:val="808"/>
        <w:ind w:left="851" w:hanging="851"/>
        <w:tabs>
          <w:tab w:val="num" w:pos="851" w:leader="none"/>
        </w:tabs>
      </w:pPr>
      <w:rPr>
        <w:rFonts w:hint="eastAsia"/>
      </w:rPr>
    </w:lvl>
    <w:lvl w:ilvl="4">
      <w:start w:val="1"/>
      <w:numFmt w:val="decimal"/>
      <w:isLgl w:val="false"/>
      <w:suff w:val="tab"/>
      <w:lvlText w:val="%1.%2.%3.%4.%5."/>
      <w:lvlJc w:val="left"/>
      <w:pPr>
        <w:pStyle w:val="808"/>
        <w:ind w:left="992" w:hanging="992"/>
        <w:tabs>
          <w:tab w:val="num" w:pos="992" w:leader="none"/>
        </w:tabs>
      </w:pPr>
      <w:rPr>
        <w:rFonts w:hint="eastAsia"/>
      </w:rPr>
    </w:lvl>
    <w:lvl w:ilvl="5">
      <w:start w:val="1"/>
      <w:numFmt w:val="decimal"/>
      <w:isLgl w:val="false"/>
      <w:suff w:val="tab"/>
      <w:lvlText w:val="%1.%2.%3.%4.%5.%6."/>
      <w:lvlJc w:val="left"/>
      <w:pPr>
        <w:pStyle w:val="808"/>
        <w:ind w:left="1134" w:hanging="1134"/>
        <w:tabs>
          <w:tab w:val="num" w:pos="1134" w:leader="none"/>
        </w:tabs>
      </w:pPr>
      <w:rPr>
        <w:rFonts w:hint="eastAsia"/>
      </w:rPr>
    </w:lvl>
    <w:lvl w:ilvl="6">
      <w:start w:val="1"/>
      <w:numFmt w:val="decimal"/>
      <w:isLgl w:val="false"/>
      <w:suff w:val="tab"/>
      <w:lvlText w:val="%1.%2.%3.%4.%5.%6.%7."/>
      <w:lvlJc w:val="left"/>
      <w:pPr>
        <w:pStyle w:val="808"/>
        <w:ind w:left="1276" w:hanging="1276"/>
        <w:tabs>
          <w:tab w:val="num" w:pos="1276" w:leader="none"/>
        </w:tabs>
      </w:pPr>
      <w:rPr>
        <w:rFonts w:hint="eastAsia"/>
      </w:rPr>
    </w:lvl>
    <w:lvl w:ilvl="7">
      <w:start w:val="1"/>
      <w:numFmt w:val="decimal"/>
      <w:isLgl w:val="false"/>
      <w:suff w:val="tab"/>
      <w:lvlText w:val="%1.%2.%3.%4.%5.%6.%7.%8."/>
      <w:lvlJc w:val="left"/>
      <w:pPr>
        <w:pStyle w:val="808"/>
        <w:ind w:left="1418" w:hanging="1418"/>
        <w:tabs>
          <w:tab w:val="num" w:pos="1418" w:leader="none"/>
        </w:tabs>
      </w:pPr>
      <w:rPr>
        <w:rFonts w:hint="eastAsia"/>
      </w:rPr>
    </w:lvl>
    <w:lvl w:ilvl="8">
      <w:start w:val="1"/>
      <w:numFmt w:val="decimal"/>
      <w:isLgl w:val="false"/>
      <w:suff w:val="tab"/>
      <w:lvlText w:val="%1.%2.%3.%4.%5.%6.%7.%8.%9."/>
      <w:lvlJc w:val="left"/>
      <w:pPr>
        <w:pStyle w:val="808"/>
        <w:ind w:left="1559" w:hanging="1559"/>
        <w:tabs>
          <w:tab w:val="num" w:pos="1559" w:leader="none"/>
        </w:tabs>
      </w:pPr>
      <w:rPr>
        <w:rFonts w:hint="eastAsia"/>
      </w:rPr>
    </w:lvl>
  </w:abstractNum>
  <w:abstractNum w:abstractNumId="24">
    <w:multiLevelType w:val="hybridMultilevel"/>
    <w:lvl w:ilvl="0">
      <w:start w:val="1"/>
      <w:numFmt w:val="bullet"/>
      <w:isLgl w:val="false"/>
      <w:suff w:val="tab"/>
      <w:lvlText w:val=""/>
      <w:lvlJc w:val="left"/>
      <w:pPr>
        <w:pStyle w:val="808"/>
        <w:ind w:left="920" w:hanging="440"/>
      </w:pPr>
      <w:rPr>
        <w:rFonts w:ascii="Wingdings" w:hAnsi="Wingdings"/>
      </w:rPr>
    </w:lvl>
    <w:lvl w:ilvl="1">
      <w:start w:val="1"/>
      <w:numFmt w:val="bullet"/>
      <w:isLgl w:val="false"/>
      <w:suff w:val="tab"/>
      <w:lvlText w:val=""/>
      <w:lvlJc w:val="left"/>
      <w:pPr>
        <w:pStyle w:val="808"/>
        <w:ind w:left="1360" w:hanging="440"/>
      </w:pPr>
      <w:rPr>
        <w:rFonts w:ascii="Wingdings" w:hAnsi="Wingdings"/>
      </w:rPr>
    </w:lvl>
    <w:lvl w:ilvl="2">
      <w:start w:val="1"/>
      <w:numFmt w:val="bullet"/>
      <w:isLgl w:val="false"/>
      <w:suff w:val="tab"/>
      <w:lvlText w:val=""/>
      <w:lvlJc w:val="left"/>
      <w:pPr>
        <w:pStyle w:val="808"/>
        <w:ind w:left="1800" w:hanging="440"/>
      </w:pPr>
      <w:rPr>
        <w:rFonts w:ascii="Wingdings" w:hAnsi="Wingdings"/>
      </w:rPr>
    </w:lvl>
    <w:lvl w:ilvl="3">
      <w:start w:val="1"/>
      <w:numFmt w:val="bullet"/>
      <w:isLgl w:val="false"/>
      <w:suff w:val="tab"/>
      <w:lvlText w:val=""/>
      <w:lvlJc w:val="left"/>
      <w:pPr>
        <w:pStyle w:val="808"/>
        <w:ind w:left="2240" w:hanging="440"/>
      </w:pPr>
      <w:rPr>
        <w:rFonts w:ascii="Wingdings" w:hAnsi="Wingdings"/>
      </w:rPr>
    </w:lvl>
    <w:lvl w:ilvl="4">
      <w:start w:val="1"/>
      <w:numFmt w:val="bullet"/>
      <w:isLgl w:val="false"/>
      <w:suff w:val="tab"/>
      <w:lvlText w:val=""/>
      <w:lvlJc w:val="left"/>
      <w:pPr>
        <w:pStyle w:val="808"/>
        <w:ind w:left="2680" w:hanging="440"/>
      </w:pPr>
      <w:rPr>
        <w:rFonts w:ascii="Wingdings" w:hAnsi="Wingdings"/>
      </w:rPr>
    </w:lvl>
    <w:lvl w:ilvl="5">
      <w:start w:val="1"/>
      <w:numFmt w:val="bullet"/>
      <w:isLgl w:val="false"/>
      <w:suff w:val="tab"/>
      <w:lvlText w:val=""/>
      <w:lvlJc w:val="left"/>
      <w:pPr>
        <w:pStyle w:val="808"/>
        <w:ind w:left="3120" w:hanging="440"/>
      </w:pPr>
      <w:rPr>
        <w:rFonts w:ascii="Wingdings" w:hAnsi="Wingdings"/>
      </w:rPr>
    </w:lvl>
    <w:lvl w:ilvl="6">
      <w:start w:val="1"/>
      <w:numFmt w:val="bullet"/>
      <w:isLgl w:val="false"/>
      <w:suff w:val="tab"/>
      <w:lvlText w:val=""/>
      <w:lvlJc w:val="left"/>
      <w:pPr>
        <w:pStyle w:val="808"/>
        <w:ind w:left="3560" w:hanging="440"/>
      </w:pPr>
      <w:rPr>
        <w:rFonts w:ascii="Wingdings" w:hAnsi="Wingdings"/>
      </w:rPr>
    </w:lvl>
    <w:lvl w:ilvl="7">
      <w:start w:val="1"/>
      <w:numFmt w:val="bullet"/>
      <w:isLgl w:val="false"/>
      <w:suff w:val="tab"/>
      <w:lvlText w:val=""/>
      <w:lvlJc w:val="left"/>
      <w:pPr>
        <w:pStyle w:val="808"/>
        <w:ind w:left="4000" w:hanging="440"/>
      </w:pPr>
      <w:rPr>
        <w:rFonts w:ascii="Wingdings" w:hAnsi="Wingdings"/>
      </w:rPr>
    </w:lvl>
    <w:lvl w:ilvl="8">
      <w:start w:val="1"/>
      <w:numFmt w:val="bullet"/>
      <w:isLgl w:val="false"/>
      <w:suff w:val="tab"/>
      <w:lvlText w:val=""/>
      <w:lvlJc w:val="left"/>
      <w:pPr>
        <w:pStyle w:val="808"/>
        <w:ind w:left="4440" w:hanging="440"/>
      </w:pPr>
      <w:rPr>
        <w:rFonts w:ascii="Wingdings" w:hAnsi="Wingdings"/>
      </w:rPr>
    </w:lvl>
  </w:abstractNum>
  <w:abstractNum w:abstractNumId="25">
    <w:multiLevelType w:val="hybridMultilevel"/>
    <w:lvl w:ilvl="0">
      <w:start w:val="1"/>
      <w:numFmt w:val="bullet"/>
      <w:isLgl w:val="false"/>
      <w:suff w:val="tab"/>
      <w:lvlText w:val=""/>
      <w:lvlJc w:val="left"/>
      <w:pPr>
        <w:pStyle w:val="808"/>
        <w:ind w:left="919" w:hanging="437"/>
      </w:pPr>
      <w:rPr>
        <w:rFonts w:ascii="Wingdings" w:hAnsi="Wingdings"/>
      </w:rPr>
    </w:lvl>
    <w:lvl w:ilvl="1">
      <w:start w:val="1"/>
      <w:numFmt w:val="bullet"/>
      <w:isLgl w:val="false"/>
      <w:suff w:val="tab"/>
      <w:lvlText w:val=""/>
      <w:lvlJc w:val="left"/>
      <w:pPr>
        <w:pStyle w:val="808"/>
        <w:ind w:left="1360" w:hanging="440"/>
      </w:pPr>
      <w:rPr>
        <w:rFonts w:ascii="Wingdings" w:hAnsi="Wingdings"/>
      </w:rPr>
    </w:lvl>
    <w:lvl w:ilvl="2">
      <w:start w:val="1"/>
      <w:numFmt w:val="bullet"/>
      <w:isLgl w:val="false"/>
      <w:suff w:val="tab"/>
      <w:lvlText w:val=""/>
      <w:lvlJc w:val="left"/>
      <w:pPr>
        <w:pStyle w:val="808"/>
        <w:ind w:left="1800" w:hanging="440"/>
      </w:pPr>
      <w:rPr>
        <w:rFonts w:ascii="Wingdings" w:hAnsi="Wingdings"/>
      </w:rPr>
    </w:lvl>
    <w:lvl w:ilvl="3">
      <w:start w:val="1"/>
      <w:numFmt w:val="bullet"/>
      <w:isLgl w:val="false"/>
      <w:suff w:val="tab"/>
      <w:lvlText w:val=""/>
      <w:lvlJc w:val="left"/>
      <w:pPr>
        <w:pStyle w:val="808"/>
        <w:ind w:left="2240" w:hanging="440"/>
      </w:pPr>
      <w:rPr>
        <w:rFonts w:ascii="Wingdings" w:hAnsi="Wingdings"/>
      </w:rPr>
    </w:lvl>
    <w:lvl w:ilvl="4">
      <w:start w:val="1"/>
      <w:numFmt w:val="bullet"/>
      <w:isLgl w:val="false"/>
      <w:suff w:val="tab"/>
      <w:lvlText w:val=""/>
      <w:lvlJc w:val="left"/>
      <w:pPr>
        <w:pStyle w:val="808"/>
        <w:ind w:left="2680" w:hanging="440"/>
      </w:pPr>
      <w:rPr>
        <w:rFonts w:ascii="Wingdings" w:hAnsi="Wingdings"/>
      </w:rPr>
    </w:lvl>
    <w:lvl w:ilvl="5">
      <w:start w:val="1"/>
      <w:numFmt w:val="bullet"/>
      <w:isLgl w:val="false"/>
      <w:suff w:val="tab"/>
      <w:lvlText w:val=""/>
      <w:lvlJc w:val="left"/>
      <w:pPr>
        <w:pStyle w:val="808"/>
        <w:ind w:left="3120" w:hanging="440"/>
      </w:pPr>
      <w:rPr>
        <w:rFonts w:ascii="Wingdings" w:hAnsi="Wingdings"/>
      </w:rPr>
    </w:lvl>
    <w:lvl w:ilvl="6">
      <w:start w:val="1"/>
      <w:numFmt w:val="bullet"/>
      <w:isLgl w:val="false"/>
      <w:suff w:val="tab"/>
      <w:lvlText w:val=""/>
      <w:lvlJc w:val="left"/>
      <w:pPr>
        <w:pStyle w:val="808"/>
        <w:ind w:left="3560" w:hanging="440"/>
      </w:pPr>
      <w:rPr>
        <w:rFonts w:ascii="Wingdings" w:hAnsi="Wingdings"/>
      </w:rPr>
    </w:lvl>
    <w:lvl w:ilvl="7">
      <w:start w:val="1"/>
      <w:numFmt w:val="bullet"/>
      <w:isLgl w:val="false"/>
      <w:suff w:val="tab"/>
      <w:lvlText w:val=""/>
      <w:lvlJc w:val="left"/>
      <w:pPr>
        <w:pStyle w:val="808"/>
        <w:ind w:left="4000" w:hanging="440"/>
      </w:pPr>
      <w:rPr>
        <w:rFonts w:ascii="Wingdings" w:hAnsi="Wingdings"/>
      </w:rPr>
    </w:lvl>
    <w:lvl w:ilvl="8">
      <w:start w:val="1"/>
      <w:numFmt w:val="bullet"/>
      <w:isLgl w:val="false"/>
      <w:suff w:val="tab"/>
      <w:lvlText w:val=""/>
      <w:lvlJc w:val="left"/>
      <w:pPr>
        <w:pStyle w:val="808"/>
        <w:ind w:left="4440" w:hanging="440"/>
      </w:pPr>
      <w:rPr>
        <w:rFonts w:ascii="Wingdings" w:hAnsi="Wingdings"/>
      </w:rPr>
    </w:lvl>
  </w:abstractNum>
  <w:abstractNum w:abstractNumId="26">
    <w:multiLevelType w:val="hybridMultilevel"/>
    <w:lvl w:ilvl="0">
      <w:start w:val="1"/>
      <w:numFmt w:val="bullet"/>
      <w:isLgl w:val="false"/>
      <w:suff w:val="tab"/>
      <w:lvlText w:val=""/>
      <w:lvlJc w:val="left"/>
      <w:pPr>
        <w:pStyle w:val="808"/>
        <w:ind w:left="920" w:hanging="440"/>
      </w:pPr>
      <w:rPr>
        <w:rFonts w:ascii="Wingdings" w:hAnsi="Wingdings"/>
      </w:rPr>
    </w:lvl>
    <w:lvl w:ilvl="1">
      <w:start w:val="1"/>
      <w:numFmt w:val="bullet"/>
      <w:isLgl w:val="false"/>
      <w:suff w:val="tab"/>
      <w:lvlText w:val=""/>
      <w:lvlJc w:val="left"/>
      <w:pPr>
        <w:pStyle w:val="808"/>
        <w:ind w:left="1360" w:hanging="440"/>
      </w:pPr>
      <w:rPr>
        <w:rFonts w:ascii="Wingdings" w:hAnsi="Wingdings"/>
      </w:rPr>
    </w:lvl>
    <w:lvl w:ilvl="2">
      <w:start w:val="1"/>
      <w:numFmt w:val="bullet"/>
      <w:isLgl w:val="false"/>
      <w:suff w:val="tab"/>
      <w:lvlText w:val=""/>
      <w:lvlJc w:val="left"/>
      <w:pPr>
        <w:pStyle w:val="808"/>
        <w:ind w:left="1800" w:hanging="440"/>
      </w:pPr>
      <w:rPr>
        <w:rFonts w:ascii="Wingdings" w:hAnsi="Wingdings"/>
      </w:rPr>
    </w:lvl>
    <w:lvl w:ilvl="3">
      <w:start w:val="1"/>
      <w:numFmt w:val="bullet"/>
      <w:isLgl w:val="false"/>
      <w:suff w:val="tab"/>
      <w:lvlText w:val=""/>
      <w:lvlJc w:val="left"/>
      <w:pPr>
        <w:pStyle w:val="808"/>
        <w:ind w:left="2240" w:hanging="440"/>
      </w:pPr>
      <w:rPr>
        <w:rFonts w:ascii="Wingdings" w:hAnsi="Wingdings"/>
      </w:rPr>
    </w:lvl>
    <w:lvl w:ilvl="4">
      <w:start w:val="1"/>
      <w:numFmt w:val="bullet"/>
      <w:isLgl w:val="false"/>
      <w:suff w:val="tab"/>
      <w:lvlText w:val=""/>
      <w:lvlJc w:val="left"/>
      <w:pPr>
        <w:pStyle w:val="808"/>
        <w:ind w:left="2680" w:hanging="440"/>
      </w:pPr>
      <w:rPr>
        <w:rFonts w:ascii="Wingdings" w:hAnsi="Wingdings"/>
      </w:rPr>
    </w:lvl>
    <w:lvl w:ilvl="5">
      <w:start w:val="1"/>
      <w:numFmt w:val="bullet"/>
      <w:isLgl w:val="false"/>
      <w:suff w:val="tab"/>
      <w:lvlText w:val=""/>
      <w:lvlJc w:val="left"/>
      <w:pPr>
        <w:pStyle w:val="808"/>
        <w:ind w:left="3120" w:hanging="440"/>
      </w:pPr>
      <w:rPr>
        <w:rFonts w:ascii="Wingdings" w:hAnsi="Wingdings"/>
      </w:rPr>
    </w:lvl>
    <w:lvl w:ilvl="6">
      <w:start w:val="1"/>
      <w:numFmt w:val="bullet"/>
      <w:isLgl w:val="false"/>
      <w:suff w:val="tab"/>
      <w:lvlText w:val=""/>
      <w:lvlJc w:val="left"/>
      <w:pPr>
        <w:pStyle w:val="808"/>
        <w:ind w:left="3560" w:hanging="440"/>
      </w:pPr>
      <w:rPr>
        <w:rFonts w:ascii="Wingdings" w:hAnsi="Wingdings"/>
      </w:rPr>
    </w:lvl>
    <w:lvl w:ilvl="7">
      <w:start w:val="1"/>
      <w:numFmt w:val="bullet"/>
      <w:isLgl w:val="false"/>
      <w:suff w:val="tab"/>
      <w:lvlText w:val=""/>
      <w:lvlJc w:val="left"/>
      <w:pPr>
        <w:pStyle w:val="808"/>
        <w:ind w:left="4000" w:hanging="440"/>
      </w:pPr>
      <w:rPr>
        <w:rFonts w:ascii="Wingdings" w:hAnsi="Wingdings"/>
      </w:rPr>
    </w:lvl>
    <w:lvl w:ilvl="8">
      <w:start w:val="1"/>
      <w:numFmt w:val="bullet"/>
      <w:isLgl w:val="false"/>
      <w:suff w:val="tab"/>
      <w:lvlText w:val=""/>
      <w:lvlJc w:val="left"/>
      <w:pPr>
        <w:pStyle w:val="808"/>
        <w:ind w:left="4440" w:hanging="440"/>
      </w:pPr>
      <w:rPr>
        <w:rFonts w:ascii="Wingdings" w:hAnsi="Wingdings"/>
      </w:rPr>
    </w:lvl>
  </w:abstractNum>
  <w:abstractNum w:abstractNumId="27">
    <w:multiLevelType w:val="hybridMultilevel"/>
    <w:lvl w:ilvl="0">
      <w:start w:val="1"/>
      <w:numFmt w:val="bullet"/>
      <w:isLgl w:val="false"/>
      <w:suff w:val="tab"/>
      <w:lvlText w:val=""/>
      <w:lvlJc w:val="left"/>
      <w:pPr>
        <w:pStyle w:val="808"/>
        <w:ind w:left="920" w:hanging="440"/>
      </w:pPr>
      <w:rPr>
        <w:rFonts w:ascii="Wingdings" w:hAnsi="Wingdings"/>
      </w:rPr>
    </w:lvl>
    <w:lvl w:ilvl="1">
      <w:start w:val="1"/>
      <w:numFmt w:val="bullet"/>
      <w:isLgl w:val="false"/>
      <w:suff w:val="tab"/>
      <w:lvlText w:val=""/>
      <w:lvlJc w:val="left"/>
      <w:pPr>
        <w:pStyle w:val="808"/>
        <w:ind w:left="1360" w:hanging="440"/>
      </w:pPr>
      <w:rPr>
        <w:rFonts w:ascii="Wingdings" w:hAnsi="Wingdings"/>
      </w:rPr>
    </w:lvl>
    <w:lvl w:ilvl="2">
      <w:start w:val="1"/>
      <w:numFmt w:val="bullet"/>
      <w:isLgl w:val="false"/>
      <w:suff w:val="tab"/>
      <w:lvlText w:val=""/>
      <w:lvlJc w:val="left"/>
      <w:pPr>
        <w:pStyle w:val="808"/>
        <w:ind w:left="1800" w:hanging="440"/>
      </w:pPr>
      <w:rPr>
        <w:rFonts w:ascii="Wingdings" w:hAnsi="Wingdings"/>
      </w:rPr>
    </w:lvl>
    <w:lvl w:ilvl="3">
      <w:start w:val="1"/>
      <w:numFmt w:val="bullet"/>
      <w:isLgl w:val="false"/>
      <w:suff w:val="tab"/>
      <w:lvlText w:val=""/>
      <w:lvlJc w:val="left"/>
      <w:pPr>
        <w:pStyle w:val="808"/>
        <w:ind w:left="2240" w:hanging="440"/>
      </w:pPr>
      <w:rPr>
        <w:rFonts w:ascii="Wingdings" w:hAnsi="Wingdings"/>
      </w:rPr>
    </w:lvl>
    <w:lvl w:ilvl="4">
      <w:start w:val="1"/>
      <w:numFmt w:val="bullet"/>
      <w:isLgl w:val="false"/>
      <w:suff w:val="tab"/>
      <w:lvlText w:val=""/>
      <w:lvlJc w:val="left"/>
      <w:pPr>
        <w:pStyle w:val="808"/>
        <w:ind w:left="2680" w:hanging="440"/>
      </w:pPr>
      <w:rPr>
        <w:rFonts w:ascii="Wingdings" w:hAnsi="Wingdings"/>
      </w:rPr>
    </w:lvl>
    <w:lvl w:ilvl="5">
      <w:start w:val="1"/>
      <w:numFmt w:val="bullet"/>
      <w:isLgl w:val="false"/>
      <w:suff w:val="tab"/>
      <w:lvlText w:val=""/>
      <w:lvlJc w:val="left"/>
      <w:pPr>
        <w:pStyle w:val="808"/>
        <w:ind w:left="3120" w:hanging="440"/>
      </w:pPr>
      <w:rPr>
        <w:rFonts w:ascii="Wingdings" w:hAnsi="Wingdings"/>
      </w:rPr>
    </w:lvl>
    <w:lvl w:ilvl="6">
      <w:start w:val="1"/>
      <w:numFmt w:val="bullet"/>
      <w:isLgl w:val="false"/>
      <w:suff w:val="tab"/>
      <w:lvlText w:val=""/>
      <w:lvlJc w:val="left"/>
      <w:pPr>
        <w:pStyle w:val="808"/>
        <w:ind w:left="3560" w:hanging="440"/>
      </w:pPr>
      <w:rPr>
        <w:rFonts w:ascii="Wingdings" w:hAnsi="Wingdings"/>
      </w:rPr>
    </w:lvl>
    <w:lvl w:ilvl="7">
      <w:start w:val="1"/>
      <w:numFmt w:val="bullet"/>
      <w:isLgl w:val="false"/>
      <w:suff w:val="tab"/>
      <w:lvlText w:val=""/>
      <w:lvlJc w:val="left"/>
      <w:pPr>
        <w:pStyle w:val="808"/>
        <w:ind w:left="4000" w:hanging="440"/>
      </w:pPr>
      <w:rPr>
        <w:rFonts w:ascii="Wingdings" w:hAnsi="Wingdings"/>
      </w:rPr>
    </w:lvl>
    <w:lvl w:ilvl="8">
      <w:start w:val="1"/>
      <w:numFmt w:val="bullet"/>
      <w:isLgl w:val="false"/>
      <w:suff w:val="tab"/>
      <w:lvlText w:val=""/>
      <w:lvlJc w:val="left"/>
      <w:pPr>
        <w:pStyle w:val="808"/>
        <w:ind w:left="4440" w:hanging="440"/>
      </w:pPr>
      <w:rPr>
        <w:rFonts w:ascii="Wingdings" w:hAnsi="Wingdings"/>
      </w:rPr>
    </w:lvl>
  </w:abstractNum>
  <w:abstractNum w:abstractNumId="28">
    <w:multiLevelType w:val="hybridMultilevel"/>
    <w:lvl w:ilvl="0">
      <w:start w:val="1"/>
      <w:numFmt w:val="decimal"/>
      <w:isLgl w:val="false"/>
      <w:suff w:val="tab"/>
      <w:lvlText w:val="%1."/>
      <w:lvlJc w:val="left"/>
      <w:pPr>
        <w:pStyle w:val="808"/>
        <w:ind w:left="425" w:hanging="425"/>
      </w:pPr>
      <w:rPr>
        <w:rFonts w:hint="eastAsia"/>
      </w:rPr>
    </w:lvl>
    <w:lvl w:ilvl="1">
      <w:start w:val="1"/>
      <w:numFmt w:val="decimal"/>
      <w:isLgl w:val="false"/>
      <w:suff w:val="tab"/>
      <w:lvlText w:val="%1.%2."/>
      <w:lvlJc w:val="left"/>
      <w:pPr>
        <w:pStyle w:val="808"/>
        <w:ind w:left="567" w:hanging="567"/>
      </w:pPr>
      <w:rPr>
        <w:rFonts w:hint="eastAsia"/>
      </w:rPr>
    </w:lvl>
    <w:lvl w:ilvl="2">
      <w:start w:val="1"/>
      <w:numFmt w:val="decimal"/>
      <w:isLgl w:val="false"/>
      <w:suff w:val="tab"/>
      <w:lvlText w:val="%3."/>
      <w:lvlJc w:val="left"/>
      <w:pPr>
        <w:pStyle w:val="808"/>
        <w:ind w:left="440" w:hanging="440"/>
      </w:pPr>
      <w:rPr>
        <w:rFonts w:hint="eastAsia"/>
      </w:rPr>
    </w:lvl>
    <w:lvl w:ilvl="3">
      <w:start w:val="1"/>
      <w:numFmt w:val="decimal"/>
      <w:isLgl w:val="false"/>
      <w:suff w:val="tab"/>
      <w:lvlText w:val="%1.%2.%3.%4."/>
      <w:lvlJc w:val="left"/>
      <w:pPr>
        <w:pStyle w:val="808"/>
        <w:ind w:left="851" w:hanging="851"/>
      </w:pPr>
      <w:rPr>
        <w:rFonts w:hint="eastAsia"/>
      </w:rPr>
    </w:lvl>
    <w:lvl w:ilvl="4">
      <w:start w:val="1"/>
      <w:numFmt w:val="decimal"/>
      <w:isLgl w:val="false"/>
      <w:suff w:val="tab"/>
      <w:lvlText w:val="%1.%2.%3.%4.%5."/>
      <w:lvlJc w:val="left"/>
      <w:pPr>
        <w:pStyle w:val="808"/>
        <w:ind w:left="992" w:hanging="992"/>
      </w:pPr>
      <w:rPr>
        <w:rFonts w:hint="eastAsia"/>
      </w:rPr>
    </w:lvl>
    <w:lvl w:ilvl="5">
      <w:start w:val="1"/>
      <w:numFmt w:val="decimal"/>
      <w:isLgl w:val="false"/>
      <w:suff w:val="tab"/>
      <w:lvlText w:val="%1.%2.%3.%4.%5.%6."/>
      <w:lvlJc w:val="left"/>
      <w:pPr>
        <w:pStyle w:val="808"/>
        <w:ind w:left="1134" w:hanging="1134"/>
      </w:pPr>
      <w:rPr>
        <w:rFonts w:hint="eastAsia"/>
      </w:rPr>
    </w:lvl>
    <w:lvl w:ilvl="6">
      <w:start w:val="1"/>
      <w:numFmt w:val="decimal"/>
      <w:isLgl w:val="false"/>
      <w:suff w:val="tab"/>
      <w:lvlText w:val="%1.%2.%3.%4.%5.%6.%7."/>
      <w:lvlJc w:val="left"/>
      <w:pPr>
        <w:pStyle w:val="808"/>
        <w:ind w:left="1276" w:hanging="1276"/>
      </w:pPr>
      <w:rPr>
        <w:rFonts w:hint="eastAsia"/>
      </w:rPr>
    </w:lvl>
    <w:lvl w:ilvl="7">
      <w:start w:val="1"/>
      <w:numFmt w:val="decimal"/>
      <w:isLgl w:val="false"/>
      <w:suff w:val="tab"/>
      <w:lvlText w:val="%1.%2.%3.%4.%5.%6.%7.%8."/>
      <w:lvlJc w:val="left"/>
      <w:pPr>
        <w:pStyle w:val="808"/>
        <w:ind w:left="1418" w:hanging="1418"/>
      </w:pPr>
      <w:rPr>
        <w:rFonts w:hint="eastAsia"/>
      </w:rPr>
    </w:lvl>
    <w:lvl w:ilvl="8">
      <w:start w:val="1"/>
      <w:numFmt w:val="decimal"/>
      <w:isLgl w:val="false"/>
      <w:suff w:val="tab"/>
      <w:lvlText w:val="%1.%2.%3.%4.%5.%6.%7.%8.%9."/>
      <w:lvlJc w:val="left"/>
      <w:pPr>
        <w:pStyle w:val="808"/>
        <w:ind w:left="1559" w:hanging="1559"/>
      </w:pPr>
      <w:rPr>
        <w:rFonts w:hint="eastAsia"/>
      </w:rPr>
    </w:lvl>
  </w:abstractNum>
  <w:abstractNum w:abstractNumId="29">
    <w:multiLevelType w:val="hybridMultilevel"/>
    <w:lvl w:ilvl="0">
      <w:start w:val="1"/>
      <w:numFmt w:val="japaneseCounting"/>
      <w:isLgl w:val="false"/>
      <w:suff w:val="tab"/>
      <w:lvlText w:val="（%1）"/>
      <w:lvlJc w:val="left"/>
      <w:pPr>
        <w:pStyle w:val="808"/>
        <w:ind w:left="1080" w:hanging="1080"/>
        <w:tabs>
          <w:tab w:val="num" w:pos="1080" w:leader="none"/>
        </w:tabs>
      </w:pPr>
      <w:rPr>
        <w:rFonts w:hint="eastAsia" w:cs="Times New Roman"/>
      </w:rPr>
    </w:lvl>
    <w:lvl w:ilvl="1">
      <w:start w:val="1"/>
      <w:numFmt w:val="decimal"/>
      <w:isLgl w:val="false"/>
      <w:suff w:val="tab"/>
      <w:lvlText w:val="%2."/>
      <w:lvlJc w:val="left"/>
      <w:pPr>
        <w:pStyle w:val="80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08"/>
        <w:ind w:left="1260" w:hanging="420"/>
        <w:tabs>
          <w:tab w:val="num" w:pos="1260" w:leader="none"/>
        </w:tabs>
      </w:pPr>
      <w:rPr>
        <w:rFonts w:cs="Times New Roman"/>
      </w:rPr>
    </w:lvl>
    <w:lvl w:ilvl="3">
      <w:start w:val="1"/>
      <w:numFmt w:val="decimal"/>
      <w:isLgl w:val="false"/>
      <w:suff w:val="tab"/>
      <w:lvlText w:val="%4."/>
      <w:lvlJc w:val="left"/>
      <w:pPr>
        <w:pStyle w:val="808"/>
        <w:ind w:left="1680" w:hanging="420"/>
        <w:tabs>
          <w:tab w:val="num" w:pos="1680" w:leader="none"/>
        </w:tabs>
      </w:pPr>
      <w:rPr>
        <w:rFonts w:cs="Times New Roman"/>
      </w:rPr>
    </w:lvl>
    <w:lvl w:ilvl="4">
      <w:start w:val="1"/>
      <w:numFmt w:val="lowerLetter"/>
      <w:isLgl w:val="false"/>
      <w:suff w:val="tab"/>
      <w:lvlText w:val="%5)"/>
      <w:lvlJc w:val="left"/>
      <w:pPr>
        <w:pStyle w:val="808"/>
        <w:ind w:left="2100" w:hanging="420"/>
        <w:tabs>
          <w:tab w:val="num" w:pos="2100" w:leader="none"/>
        </w:tabs>
      </w:pPr>
      <w:rPr>
        <w:rFonts w:cs="Times New Roman"/>
      </w:rPr>
    </w:lvl>
    <w:lvl w:ilvl="5">
      <w:start w:val="1"/>
      <w:numFmt w:val="lowerRoman"/>
      <w:isLgl w:val="false"/>
      <w:suff w:val="tab"/>
      <w:lvlText w:val="%6."/>
      <w:lvlJc w:val="right"/>
      <w:pPr>
        <w:pStyle w:val="808"/>
        <w:ind w:left="2520" w:hanging="420"/>
        <w:tabs>
          <w:tab w:val="num" w:pos="2520" w:leader="none"/>
        </w:tabs>
      </w:pPr>
      <w:rPr>
        <w:rFonts w:cs="Times New Roman"/>
      </w:rPr>
    </w:lvl>
    <w:lvl w:ilvl="6">
      <w:start w:val="1"/>
      <w:numFmt w:val="decimal"/>
      <w:isLgl w:val="false"/>
      <w:suff w:val="tab"/>
      <w:lvlText w:val="%7."/>
      <w:lvlJc w:val="left"/>
      <w:pPr>
        <w:pStyle w:val="808"/>
        <w:ind w:left="2940" w:hanging="420"/>
        <w:tabs>
          <w:tab w:val="num" w:pos="2940" w:leader="none"/>
        </w:tabs>
      </w:pPr>
      <w:rPr>
        <w:rFonts w:cs="Times New Roman"/>
      </w:rPr>
    </w:lvl>
    <w:lvl w:ilvl="7">
      <w:start w:val="1"/>
      <w:numFmt w:val="lowerLetter"/>
      <w:isLgl w:val="false"/>
      <w:suff w:val="tab"/>
      <w:lvlText w:val="%8)"/>
      <w:lvlJc w:val="left"/>
      <w:pPr>
        <w:pStyle w:val="808"/>
        <w:ind w:left="3360" w:hanging="420"/>
        <w:tabs>
          <w:tab w:val="num" w:pos="3360" w:leader="none"/>
        </w:tabs>
      </w:pPr>
      <w:rPr>
        <w:rFonts w:cs="Times New Roman"/>
      </w:rPr>
    </w:lvl>
    <w:lvl w:ilvl="8">
      <w:start w:val="1"/>
      <w:numFmt w:val="lowerRoman"/>
      <w:isLgl w:val="false"/>
      <w:suff w:val="tab"/>
      <w:lvlText w:val="%9."/>
      <w:lvlJc w:val="right"/>
      <w:pPr>
        <w:pStyle w:val="808"/>
        <w:ind w:left="3780" w:hanging="420"/>
        <w:tabs>
          <w:tab w:val="num" w:pos="3780" w:leader="none"/>
        </w:tabs>
      </w:pPr>
      <w:rPr>
        <w:rFonts w:cs="Times New Roman"/>
      </w:rPr>
    </w:lvl>
  </w:abstractNum>
  <w:abstractNum w:abstractNumId="30">
    <w:multiLevelType w:val="hybridMultilevel"/>
    <w:lvl w:ilvl="0">
      <w:start w:val="1"/>
      <w:numFmt w:val="chineseCountingThousand"/>
      <w:isLgl w:val="false"/>
      <w:suff w:val="nothing"/>
      <w:lvlText w:val="第%1章 "/>
      <w:lvlJc w:val="left"/>
      <w:pPr>
        <w:pStyle w:val="808"/>
        <w:ind w:left="0" w:firstLine="0"/>
      </w:pPr>
      <w:rPr>
        <w:rFonts w:hint="eastAsia"/>
      </w:rPr>
    </w:lvl>
    <w:lvl w:ilvl="1">
      <w:start w:val="1"/>
      <w:numFmt w:val="decimal"/>
      <w:isLgl w:val="false"/>
      <w:suff w:val="nothing"/>
      <w:lvlText w:val="%2、"/>
      <w:lvlJc w:val="left"/>
      <w:pPr>
        <w:pStyle w:val="808"/>
        <w:ind w:left="0" w:firstLine="0"/>
      </w:pPr>
      <w:rPr>
        <w:rFonts w:hint="eastAsia"/>
      </w:rPr>
    </w:lvl>
    <w:lvl w:ilvl="2">
      <w:start w:val="1"/>
      <w:numFmt w:val="decimal"/>
      <w:isLgl w:val="false"/>
      <w:suff w:val="nothing"/>
      <w:lvlText w:val="%2.%3 "/>
      <w:lvlJc w:val="left"/>
      <w:pPr>
        <w:pStyle w:val="808"/>
        <w:ind w:left="0" w:firstLine="0"/>
      </w:pPr>
      <w:rPr>
        <w:rFonts w:hint="eastAsia"/>
      </w:rPr>
    </w:lvl>
    <w:lvl w:ilvl="3">
      <w:start w:val="1"/>
      <w:numFmt w:val="decimal"/>
      <w:isLgl w:val="false"/>
      <w:suff w:val="nothing"/>
      <w:lvlText w:val="%2.%3.%4 "/>
      <w:lvlJc w:val="left"/>
      <w:pPr>
        <w:pStyle w:val="808"/>
        <w:ind w:left="0" w:firstLine="0"/>
      </w:pPr>
      <w:rPr>
        <w:rFonts w:hint="eastAsia"/>
      </w:rPr>
    </w:lvl>
    <w:lvl w:ilvl="4">
      <w:start w:val="1"/>
      <w:numFmt w:val="decimal"/>
      <w:isLgl w:val="false"/>
      <w:suff w:val="nothing"/>
      <w:lvlText w:val="%2.%3.%4.%5 "/>
      <w:lvlJc w:val="left"/>
      <w:pPr>
        <w:pStyle w:val="808"/>
        <w:ind w:left="0" w:firstLine="0"/>
      </w:pPr>
      <w:rPr>
        <w:rFonts w:hint="eastAsia"/>
      </w:rPr>
    </w:lvl>
    <w:lvl w:ilvl="5">
      <w:start w:val="1"/>
      <w:numFmt w:val="decimal"/>
      <w:pStyle w:val="814"/>
      <w:isLgl w:val="false"/>
      <w:suff w:val="nothing"/>
      <w:lvlText w:val=""/>
      <w:lvlJc w:val="left"/>
      <w:pPr>
        <w:pStyle w:val="808"/>
        <w:ind w:left="0" w:firstLine="0"/>
      </w:pPr>
      <w:rPr>
        <w:rFonts w:hint="eastAsia"/>
      </w:rPr>
    </w:lvl>
    <w:lvl w:ilvl="6">
      <w:start w:val="1"/>
      <w:numFmt w:val="decimal"/>
      <w:pStyle w:val="815"/>
      <w:isLgl w:val="false"/>
      <w:suff w:val="nothing"/>
      <w:lvlText w:val=""/>
      <w:lvlJc w:val="left"/>
      <w:pPr>
        <w:pStyle w:val="808"/>
        <w:ind w:left="0" w:firstLine="0"/>
      </w:pPr>
      <w:rPr>
        <w:rFonts w:hint="eastAsia"/>
      </w:rPr>
    </w:lvl>
    <w:lvl w:ilvl="7">
      <w:start w:val="1"/>
      <w:numFmt w:val="decimal"/>
      <w:pStyle w:val="816"/>
      <w:isLgl w:val="false"/>
      <w:suff w:val="nothing"/>
      <w:lvlText w:val=""/>
      <w:lvlJc w:val="left"/>
      <w:pPr>
        <w:pStyle w:val="808"/>
        <w:ind w:left="0" w:firstLine="0"/>
      </w:pPr>
      <w:rPr>
        <w:rFonts w:hint="eastAsia"/>
      </w:rPr>
    </w:lvl>
    <w:lvl w:ilvl="8">
      <w:start w:val="1"/>
      <w:numFmt w:val="decimal"/>
      <w:pStyle w:val="817"/>
      <w:isLgl w:val="false"/>
      <w:suff w:val="nothing"/>
      <w:lvlText w:val=""/>
      <w:lvlJc w:val="left"/>
      <w:pPr>
        <w:pStyle w:val="808"/>
        <w:ind w:left="0" w:firstLine="0"/>
      </w:pPr>
      <w:rPr>
        <w:rFonts w:hint="eastAsia"/>
      </w:rPr>
    </w:lvl>
  </w:abstractNum>
  <w:abstractNum w:abstractNumId="31">
    <w:multiLevelType w:val="hybridMultilevel"/>
    <w:lvl w:ilvl="0">
      <w:start w:val="1"/>
      <w:numFmt w:val="bullet"/>
      <w:isLgl w:val="false"/>
      <w:suff w:val="tab"/>
      <w:lvlText w:val=""/>
      <w:lvlJc w:val="left"/>
      <w:pPr>
        <w:pStyle w:val="808"/>
        <w:ind w:left="920" w:hanging="440"/>
      </w:pPr>
      <w:rPr>
        <w:rFonts w:ascii="Wingdings" w:hAnsi="Wingdings"/>
      </w:rPr>
    </w:lvl>
    <w:lvl w:ilvl="1">
      <w:start w:val="1"/>
      <w:numFmt w:val="bullet"/>
      <w:isLgl w:val="false"/>
      <w:suff w:val="tab"/>
      <w:lvlText w:val=""/>
      <w:lvlJc w:val="left"/>
      <w:pPr>
        <w:pStyle w:val="808"/>
        <w:ind w:left="1360" w:hanging="440"/>
      </w:pPr>
      <w:rPr>
        <w:rFonts w:ascii="Wingdings" w:hAnsi="Wingdings"/>
      </w:rPr>
    </w:lvl>
    <w:lvl w:ilvl="2">
      <w:start w:val="1"/>
      <w:numFmt w:val="bullet"/>
      <w:isLgl w:val="false"/>
      <w:suff w:val="tab"/>
      <w:lvlText w:val=""/>
      <w:lvlJc w:val="left"/>
      <w:pPr>
        <w:pStyle w:val="808"/>
        <w:ind w:left="1800" w:hanging="440"/>
      </w:pPr>
      <w:rPr>
        <w:rFonts w:ascii="Wingdings" w:hAnsi="Wingdings"/>
      </w:rPr>
    </w:lvl>
    <w:lvl w:ilvl="3">
      <w:start w:val="1"/>
      <w:numFmt w:val="bullet"/>
      <w:isLgl w:val="false"/>
      <w:suff w:val="tab"/>
      <w:lvlText w:val=""/>
      <w:lvlJc w:val="left"/>
      <w:pPr>
        <w:pStyle w:val="808"/>
        <w:ind w:left="2240" w:hanging="440"/>
      </w:pPr>
      <w:rPr>
        <w:rFonts w:ascii="Wingdings" w:hAnsi="Wingdings"/>
      </w:rPr>
    </w:lvl>
    <w:lvl w:ilvl="4">
      <w:start w:val="1"/>
      <w:numFmt w:val="bullet"/>
      <w:isLgl w:val="false"/>
      <w:suff w:val="tab"/>
      <w:lvlText w:val=""/>
      <w:lvlJc w:val="left"/>
      <w:pPr>
        <w:pStyle w:val="808"/>
        <w:ind w:left="2680" w:hanging="440"/>
      </w:pPr>
      <w:rPr>
        <w:rFonts w:ascii="Wingdings" w:hAnsi="Wingdings"/>
      </w:rPr>
    </w:lvl>
    <w:lvl w:ilvl="5">
      <w:start w:val="1"/>
      <w:numFmt w:val="bullet"/>
      <w:isLgl w:val="false"/>
      <w:suff w:val="tab"/>
      <w:lvlText w:val=""/>
      <w:lvlJc w:val="left"/>
      <w:pPr>
        <w:pStyle w:val="808"/>
        <w:ind w:left="3120" w:hanging="440"/>
      </w:pPr>
      <w:rPr>
        <w:rFonts w:ascii="Wingdings" w:hAnsi="Wingdings"/>
      </w:rPr>
    </w:lvl>
    <w:lvl w:ilvl="6">
      <w:start w:val="1"/>
      <w:numFmt w:val="bullet"/>
      <w:isLgl w:val="false"/>
      <w:suff w:val="tab"/>
      <w:lvlText w:val=""/>
      <w:lvlJc w:val="left"/>
      <w:pPr>
        <w:pStyle w:val="808"/>
        <w:ind w:left="3560" w:hanging="440"/>
      </w:pPr>
      <w:rPr>
        <w:rFonts w:ascii="Wingdings" w:hAnsi="Wingdings"/>
      </w:rPr>
    </w:lvl>
    <w:lvl w:ilvl="7">
      <w:start w:val="1"/>
      <w:numFmt w:val="bullet"/>
      <w:isLgl w:val="false"/>
      <w:suff w:val="tab"/>
      <w:lvlText w:val=""/>
      <w:lvlJc w:val="left"/>
      <w:pPr>
        <w:pStyle w:val="808"/>
        <w:ind w:left="4000" w:hanging="440"/>
      </w:pPr>
      <w:rPr>
        <w:rFonts w:ascii="Wingdings" w:hAnsi="Wingdings"/>
      </w:rPr>
    </w:lvl>
    <w:lvl w:ilvl="8">
      <w:start w:val="1"/>
      <w:numFmt w:val="bullet"/>
      <w:isLgl w:val="false"/>
      <w:suff w:val="tab"/>
      <w:lvlText w:val=""/>
      <w:lvlJc w:val="left"/>
      <w:pPr>
        <w:pStyle w:val="808"/>
        <w:ind w:left="4440" w:hanging="440"/>
      </w:pPr>
      <w:rPr>
        <w:rFonts w:ascii="Wingdings" w:hAnsi="Wingdings"/>
      </w:rPr>
    </w:lvl>
  </w:abstractNum>
  <w:abstractNum w:abstractNumId="32">
    <w:multiLevelType w:val="hybridMultilevel"/>
    <w:lvl w:ilvl="0">
      <w:start w:val="1"/>
      <w:numFmt w:val="decimal"/>
      <w:isLgl w:val="false"/>
      <w:suff w:val="tab"/>
      <w:lvlText w:val="%1."/>
      <w:lvlJc w:val="left"/>
      <w:pPr>
        <w:pStyle w:val="808"/>
        <w:ind w:left="510" w:hanging="360"/>
        <w:tabs>
          <w:tab w:val="num" w:pos="510" w:leader="none"/>
        </w:tabs>
      </w:pPr>
      <w:rPr>
        <w:rFonts w:hint="eastAsia" w:cs="Times New Roman"/>
      </w:rPr>
    </w:lvl>
    <w:lvl w:ilvl="1">
      <w:start w:val="1"/>
      <w:numFmt w:val="decimal"/>
      <w:isLgl w:val="false"/>
      <w:suff w:val="tab"/>
      <w:lvlText w:val="%2．"/>
      <w:lvlJc w:val="left"/>
      <w:pPr>
        <w:pStyle w:val="808"/>
        <w:ind w:left="1290" w:hanging="720"/>
        <w:tabs>
          <w:tab w:val="num" w:pos="1290" w:leader="none"/>
        </w:tabs>
      </w:pPr>
      <w:rPr>
        <w:rFonts w:hint="eastAsia" w:cs="Times New Roman"/>
      </w:rPr>
    </w:lvl>
    <w:lvl w:ilvl="2">
      <w:start w:val="3"/>
      <w:numFmt w:val="decimal"/>
      <w:isLgl w:val="false"/>
      <w:suff w:val="tab"/>
      <w:lvlText w:val="（%3）"/>
      <w:lvlJc w:val="left"/>
      <w:pPr>
        <w:pStyle w:val="808"/>
        <w:ind w:left="1140" w:hanging="720"/>
        <w:tabs>
          <w:tab w:val="num" w:pos="1140" w:leader="none"/>
        </w:tabs>
      </w:pPr>
      <w:rPr>
        <w:rFonts w:hint="eastAsia" w:cs="Times New Roman"/>
      </w:rPr>
    </w:lvl>
    <w:lvl w:ilvl="3">
      <w:start w:val="1"/>
      <w:numFmt w:val="decimal"/>
      <w:isLgl w:val="false"/>
      <w:suff w:val="tab"/>
      <w:lvlText w:val="（%4）"/>
      <w:lvlJc w:val="left"/>
      <w:pPr>
        <w:pStyle w:val="80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08"/>
        <w:ind w:left="2250" w:hanging="420"/>
        <w:tabs>
          <w:tab w:val="num" w:pos="2250" w:leader="none"/>
        </w:tabs>
      </w:pPr>
      <w:rPr>
        <w:rFonts w:hint="eastAsia"/>
        <w:b/>
        <w:lang w:val="en-US"/>
      </w:rPr>
    </w:lvl>
    <w:lvl w:ilvl="5">
      <w:start w:val="10"/>
      <w:numFmt w:val="japaneseCounting"/>
      <w:isLgl w:val="false"/>
      <w:suff w:val="tab"/>
      <w:lvlText w:val="（%6）"/>
      <w:lvlJc w:val="left"/>
      <w:pPr>
        <w:pStyle w:val="808"/>
        <w:ind w:left="2970" w:hanging="720"/>
      </w:pPr>
      <w:rPr>
        <w:rFonts w:cs="Times New Roman"/>
      </w:rPr>
    </w:lvl>
    <w:lvl w:ilvl="6">
      <w:start w:val="1"/>
      <w:numFmt w:val="decimal"/>
      <w:isLgl w:val="false"/>
      <w:suff w:val="tab"/>
      <w:lvlText w:val="（%7）"/>
      <w:lvlJc w:val="left"/>
      <w:pPr>
        <w:pStyle w:val="80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08"/>
        <w:ind w:left="3510" w:hanging="420"/>
        <w:tabs>
          <w:tab w:val="num" w:pos="3510" w:leader="none"/>
        </w:tabs>
      </w:pPr>
      <w:rPr>
        <w:rFonts w:cs="Times New Roman"/>
      </w:rPr>
    </w:lvl>
    <w:lvl w:ilvl="8">
      <w:start w:val="1"/>
      <w:numFmt w:val="lowerRoman"/>
      <w:isLgl w:val="false"/>
      <w:suff w:val="tab"/>
      <w:lvlText w:val="%9."/>
      <w:lvlJc w:val="right"/>
      <w:pPr>
        <w:pStyle w:val="808"/>
        <w:ind w:left="3930" w:hanging="420"/>
        <w:tabs>
          <w:tab w:val="num" w:pos="3930" w:leader="none"/>
        </w:tabs>
      </w:pPr>
      <w:rPr>
        <w:rFonts w:cs="Times New Roman"/>
      </w:rPr>
    </w:lvl>
  </w:abstractNum>
  <w:abstractNum w:abstractNumId="33">
    <w:multiLevelType w:val="hybridMultilevel"/>
    <w:lvl w:ilvl="0">
      <w:start w:val="1"/>
      <w:numFmt w:val="japaneseCounting"/>
      <w:isLgl w:val="false"/>
      <w:suff w:val="tab"/>
      <w:lvlText w:val="%1、"/>
      <w:lvlJc w:val="left"/>
      <w:pPr>
        <w:pStyle w:val="80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08"/>
        <w:ind w:left="840" w:hanging="420"/>
        <w:tabs>
          <w:tab w:val="num" w:pos="840" w:leader="none"/>
        </w:tabs>
      </w:pPr>
      <w:rPr>
        <w:rFonts w:cs="Times New Roman"/>
      </w:rPr>
    </w:lvl>
    <w:lvl w:ilvl="2">
      <w:start w:val="10"/>
      <w:numFmt w:val="decimal"/>
      <w:isLgl w:val="false"/>
      <w:suff w:val="tab"/>
      <w:lvlText w:val="%3."/>
      <w:lvlJc w:val="left"/>
      <w:pPr>
        <w:pStyle w:val="808"/>
        <w:ind w:left="1200" w:hanging="360"/>
        <w:tabs>
          <w:tab w:val="num" w:pos="1200" w:leader="none"/>
        </w:tabs>
      </w:pPr>
      <w:rPr>
        <w:rFonts w:cs="Times New Roman"/>
      </w:rPr>
    </w:lvl>
    <w:lvl w:ilvl="3">
      <w:start w:val="1"/>
      <w:numFmt w:val="decimal"/>
      <w:isLgl w:val="false"/>
      <w:suff w:val="tab"/>
      <w:lvlText w:val="%4."/>
      <w:lvlJc w:val="left"/>
      <w:pPr>
        <w:pStyle w:val="808"/>
        <w:ind w:left="1680" w:hanging="420"/>
        <w:tabs>
          <w:tab w:val="num" w:pos="1680" w:leader="none"/>
        </w:tabs>
      </w:pPr>
      <w:rPr>
        <w:rFonts w:cs="Times New Roman"/>
      </w:rPr>
    </w:lvl>
    <w:lvl w:ilvl="4">
      <w:start w:val="1"/>
      <w:numFmt w:val="lowerLetter"/>
      <w:isLgl w:val="false"/>
      <w:suff w:val="tab"/>
      <w:lvlText w:val="%5)"/>
      <w:lvlJc w:val="left"/>
      <w:pPr>
        <w:pStyle w:val="808"/>
        <w:ind w:left="2100" w:hanging="420"/>
        <w:tabs>
          <w:tab w:val="num" w:pos="2100" w:leader="none"/>
        </w:tabs>
      </w:pPr>
      <w:rPr>
        <w:rFonts w:cs="Times New Roman"/>
      </w:rPr>
    </w:lvl>
    <w:lvl w:ilvl="5">
      <w:start w:val="1"/>
      <w:numFmt w:val="lowerRoman"/>
      <w:isLgl w:val="false"/>
      <w:suff w:val="tab"/>
      <w:lvlText w:val="%6."/>
      <w:lvlJc w:val="right"/>
      <w:pPr>
        <w:pStyle w:val="808"/>
        <w:ind w:left="2520" w:hanging="420"/>
        <w:tabs>
          <w:tab w:val="num" w:pos="2520" w:leader="none"/>
        </w:tabs>
      </w:pPr>
      <w:rPr>
        <w:rFonts w:cs="Times New Roman"/>
      </w:rPr>
    </w:lvl>
    <w:lvl w:ilvl="6">
      <w:start w:val="1"/>
      <w:numFmt w:val="decimal"/>
      <w:isLgl w:val="false"/>
      <w:suff w:val="tab"/>
      <w:lvlText w:val="%7."/>
      <w:lvlJc w:val="left"/>
      <w:pPr>
        <w:pStyle w:val="808"/>
        <w:ind w:left="2940" w:hanging="420"/>
        <w:tabs>
          <w:tab w:val="num" w:pos="2940" w:leader="none"/>
        </w:tabs>
      </w:pPr>
      <w:rPr>
        <w:rFonts w:cs="Times New Roman"/>
      </w:rPr>
    </w:lvl>
    <w:lvl w:ilvl="7">
      <w:start w:val="1"/>
      <w:numFmt w:val="lowerLetter"/>
      <w:isLgl w:val="false"/>
      <w:suff w:val="tab"/>
      <w:lvlText w:val="%8)"/>
      <w:lvlJc w:val="left"/>
      <w:pPr>
        <w:pStyle w:val="808"/>
        <w:ind w:left="3360" w:hanging="420"/>
        <w:tabs>
          <w:tab w:val="num" w:pos="3360" w:leader="none"/>
        </w:tabs>
      </w:pPr>
      <w:rPr>
        <w:rFonts w:cs="Times New Roman"/>
      </w:rPr>
    </w:lvl>
    <w:lvl w:ilvl="8">
      <w:start w:val="1"/>
      <w:numFmt w:val="lowerRoman"/>
      <w:isLgl w:val="false"/>
      <w:suff w:val="tab"/>
      <w:lvlText w:val="%9."/>
      <w:lvlJc w:val="right"/>
      <w:pPr>
        <w:pStyle w:val="808"/>
        <w:ind w:left="3780" w:hanging="420"/>
        <w:tabs>
          <w:tab w:val="num" w:pos="3780" w:leader="none"/>
        </w:tabs>
      </w:pPr>
      <w:rPr>
        <w:rFonts w:cs="Times New Roman"/>
      </w:rPr>
    </w:lvl>
  </w:abstractNum>
  <w:abstractNum w:abstractNumId="34">
    <w:multiLevelType w:val="hybridMultilevel"/>
    <w:lvl w:ilvl="0">
      <w:start w:val="1"/>
      <w:numFmt w:val="bullet"/>
      <w:isLgl w:val="false"/>
      <w:suff w:val="tab"/>
      <w:lvlText w:val=""/>
      <w:lvlJc w:val="left"/>
      <w:pPr>
        <w:pStyle w:val="808"/>
        <w:ind w:left="920" w:hanging="440"/>
      </w:pPr>
      <w:rPr>
        <w:rFonts w:ascii="Wingdings" w:hAnsi="Wingdings"/>
      </w:rPr>
    </w:lvl>
    <w:lvl w:ilvl="1">
      <w:start w:val="1"/>
      <w:numFmt w:val="bullet"/>
      <w:isLgl w:val="false"/>
      <w:suff w:val="tab"/>
      <w:lvlText w:val=""/>
      <w:lvlJc w:val="left"/>
      <w:pPr>
        <w:pStyle w:val="808"/>
        <w:ind w:left="1360" w:hanging="440"/>
      </w:pPr>
      <w:rPr>
        <w:rFonts w:ascii="Wingdings" w:hAnsi="Wingdings"/>
      </w:rPr>
    </w:lvl>
    <w:lvl w:ilvl="2">
      <w:start w:val="1"/>
      <w:numFmt w:val="bullet"/>
      <w:isLgl w:val="false"/>
      <w:suff w:val="tab"/>
      <w:lvlText w:val=""/>
      <w:lvlJc w:val="left"/>
      <w:pPr>
        <w:pStyle w:val="808"/>
        <w:ind w:left="1800" w:hanging="440"/>
      </w:pPr>
      <w:rPr>
        <w:rFonts w:ascii="Wingdings" w:hAnsi="Wingdings"/>
      </w:rPr>
    </w:lvl>
    <w:lvl w:ilvl="3">
      <w:start w:val="1"/>
      <w:numFmt w:val="bullet"/>
      <w:isLgl w:val="false"/>
      <w:suff w:val="tab"/>
      <w:lvlText w:val=""/>
      <w:lvlJc w:val="left"/>
      <w:pPr>
        <w:pStyle w:val="808"/>
        <w:ind w:left="2240" w:hanging="440"/>
      </w:pPr>
      <w:rPr>
        <w:rFonts w:ascii="Wingdings" w:hAnsi="Wingdings"/>
      </w:rPr>
    </w:lvl>
    <w:lvl w:ilvl="4">
      <w:start w:val="1"/>
      <w:numFmt w:val="bullet"/>
      <w:isLgl w:val="false"/>
      <w:suff w:val="tab"/>
      <w:lvlText w:val=""/>
      <w:lvlJc w:val="left"/>
      <w:pPr>
        <w:pStyle w:val="808"/>
        <w:ind w:left="2680" w:hanging="440"/>
      </w:pPr>
      <w:rPr>
        <w:rFonts w:ascii="Wingdings" w:hAnsi="Wingdings"/>
      </w:rPr>
    </w:lvl>
    <w:lvl w:ilvl="5">
      <w:start w:val="1"/>
      <w:numFmt w:val="bullet"/>
      <w:isLgl w:val="false"/>
      <w:suff w:val="tab"/>
      <w:lvlText w:val=""/>
      <w:lvlJc w:val="left"/>
      <w:pPr>
        <w:pStyle w:val="808"/>
        <w:ind w:left="3120" w:hanging="440"/>
      </w:pPr>
      <w:rPr>
        <w:rFonts w:ascii="Wingdings" w:hAnsi="Wingdings"/>
      </w:rPr>
    </w:lvl>
    <w:lvl w:ilvl="6">
      <w:start w:val="1"/>
      <w:numFmt w:val="bullet"/>
      <w:isLgl w:val="false"/>
      <w:suff w:val="tab"/>
      <w:lvlText w:val=""/>
      <w:lvlJc w:val="left"/>
      <w:pPr>
        <w:pStyle w:val="808"/>
        <w:ind w:left="3560" w:hanging="440"/>
      </w:pPr>
      <w:rPr>
        <w:rFonts w:ascii="Wingdings" w:hAnsi="Wingdings"/>
      </w:rPr>
    </w:lvl>
    <w:lvl w:ilvl="7">
      <w:start w:val="1"/>
      <w:numFmt w:val="bullet"/>
      <w:isLgl w:val="false"/>
      <w:suff w:val="tab"/>
      <w:lvlText w:val=""/>
      <w:lvlJc w:val="left"/>
      <w:pPr>
        <w:pStyle w:val="808"/>
        <w:ind w:left="4000" w:hanging="440"/>
      </w:pPr>
      <w:rPr>
        <w:rFonts w:ascii="Wingdings" w:hAnsi="Wingdings"/>
      </w:rPr>
    </w:lvl>
    <w:lvl w:ilvl="8">
      <w:start w:val="1"/>
      <w:numFmt w:val="bullet"/>
      <w:isLgl w:val="false"/>
      <w:suff w:val="tab"/>
      <w:lvlText w:val=""/>
      <w:lvlJc w:val="left"/>
      <w:pPr>
        <w:pStyle w:val="808"/>
        <w:ind w:left="4440" w:hanging="440"/>
      </w:pPr>
      <w:rPr>
        <w:rFonts w:ascii="Wingdings" w:hAnsi="Wingdings"/>
      </w:rPr>
    </w:lvl>
  </w:abstractNum>
  <w:abstractNum w:abstractNumId="35">
    <w:multiLevelType w:val="hybridMultilevel"/>
    <w:lvl w:ilvl="0">
      <w:start w:val="1"/>
      <w:numFmt w:val="bullet"/>
      <w:isLgl w:val="false"/>
      <w:suff w:val="tab"/>
      <w:lvlText w:val=""/>
      <w:lvlJc w:val="left"/>
      <w:pPr>
        <w:pStyle w:val="808"/>
        <w:ind w:left="920" w:hanging="440"/>
      </w:pPr>
      <w:rPr>
        <w:rFonts w:ascii="Wingdings" w:hAnsi="Wingdings"/>
      </w:rPr>
    </w:lvl>
    <w:lvl w:ilvl="1">
      <w:start w:val="1"/>
      <w:numFmt w:val="bullet"/>
      <w:isLgl w:val="false"/>
      <w:suff w:val="tab"/>
      <w:lvlText w:val=""/>
      <w:lvlJc w:val="left"/>
      <w:pPr>
        <w:pStyle w:val="808"/>
        <w:ind w:left="1360" w:hanging="440"/>
      </w:pPr>
      <w:rPr>
        <w:rFonts w:ascii="Wingdings" w:hAnsi="Wingdings"/>
      </w:rPr>
    </w:lvl>
    <w:lvl w:ilvl="2">
      <w:start w:val="1"/>
      <w:numFmt w:val="bullet"/>
      <w:isLgl w:val="false"/>
      <w:suff w:val="tab"/>
      <w:lvlText w:val=""/>
      <w:lvlJc w:val="left"/>
      <w:pPr>
        <w:pStyle w:val="808"/>
        <w:ind w:left="1800" w:hanging="440"/>
      </w:pPr>
      <w:rPr>
        <w:rFonts w:ascii="Wingdings" w:hAnsi="Wingdings"/>
      </w:rPr>
    </w:lvl>
    <w:lvl w:ilvl="3">
      <w:start w:val="1"/>
      <w:numFmt w:val="bullet"/>
      <w:isLgl w:val="false"/>
      <w:suff w:val="tab"/>
      <w:lvlText w:val=""/>
      <w:lvlJc w:val="left"/>
      <w:pPr>
        <w:pStyle w:val="808"/>
        <w:ind w:left="2240" w:hanging="440"/>
      </w:pPr>
      <w:rPr>
        <w:rFonts w:ascii="Wingdings" w:hAnsi="Wingdings"/>
      </w:rPr>
    </w:lvl>
    <w:lvl w:ilvl="4">
      <w:start w:val="1"/>
      <w:numFmt w:val="bullet"/>
      <w:isLgl w:val="false"/>
      <w:suff w:val="tab"/>
      <w:lvlText w:val=""/>
      <w:lvlJc w:val="left"/>
      <w:pPr>
        <w:pStyle w:val="808"/>
        <w:ind w:left="2680" w:hanging="440"/>
      </w:pPr>
      <w:rPr>
        <w:rFonts w:ascii="Wingdings" w:hAnsi="Wingdings"/>
      </w:rPr>
    </w:lvl>
    <w:lvl w:ilvl="5">
      <w:start w:val="1"/>
      <w:numFmt w:val="bullet"/>
      <w:isLgl w:val="false"/>
      <w:suff w:val="tab"/>
      <w:lvlText w:val=""/>
      <w:lvlJc w:val="left"/>
      <w:pPr>
        <w:pStyle w:val="808"/>
        <w:ind w:left="3120" w:hanging="440"/>
      </w:pPr>
      <w:rPr>
        <w:rFonts w:ascii="Wingdings" w:hAnsi="Wingdings"/>
      </w:rPr>
    </w:lvl>
    <w:lvl w:ilvl="6">
      <w:start w:val="1"/>
      <w:numFmt w:val="bullet"/>
      <w:isLgl w:val="false"/>
      <w:suff w:val="tab"/>
      <w:lvlText w:val=""/>
      <w:lvlJc w:val="left"/>
      <w:pPr>
        <w:pStyle w:val="808"/>
        <w:ind w:left="3560" w:hanging="440"/>
      </w:pPr>
      <w:rPr>
        <w:rFonts w:ascii="Wingdings" w:hAnsi="Wingdings"/>
      </w:rPr>
    </w:lvl>
    <w:lvl w:ilvl="7">
      <w:start w:val="1"/>
      <w:numFmt w:val="bullet"/>
      <w:isLgl w:val="false"/>
      <w:suff w:val="tab"/>
      <w:lvlText w:val=""/>
      <w:lvlJc w:val="left"/>
      <w:pPr>
        <w:pStyle w:val="808"/>
        <w:ind w:left="4000" w:hanging="440"/>
      </w:pPr>
      <w:rPr>
        <w:rFonts w:ascii="Wingdings" w:hAnsi="Wingdings"/>
      </w:rPr>
    </w:lvl>
    <w:lvl w:ilvl="8">
      <w:start w:val="1"/>
      <w:numFmt w:val="bullet"/>
      <w:isLgl w:val="false"/>
      <w:suff w:val="tab"/>
      <w:lvlText w:val=""/>
      <w:lvlJc w:val="left"/>
      <w:pPr>
        <w:pStyle w:val="808"/>
        <w:ind w:left="4440" w:hanging="440"/>
      </w:pPr>
      <w:rPr>
        <w:rFonts w:ascii="Wingdings" w:hAnsi="Wingdings"/>
      </w:rPr>
    </w:lvl>
  </w:abstractNum>
  <w:abstractNum w:abstractNumId="36">
    <w:multiLevelType w:val="hybridMultilevel"/>
    <w:lvl w:ilvl="0">
      <w:start w:val="1"/>
      <w:numFmt w:val="decimal"/>
      <w:isLgl w:val="false"/>
      <w:suff w:val="tab"/>
      <w:lvlText w:val="%1."/>
      <w:lvlJc w:val="left"/>
      <w:pPr>
        <w:pStyle w:val="808"/>
        <w:ind w:left="510" w:hanging="360"/>
        <w:tabs>
          <w:tab w:val="num" w:pos="510" w:leader="none"/>
        </w:tabs>
      </w:pPr>
      <w:rPr>
        <w:rFonts w:hint="eastAsia" w:cs="Times New Roman"/>
      </w:rPr>
    </w:lvl>
    <w:lvl w:ilvl="1">
      <w:start w:val="1"/>
      <w:numFmt w:val="decimal"/>
      <w:isLgl w:val="false"/>
      <w:suff w:val="tab"/>
      <w:lvlText w:val="%2．"/>
      <w:lvlJc w:val="left"/>
      <w:pPr>
        <w:pStyle w:val="808"/>
        <w:ind w:left="1290" w:hanging="720"/>
        <w:tabs>
          <w:tab w:val="num" w:pos="1290" w:leader="none"/>
        </w:tabs>
      </w:pPr>
      <w:rPr>
        <w:rFonts w:hint="eastAsia" w:cs="Times New Roman"/>
      </w:rPr>
    </w:lvl>
    <w:lvl w:ilvl="2">
      <w:start w:val="3"/>
      <w:numFmt w:val="decimal"/>
      <w:isLgl w:val="false"/>
      <w:suff w:val="tab"/>
      <w:lvlText w:val="（%3）"/>
      <w:lvlJc w:val="left"/>
      <w:pPr>
        <w:pStyle w:val="808"/>
        <w:ind w:left="1140" w:hanging="720"/>
        <w:tabs>
          <w:tab w:val="num" w:pos="1140" w:leader="none"/>
        </w:tabs>
      </w:pPr>
      <w:rPr>
        <w:rFonts w:hint="eastAsia" w:cs="Times New Roman"/>
      </w:rPr>
    </w:lvl>
    <w:lvl w:ilvl="3">
      <w:start w:val="1"/>
      <w:numFmt w:val="decimal"/>
      <w:isLgl w:val="false"/>
      <w:suff w:val="tab"/>
      <w:lvlText w:val="（%4）"/>
      <w:lvlJc w:val="left"/>
      <w:pPr>
        <w:pStyle w:val="80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08"/>
        <w:ind w:left="2250" w:hanging="420"/>
        <w:tabs>
          <w:tab w:val="num" w:pos="2250" w:leader="none"/>
        </w:tabs>
      </w:pPr>
      <w:rPr>
        <w:rFonts w:hint="eastAsia"/>
        <w:b/>
        <w:lang w:val="en-US"/>
      </w:rPr>
    </w:lvl>
    <w:lvl w:ilvl="5">
      <w:start w:val="10"/>
      <w:numFmt w:val="japaneseCounting"/>
      <w:isLgl w:val="false"/>
      <w:suff w:val="tab"/>
      <w:lvlText w:val="（%6）"/>
      <w:lvlJc w:val="left"/>
      <w:pPr>
        <w:pStyle w:val="808"/>
        <w:ind w:left="2970" w:hanging="720"/>
      </w:pPr>
      <w:rPr>
        <w:rFonts w:cs="Times New Roman"/>
      </w:rPr>
    </w:lvl>
    <w:lvl w:ilvl="6">
      <w:start w:val="1"/>
      <w:numFmt w:val="decimal"/>
      <w:isLgl w:val="false"/>
      <w:suff w:val="tab"/>
      <w:lvlText w:val="（%7）"/>
      <w:lvlJc w:val="left"/>
      <w:pPr>
        <w:pStyle w:val="80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08"/>
        <w:ind w:left="3510" w:hanging="420"/>
        <w:tabs>
          <w:tab w:val="num" w:pos="3510" w:leader="none"/>
        </w:tabs>
      </w:pPr>
      <w:rPr>
        <w:rFonts w:cs="Times New Roman"/>
      </w:rPr>
    </w:lvl>
    <w:lvl w:ilvl="8">
      <w:start w:val="1"/>
      <w:numFmt w:val="lowerRoman"/>
      <w:isLgl w:val="false"/>
      <w:suff w:val="tab"/>
      <w:lvlText w:val="%9."/>
      <w:lvlJc w:val="right"/>
      <w:pPr>
        <w:pStyle w:val="808"/>
        <w:ind w:left="3930" w:hanging="420"/>
        <w:tabs>
          <w:tab w:val="num" w:pos="3930" w:leader="none"/>
        </w:tabs>
      </w:pPr>
      <w:rPr>
        <w:rFonts w:cs="Times New Roman"/>
      </w:rPr>
    </w:lvl>
  </w:abstractNum>
  <w:abstractNum w:abstractNumId="37">
    <w:multiLevelType w:val="hybridMultilevel"/>
    <w:lvl w:ilvl="0">
      <w:start w:val="1"/>
      <w:numFmt w:val="decimal"/>
      <w:isLgl w:val="false"/>
      <w:suff w:val="nothing"/>
      <w:lvlText w:val="（%1）"/>
      <w:lvlJc w:val="left"/>
      <w:pPr>
        <w:pStyle w:val="8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japaneseCounting"/>
      <w:isLgl w:val="false"/>
      <w:suff w:val="tab"/>
      <w:lvlText w:val="第%1章"/>
      <w:lvlJc w:val="left"/>
      <w:pPr>
        <w:pStyle w:val="808"/>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bullet"/>
      <w:isLgl w:val="false"/>
      <w:suff w:val="tab"/>
      <w:lvlText w:val=""/>
      <w:lvlJc w:val="left"/>
      <w:pPr>
        <w:pStyle w:val="808"/>
        <w:ind w:left="920" w:hanging="440"/>
      </w:pPr>
      <w:rPr>
        <w:rFonts w:ascii="Wingdings" w:hAnsi="Wingdings"/>
      </w:rPr>
    </w:lvl>
    <w:lvl w:ilvl="1">
      <w:start w:val="1"/>
      <w:numFmt w:val="bullet"/>
      <w:isLgl w:val="false"/>
      <w:suff w:val="tab"/>
      <w:lvlText w:val=""/>
      <w:lvlJc w:val="left"/>
      <w:pPr>
        <w:pStyle w:val="808"/>
        <w:ind w:left="1360" w:hanging="440"/>
      </w:pPr>
      <w:rPr>
        <w:rFonts w:ascii="Wingdings" w:hAnsi="Wingdings"/>
      </w:rPr>
    </w:lvl>
    <w:lvl w:ilvl="2">
      <w:start w:val="1"/>
      <w:numFmt w:val="bullet"/>
      <w:isLgl w:val="false"/>
      <w:suff w:val="tab"/>
      <w:lvlText w:val=""/>
      <w:lvlJc w:val="left"/>
      <w:pPr>
        <w:pStyle w:val="808"/>
        <w:ind w:left="1800" w:hanging="440"/>
      </w:pPr>
      <w:rPr>
        <w:rFonts w:ascii="Wingdings" w:hAnsi="Wingdings"/>
      </w:rPr>
    </w:lvl>
    <w:lvl w:ilvl="3">
      <w:start w:val="1"/>
      <w:numFmt w:val="bullet"/>
      <w:isLgl w:val="false"/>
      <w:suff w:val="tab"/>
      <w:lvlText w:val=""/>
      <w:lvlJc w:val="left"/>
      <w:pPr>
        <w:pStyle w:val="808"/>
        <w:ind w:left="2240" w:hanging="440"/>
      </w:pPr>
      <w:rPr>
        <w:rFonts w:ascii="Wingdings" w:hAnsi="Wingdings"/>
      </w:rPr>
    </w:lvl>
    <w:lvl w:ilvl="4">
      <w:start w:val="1"/>
      <w:numFmt w:val="bullet"/>
      <w:isLgl w:val="false"/>
      <w:suff w:val="tab"/>
      <w:lvlText w:val=""/>
      <w:lvlJc w:val="left"/>
      <w:pPr>
        <w:pStyle w:val="808"/>
        <w:ind w:left="2680" w:hanging="440"/>
      </w:pPr>
      <w:rPr>
        <w:rFonts w:ascii="Wingdings" w:hAnsi="Wingdings"/>
      </w:rPr>
    </w:lvl>
    <w:lvl w:ilvl="5">
      <w:start w:val="1"/>
      <w:numFmt w:val="bullet"/>
      <w:isLgl w:val="false"/>
      <w:suff w:val="tab"/>
      <w:lvlText w:val=""/>
      <w:lvlJc w:val="left"/>
      <w:pPr>
        <w:pStyle w:val="808"/>
        <w:ind w:left="3120" w:hanging="440"/>
      </w:pPr>
      <w:rPr>
        <w:rFonts w:ascii="Wingdings" w:hAnsi="Wingdings"/>
      </w:rPr>
    </w:lvl>
    <w:lvl w:ilvl="6">
      <w:start w:val="1"/>
      <w:numFmt w:val="bullet"/>
      <w:isLgl w:val="false"/>
      <w:suff w:val="tab"/>
      <w:lvlText w:val=""/>
      <w:lvlJc w:val="left"/>
      <w:pPr>
        <w:pStyle w:val="808"/>
        <w:ind w:left="3560" w:hanging="440"/>
      </w:pPr>
      <w:rPr>
        <w:rFonts w:ascii="Wingdings" w:hAnsi="Wingdings"/>
      </w:rPr>
    </w:lvl>
    <w:lvl w:ilvl="7">
      <w:start w:val="1"/>
      <w:numFmt w:val="bullet"/>
      <w:isLgl w:val="false"/>
      <w:suff w:val="tab"/>
      <w:lvlText w:val=""/>
      <w:lvlJc w:val="left"/>
      <w:pPr>
        <w:pStyle w:val="808"/>
        <w:ind w:left="4000" w:hanging="440"/>
      </w:pPr>
      <w:rPr>
        <w:rFonts w:ascii="Wingdings" w:hAnsi="Wingdings"/>
      </w:rPr>
    </w:lvl>
    <w:lvl w:ilvl="8">
      <w:start w:val="1"/>
      <w:numFmt w:val="bullet"/>
      <w:isLgl w:val="false"/>
      <w:suff w:val="tab"/>
      <w:lvlText w:val=""/>
      <w:lvlJc w:val="left"/>
      <w:pPr>
        <w:pStyle w:val="808"/>
        <w:ind w:left="4440" w:hanging="440"/>
      </w:pPr>
      <w:rPr>
        <w:rFonts w:ascii="Wingdings" w:hAnsi="Wingdings"/>
      </w:rPr>
    </w:lvl>
  </w:abstractNum>
  <w:abstractNum w:abstractNumId="40">
    <w:multiLevelType w:val="hybridMultilevel"/>
    <w:lvl w:ilvl="0">
      <w:start w:val="1"/>
      <w:numFmt w:val="decimal"/>
      <w:isLgl w:val="false"/>
      <w:suff w:val="tab"/>
      <w:lvlText w:val="%1."/>
      <w:lvlJc w:val="left"/>
      <w:pPr>
        <w:pStyle w:val="808"/>
        <w:ind w:left="510" w:hanging="360"/>
        <w:tabs>
          <w:tab w:val="num" w:pos="510" w:leader="none"/>
        </w:tabs>
      </w:pPr>
      <w:rPr>
        <w:rFonts w:hint="eastAsia" w:cs="Times New Roman"/>
      </w:rPr>
    </w:lvl>
    <w:lvl w:ilvl="1">
      <w:start w:val="1"/>
      <w:numFmt w:val="decimal"/>
      <w:isLgl w:val="false"/>
      <w:suff w:val="tab"/>
      <w:lvlText w:val="%2．"/>
      <w:lvlJc w:val="left"/>
      <w:pPr>
        <w:pStyle w:val="808"/>
        <w:ind w:left="1290" w:hanging="720"/>
        <w:tabs>
          <w:tab w:val="num" w:pos="1290" w:leader="none"/>
        </w:tabs>
      </w:pPr>
      <w:rPr>
        <w:rFonts w:hint="eastAsia" w:cs="Times New Roman"/>
      </w:rPr>
    </w:lvl>
    <w:lvl w:ilvl="2">
      <w:start w:val="3"/>
      <w:numFmt w:val="decimal"/>
      <w:isLgl w:val="false"/>
      <w:suff w:val="tab"/>
      <w:lvlText w:val="（%3）"/>
      <w:lvlJc w:val="left"/>
      <w:pPr>
        <w:pStyle w:val="808"/>
        <w:ind w:left="1140" w:hanging="720"/>
        <w:tabs>
          <w:tab w:val="num" w:pos="1140" w:leader="none"/>
        </w:tabs>
      </w:pPr>
      <w:rPr>
        <w:rFonts w:hint="eastAsia" w:cs="Times New Roman"/>
      </w:rPr>
    </w:lvl>
    <w:lvl w:ilvl="3">
      <w:start w:val="1"/>
      <w:numFmt w:val="decimal"/>
      <w:isLgl w:val="false"/>
      <w:suff w:val="tab"/>
      <w:lvlText w:val="（%4）"/>
      <w:lvlJc w:val="left"/>
      <w:pPr>
        <w:pStyle w:val="80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08"/>
        <w:ind w:left="2250" w:hanging="420"/>
        <w:tabs>
          <w:tab w:val="num" w:pos="2250" w:leader="none"/>
        </w:tabs>
      </w:pPr>
      <w:rPr>
        <w:rFonts w:hint="eastAsia"/>
        <w:b/>
        <w:lang w:val="en-US"/>
      </w:rPr>
    </w:lvl>
    <w:lvl w:ilvl="5">
      <w:start w:val="10"/>
      <w:numFmt w:val="japaneseCounting"/>
      <w:isLgl w:val="false"/>
      <w:suff w:val="tab"/>
      <w:lvlText w:val="（%6）"/>
      <w:lvlJc w:val="left"/>
      <w:pPr>
        <w:pStyle w:val="808"/>
        <w:ind w:left="2970" w:hanging="720"/>
      </w:pPr>
      <w:rPr>
        <w:rFonts w:cs="Times New Roman"/>
      </w:rPr>
    </w:lvl>
    <w:lvl w:ilvl="6">
      <w:start w:val="1"/>
      <w:numFmt w:val="decimal"/>
      <w:isLgl w:val="false"/>
      <w:suff w:val="tab"/>
      <w:lvlText w:val="（%7）"/>
      <w:lvlJc w:val="left"/>
      <w:pPr>
        <w:pStyle w:val="80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08"/>
        <w:ind w:left="3510" w:hanging="420"/>
        <w:tabs>
          <w:tab w:val="num" w:pos="3510" w:leader="none"/>
        </w:tabs>
      </w:pPr>
      <w:rPr>
        <w:rFonts w:cs="Times New Roman"/>
      </w:rPr>
    </w:lvl>
    <w:lvl w:ilvl="8">
      <w:start w:val="1"/>
      <w:numFmt w:val="lowerRoman"/>
      <w:isLgl w:val="false"/>
      <w:suff w:val="tab"/>
      <w:lvlText w:val="%9."/>
      <w:lvlJc w:val="right"/>
      <w:pPr>
        <w:pStyle w:val="808"/>
        <w:ind w:left="3930" w:hanging="420"/>
        <w:tabs>
          <w:tab w:val="num" w:pos="3930" w:leader="none"/>
        </w:tabs>
      </w:pPr>
      <w:rPr>
        <w:rFonts w:cs="Times New Roman"/>
      </w:rPr>
    </w:lvl>
  </w:abstractNum>
  <w:abstractNum w:abstractNumId="41">
    <w:multiLevelType w:val="hybridMultilevel"/>
    <w:lvl w:ilvl="0">
      <w:start w:val="1"/>
      <w:numFmt w:val="decimal"/>
      <w:isLgl w:val="false"/>
      <w:suff w:val="tab"/>
      <w:lvlText w:val="%1."/>
      <w:lvlJc w:val="left"/>
      <w:pPr>
        <w:pStyle w:val="808"/>
        <w:ind w:left="425" w:hanging="425"/>
      </w:pPr>
      <w:rPr>
        <w:rFonts w:hint="eastAsia"/>
      </w:rPr>
    </w:lvl>
    <w:lvl w:ilvl="1">
      <w:start w:val="1"/>
      <w:numFmt w:val="decimal"/>
      <w:isLgl w:val="false"/>
      <w:suff w:val="tab"/>
      <w:lvlText w:val="%1.%2."/>
      <w:lvlJc w:val="left"/>
      <w:pPr>
        <w:pStyle w:val="808"/>
        <w:ind w:left="567" w:hanging="567"/>
      </w:pPr>
      <w:rPr>
        <w:rFonts w:hint="eastAsia"/>
      </w:rPr>
    </w:lvl>
    <w:lvl w:ilvl="2">
      <w:start w:val="1"/>
      <w:numFmt w:val="decimal"/>
      <w:isLgl w:val="false"/>
      <w:suff w:val="tab"/>
      <w:lvlText w:val="3.%2.%3"/>
      <w:lvlJc w:val="left"/>
      <w:pPr>
        <w:pStyle w:val="808"/>
        <w:ind w:left="709" w:hanging="709"/>
      </w:pPr>
      <w:rPr>
        <w:rFonts w:hint="eastAsia"/>
      </w:rPr>
    </w:lvl>
    <w:lvl w:ilvl="3">
      <w:start w:val="1"/>
      <w:numFmt w:val="decimal"/>
      <w:isLgl w:val="false"/>
      <w:suff w:val="tab"/>
      <w:lvlText w:val="%1.%2.%3.%4."/>
      <w:lvlJc w:val="left"/>
      <w:pPr>
        <w:pStyle w:val="808"/>
        <w:ind w:left="851" w:hanging="851"/>
      </w:pPr>
      <w:rPr>
        <w:rFonts w:hint="eastAsia"/>
      </w:rPr>
    </w:lvl>
    <w:lvl w:ilvl="4">
      <w:start w:val="1"/>
      <w:numFmt w:val="decimal"/>
      <w:isLgl w:val="false"/>
      <w:suff w:val="tab"/>
      <w:lvlText w:val="%1.%2.%3.%4.%5."/>
      <w:lvlJc w:val="left"/>
      <w:pPr>
        <w:pStyle w:val="808"/>
        <w:ind w:left="992" w:hanging="992"/>
      </w:pPr>
      <w:rPr>
        <w:rFonts w:hint="eastAsia"/>
      </w:rPr>
    </w:lvl>
    <w:lvl w:ilvl="5">
      <w:start w:val="1"/>
      <w:numFmt w:val="decimal"/>
      <w:isLgl w:val="false"/>
      <w:suff w:val="tab"/>
      <w:lvlText w:val="%1.%2.%3.%4.%5.%6."/>
      <w:lvlJc w:val="left"/>
      <w:pPr>
        <w:pStyle w:val="808"/>
        <w:ind w:left="1134" w:hanging="1134"/>
      </w:pPr>
      <w:rPr>
        <w:rFonts w:hint="eastAsia"/>
      </w:rPr>
    </w:lvl>
    <w:lvl w:ilvl="6">
      <w:start w:val="1"/>
      <w:numFmt w:val="decimal"/>
      <w:isLgl w:val="false"/>
      <w:suff w:val="tab"/>
      <w:lvlText w:val="%1.%2.%3.%4.%5.%6.%7."/>
      <w:lvlJc w:val="left"/>
      <w:pPr>
        <w:pStyle w:val="808"/>
        <w:ind w:left="1276" w:hanging="1276"/>
      </w:pPr>
      <w:rPr>
        <w:rFonts w:hint="eastAsia"/>
      </w:rPr>
    </w:lvl>
    <w:lvl w:ilvl="7">
      <w:start w:val="1"/>
      <w:numFmt w:val="decimal"/>
      <w:isLgl w:val="false"/>
      <w:suff w:val="tab"/>
      <w:lvlText w:val="%1.%2.%3.%4.%5.%6.%7.%8."/>
      <w:lvlJc w:val="left"/>
      <w:pPr>
        <w:pStyle w:val="808"/>
        <w:ind w:left="1418" w:hanging="1418"/>
      </w:pPr>
      <w:rPr>
        <w:rFonts w:hint="eastAsia"/>
      </w:rPr>
    </w:lvl>
    <w:lvl w:ilvl="8">
      <w:start w:val="1"/>
      <w:numFmt w:val="decimal"/>
      <w:isLgl w:val="false"/>
      <w:suff w:val="tab"/>
      <w:lvlText w:val="%1.%2.%3.%4.%5.%6.%7.%8.%9."/>
      <w:lvlJc w:val="left"/>
      <w:pPr>
        <w:pStyle w:val="808"/>
        <w:ind w:left="1559" w:hanging="1559"/>
      </w:pPr>
      <w:rPr>
        <w:rFonts w:hint="eastAsia"/>
      </w:rPr>
    </w:lvl>
  </w:abstractNum>
  <w:abstractNum w:abstractNumId="42">
    <w:multiLevelType w:val="hybridMultilevel"/>
    <w:lvl w:ilvl="0">
      <w:start w:val="1"/>
      <w:numFmt w:val="bullet"/>
      <w:isLgl w:val="false"/>
      <w:suff w:val="tab"/>
      <w:lvlText w:val=""/>
      <w:lvlJc w:val="left"/>
      <w:pPr>
        <w:pStyle w:val="808"/>
        <w:ind w:left="920" w:hanging="440"/>
      </w:pPr>
      <w:rPr>
        <w:rFonts w:ascii="Wingdings" w:hAnsi="Wingdings"/>
      </w:rPr>
    </w:lvl>
    <w:lvl w:ilvl="1">
      <w:start w:val="1"/>
      <w:numFmt w:val="bullet"/>
      <w:isLgl w:val="false"/>
      <w:suff w:val="tab"/>
      <w:lvlText w:val=""/>
      <w:lvlJc w:val="left"/>
      <w:pPr>
        <w:pStyle w:val="808"/>
        <w:ind w:left="1360" w:hanging="440"/>
      </w:pPr>
      <w:rPr>
        <w:rFonts w:ascii="Wingdings" w:hAnsi="Wingdings"/>
      </w:rPr>
    </w:lvl>
    <w:lvl w:ilvl="2">
      <w:start w:val="1"/>
      <w:numFmt w:val="bullet"/>
      <w:isLgl w:val="false"/>
      <w:suff w:val="tab"/>
      <w:lvlText w:val=""/>
      <w:lvlJc w:val="left"/>
      <w:pPr>
        <w:pStyle w:val="808"/>
        <w:ind w:left="1800" w:hanging="440"/>
      </w:pPr>
      <w:rPr>
        <w:rFonts w:ascii="Wingdings" w:hAnsi="Wingdings"/>
      </w:rPr>
    </w:lvl>
    <w:lvl w:ilvl="3">
      <w:start w:val="1"/>
      <w:numFmt w:val="bullet"/>
      <w:isLgl w:val="false"/>
      <w:suff w:val="tab"/>
      <w:lvlText w:val=""/>
      <w:lvlJc w:val="left"/>
      <w:pPr>
        <w:pStyle w:val="808"/>
        <w:ind w:left="2240" w:hanging="440"/>
      </w:pPr>
      <w:rPr>
        <w:rFonts w:ascii="Wingdings" w:hAnsi="Wingdings"/>
      </w:rPr>
    </w:lvl>
    <w:lvl w:ilvl="4">
      <w:start w:val="1"/>
      <w:numFmt w:val="bullet"/>
      <w:isLgl w:val="false"/>
      <w:suff w:val="tab"/>
      <w:lvlText w:val=""/>
      <w:lvlJc w:val="left"/>
      <w:pPr>
        <w:pStyle w:val="808"/>
        <w:ind w:left="2680" w:hanging="440"/>
      </w:pPr>
      <w:rPr>
        <w:rFonts w:ascii="Wingdings" w:hAnsi="Wingdings"/>
      </w:rPr>
    </w:lvl>
    <w:lvl w:ilvl="5">
      <w:start w:val="1"/>
      <w:numFmt w:val="bullet"/>
      <w:isLgl w:val="false"/>
      <w:suff w:val="tab"/>
      <w:lvlText w:val=""/>
      <w:lvlJc w:val="left"/>
      <w:pPr>
        <w:pStyle w:val="808"/>
        <w:ind w:left="3120" w:hanging="440"/>
      </w:pPr>
      <w:rPr>
        <w:rFonts w:ascii="Wingdings" w:hAnsi="Wingdings"/>
      </w:rPr>
    </w:lvl>
    <w:lvl w:ilvl="6">
      <w:start w:val="1"/>
      <w:numFmt w:val="bullet"/>
      <w:isLgl w:val="false"/>
      <w:suff w:val="tab"/>
      <w:lvlText w:val=""/>
      <w:lvlJc w:val="left"/>
      <w:pPr>
        <w:pStyle w:val="808"/>
        <w:ind w:left="3560" w:hanging="440"/>
      </w:pPr>
      <w:rPr>
        <w:rFonts w:ascii="Wingdings" w:hAnsi="Wingdings"/>
      </w:rPr>
    </w:lvl>
    <w:lvl w:ilvl="7">
      <w:start w:val="1"/>
      <w:numFmt w:val="bullet"/>
      <w:isLgl w:val="false"/>
      <w:suff w:val="tab"/>
      <w:lvlText w:val=""/>
      <w:lvlJc w:val="left"/>
      <w:pPr>
        <w:pStyle w:val="808"/>
        <w:ind w:left="4000" w:hanging="440"/>
      </w:pPr>
      <w:rPr>
        <w:rFonts w:ascii="Wingdings" w:hAnsi="Wingdings"/>
      </w:rPr>
    </w:lvl>
    <w:lvl w:ilvl="8">
      <w:start w:val="1"/>
      <w:numFmt w:val="bullet"/>
      <w:isLgl w:val="false"/>
      <w:suff w:val="tab"/>
      <w:lvlText w:val=""/>
      <w:lvlJc w:val="left"/>
      <w:pPr>
        <w:pStyle w:val="808"/>
        <w:ind w:left="4440" w:hanging="440"/>
      </w:pPr>
      <w:rPr>
        <w:rFonts w:ascii="Wingdings" w:hAnsi="Wingdings"/>
      </w:rPr>
    </w:lvl>
  </w:abstractNum>
  <w:abstractNum w:abstractNumId="43">
    <w:multiLevelType w:val="hybridMultilevel"/>
    <w:lvl w:ilvl="0">
      <w:start w:val="1"/>
      <w:numFmt w:val="bullet"/>
      <w:isLgl w:val="false"/>
      <w:suff w:val="tab"/>
      <w:lvlText w:val=""/>
      <w:lvlJc w:val="left"/>
      <w:pPr>
        <w:pStyle w:val="808"/>
        <w:ind w:left="920" w:hanging="440"/>
      </w:pPr>
      <w:rPr>
        <w:rFonts w:ascii="Wingdings" w:hAnsi="Wingdings"/>
      </w:rPr>
    </w:lvl>
    <w:lvl w:ilvl="1">
      <w:start w:val="1"/>
      <w:numFmt w:val="bullet"/>
      <w:isLgl w:val="false"/>
      <w:suff w:val="tab"/>
      <w:lvlText w:val=""/>
      <w:lvlJc w:val="left"/>
      <w:pPr>
        <w:pStyle w:val="808"/>
        <w:ind w:left="1360" w:hanging="440"/>
      </w:pPr>
      <w:rPr>
        <w:rFonts w:ascii="Wingdings" w:hAnsi="Wingdings"/>
      </w:rPr>
    </w:lvl>
    <w:lvl w:ilvl="2">
      <w:start w:val="1"/>
      <w:numFmt w:val="bullet"/>
      <w:isLgl w:val="false"/>
      <w:suff w:val="tab"/>
      <w:lvlText w:val=""/>
      <w:lvlJc w:val="left"/>
      <w:pPr>
        <w:pStyle w:val="808"/>
        <w:ind w:left="1800" w:hanging="440"/>
      </w:pPr>
      <w:rPr>
        <w:rFonts w:ascii="Wingdings" w:hAnsi="Wingdings"/>
      </w:rPr>
    </w:lvl>
    <w:lvl w:ilvl="3">
      <w:start w:val="1"/>
      <w:numFmt w:val="bullet"/>
      <w:isLgl w:val="false"/>
      <w:suff w:val="tab"/>
      <w:lvlText w:val=""/>
      <w:lvlJc w:val="left"/>
      <w:pPr>
        <w:pStyle w:val="808"/>
        <w:ind w:left="2240" w:hanging="440"/>
      </w:pPr>
      <w:rPr>
        <w:rFonts w:ascii="Wingdings" w:hAnsi="Wingdings"/>
      </w:rPr>
    </w:lvl>
    <w:lvl w:ilvl="4">
      <w:start w:val="1"/>
      <w:numFmt w:val="bullet"/>
      <w:isLgl w:val="false"/>
      <w:suff w:val="tab"/>
      <w:lvlText w:val=""/>
      <w:lvlJc w:val="left"/>
      <w:pPr>
        <w:pStyle w:val="808"/>
        <w:ind w:left="2680" w:hanging="440"/>
      </w:pPr>
      <w:rPr>
        <w:rFonts w:ascii="Wingdings" w:hAnsi="Wingdings"/>
      </w:rPr>
    </w:lvl>
    <w:lvl w:ilvl="5">
      <w:start w:val="1"/>
      <w:numFmt w:val="bullet"/>
      <w:isLgl w:val="false"/>
      <w:suff w:val="tab"/>
      <w:lvlText w:val=""/>
      <w:lvlJc w:val="left"/>
      <w:pPr>
        <w:pStyle w:val="808"/>
        <w:ind w:left="3120" w:hanging="440"/>
      </w:pPr>
      <w:rPr>
        <w:rFonts w:ascii="Wingdings" w:hAnsi="Wingdings"/>
      </w:rPr>
    </w:lvl>
    <w:lvl w:ilvl="6">
      <w:start w:val="1"/>
      <w:numFmt w:val="bullet"/>
      <w:isLgl w:val="false"/>
      <w:suff w:val="tab"/>
      <w:lvlText w:val=""/>
      <w:lvlJc w:val="left"/>
      <w:pPr>
        <w:pStyle w:val="808"/>
        <w:ind w:left="3560" w:hanging="440"/>
      </w:pPr>
      <w:rPr>
        <w:rFonts w:ascii="Wingdings" w:hAnsi="Wingdings"/>
      </w:rPr>
    </w:lvl>
    <w:lvl w:ilvl="7">
      <w:start w:val="1"/>
      <w:numFmt w:val="bullet"/>
      <w:isLgl w:val="false"/>
      <w:suff w:val="tab"/>
      <w:lvlText w:val=""/>
      <w:lvlJc w:val="left"/>
      <w:pPr>
        <w:pStyle w:val="808"/>
        <w:ind w:left="4000" w:hanging="440"/>
      </w:pPr>
      <w:rPr>
        <w:rFonts w:ascii="Wingdings" w:hAnsi="Wingdings"/>
      </w:rPr>
    </w:lvl>
    <w:lvl w:ilvl="8">
      <w:start w:val="1"/>
      <w:numFmt w:val="bullet"/>
      <w:isLgl w:val="false"/>
      <w:suff w:val="tab"/>
      <w:lvlText w:val=""/>
      <w:lvlJc w:val="left"/>
      <w:pPr>
        <w:pStyle w:val="808"/>
        <w:ind w:left="4440" w:hanging="440"/>
      </w:pPr>
      <w:rPr>
        <w:rFonts w:ascii="Wingdings" w:hAnsi="Wingdings"/>
      </w:rPr>
    </w:lvl>
  </w:abstractNum>
  <w:abstractNum w:abstractNumId="44">
    <w:multiLevelType w:val="hybridMultilevel"/>
    <w:lvl w:ilvl="0">
      <w:start w:val="1"/>
      <w:numFmt w:val="bullet"/>
      <w:isLgl w:val="false"/>
      <w:suff w:val="tab"/>
      <w:lvlText w:val=""/>
      <w:lvlJc w:val="left"/>
      <w:pPr>
        <w:pStyle w:val="808"/>
        <w:ind w:left="920" w:hanging="440"/>
      </w:pPr>
      <w:rPr>
        <w:rFonts w:ascii="Wingdings" w:hAnsi="Wingdings"/>
      </w:rPr>
    </w:lvl>
    <w:lvl w:ilvl="1">
      <w:start w:val="1"/>
      <w:numFmt w:val="bullet"/>
      <w:isLgl w:val="false"/>
      <w:suff w:val="tab"/>
      <w:lvlText w:val=""/>
      <w:lvlJc w:val="left"/>
      <w:pPr>
        <w:pStyle w:val="808"/>
        <w:ind w:left="1360" w:hanging="440"/>
      </w:pPr>
      <w:rPr>
        <w:rFonts w:ascii="Wingdings" w:hAnsi="Wingdings"/>
      </w:rPr>
    </w:lvl>
    <w:lvl w:ilvl="2">
      <w:start w:val="1"/>
      <w:numFmt w:val="bullet"/>
      <w:isLgl w:val="false"/>
      <w:suff w:val="tab"/>
      <w:lvlText w:val=""/>
      <w:lvlJc w:val="left"/>
      <w:pPr>
        <w:pStyle w:val="808"/>
        <w:ind w:left="1800" w:hanging="440"/>
      </w:pPr>
      <w:rPr>
        <w:rFonts w:ascii="Wingdings" w:hAnsi="Wingdings"/>
      </w:rPr>
    </w:lvl>
    <w:lvl w:ilvl="3">
      <w:start w:val="1"/>
      <w:numFmt w:val="bullet"/>
      <w:isLgl w:val="false"/>
      <w:suff w:val="tab"/>
      <w:lvlText w:val=""/>
      <w:lvlJc w:val="left"/>
      <w:pPr>
        <w:pStyle w:val="808"/>
        <w:ind w:left="2240" w:hanging="440"/>
      </w:pPr>
      <w:rPr>
        <w:rFonts w:ascii="Wingdings" w:hAnsi="Wingdings"/>
      </w:rPr>
    </w:lvl>
    <w:lvl w:ilvl="4">
      <w:start w:val="1"/>
      <w:numFmt w:val="bullet"/>
      <w:isLgl w:val="false"/>
      <w:suff w:val="tab"/>
      <w:lvlText w:val=""/>
      <w:lvlJc w:val="left"/>
      <w:pPr>
        <w:pStyle w:val="808"/>
        <w:ind w:left="2680" w:hanging="440"/>
      </w:pPr>
      <w:rPr>
        <w:rFonts w:ascii="Wingdings" w:hAnsi="Wingdings"/>
      </w:rPr>
    </w:lvl>
    <w:lvl w:ilvl="5">
      <w:start w:val="1"/>
      <w:numFmt w:val="bullet"/>
      <w:isLgl w:val="false"/>
      <w:suff w:val="tab"/>
      <w:lvlText w:val=""/>
      <w:lvlJc w:val="left"/>
      <w:pPr>
        <w:pStyle w:val="808"/>
        <w:ind w:left="3120" w:hanging="440"/>
      </w:pPr>
      <w:rPr>
        <w:rFonts w:ascii="Wingdings" w:hAnsi="Wingdings"/>
      </w:rPr>
    </w:lvl>
    <w:lvl w:ilvl="6">
      <w:start w:val="1"/>
      <w:numFmt w:val="bullet"/>
      <w:isLgl w:val="false"/>
      <w:suff w:val="tab"/>
      <w:lvlText w:val=""/>
      <w:lvlJc w:val="left"/>
      <w:pPr>
        <w:pStyle w:val="808"/>
        <w:ind w:left="3560" w:hanging="440"/>
      </w:pPr>
      <w:rPr>
        <w:rFonts w:ascii="Wingdings" w:hAnsi="Wingdings"/>
      </w:rPr>
    </w:lvl>
    <w:lvl w:ilvl="7">
      <w:start w:val="1"/>
      <w:numFmt w:val="bullet"/>
      <w:isLgl w:val="false"/>
      <w:suff w:val="tab"/>
      <w:lvlText w:val=""/>
      <w:lvlJc w:val="left"/>
      <w:pPr>
        <w:pStyle w:val="808"/>
        <w:ind w:left="4000" w:hanging="440"/>
      </w:pPr>
      <w:rPr>
        <w:rFonts w:ascii="Wingdings" w:hAnsi="Wingdings"/>
      </w:rPr>
    </w:lvl>
    <w:lvl w:ilvl="8">
      <w:start w:val="1"/>
      <w:numFmt w:val="bullet"/>
      <w:isLgl w:val="false"/>
      <w:suff w:val="tab"/>
      <w:lvlText w:val=""/>
      <w:lvlJc w:val="left"/>
      <w:pPr>
        <w:pStyle w:val="808"/>
        <w:ind w:left="4440" w:hanging="440"/>
      </w:pPr>
      <w:rPr>
        <w:rFonts w:ascii="Wingdings" w:hAnsi="Wingdings"/>
      </w:rPr>
    </w:lvl>
  </w:abstractNum>
  <w:num w:numId="1">
    <w:abstractNumId w:val="30"/>
  </w:num>
  <w:num w:numId="2">
    <w:abstractNumId w:val="4"/>
  </w:num>
  <w:num w:numId="3">
    <w:abstractNumId w:val="23"/>
  </w:num>
  <w:num w:numId="4">
    <w:abstractNumId w:val="38"/>
  </w:num>
  <w:num w:numId="5">
    <w:abstractNumId w:val="6"/>
  </w:num>
  <w:num w:numId="6">
    <w:abstractNumId w:val="1"/>
  </w:num>
  <w:num w:numId="7">
    <w:abstractNumId w:val="32"/>
  </w:num>
  <w:num w:numId="8">
    <w:abstractNumId w:val="2"/>
  </w:num>
  <w:num w:numId="9">
    <w:abstractNumId w:val="37"/>
  </w:num>
  <w:num w:numId="10">
    <w:abstractNumId w:val="0"/>
  </w:num>
  <w:num w:numId="11">
    <w:abstractNumId w:val="33"/>
  </w:num>
  <w:num w:numId="12">
    <w:abstractNumId w:val="29"/>
  </w:num>
  <w:num w:numId="13">
    <w:abstractNumId w:val="9"/>
  </w:num>
  <w:num w:numId="14">
    <w:abstractNumId w:val="14"/>
  </w:num>
  <w:num w:numId="15">
    <w:abstractNumId w:val="21"/>
  </w:num>
  <w:num w:numId="16">
    <w:abstractNumId w:val="36"/>
  </w:num>
  <w:num w:numId="17">
    <w:abstractNumId w:val="11"/>
  </w:num>
  <w:num w:numId="18">
    <w:abstractNumId w:val="8"/>
  </w:num>
  <w:num w:numId="19">
    <w:abstractNumId w:val="25"/>
  </w:num>
  <w:num w:numId="20">
    <w:abstractNumId w:val="12"/>
  </w:num>
  <w:num w:numId="21">
    <w:abstractNumId w:val="43"/>
  </w:num>
  <w:num w:numId="22">
    <w:abstractNumId w:val="5"/>
  </w:num>
  <w:num w:numId="23">
    <w:abstractNumId w:val="42"/>
  </w:num>
  <w:num w:numId="24">
    <w:abstractNumId w:val="26"/>
  </w:num>
  <w:num w:numId="25">
    <w:abstractNumId w:val="16"/>
  </w:num>
  <w:num w:numId="26">
    <w:abstractNumId w:val="24"/>
  </w:num>
  <w:num w:numId="27">
    <w:abstractNumId w:val="27"/>
  </w:num>
  <w:num w:numId="28">
    <w:abstractNumId w:val="39"/>
  </w:num>
  <w:num w:numId="29">
    <w:abstractNumId w:val="34"/>
  </w:num>
  <w:num w:numId="30">
    <w:abstractNumId w:val="17"/>
  </w:num>
  <w:num w:numId="31">
    <w:abstractNumId w:val="7"/>
  </w:num>
  <w:num w:numId="32">
    <w:abstractNumId w:val="44"/>
  </w:num>
  <w:num w:numId="33">
    <w:abstractNumId w:val="10"/>
  </w:num>
  <w:num w:numId="34">
    <w:abstractNumId w:val="3"/>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13"/>
  </w:num>
  <w:num w:numId="38">
    <w:abstractNumId w:val="20"/>
  </w:num>
  <w:num w:numId="39">
    <w:abstractNumId w:val="22"/>
  </w:num>
  <w:num w:numId="40">
    <w:abstractNumId w:val="31"/>
  </w:num>
  <w:num w:numId="41">
    <w:abstractNumId w:val="15"/>
  </w:num>
  <w:num w:numId="42">
    <w:abstractNumId w:val="35"/>
  </w:num>
  <w:num w:numId="43">
    <w:abstractNumId w:val="19"/>
  </w:num>
  <w:num w:numId="44">
    <w:abstractNumId w:val="18"/>
  </w:num>
  <w:num w:numId="45">
    <w:abstractNumId w:val="28"/>
  </w:num>
  <w:num w:numId="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
    <w:lvlOverride w:ilvl="0">
      <w:lvl w:ilvl="0">
        <w:start w:val="1"/>
        <w:numFmt w:val="decimal"/>
        <w:isLgl w:val="false"/>
        <w:suff w:val="space"/>
        <w:lvlText w:val="%1"/>
        <w:lvlJc w:val="left"/>
        <w:pPr>
          <w:pStyle w:val="808"/>
          <w:ind w:left="0" w:firstLine="0"/>
        </w:pPr>
        <w:rPr>
          <w:rFonts w:hint="eastAsia"/>
        </w:rPr>
      </w:lvl>
    </w:lvlOverride>
    <w:lvlOverride w:ilvl="1">
      <w:lvl w:ilvl="1">
        <w:start w:val="1"/>
        <w:numFmt w:val="decimal"/>
        <w:isLgl w:val="false"/>
        <w:suff w:val="space"/>
        <w:lvlText w:val="4.%2"/>
        <w:lvlJc w:val="left"/>
        <w:pPr>
          <w:pStyle w:val="808"/>
          <w:ind w:left="0" w:firstLine="0"/>
        </w:pPr>
        <w:rPr>
          <w:rFonts w:hint="eastAsia"/>
        </w:rPr>
      </w:lvl>
    </w:lvlOverride>
    <w:lvlOverride w:ilvl="2">
      <w:lvl w:ilvl="2">
        <w:start w:val="1"/>
        <w:numFmt w:val="decimal"/>
        <w:isLgl w:val="false"/>
        <w:suff w:val="space"/>
        <w:lvlText w:val="%1.%2.%3"/>
        <w:lvlJc w:val="left"/>
        <w:pPr>
          <w:pStyle w:val="808"/>
          <w:ind w:left="0" w:firstLine="0"/>
        </w:pPr>
        <w:rPr>
          <w:rFonts w:ascii="Times New Roman" w:hAnsi="Times New Roman" w:eastAsia="宋体"/>
          <w:b/>
          <w:i w:val="0"/>
          <w:sz w:val="24"/>
          <w:szCs w:val="24"/>
        </w:rPr>
      </w:lvl>
    </w:lvlOverride>
    <w:lvlOverride w:ilvl="3">
      <w:lvl w:ilvl="3">
        <w:start w:val="1"/>
        <w:numFmt w:val="decimal"/>
        <w:isLgl w:val="false"/>
        <w:suff w:val="space"/>
        <w:lvlText w:val="%1.%2.%3.%4"/>
        <w:lvlJc w:val="left"/>
        <w:pPr>
          <w:pStyle w:val="808"/>
          <w:ind w:left="0" w:firstLine="0"/>
        </w:pPr>
        <w:rPr>
          <w:rFonts w:ascii="Times New Roman" w:hAnsi="Times New Roman" w:eastAsia="宋体"/>
          <w:b/>
          <w:i w:val="0"/>
          <w:sz w:val="28"/>
        </w:rPr>
      </w:lvl>
    </w:lvlOverride>
    <w:lvlOverride w:ilvl="4">
      <w:lvl w:ilvl="4">
        <w:start w:val="1"/>
        <w:numFmt w:val="decimal"/>
        <w:isLgl w:val="false"/>
        <w:suff w:val="space"/>
        <w:lvlText w:val="%1.%2.%3.%4.%5"/>
        <w:lvlJc w:val="left"/>
        <w:pPr>
          <w:pStyle w:val="808"/>
          <w:ind w:left="0" w:firstLine="0"/>
        </w:pPr>
        <w:rPr>
          <w:rFonts w:hint="eastAsia"/>
        </w:rPr>
      </w:lvl>
    </w:lvlOverride>
    <w:lvlOverride w:ilvl="5">
      <w:lvl w:ilvl="5">
        <w:start w:val="1"/>
        <w:numFmt w:val="decimal"/>
        <w:isLgl w:val="false"/>
        <w:suff w:val="space"/>
        <w:lvlText w:val="%1.%2.%3.%4.%5.%6"/>
        <w:lvlJc w:val="left"/>
        <w:pPr>
          <w:pStyle w:val="808"/>
          <w:ind w:left="0" w:firstLine="0"/>
        </w:pPr>
        <w:rPr>
          <w:rFonts w:ascii="Times New Roman" w:hAnsi="Times New Roman" w:eastAsia="宋体"/>
          <w:b/>
          <w:i w:val="0"/>
          <w:sz w:val="24"/>
        </w:rPr>
      </w:lvl>
    </w:lvlOverride>
    <w:lvlOverride w:ilvl="6">
      <w:lvl w:ilvl="6">
        <w:start w:val="1"/>
        <w:numFmt w:val="decimal"/>
        <w:isLgl w:val="false"/>
        <w:suff w:val="tab"/>
        <w:lvlText w:val="%1.%2.%3.%4.%5.%6.%7"/>
        <w:lvlJc w:val="left"/>
        <w:pPr>
          <w:pStyle w:val="808"/>
          <w:ind w:left="0" w:firstLine="0"/>
        </w:pPr>
        <w:rPr>
          <w:rFonts w:ascii="Times New Roman" w:hAnsi="Times New Roman" w:eastAsia="宋体" w:cs="Times New Roman"/>
          <w:b/>
          <w:bCs w:val="0"/>
          <w:i w:val="0"/>
          <w:iCs w:val="0"/>
          <w:caps w:val="0"/>
          <w:smallCaps w:val="0"/>
          <w:strike w:val="0"/>
          <w:vanish w:val="0"/>
          <w:color w:val="000000"/>
          <w:spacing w:val="0"/>
          <w:position w:val="0"/>
          <w:sz w:val="24"/>
          <w:szCs w:val="0"/>
          <w:u w:val="none"/>
          <w:vertAlign w:val="baseline"/>
        </w:rPr>
      </w:lvl>
    </w:lvlOverride>
    <w:lvlOverride w:ilvl="7">
      <w:lvl w:ilvl="7">
        <w:start w:val="1"/>
        <w:numFmt w:val="decimal"/>
        <w:isLgl w:val="false"/>
        <w:suff w:val="tab"/>
        <w:lvlText w:val="%1.%2.%3.%4.%5.%6.%7.%8"/>
        <w:lvlJc w:val="left"/>
        <w:pPr>
          <w:pStyle w:val="808"/>
          <w:ind w:left="0" w:firstLine="0"/>
        </w:pPr>
        <w:rPr>
          <w:rFonts w:ascii="Times New Roman" w:hAnsi="Times New Roman" w:eastAsia="宋体"/>
          <w:b/>
          <w:i w:val="0"/>
          <w:sz w:val="24"/>
        </w:rPr>
      </w:lvl>
    </w:lvlOverride>
    <w:lvlOverride w:ilvl="8">
      <w:lvl w:ilvl="8">
        <w:start w:val="1"/>
        <w:numFmt w:val="decimal"/>
        <w:isLgl w:val="false"/>
        <w:suff w:val="tab"/>
        <w:lvlText w:val="%1.%2.%3.%4.%5.%6.%7.%8.%9"/>
        <w:lvlJc w:val="left"/>
        <w:pPr>
          <w:pStyle w:val="808"/>
          <w:ind w:left="0" w:firstLine="0"/>
        </w:pPr>
        <w:rPr>
          <w:rFonts w:ascii="Times New Roman" w:hAnsi="Times New Roman" w:eastAsia="宋体"/>
          <w:b/>
          <w:i w:val="0"/>
          <w:sz w:val="24"/>
        </w:rPr>
      </w:lvl>
    </w:lvlOverride>
  </w:num>
  <w:num w:numId="48">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name w:val="List Paragraph"/>
    <w:basedOn w:val="808"/>
    <w:uiPriority w:val="34"/>
    <w:qFormat/>
    <w:pPr>
      <w:contextualSpacing/>
      <w:ind w:left="720"/>
    </w:pPr>
  </w:style>
  <w:style w:type="paragraph" w:styleId="777">
    <w:name w:val="No Spacing"/>
    <w:uiPriority w:val="1"/>
    <w:qFormat/>
    <w:pPr>
      <w:spacing w:before="0" w:after="0" w:line="240" w:lineRule="auto"/>
    </w:pPr>
  </w:style>
  <w:style w:type="paragraph" w:styleId="778">
    <w:name w:val="Title"/>
    <w:basedOn w:val="808"/>
    <w:next w:val="808"/>
    <w:link w:val="779"/>
    <w:uiPriority w:val="10"/>
    <w:qFormat/>
    <w:pPr>
      <w:contextualSpacing/>
      <w:spacing w:before="300" w:after="200"/>
    </w:pPr>
    <w:rPr>
      <w:sz w:val="48"/>
      <w:szCs w:val="48"/>
    </w:rPr>
  </w:style>
  <w:style w:type="character" w:styleId="779">
    <w:name w:val="Title Char"/>
    <w:link w:val="778"/>
    <w:uiPriority w:val="10"/>
    <w:rPr>
      <w:sz w:val="48"/>
      <w:szCs w:val="48"/>
    </w:rPr>
  </w:style>
  <w:style w:type="paragraph" w:styleId="780">
    <w:name w:val="Subtitle"/>
    <w:basedOn w:val="808"/>
    <w:next w:val="808"/>
    <w:link w:val="781"/>
    <w:uiPriority w:val="11"/>
    <w:qFormat/>
    <w:pPr>
      <w:spacing w:before="200" w:after="200"/>
    </w:pPr>
    <w:rPr>
      <w:sz w:val="24"/>
      <w:szCs w:val="24"/>
    </w:rPr>
  </w:style>
  <w:style w:type="character" w:styleId="781">
    <w:name w:val="Subtitle Char"/>
    <w:link w:val="780"/>
    <w:uiPriority w:val="11"/>
    <w:rPr>
      <w:sz w:val="24"/>
      <w:szCs w:val="24"/>
    </w:rPr>
  </w:style>
  <w:style w:type="paragraph" w:styleId="782">
    <w:name w:val="Quote"/>
    <w:basedOn w:val="808"/>
    <w:next w:val="808"/>
    <w:link w:val="783"/>
    <w:uiPriority w:val="29"/>
    <w:qFormat/>
    <w:pPr>
      <w:ind w:left="720" w:right="720"/>
    </w:pPr>
    <w:rPr>
      <w:i/>
    </w:rPr>
  </w:style>
  <w:style w:type="character" w:styleId="783">
    <w:name w:val="Quote Char"/>
    <w:link w:val="782"/>
    <w:uiPriority w:val="29"/>
    <w:rPr>
      <w:i/>
    </w:rPr>
  </w:style>
  <w:style w:type="paragraph" w:styleId="784">
    <w:name w:val="Intense Quote"/>
    <w:basedOn w:val="808"/>
    <w:next w:val="808"/>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paragraph" w:styleId="786">
    <w:name w:val="Header"/>
    <w:basedOn w:val="808"/>
    <w:link w:val="950"/>
    <w:uiPriority w:val="99"/>
    <w:unhideWhenUsed/>
    <w:pPr>
      <w:spacing w:after="0" w:line="240" w:lineRule="auto"/>
      <w:tabs>
        <w:tab w:val="center" w:pos="7143" w:leader="none"/>
        <w:tab w:val="right" w:pos="14287" w:leader="none"/>
      </w:tabs>
    </w:pPr>
  </w:style>
  <w:style w:type="paragraph" w:styleId="787">
    <w:name w:val="Footer"/>
    <w:basedOn w:val="808"/>
    <w:link w:val="954"/>
    <w:uiPriority w:val="99"/>
    <w:unhideWhenUsed/>
    <w:pPr>
      <w:spacing w:after="0" w:line="240" w:lineRule="auto"/>
      <w:tabs>
        <w:tab w:val="center" w:pos="7143" w:leader="none"/>
        <w:tab w:val="right" w:pos="14287" w:leader="none"/>
      </w:tabs>
    </w:pPr>
  </w:style>
  <w:style w:type="paragraph" w:styleId="788">
    <w:name w:val="Caption"/>
    <w:basedOn w:val="808"/>
    <w:next w:val="808"/>
    <w:uiPriority w:val="35"/>
    <w:semiHidden/>
    <w:unhideWhenUsed/>
    <w:qFormat/>
    <w:pPr>
      <w:spacing w:line="276" w:lineRule="auto"/>
    </w:pPr>
    <w:rPr>
      <w:b/>
      <w:bCs/>
      <w:color w:val="4f81bd" w:themeColor="accent1"/>
      <w:sz w:val="18"/>
      <w:szCs w:val="18"/>
    </w:rPr>
  </w:style>
  <w:style w:type="table" w:styleId="7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Hyperlink"/>
    <w:uiPriority w:val="99"/>
    <w:unhideWhenUsed/>
    <w:rPr>
      <w:color w:val="0000ff" w:themeColor="hyperlink"/>
      <w:u w:val="single"/>
    </w:rPr>
  </w:style>
  <w:style w:type="paragraph" w:styleId="791">
    <w:name w:val="footnote text"/>
    <w:basedOn w:val="808"/>
    <w:link w:val="792"/>
    <w:uiPriority w:val="99"/>
    <w:semiHidden/>
    <w:unhideWhenUsed/>
    <w:pPr>
      <w:spacing w:after="40" w:line="240" w:lineRule="auto"/>
    </w:pPr>
    <w:rPr>
      <w:sz w:val="18"/>
    </w:rPr>
  </w:style>
  <w:style w:type="character" w:styleId="792">
    <w:name w:val="Footnote Text Char"/>
    <w:link w:val="791"/>
    <w:uiPriority w:val="99"/>
    <w:rPr>
      <w:sz w:val="18"/>
    </w:rPr>
  </w:style>
  <w:style w:type="character" w:styleId="793">
    <w:name w:val="footnote reference"/>
    <w:uiPriority w:val="99"/>
    <w:unhideWhenUsed/>
    <w:rPr>
      <w:vertAlign w:val="superscript"/>
    </w:rPr>
  </w:style>
  <w:style w:type="paragraph" w:styleId="794">
    <w:name w:val="endnote text"/>
    <w:basedOn w:val="808"/>
    <w:link w:val="795"/>
    <w:uiPriority w:val="99"/>
    <w:semiHidden/>
    <w:unhideWhenUsed/>
    <w:pPr>
      <w:spacing w:after="0" w:line="240" w:lineRule="auto"/>
    </w:pPr>
    <w:rPr>
      <w:sz w:val="20"/>
    </w:rPr>
  </w:style>
  <w:style w:type="character" w:styleId="795">
    <w:name w:val="Endnote Text Char"/>
    <w:link w:val="794"/>
    <w:uiPriority w:val="99"/>
    <w:rPr>
      <w:sz w:val="20"/>
    </w:rPr>
  </w:style>
  <w:style w:type="character" w:styleId="796">
    <w:name w:val="endnote reference"/>
    <w:uiPriority w:val="99"/>
    <w:semiHidden/>
    <w:unhideWhenUsed/>
    <w:rPr>
      <w:vertAlign w:val="superscript"/>
    </w:rPr>
  </w:style>
  <w:style w:type="paragraph" w:styleId="797">
    <w:name w:val="toc 1"/>
    <w:basedOn w:val="808"/>
    <w:next w:val="808"/>
    <w:uiPriority w:val="39"/>
    <w:unhideWhenUsed/>
    <w:pPr>
      <w:ind w:left="0" w:right="0" w:firstLine="0"/>
      <w:spacing w:after="57"/>
    </w:pPr>
  </w:style>
  <w:style w:type="paragraph" w:styleId="798">
    <w:name w:val="toc 2"/>
    <w:basedOn w:val="808"/>
    <w:next w:val="808"/>
    <w:uiPriority w:val="39"/>
    <w:unhideWhenUsed/>
    <w:pPr>
      <w:ind w:left="283" w:right="0" w:firstLine="0"/>
      <w:spacing w:after="57"/>
    </w:pPr>
  </w:style>
  <w:style w:type="paragraph" w:styleId="799">
    <w:name w:val="toc 3"/>
    <w:basedOn w:val="808"/>
    <w:next w:val="808"/>
    <w:uiPriority w:val="39"/>
    <w:unhideWhenUsed/>
    <w:pPr>
      <w:ind w:left="567" w:right="0" w:firstLine="0"/>
      <w:spacing w:after="57"/>
    </w:pPr>
  </w:style>
  <w:style w:type="paragraph" w:styleId="800">
    <w:name w:val="toc 4"/>
    <w:basedOn w:val="808"/>
    <w:next w:val="808"/>
    <w:uiPriority w:val="39"/>
    <w:unhideWhenUsed/>
    <w:pPr>
      <w:ind w:left="850" w:right="0" w:firstLine="0"/>
      <w:spacing w:after="57"/>
    </w:pPr>
  </w:style>
  <w:style w:type="paragraph" w:styleId="801">
    <w:name w:val="toc 5"/>
    <w:basedOn w:val="808"/>
    <w:next w:val="808"/>
    <w:uiPriority w:val="39"/>
    <w:unhideWhenUsed/>
    <w:pPr>
      <w:ind w:left="1134" w:right="0" w:firstLine="0"/>
      <w:spacing w:after="57"/>
    </w:pPr>
  </w:style>
  <w:style w:type="paragraph" w:styleId="802">
    <w:name w:val="toc 6"/>
    <w:basedOn w:val="808"/>
    <w:next w:val="808"/>
    <w:uiPriority w:val="39"/>
    <w:unhideWhenUsed/>
    <w:pPr>
      <w:ind w:left="1417" w:right="0" w:firstLine="0"/>
      <w:spacing w:after="57"/>
    </w:pPr>
  </w:style>
  <w:style w:type="paragraph" w:styleId="803">
    <w:name w:val="toc 7"/>
    <w:basedOn w:val="808"/>
    <w:next w:val="808"/>
    <w:uiPriority w:val="39"/>
    <w:unhideWhenUsed/>
    <w:pPr>
      <w:ind w:left="1701" w:right="0" w:firstLine="0"/>
      <w:spacing w:after="57"/>
    </w:pPr>
  </w:style>
  <w:style w:type="paragraph" w:styleId="804">
    <w:name w:val="toc 8"/>
    <w:basedOn w:val="808"/>
    <w:next w:val="808"/>
    <w:uiPriority w:val="39"/>
    <w:unhideWhenUsed/>
    <w:pPr>
      <w:ind w:left="1984" w:right="0" w:firstLine="0"/>
      <w:spacing w:after="57"/>
    </w:pPr>
  </w:style>
  <w:style w:type="paragraph" w:styleId="805">
    <w:name w:val="toc 9"/>
    <w:basedOn w:val="808"/>
    <w:next w:val="808"/>
    <w:uiPriority w:val="39"/>
    <w:unhideWhenUsed/>
    <w:pPr>
      <w:ind w:left="2268" w:right="0" w:firstLine="0"/>
      <w:spacing w:after="57"/>
    </w:pPr>
  </w:style>
  <w:style w:type="paragraph" w:styleId="806">
    <w:name w:val="TOC Heading"/>
    <w:uiPriority w:val="39"/>
    <w:unhideWhenUsed/>
  </w:style>
  <w:style w:type="paragraph" w:styleId="807">
    <w:name w:val="table of figures"/>
    <w:basedOn w:val="808"/>
    <w:next w:val="808"/>
    <w:uiPriority w:val="99"/>
    <w:unhideWhenUsed/>
    <w:pPr>
      <w:spacing w:after="0" w:afterAutospacing="0"/>
    </w:pPr>
  </w:style>
  <w:style w:type="paragraph" w:styleId="808" w:default="1">
    <w:name w:val="Normal"/>
    <w:next w:val="808"/>
    <w:link w:val="808"/>
    <w:qFormat/>
    <w:pPr>
      <w:jc w:val="both"/>
      <w:widowControl w:val="off"/>
    </w:pPr>
    <w:rPr>
      <w:rFonts w:ascii="Times New Roman" w:hAnsi="Times New Roman"/>
      <w:sz w:val="21"/>
      <w:szCs w:val="21"/>
      <w:lang w:val="en-US" w:eastAsia="zh-CN" w:bidi="ar-SA"/>
    </w:rPr>
  </w:style>
  <w:style w:type="paragraph" w:styleId="809">
    <w:name w:val="标题 1"/>
    <w:basedOn w:val="808"/>
    <w:next w:val="808"/>
    <w:link w:val="821"/>
    <w:qFormat/>
    <w:pPr>
      <w:jc w:val="center"/>
      <w:keepNext/>
      <w:outlineLvl w:val="0"/>
    </w:pPr>
    <w:rPr>
      <w:rFonts w:ascii="楷体_GB2312" w:eastAsia="楷体_GB2312"/>
      <w:sz w:val="28"/>
      <w:szCs w:val="28"/>
      <w:lang w:val="en-US" w:eastAsia="en-US"/>
    </w:rPr>
  </w:style>
  <w:style w:type="paragraph" w:styleId="810">
    <w:name w:val="标题 2"/>
    <w:basedOn w:val="808"/>
    <w:next w:val="823"/>
    <w:link w:val="822"/>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11">
    <w:name w:val="标题 3"/>
    <w:basedOn w:val="808"/>
    <w:next w:val="823"/>
    <w:link w:val="825"/>
    <w:qFormat/>
    <w:pPr>
      <w:keepLines/>
      <w:keepNext/>
      <w:spacing w:before="260" w:after="260" w:line="416" w:lineRule="auto"/>
      <w:outlineLvl w:val="2"/>
    </w:pPr>
    <w:rPr>
      <w:b/>
      <w:bCs/>
      <w:sz w:val="32"/>
      <w:szCs w:val="32"/>
      <w:lang w:val="en-US" w:eastAsia="en-US"/>
    </w:rPr>
  </w:style>
  <w:style w:type="paragraph" w:styleId="812">
    <w:name w:val="标题 4"/>
    <w:basedOn w:val="808"/>
    <w:next w:val="823"/>
    <w:link w:val="826"/>
    <w:qFormat/>
    <w:pPr>
      <w:keepLines/>
      <w:keepNext/>
      <w:spacing w:before="280" w:after="290" w:line="376" w:lineRule="auto"/>
      <w:outlineLvl w:val="3"/>
    </w:pPr>
    <w:rPr>
      <w:rFonts w:ascii="Arial" w:hAnsi="Arial" w:eastAsia="黑体"/>
      <w:b/>
      <w:bCs/>
      <w:sz w:val="28"/>
      <w:szCs w:val="28"/>
      <w:lang w:val="en-US" w:eastAsia="en-US"/>
    </w:rPr>
  </w:style>
  <w:style w:type="paragraph" w:styleId="813">
    <w:name w:val="标题 5"/>
    <w:basedOn w:val="808"/>
    <w:next w:val="823"/>
    <w:link w:val="827"/>
    <w:qFormat/>
    <w:pPr>
      <w:keepNext/>
      <w:outlineLvl w:val="4"/>
    </w:pPr>
    <w:rPr>
      <w:rFonts w:ascii="宋体"/>
      <w:color w:val="000000"/>
      <w:sz w:val="28"/>
      <w:szCs w:val="28"/>
      <w:lang w:val="en-US" w:eastAsia="en-US"/>
    </w:rPr>
  </w:style>
  <w:style w:type="paragraph" w:styleId="814">
    <w:name w:val="标题 6"/>
    <w:basedOn w:val="808"/>
    <w:next w:val="808"/>
    <w:link w:val="828"/>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15">
    <w:name w:val="标题 7"/>
    <w:basedOn w:val="808"/>
    <w:next w:val="808"/>
    <w:link w:val="829"/>
    <w:qFormat/>
    <w:pPr>
      <w:numPr>
        <w:ilvl w:val="6"/>
        <w:numId w:val="1"/>
      </w:numPr>
      <w:keepLines/>
      <w:keepNext/>
      <w:spacing w:before="240" w:after="64" w:line="320" w:lineRule="auto"/>
      <w:outlineLvl w:val="6"/>
    </w:pPr>
    <w:rPr>
      <w:b/>
      <w:bCs/>
      <w:sz w:val="24"/>
      <w:szCs w:val="24"/>
      <w:lang w:val="en-US" w:eastAsia="en-US"/>
    </w:rPr>
  </w:style>
  <w:style w:type="paragraph" w:styleId="816">
    <w:name w:val="标题 8"/>
    <w:basedOn w:val="808"/>
    <w:next w:val="808"/>
    <w:link w:val="83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17">
    <w:name w:val="标题 9"/>
    <w:basedOn w:val="808"/>
    <w:next w:val="808"/>
    <w:link w:val="831"/>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18">
    <w:name w:val="默认段落字体"/>
    <w:next w:val="818"/>
    <w:link w:val="808"/>
    <w:uiPriority w:val="1"/>
    <w:unhideWhenUsed/>
  </w:style>
  <w:style w:type="table" w:styleId="819">
    <w:name w:val="普通表格"/>
    <w:next w:val="819"/>
    <w:link w:val="808"/>
    <w:uiPriority w:val="99"/>
    <w:unhideWhenUsed/>
    <w:tblPr/>
  </w:style>
  <w:style w:type="numbering" w:styleId="820">
    <w:name w:val="无列表"/>
    <w:next w:val="820"/>
    <w:link w:val="808"/>
    <w:uiPriority w:val="99"/>
    <w:semiHidden/>
    <w:unhideWhenUsed/>
  </w:style>
  <w:style w:type="character" w:styleId="821">
    <w:name w:val="标题 1 Char"/>
    <w:next w:val="821"/>
    <w:link w:val="809"/>
    <w:rPr>
      <w:rFonts w:ascii="楷体_GB2312" w:hAnsi="Times New Roman" w:eastAsia="楷体_GB2312" w:cs="Times New Roman"/>
      <w:sz w:val="28"/>
      <w:szCs w:val="28"/>
    </w:rPr>
  </w:style>
  <w:style w:type="character" w:styleId="822">
    <w:name w:val="标题 2 Char"/>
    <w:next w:val="822"/>
    <w:link w:val="810"/>
    <w:rPr>
      <w:rFonts w:ascii="Arial" w:hAnsi="Arial" w:eastAsia="幼圆" w:cs="Arial"/>
      <w:b/>
      <w:bCs/>
      <w:sz w:val="44"/>
      <w:szCs w:val="44"/>
    </w:rPr>
  </w:style>
  <w:style w:type="paragraph" w:styleId="823">
    <w:name w:val="正文缩进"/>
    <w:basedOn w:val="808"/>
    <w:next w:val="823"/>
    <w:link w:val="824"/>
    <w:pPr>
      <w:ind w:firstLine="420"/>
    </w:pPr>
    <w:rPr>
      <w:sz w:val="20"/>
      <w:lang w:val="en-US" w:eastAsia="en-US"/>
    </w:rPr>
  </w:style>
  <w:style w:type="character" w:styleId="824">
    <w:name w:val="正文缩进 Char"/>
    <w:next w:val="824"/>
    <w:link w:val="823"/>
    <w:rPr>
      <w:rFonts w:ascii="Times New Roman" w:hAnsi="Times New Roman" w:eastAsia="宋体" w:cs="Times New Roman"/>
      <w:szCs w:val="21"/>
    </w:rPr>
  </w:style>
  <w:style w:type="character" w:styleId="825">
    <w:name w:val="标题 3 Char"/>
    <w:next w:val="825"/>
    <w:link w:val="811"/>
    <w:rPr>
      <w:rFonts w:ascii="Times New Roman" w:hAnsi="Times New Roman" w:eastAsia="宋体" w:cs="Times New Roman"/>
      <w:b/>
      <w:bCs/>
      <w:sz w:val="32"/>
      <w:szCs w:val="32"/>
    </w:rPr>
  </w:style>
  <w:style w:type="character" w:styleId="826">
    <w:name w:val="标题 4 Char"/>
    <w:next w:val="826"/>
    <w:link w:val="812"/>
    <w:rPr>
      <w:rFonts w:ascii="Arial" w:hAnsi="Arial" w:eastAsia="黑体" w:cs="Arial"/>
      <w:b/>
      <w:bCs/>
      <w:sz w:val="28"/>
      <w:szCs w:val="28"/>
    </w:rPr>
  </w:style>
  <w:style w:type="character" w:styleId="827">
    <w:name w:val="标题 5 Char"/>
    <w:next w:val="827"/>
    <w:link w:val="813"/>
    <w:rPr>
      <w:rFonts w:ascii="宋体" w:hAnsi="Times New Roman" w:eastAsia="宋体" w:cs="Times New Roman"/>
      <w:color w:val="000000"/>
      <w:sz w:val="28"/>
      <w:szCs w:val="28"/>
    </w:rPr>
  </w:style>
  <w:style w:type="character" w:styleId="828">
    <w:name w:val="标题 6 Char"/>
    <w:next w:val="828"/>
    <w:link w:val="814"/>
    <w:rPr>
      <w:rFonts w:ascii="Arial" w:hAnsi="Arial" w:eastAsia="黑体"/>
      <w:b/>
      <w:bCs/>
      <w:sz w:val="24"/>
      <w:szCs w:val="24"/>
      <w:lang w:val="en-US" w:eastAsia="en-US"/>
    </w:rPr>
  </w:style>
  <w:style w:type="character" w:styleId="829">
    <w:name w:val="标题 7 Char"/>
    <w:next w:val="829"/>
    <w:link w:val="815"/>
    <w:rPr>
      <w:rFonts w:ascii="Times New Roman" w:hAnsi="Times New Roman"/>
      <w:b/>
      <w:bCs/>
      <w:sz w:val="24"/>
      <w:szCs w:val="24"/>
      <w:lang w:val="en-US" w:eastAsia="en-US"/>
    </w:rPr>
  </w:style>
  <w:style w:type="character" w:styleId="830">
    <w:name w:val="标题 8 Char"/>
    <w:next w:val="830"/>
    <w:link w:val="816"/>
    <w:rPr>
      <w:rFonts w:ascii="Arial" w:hAnsi="Arial" w:eastAsia="黑体"/>
      <w:sz w:val="24"/>
      <w:szCs w:val="24"/>
      <w:lang w:val="en-US" w:eastAsia="en-US"/>
    </w:rPr>
  </w:style>
  <w:style w:type="character" w:styleId="831">
    <w:name w:val="标题 9 Char"/>
    <w:next w:val="831"/>
    <w:link w:val="817"/>
    <w:rPr>
      <w:rFonts w:ascii="Arial" w:hAnsi="Arial" w:eastAsia="黑体"/>
      <w:szCs w:val="21"/>
      <w:lang w:val="en-US" w:eastAsia="en-US"/>
    </w:rPr>
  </w:style>
  <w:style w:type="paragraph" w:styleId="832">
    <w:name w:val="列表 3"/>
    <w:basedOn w:val="808"/>
    <w:next w:val="832"/>
    <w:link w:val="808"/>
    <w:pPr>
      <w:ind w:left="100" w:hanging="200"/>
    </w:pPr>
  </w:style>
  <w:style w:type="paragraph" w:styleId="833">
    <w:name w:val="目录 7"/>
    <w:basedOn w:val="808"/>
    <w:next w:val="808"/>
    <w:link w:val="808"/>
    <w:uiPriority w:val="39"/>
    <w:pPr>
      <w:ind w:left="1260"/>
      <w:jc w:val="left"/>
    </w:pPr>
  </w:style>
  <w:style w:type="paragraph" w:styleId="834">
    <w:name w:val="文档结构图"/>
    <w:basedOn w:val="808"/>
    <w:next w:val="834"/>
    <w:link w:val="835"/>
    <w:semiHidden/>
    <w:pPr>
      <w:shd w:val="clear" w:color="auto" w:fill="000080"/>
    </w:pPr>
    <w:rPr>
      <w:sz w:val="20"/>
      <w:lang w:val="en-US" w:eastAsia="en-US"/>
    </w:rPr>
  </w:style>
  <w:style w:type="character" w:styleId="835">
    <w:name w:val="文档结构图 Char"/>
    <w:next w:val="835"/>
    <w:link w:val="834"/>
    <w:semiHidden/>
    <w:rPr>
      <w:rFonts w:ascii="Times New Roman" w:hAnsi="Times New Roman" w:eastAsia="宋体" w:cs="Times New Roman"/>
      <w:szCs w:val="21"/>
      <w:shd w:val="clear" w:color="auto" w:fill="000080"/>
    </w:rPr>
  </w:style>
  <w:style w:type="paragraph" w:styleId="836">
    <w:name w:val="批注文字"/>
    <w:basedOn w:val="808"/>
    <w:next w:val="836"/>
    <w:link w:val="837"/>
    <w:qFormat/>
    <w:pPr>
      <w:jc w:val="left"/>
    </w:pPr>
    <w:rPr>
      <w:sz w:val="20"/>
      <w:lang w:val="en-US" w:eastAsia="en-US"/>
    </w:rPr>
  </w:style>
  <w:style w:type="character" w:styleId="837">
    <w:name w:val="批注文字 Char"/>
    <w:next w:val="837"/>
    <w:link w:val="836"/>
    <w:semiHidden/>
    <w:rPr>
      <w:rFonts w:ascii="Times New Roman" w:hAnsi="Times New Roman" w:eastAsia="宋体" w:cs="Times New Roman"/>
      <w:szCs w:val="21"/>
    </w:rPr>
  </w:style>
  <w:style w:type="paragraph" w:styleId="838">
    <w:name w:val="正文文本 3"/>
    <w:basedOn w:val="808"/>
    <w:next w:val="838"/>
    <w:link w:val="839"/>
    <w:rPr>
      <w:rFonts w:ascii="仿宋_GB2312" w:hAnsi="Arial" w:eastAsia="仿宋_GB2312"/>
      <w:sz w:val="32"/>
      <w:szCs w:val="32"/>
      <w:lang w:val="en-US" w:eastAsia="en-US"/>
    </w:rPr>
  </w:style>
  <w:style w:type="character" w:styleId="839">
    <w:name w:val="正文文本 3 Char"/>
    <w:next w:val="839"/>
    <w:link w:val="838"/>
    <w:rPr>
      <w:rFonts w:ascii="仿宋_GB2312" w:hAnsi="Arial" w:eastAsia="仿宋_GB2312" w:cs="Times New Roman"/>
      <w:sz w:val="32"/>
      <w:szCs w:val="32"/>
    </w:rPr>
  </w:style>
  <w:style w:type="paragraph" w:styleId="840">
    <w:name w:val="正文文本"/>
    <w:basedOn w:val="808"/>
    <w:next w:val="840"/>
    <w:link w:val="841"/>
    <w:rPr>
      <w:rFonts w:ascii="楷体_GB2312" w:hAnsi="Arial" w:eastAsia="楷体_GB2312"/>
      <w:sz w:val="28"/>
      <w:szCs w:val="28"/>
      <w:lang w:val="en-US" w:eastAsia="en-US"/>
    </w:rPr>
  </w:style>
  <w:style w:type="character" w:styleId="841">
    <w:name w:val="正文文本 Char"/>
    <w:next w:val="841"/>
    <w:link w:val="840"/>
    <w:rPr>
      <w:rFonts w:ascii="楷体_GB2312" w:hAnsi="Arial" w:eastAsia="楷体_GB2312" w:cs="Times New Roman"/>
      <w:sz w:val="28"/>
      <w:szCs w:val="28"/>
    </w:rPr>
  </w:style>
  <w:style w:type="paragraph" w:styleId="842">
    <w:name w:val="正文文本缩进"/>
    <w:basedOn w:val="808"/>
    <w:next w:val="842"/>
    <w:link w:val="843"/>
    <w:pPr>
      <w:ind w:firstLine="645"/>
    </w:pPr>
    <w:rPr>
      <w:rFonts w:ascii="楷体_GB2312" w:eastAsia="楷体_GB2312"/>
      <w:sz w:val="32"/>
      <w:szCs w:val="32"/>
      <w:lang w:val="en-US" w:eastAsia="en-US"/>
    </w:rPr>
  </w:style>
  <w:style w:type="character" w:styleId="843">
    <w:name w:val="正文文本缩进 Char"/>
    <w:next w:val="843"/>
    <w:link w:val="842"/>
    <w:rPr>
      <w:rFonts w:ascii="楷体_GB2312" w:hAnsi="Times New Roman" w:eastAsia="楷体_GB2312" w:cs="Times New Roman"/>
      <w:sz w:val="32"/>
      <w:szCs w:val="32"/>
    </w:rPr>
  </w:style>
  <w:style w:type="paragraph" w:styleId="844">
    <w:name w:val="列表 2"/>
    <w:basedOn w:val="808"/>
    <w:next w:val="844"/>
    <w:link w:val="808"/>
    <w:pPr>
      <w:ind w:left="100" w:hanging="200"/>
    </w:pPr>
  </w:style>
  <w:style w:type="paragraph" w:styleId="845">
    <w:name w:val="目录 5"/>
    <w:basedOn w:val="808"/>
    <w:next w:val="808"/>
    <w:link w:val="808"/>
    <w:uiPriority w:val="39"/>
    <w:pPr>
      <w:ind w:left="840"/>
      <w:jc w:val="left"/>
    </w:pPr>
  </w:style>
  <w:style w:type="paragraph" w:styleId="846">
    <w:name w:val="目录 3"/>
    <w:basedOn w:val="808"/>
    <w:next w:val="808"/>
    <w:link w:val="808"/>
    <w:uiPriority w:val="39"/>
    <w:pPr>
      <w:ind w:left="420"/>
      <w:jc w:val="left"/>
    </w:pPr>
    <w:rPr>
      <w:i/>
      <w:iCs/>
      <w:szCs w:val="24"/>
    </w:rPr>
  </w:style>
  <w:style w:type="paragraph" w:styleId="847">
    <w:name w:val="纯文本"/>
    <w:basedOn w:val="808"/>
    <w:next w:val="847"/>
    <w:link w:val="848"/>
    <w:rPr>
      <w:rFonts w:ascii="宋体" w:hAnsi="Courier New"/>
      <w:sz w:val="20"/>
      <w:lang w:val="en-US" w:eastAsia="en-US"/>
    </w:rPr>
  </w:style>
  <w:style w:type="character" w:styleId="848">
    <w:name w:val="纯文本 Char"/>
    <w:next w:val="848"/>
    <w:link w:val="847"/>
    <w:rPr>
      <w:rFonts w:ascii="宋体" w:hAnsi="Courier New" w:eastAsia="宋体" w:cs="Courier New"/>
      <w:szCs w:val="21"/>
    </w:rPr>
  </w:style>
  <w:style w:type="paragraph" w:styleId="849">
    <w:name w:val="目录 8"/>
    <w:basedOn w:val="808"/>
    <w:next w:val="808"/>
    <w:link w:val="808"/>
    <w:uiPriority w:val="39"/>
    <w:pPr>
      <w:ind w:left="1470"/>
      <w:jc w:val="left"/>
    </w:pPr>
  </w:style>
  <w:style w:type="paragraph" w:styleId="850">
    <w:name w:val="日期"/>
    <w:basedOn w:val="808"/>
    <w:next w:val="808"/>
    <w:link w:val="851"/>
    <w:rPr>
      <w:sz w:val="24"/>
      <w:szCs w:val="24"/>
      <w:lang w:val="en-US" w:eastAsia="en-US"/>
    </w:rPr>
  </w:style>
  <w:style w:type="character" w:styleId="851">
    <w:name w:val="日期 Char"/>
    <w:next w:val="851"/>
    <w:link w:val="850"/>
    <w:rPr>
      <w:rFonts w:ascii="Times New Roman" w:hAnsi="Times New Roman" w:eastAsia="宋体" w:cs="Times New Roman"/>
      <w:sz w:val="24"/>
      <w:szCs w:val="24"/>
    </w:rPr>
  </w:style>
  <w:style w:type="paragraph" w:styleId="852">
    <w:name w:val="正文文本缩进 2"/>
    <w:basedOn w:val="808"/>
    <w:next w:val="852"/>
    <w:link w:val="853"/>
    <w:pPr>
      <w:ind w:left="630" w:firstLine="645"/>
    </w:pPr>
    <w:rPr>
      <w:rFonts w:ascii="Arial" w:hAnsi="Arial" w:eastAsia="仿宋_GB2312"/>
      <w:sz w:val="32"/>
      <w:szCs w:val="32"/>
      <w:lang w:val="en-US" w:eastAsia="en-US"/>
    </w:rPr>
  </w:style>
  <w:style w:type="character" w:styleId="853">
    <w:name w:val="正文文本缩进 2 Char"/>
    <w:next w:val="853"/>
    <w:link w:val="852"/>
    <w:rPr>
      <w:rFonts w:ascii="Arial" w:hAnsi="Arial" w:eastAsia="仿宋_GB2312" w:cs="Arial"/>
      <w:sz w:val="32"/>
      <w:szCs w:val="32"/>
    </w:rPr>
  </w:style>
  <w:style w:type="paragraph" w:styleId="854">
    <w:name w:val="批注框文本"/>
    <w:basedOn w:val="808"/>
    <w:next w:val="854"/>
    <w:link w:val="855"/>
    <w:uiPriority w:val="99"/>
    <w:semiHidden/>
    <w:rPr>
      <w:sz w:val="18"/>
      <w:szCs w:val="18"/>
      <w:lang w:val="en-US" w:eastAsia="en-US"/>
    </w:rPr>
  </w:style>
  <w:style w:type="character" w:styleId="855">
    <w:name w:val="批注框文本 Char"/>
    <w:next w:val="855"/>
    <w:link w:val="854"/>
    <w:uiPriority w:val="99"/>
    <w:semiHidden/>
    <w:rPr>
      <w:rFonts w:ascii="Times New Roman" w:hAnsi="Times New Roman" w:eastAsia="宋体" w:cs="Times New Roman"/>
      <w:sz w:val="18"/>
      <w:szCs w:val="18"/>
    </w:rPr>
  </w:style>
  <w:style w:type="paragraph" w:styleId="856">
    <w:name w:val="页脚"/>
    <w:basedOn w:val="808"/>
    <w:next w:val="856"/>
    <w:link w:val="857"/>
    <w:uiPriority w:val="99"/>
    <w:pPr>
      <w:jc w:val="left"/>
      <w:tabs>
        <w:tab w:val="center" w:pos="4153" w:leader="none"/>
        <w:tab w:val="right" w:pos="8306" w:leader="none"/>
      </w:tabs>
    </w:pPr>
    <w:rPr>
      <w:sz w:val="18"/>
      <w:szCs w:val="18"/>
      <w:lang w:val="en-US" w:eastAsia="en-US"/>
    </w:rPr>
  </w:style>
  <w:style w:type="character" w:styleId="857">
    <w:name w:val="页脚 Char"/>
    <w:next w:val="857"/>
    <w:link w:val="856"/>
    <w:uiPriority w:val="99"/>
    <w:rPr>
      <w:rFonts w:ascii="Times New Roman" w:hAnsi="Times New Roman" w:eastAsia="宋体" w:cs="Times New Roman"/>
      <w:sz w:val="18"/>
      <w:szCs w:val="18"/>
    </w:rPr>
  </w:style>
  <w:style w:type="paragraph" w:styleId="858">
    <w:name w:val="页眉"/>
    <w:basedOn w:val="808"/>
    <w:next w:val="858"/>
    <w:link w:val="859"/>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859">
    <w:name w:val="页眉 Char"/>
    <w:next w:val="859"/>
    <w:link w:val="858"/>
    <w:uiPriority w:val="99"/>
    <w:qFormat/>
    <w:rPr>
      <w:rFonts w:ascii="Times New Roman" w:hAnsi="Times New Roman" w:eastAsia="宋体" w:cs="Times New Roman"/>
      <w:sz w:val="18"/>
      <w:szCs w:val="18"/>
    </w:rPr>
  </w:style>
  <w:style w:type="paragraph" w:styleId="860">
    <w:name w:val="目录 1"/>
    <w:basedOn w:val="808"/>
    <w:next w:val="808"/>
    <w:link w:val="808"/>
    <w:uiPriority w:val="39"/>
    <w:pPr>
      <w:jc w:val="left"/>
      <w:spacing w:before="120" w:after="120" w:line="400" w:lineRule="exact"/>
      <w:tabs>
        <w:tab w:val="right" w:pos="8720" w:leader="dot"/>
      </w:tabs>
    </w:pPr>
    <w:rPr>
      <w:rFonts w:ascii="宋体" w:hAnsi="宋体"/>
      <w:caps/>
      <w:sz w:val="24"/>
      <w:szCs w:val="24"/>
    </w:rPr>
  </w:style>
  <w:style w:type="paragraph" w:styleId="861">
    <w:name w:val="目录 4"/>
    <w:basedOn w:val="808"/>
    <w:next w:val="808"/>
    <w:link w:val="808"/>
    <w:uiPriority w:val="39"/>
    <w:pPr>
      <w:ind w:left="630"/>
      <w:jc w:val="left"/>
    </w:pPr>
  </w:style>
  <w:style w:type="paragraph" w:styleId="862">
    <w:name w:val="列表"/>
    <w:basedOn w:val="808"/>
    <w:next w:val="862"/>
    <w:link w:val="808"/>
    <w:pPr>
      <w:ind w:left="200" w:hanging="200"/>
    </w:pPr>
  </w:style>
  <w:style w:type="paragraph" w:styleId="863">
    <w:name w:val="目录 6"/>
    <w:basedOn w:val="808"/>
    <w:next w:val="808"/>
    <w:link w:val="808"/>
    <w:uiPriority w:val="39"/>
    <w:pPr>
      <w:ind w:left="1050"/>
      <w:jc w:val="left"/>
    </w:pPr>
  </w:style>
  <w:style w:type="paragraph" w:styleId="864">
    <w:name w:val="正文文本缩进 3"/>
    <w:basedOn w:val="808"/>
    <w:next w:val="864"/>
    <w:link w:val="865"/>
    <w:pPr>
      <w:ind w:left="645" w:firstLine="645"/>
    </w:pPr>
    <w:rPr>
      <w:rFonts w:ascii="Arial" w:hAnsi="Arial" w:eastAsia="仿宋_GB2312"/>
      <w:color w:val="ffff00"/>
      <w:sz w:val="32"/>
      <w:szCs w:val="32"/>
      <w:lang w:val="en-US" w:eastAsia="en-US"/>
    </w:rPr>
  </w:style>
  <w:style w:type="character" w:styleId="865">
    <w:name w:val="正文文本缩进 3 Char"/>
    <w:next w:val="865"/>
    <w:link w:val="864"/>
    <w:rPr>
      <w:rFonts w:ascii="Arial" w:hAnsi="Arial" w:eastAsia="仿宋_GB2312" w:cs="Arial"/>
      <w:color w:val="ffff00"/>
      <w:sz w:val="32"/>
      <w:szCs w:val="32"/>
    </w:rPr>
  </w:style>
  <w:style w:type="paragraph" w:styleId="866">
    <w:name w:val="图表目录"/>
    <w:basedOn w:val="808"/>
    <w:next w:val="808"/>
    <w:link w:val="808"/>
    <w:uiPriority w:val="99"/>
    <w:pPr>
      <w:ind w:left="840" w:hanging="420"/>
    </w:pPr>
  </w:style>
  <w:style w:type="paragraph" w:styleId="867">
    <w:name w:val="目录 2"/>
    <w:basedOn w:val="808"/>
    <w:next w:val="808"/>
    <w:link w:val="808"/>
    <w:uiPriority w:val="39"/>
    <w:pPr>
      <w:ind w:left="210"/>
      <w:jc w:val="left"/>
    </w:pPr>
    <w:rPr>
      <w:smallCaps/>
      <w:szCs w:val="24"/>
    </w:rPr>
  </w:style>
  <w:style w:type="paragraph" w:styleId="868">
    <w:name w:val="目录 9"/>
    <w:basedOn w:val="808"/>
    <w:next w:val="808"/>
    <w:link w:val="808"/>
    <w:uiPriority w:val="39"/>
    <w:pPr>
      <w:ind w:left="1680"/>
      <w:jc w:val="left"/>
    </w:pPr>
  </w:style>
  <w:style w:type="paragraph" w:styleId="869">
    <w:name w:val="正文文本 2"/>
    <w:basedOn w:val="808"/>
    <w:next w:val="869"/>
    <w:link w:val="870"/>
    <w:pPr>
      <w:jc w:val="center"/>
      <w:widowControl/>
    </w:pPr>
    <w:rPr>
      <w:rFonts w:ascii="楷体_GB2312" w:eastAsia="楷体_GB2312"/>
      <w:sz w:val="28"/>
      <w:szCs w:val="28"/>
      <w:lang w:val="en-US" w:eastAsia="en-US"/>
    </w:rPr>
  </w:style>
  <w:style w:type="character" w:styleId="870">
    <w:name w:val="正文文本 2 Char"/>
    <w:next w:val="870"/>
    <w:link w:val="869"/>
    <w:rPr>
      <w:rFonts w:ascii="楷体_GB2312" w:hAnsi="Times New Roman" w:eastAsia="楷体_GB2312" w:cs="Times New Roman"/>
      <w:sz w:val="28"/>
      <w:szCs w:val="28"/>
    </w:rPr>
  </w:style>
  <w:style w:type="paragraph" w:styleId="871">
    <w:name w:val="普通(网站)"/>
    <w:basedOn w:val="808"/>
    <w:next w:val="871"/>
    <w:link w:val="808"/>
    <w:uiPriority w:val="99"/>
    <w:pPr>
      <w:jc w:val="left"/>
      <w:spacing w:before="100" w:beforeAutospacing="1" w:after="100" w:afterAutospacing="1"/>
      <w:widowControl/>
    </w:pPr>
    <w:rPr>
      <w:rFonts w:ascii="宋体" w:hAnsi="宋体" w:cs="宋体"/>
      <w:sz w:val="24"/>
      <w:szCs w:val="24"/>
    </w:rPr>
  </w:style>
  <w:style w:type="paragraph" w:styleId="872">
    <w:name w:val="索引 1"/>
    <w:basedOn w:val="808"/>
    <w:next w:val="808"/>
    <w:link w:val="808"/>
    <w:semiHidden/>
    <w:pPr>
      <w:spacing w:line="240" w:lineRule="atLeast"/>
    </w:pPr>
    <w:rPr>
      <w:b/>
      <w:bCs/>
    </w:rPr>
  </w:style>
  <w:style w:type="paragraph" w:styleId="873">
    <w:name w:val="批注主题"/>
    <w:basedOn w:val="836"/>
    <w:next w:val="836"/>
    <w:link w:val="874"/>
    <w:semiHidden/>
    <w:rPr>
      <w:b/>
      <w:bCs/>
    </w:rPr>
  </w:style>
  <w:style w:type="character" w:styleId="874">
    <w:name w:val="批注主题 Char"/>
    <w:next w:val="874"/>
    <w:link w:val="873"/>
    <w:semiHidden/>
    <w:rPr>
      <w:rFonts w:ascii="Times New Roman" w:hAnsi="Times New Roman" w:eastAsia="宋体" w:cs="Times New Roman"/>
      <w:b/>
      <w:bCs/>
      <w:szCs w:val="21"/>
    </w:rPr>
  </w:style>
  <w:style w:type="paragraph" w:styleId="875">
    <w:name w:val="正文首行缩进"/>
    <w:basedOn w:val="808"/>
    <w:next w:val="875"/>
    <w:link w:val="876"/>
    <w:pPr>
      <w:ind w:firstLine="200"/>
      <w:spacing w:line="360" w:lineRule="auto"/>
    </w:pPr>
    <w:rPr>
      <w:rFonts w:ascii="仿宋_GB2312" w:eastAsia="仿宋_GB2312"/>
      <w:sz w:val="30"/>
      <w:szCs w:val="30"/>
      <w:lang w:val="en-US" w:eastAsia="en-US"/>
    </w:rPr>
  </w:style>
  <w:style w:type="character" w:styleId="876">
    <w:name w:val="正文首行缩进 Char"/>
    <w:next w:val="876"/>
    <w:link w:val="875"/>
    <w:rPr>
      <w:rFonts w:ascii="仿宋_GB2312" w:hAnsi="Times New Roman" w:eastAsia="仿宋_GB2312" w:cs="Times New Roman"/>
      <w:sz w:val="30"/>
      <w:szCs w:val="30"/>
    </w:rPr>
  </w:style>
  <w:style w:type="paragraph" w:styleId="877">
    <w:name w:val="正文首行缩进 2"/>
    <w:basedOn w:val="842"/>
    <w:next w:val="877"/>
    <w:link w:val="878"/>
    <w:pPr>
      <w:ind w:firstLine="420"/>
      <w:spacing w:line="360" w:lineRule="auto"/>
    </w:pPr>
    <w:rPr>
      <w:rFonts w:ascii="宋体" w:hAnsi="宋体" w:eastAsia="宋体"/>
      <w:szCs w:val="20"/>
    </w:rPr>
  </w:style>
  <w:style w:type="character" w:styleId="878">
    <w:name w:val="正文首行缩进 2 Char"/>
    <w:next w:val="878"/>
    <w:link w:val="877"/>
    <w:rPr>
      <w:rFonts w:ascii="宋体" w:hAnsi="宋体" w:eastAsia="宋体" w:cs="Times New Roman"/>
      <w:sz w:val="32"/>
      <w:szCs w:val="20"/>
    </w:rPr>
  </w:style>
  <w:style w:type="table" w:styleId="879">
    <w:name w:val="网格型"/>
    <w:basedOn w:val="819"/>
    <w:next w:val="879"/>
    <w:link w:val="808"/>
    <w:pPr>
      <w:jc w:val="both"/>
      <w:widowControl w:val="off"/>
    </w:pPr>
    <w:rPr>
      <w:rFonts w:ascii="Times New Roman" w:hAnsi="Times New Roman" w:eastAsia="宋体" w:cs="Times New Roman"/>
      <w:sz w:val="20"/>
      <w:szCs w:val="20"/>
    </w:rPr>
    <w:tblPr/>
  </w:style>
  <w:style w:type="character" w:styleId="880">
    <w:name w:val="要点"/>
    <w:next w:val="880"/>
    <w:link w:val="808"/>
    <w:qFormat/>
    <w:rPr>
      <w:b/>
      <w:bCs/>
    </w:rPr>
  </w:style>
  <w:style w:type="character" w:styleId="881">
    <w:name w:val="页码"/>
    <w:next w:val="881"/>
    <w:link w:val="808"/>
  </w:style>
  <w:style w:type="character" w:styleId="882">
    <w:name w:val="已访问的超链接"/>
    <w:next w:val="882"/>
    <w:link w:val="808"/>
    <w:rPr>
      <w:color w:val="800080"/>
      <w:u w:val="single"/>
    </w:rPr>
  </w:style>
  <w:style w:type="character" w:styleId="883">
    <w:name w:val="HTML 打字机"/>
    <w:next w:val="883"/>
    <w:link w:val="808"/>
    <w:uiPriority w:val="99"/>
    <w:rPr>
      <w:rFonts w:ascii="宋体" w:hAnsi="宋体" w:eastAsia="宋体" w:cs="宋体"/>
      <w:sz w:val="24"/>
      <w:szCs w:val="24"/>
    </w:rPr>
  </w:style>
  <w:style w:type="character" w:styleId="884">
    <w:name w:val="超链接"/>
    <w:next w:val="884"/>
    <w:link w:val="808"/>
    <w:uiPriority w:val="99"/>
    <w:rPr>
      <w:color w:val="0000ff"/>
      <w:u w:val="single"/>
    </w:rPr>
  </w:style>
  <w:style w:type="character" w:styleId="885">
    <w:name w:val="批注引用"/>
    <w:next w:val="885"/>
    <w:link w:val="808"/>
    <w:qFormat/>
    <w:rPr>
      <w:sz w:val="21"/>
      <w:szCs w:val="21"/>
    </w:rPr>
  </w:style>
  <w:style w:type="character" w:styleId="886">
    <w:name w:val="font5 Char"/>
    <w:next w:val="886"/>
    <w:link w:val="808"/>
    <w:rPr>
      <w:rFonts w:ascii="宋体" w:hAnsi="宋体" w:eastAsia="宋体"/>
      <w:sz w:val="28"/>
      <w:szCs w:val="28"/>
      <w:lang w:val="en-US" w:eastAsia="zh-CN" w:bidi="ar-SA"/>
    </w:rPr>
  </w:style>
  <w:style w:type="character" w:styleId="887">
    <w:name w:val="二级目录 Char"/>
    <w:next w:val="887"/>
    <w:link w:val="888"/>
    <w:rPr>
      <w:b/>
      <w:sz w:val="30"/>
      <w:szCs w:val="28"/>
      <w:lang w:val="en-US" w:eastAsia="zh-CN" w:bidi="ar-SA"/>
    </w:rPr>
  </w:style>
  <w:style w:type="paragraph" w:styleId="888">
    <w:name w:val="二级目录"/>
    <w:next w:val="808"/>
    <w:link w:val="887"/>
    <w:pPr>
      <w:numPr>
        <w:ilvl w:val="0"/>
        <w:numId w:val="2"/>
      </w:numPr>
      <w:tabs>
        <w:tab w:val="left" w:pos="907" w:leader="none"/>
        <w:tab w:val="left" w:pos="1145" w:leader="none"/>
      </w:tabs>
      <w:outlineLvl w:val="1"/>
    </w:pPr>
    <w:rPr>
      <w:b/>
      <w:sz w:val="30"/>
      <w:szCs w:val="28"/>
      <w:lang w:val="en-US" w:eastAsia="zh-CN" w:bidi="ar-SA"/>
    </w:rPr>
  </w:style>
  <w:style w:type="character" w:styleId="889">
    <w:name w:val="列出段落 Char,Bullet List Char,numbered Char,FooterText Char,List Paragraph1 Char,Paragraphe de liste1 Char"/>
    <w:next w:val="889"/>
    <w:link w:val="890"/>
    <w:rPr>
      <w:rFonts w:ascii="Calibri" w:hAnsi="Calibri"/>
      <w:sz w:val="24"/>
      <w:szCs w:val="24"/>
      <w:lang w:eastAsia="en-US" w:bidi="en-US"/>
    </w:rPr>
  </w:style>
  <w:style w:type="paragraph" w:styleId="890">
    <w:name w:val="列出段落1"/>
    <w:basedOn w:val="808"/>
    <w:next w:val="890"/>
    <w:link w:val="889"/>
    <w:qFormat/>
    <w:pPr>
      <w:contextualSpacing/>
      <w:ind w:left="720"/>
      <w:jc w:val="left"/>
      <w:widowControl/>
    </w:pPr>
    <w:rPr>
      <w:rFonts w:ascii="Calibri" w:hAnsi="Calibri"/>
      <w:sz w:val="24"/>
      <w:szCs w:val="24"/>
      <w:lang w:val="en-US" w:eastAsia="en-US" w:bidi="en-US"/>
    </w:rPr>
  </w:style>
  <w:style w:type="paragraph" w:styleId="891">
    <w:name w:val="Body Text(ch)"/>
    <w:basedOn w:val="808"/>
    <w:next w:val="840"/>
    <w:link w:val="808"/>
    <w:pPr>
      <w:spacing w:after="120"/>
    </w:pPr>
    <w:rPr>
      <w:rFonts w:ascii="宋体" w:hAnsi="Arial"/>
      <w:bCs/>
      <w:iCs/>
      <w:szCs w:val="24"/>
    </w:rPr>
  </w:style>
  <w:style w:type="paragraph" w:styleId="892">
    <w:name w:val="xl27"/>
    <w:basedOn w:val="808"/>
    <w:next w:val="892"/>
    <w:link w:val="8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3">
    <w:name w:val="xl26"/>
    <w:basedOn w:val="808"/>
    <w:next w:val="893"/>
    <w:link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94">
    <w:name w:val="Char"/>
    <w:basedOn w:val="808"/>
    <w:next w:val="894"/>
    <w:link w:val="808"/>
    <w:pPr>
      <w:ind w:firstLine="200"/>
      <w:tabs>
        <w:tab w:val="left" w:pos="360" w:leader="none"/>
      </w:tabs>
    </w:pPr>
    <w:rPr>
      <w:sz w:val="28"/>
      <w:szCs w:val="30"/>
    </w:rPr>
  </w:style>
  <w:style w:type="paragraph" w:styleId="895">
    <w:name w:val=" Char"/>
    <w:basedOn w:val="834"/>
    <w:next w:val="895"/>
    <w:link w:val="808"/>
    <w:rPr>
      <w:rFonts w:ascii="Tahoma" w:hAnsi="Tahoma"/>
      <w:sz w:val="24"/>
      <w:szCs w:val="24"/>
    </w:rPr>
  </w:style>
  <w:style w:type="paragraph" w:styleId="896">
    <w:name w:val="普通正文"/>
    <w:basedOn w:val="808"/>
    <w:next w:val="896"/>
    <w:link w:val="808"/>
    <w:pPr>
      <w:ind w:firstLine="480"/>
      <w:jc w:val="left"/>
      <w:spacing w:before="120" w:after="120" w:line="360" w:lineRule="auto"/>
    </w:pPr>
    <w:rPr>
      <w:rFonts w:ascii="Arial" w:hAnsi="Arial"/>
      <w:sz w:val="24"/>
      <w:szCs w:val="24"/>
    </w:rPr>
  </w:style>
  <w:style w:type="paragraph" w:styleId="897">
    <w:name w:val="table_lines"/>
    <w:basedOn w:val="808"/>
    <w:next w:val="897"/>
    <w:link w:val="808"/>
    <w:pPr>
      <w:jc w:val="left"/>
      <w:widowControl/>
    </w:pPr>
    <w:rPr>
      <w:sz w:val="20"/>
      <w:szCs w:val="20"/>
      <w:lang w:val="de-DE" w:eastAsia="de-DE"/>
    </w:rPr>
  </w:style>
  <w:style w:type="paragraph" w:styleId="898">
    <w:name w:val="附录1"/>
    <w:next w:val="898"/>
    <w:link w:val="80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99">
    <w:name w:val="font7"/>
    <w:basedOn w:val="808"/>
    <w:next w:val="899"/>
    <w:link w:val="808"/>
    <w:pPr>
      <w:jc w:val="left"/>
      <w:spacing w:before="100" w:beforeAutospacing="1" w:after="100" w:afterAutospacing="1"/>
      <w:widowControl/>
    </w:pPr>
    <w:rPr>
      <w:rFonts w:hint="eastAsia" w:ascii="宋体" w:hAnsi="宋体"/>
      <w:sz w:val="18"/>
      <w:szCs w:val="18"/>
    </w:rPr>
  </w:style>
  <w:style w:type="paragraph" w:styleId="900">
    <w:name w:val=" Char Char Char Char"/>
    <w:basedOn w:val="834"/>
    <w:next w:val="900"/>
    <w:link w:val="808"/>
    <w:pPr>
      <w:spacing w:line="360" w:lineRule="auto"/>
    </w:pPr>
    <w:rPr>
      <w:rFonts w:ascii="Tahoma" w:hAnsi="Tahoma"/>
      <w:sz w:val="24"/>
      <w:szCs w:val="24"/>
    </w:rPr>
  </w:style>
  <w:style w:type="paragraph" w:styleId="901">
    <w:name w:val="列出段落"/>
    <w:basedOn w:val="808"/>
    <w:next w:val="901"/>
    <w:link w:val="808"/>
    <w:uiPriority w:val="34"/>
    <w:qFormat/>
    <w:pPr>
      <w:contextualSpacing/>
      <w:ind w:left="720"/>
      <w:jc w:val="left"/>
      <w:widowControl/>
    </w:pPr>
    <w:rPr>
      <w:rFonts w:ascii="Calibri" w:hAnsi="Calibri"/>
      <w:sz w:val="24"/>
      <w:szCs w:val="24"/>
      <w:lang w:eastAsia="en-US" w:bidi="en-US"/>
    </w:rPr>
  </w:style>
  <w:style w:type="paragraph" w:styleId="902">
    <w:name w:val="4"/>
    <w:basedOn w:val="808"/>
    <w:next w:val="864"/>
    <w:link w:val="808"/>
    <w:pPr>
      <w:ind w:firstLine="420"/>
      <w:spacing w:line="360" w:lineRule="auto"/>
    </w:pPr>
    <w:rPr>
      <w:color w:val="ff0000"/>
      <w:sz w:val="24"/>
      <w:szCs w:val="24"/>
    </w:rPr>
  </w:style>
  <w:style w:type="paragraph" w:styleId="903">
    <w:name w:val="普通 (Web)"/>
    <w:basedOn w:val="808"/>
    <w:next w:val="903"/>
    <w:link w:val="808"/>
    <w:pPr>
      <w:jc w:val="left"/>
      <w:spacing w:before="100" w:beforeAutospacing="1" w:after="100" w:afterAutospacing="1"/>
      <w:widowControl/>
    </w:pPr>
    <w:rPr>
      <w:rFonts w:ascii="宋体" w:hAnsi="宋体"/>
      <w:sz w:val="24"/>
      <w:szCs w:val="24"/>
    </w:rPr>
  </w:style>
  <w:style w:type="paragraph" w:styleId="904">
    <w:name w:val=" Char Char Char Char Char Char Char Char Char Char"/>
    <w:basedOn w:val="808"/>
    <w:next w:val="904"/>
    <w:link w:val="808"/>
    <w:pPr>
      <w:spacing w:line="360" w:lineRule="auto"/>
    </w:pPr>
    <w:rPr>
      <w:sz w:val="24"/>
      <w:szCs w:val="20"/>
    </w:rPr>
  </w:style>
  <w:style w:type="paragraph" w:styleId="905">
    <w:name w:val="样式1"/>
    <w:basedOn w:val="808"/>
    <w:next w:val="905"/>
    <w:link w:val="808"/>
    <w:pPr>
      <w:numPr>
        <w:ilvl w:val="0"/>
        <w:numId w:val="3"/>
      </w:numPr>
      <w:tabs>
        <w:tab w:val="left" w:pos="709" w:leader="none"/>
      </w:tabs>
    </w:pPr>
    <w:rPr>
      <w:rFonts w:ascii="宋体" w:hAnsi="宋体"/>
    </w:rPr>
  </w:style>
  <w:style w:type="paragraph" w:styleId="906">
    <w:name w:val="font6"/>
    <w:basedOn w:val="808"/>
    <w:next w:val="906"/>
    <w:link w:val="808"/>
    <w:pPr>
      <w:jc w:val="left"/>
      <w:spacing w:before="100" w:beforeAutospacing="1" w:after="100" w:afterAutospacing="1"/>
      <w:widowControl/>
    </w:pPr>
    <w:rPr>
      <w:rFonts w:hint="eastAsia" w:ascii="宋体" w:hAnsi="宋体"/>
      <w:sz w:val="28"/>
      <w:szCs w:val="28"/>
      <w:u w:val="single"/>
    </w:rPr>
  </w:style>
  <w:style w:type="paragraph" w:styleId="907">
    <w:name w:val="xl25"/>
    <w:basedOn w:val="808"/>
    <w:next w:val="907"/>
    <w:link w:val="80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8">
    <w:name w:val="图标"/>
    <w:basedOn w:val="808"/>
    <w:next w:val="808"/>
    <w:link w:val="80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09">
    <w:name w:val="标题3"/>
    <w:basedOn w:val="808"/>
    <w:next w:val="808"/>
    <w:link w:val="808"/>
    <w:pPr>
      <w:ind w:firstLine="624"/>
      <w:spacing w:line="590" w:lineRule="atLeast"/>
    </w:pPr>
    <w:rPr>
      <w:rFonts w:ascii="方正黑体_GBK" w:eastAsia="方正黑体_GBK"/>
      <w:sz w:val="32"/>
      <w:szCs w:val="32"/>
    </w:rPr>
  </w:style>
  <w:style w:type="paragraph" w:styleId="910">
    <w:name w:val="xl24"/>
    <w:basedOn w:val="808"/>
    <w:next w:val="910"/>
    <w:link w:val="8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1">
    <w:name w:val="xl29"/>
    <w:basedOn w:val="808"/>
    <w:next w:val="911"/>
    <w:link w:val="80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12">
    <w:name w:val="Char Char Char Char Char Char Char Char"/>
    <w:basedOn w:val="808"/>
    <w:next w:val="912"/>
    <w:link w:val="808"/>
    <w:pPr>
      <w:jc w:val="left"/>
      <w:spacing w:after="160" w:line="240" w:lineRule="exact"/>
      <w:widowControl/>
    </w:pPr>
    <w:rPr>
      <w:rFonts w:ascii="Verdana" w:hAnsi="Verdana"/>
      <w:sz w:val="20"/>
      <w:szCs w:val="20"/>
      <w:lang w:eastAsia="en-US"/>
    </w:rPr>
  </w:style>
  <w:style w:type="paragraph" w:styleId="913">
    <w:name w:val="xl28"/>
    <w:basedOn w:val="808"/>
    <w:next w:val="913"/>
    <w:link w:val="8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14">
    <w:name w:val=" Char Char Char Char Char Char Char Char"/>
    <w:basedOn w:val="808"/>
    <w:next w:val="914"/>
    <w:link w:val="808"/>
    <w:pPr>
      <w:jc w:val="left"/>
      <w:spacing w:after="160" w:line="240" w:lineRule="exact"/>
      <w:widowControl/>
    </w:pPr>
    <w:rPr>
      <w:rFonts w:ascii="Verdana" w:hAnsi="Verdana"/>
      <w:sz w:val="20"/>
      <w:szCs w:val="20"/>
      <w:lang w:eastAsia="en-US"/>
    </w:rPr>
  </w:style>
  <w:style w:type="paragraph" w:styleId="915">
    <w:name w:val="xl30"/>
    <w:basedOn w:val="808"/>
    <w:next w:val="915"/>
    <w:link w:val="808"/>
    <w:pPr>
      <w:jc w:val="center"/>
      <w:spacing w:before="100" w:beforeAutospacing="1" w:after="100" w:afterAutospacing="1"/>
      <w:widowControl/>
    </w:pPr>
    <w:rPr>
      <w:rFonts w:ascii="宋体" w:hAnsi="宋体"/>
      <w:b/>
      <w:bCs/>
      <w:sz w:val="36"/>
      <w:szCs w:val="36"/>
    </w:rPr>
  </w:style>
  <w:style w:type="paragraph" w:styleId="916">
    <w:name w:val="Char Char Char Char"/>
    <w:basedOn w:val="834"/>
    <w:next w:val="916"/>
    <w:link w:val="808"/>
    <w:pPr>
      <w:spacing w:line="360" w:lineRule="auto"/>
    </w:pPr>
    <w:rPr>
      <w:rFonts w:ascii="Tahoma" w:hAnsi="Tahoma"/>
      <w:sz w:val="24"/>
      <w:szCs w:val="24"/>
    </w:rPr>
  </w:style>
  <w:style w:type="paragraph" w:styleId="917">
    <w:name w:val="table_1stline"/>
    <w:basedOn w:val="808"/>
    <w:next w:val="917"/>
    <w:link w:val="808"/>
    <w:pPr>
      <w:jc w:val="left"/>
      <w:spacing w:before="120"/>
      <w:widowControl/>
    </w:pPr>
    <w:rPr>
      <w:bCs/>
      <w:sz w:val="20"/>
      <w:szCs w:val="20"/>
      <w:lang w:val="de-DE" w:eastAsia="de-DE"/>
    </w:rPr>
  </w:style>
  <w:style w:type="paragraph" w:styleId="918">
    <w:name w:val="font5"/>
    <w:basedOn w:val="808"/>
    <w:next w:val="918"/>
    <w:link w:val="808"/>
    <w:pPr>
      <w:jc w:val="left"/>
      <w:spacing w:before="100" w:beforeAutospacing="1" w:after="100" w:afterAutospacing="1"/>
      <w:widowControl/>
    </w:pPr>
    <w:rPr>
      <w:rFonts w:hint="eastAsia" w:ascii="宋体" w:hAnsi="宋体"/>
      <w:sz w:val="28"/>
      <w:szCs w:val="28"/>
    </w:rPr>
  </w:style>
  <w:style w:type="paragraph" w:styleId="919">
    <w:name w:val="标题1"/>
    <w:basedOn w:val="808"/>
    <w:next w:val="808"/>
    <w:link w:val="808"/>
    <w:pPr>
      <w:jc w:val="center"/>
      <w:spacing w:line="700" w:lineRule="atLeast"/>
      <w:tabs>
        <w:tab w:val="left" w:pos="9193" w:leader="none"/>
        <w:tab w:val="left" w:pos="9827" w:leader="none"/>
      </w:tabs>
    </w:pPr>
    <w:rPr>
      <w:rFonts w:ascii="方正小标宋_GBK" w:eastAsia="方正小标宋_GBK"/>
      <w:sz w:val="44"/>
      <w:szCs w:val="20"/>
    </w:rPr>
  </w:style>
  <w:style w:type="paragraph" w:styleId="920">
    <w:name w:val="修订"/>
    <w:next w:val="920"/>
    <w:link w:val="808"/>
    <w:uiPriority w:val="99"/>
    <w:semiHidden/>
    <w:rPr>
      <w:rFonts w:ascii="Times New Roman" w:hAnsi="Times New Roman"/>
      <w:sz w:val="21"/>
      <w:szCs w:val="21"/>
      <w:lang w:val="en-US" w:eastAsia="zh-CN" w:bidi="ar-SA"/>
    </w:rPr>
  </w:style>
  <w:style w:type="paragraph" w:styleId="921">
    <w:name w:val="无间隔"/>
    <w:next w:val="921"/>
    <w:link w:val="808"/>
    <w:uiPriority w:val="1"/>
    <w:qFormat/>
    <w:pPr>
      <w:jc w:val="both"/>
      <w:widowControl w:val="off"/>
    </w:pPr>
    <w:rPr>
      <w:rFonts w:ascii="Times New Roman" w:hAnsi="Times New Roman"/>
      <w:sz w:val="21"/>
      <w:szCs w:val="21"/>
      <w:lang w:val="en-US" w:eastAsia="zh-CN" w:bidi="ar-SA"/>
    </w:rPr>
  </w:style>
  <w:style w:type="paragraph" w:styleId="922">
    <w:name w:val="普通文字"/>
    <w:basedOn w:val="808"/>
    <w:next w:val="808"/>
    <w:link w:val="808"/>
    <w:uiPriority w:val="99"/>
    <w:rPr>
      <w:rFonts w:ascii="宋体" w:hAnsi="Times New Roman" w:eastAsia="宋体" w:cs="Times New Roman"/>
      <w:sz w:val="24"/>
      <w:szCs w:val="20"/>
      <w:u w:val="none"/>
    </w:rPr>
  </w:style>
  <w:style w:type="paragraph" w:styleId="923">
    <w:name w:val="目录 111"/>
    <w:basedOn w:val="808"/>
    <w:next w:val="808"/>
    <w:link w:val="808"/>
    <w:uiPriority w:val="39"/>
    <w:unhideWhenUsed/>
    <w:qFormat/>
    <w:pPr>
      <w:jc w:val="left"/>
      <w:spacing w:after="100" w:line="259" w:lineRule="auto"/>
      <w:widowControl/>
    </w:pPr>
    <w:rPr>
      <w:rFonts w:ascii="Calibri" w:hAnsi="Calibri" w:eastAsia="宋体"/>
      <w:sz w:val="22"/>
      <w:szCs w:val="22"/>
    </w:rPr>
  </w:style>
  <w:style w:type="numbering" w:styleId="924">
    <w:name w:val="无列表1"/>
    <w:next w:val="820"/>
    <w:link w:val="808"/>
    <w:uiPriority w:val="99"/>
    <w:semiHidden/>
    <w:unhideWhenUsed/>
  </w:style>
  <w:style w:type="paragraph" w:styleId="925">
    <w:name w:val="Heading 1"/>
    <w:basedOn w:val="808"/>
    <w:next w:val="808"/>
    <w:link w:val="926"/>
    <w:uiPriority w:val="9"/>
    <w:qFormat/>
    <w:pPr>
      <w:keepLines/>
      <w:keepNext/>
      <w:spacing w:before="480" w:after="200"/>
      <w:outlineLvl w:val="0"/>
    </w:pPr>
    <w:rPr>
      <w:rFonts w:ascii="Arial" w:hAnsi="Arial" w:eastAsia="Arial" w:cs="Arial"/>
      <w:sz w:val="40"/>
      <w:szCs w:val="40"/>
    </w:rPr>
  </w:style>
  <w:style w:type="character" w:styleId="926">
    <w:name w:val="Heading 1 Char"/>
    <w:basedOn w:val="818"/>
    <w:next w:val="926"/>
    <w:link w:val="925"/>
    <w:uiPriority w:val="9"/>
    <w:rPr>
      <w:rFonts w:ascii="Arial" w:hAnsi="Arial" w:eastAsia="Arial" w:cs="Arial"/>
      <w:sz w:val="40"/>
      <w:szCs w:val="40"/>
    </w:rPr>
  </w:style>
  <w:style w:type="character" w:styleId="927">
    <w:name w:val="Heading 2 Char"/>
    <w:basedOn w:val="818"/>
    <w:next w:val="927"/>
    <w:link w:val="1088"/>
    <w:uiPriority w:val="9"/>
    <w:rPr>
      <w:rFonts w:ascii="Arial" w:hAnsi="Arial" w:eastAsia="Arial" w:cs="Arial"/>
      <w:sz w:val="34"/>
    </w:rPr>
  </w:style>
  <w:style w:type="paragraph" w:styleId="928">
    <w:name w:val="Heading 3"/>
    <w:basedOn w:val="808"/>
    <w:next w:val="808"/>
    <w:link w:val="929"/>
    <w:uiPriority w:val="9"/>
    <w:unhideWhenUsed/>
    <w:qFormat/>
    <w:pPr>
      <w:keepLines/>
      <w:keepNext/>
      <w:spacing w:before="320" w:after="200"/>
      <w:outlineLvl w:val="2"/>
    </w:pPr>
    <w:rPr>
      <w:rFonts w:ascii="Arial" w:hAnsi="Arial" w:eastAsia="Arial" w:cs="Arial"/>
      <w:sz w:val="30"/>
      <w:szCs w:val="30"/>
    </w:rPr>
  </w:style>
  <w:style w:type="character" w:styleId="929">
    <w:name w:val="Heading 3 Char"/>
    <w:basedOn w:val="818"/>
    <w:next w:val="929"/>
    <w:link w:val="928"/>
    <w:uiPriority w:val="9"/>
    <w:rPr>
      <w:rFonts w:ascii="Arial" w:hAnsi="Arial" w:eastAsia="Arial" w:cs="Arial"/>
      <w:sz w:val="30"/>
      <w:szCs w:val="30"/>
    </w:rPr>
  </w:style>
  <w:style w:type="character" w:styleId="930">
    <w:name w:val="Heading 4 Char"/>
    <w:basedOn w:val="818"/>
    <w:next w:val="930"/>
    <w:link w:val="1089"/>
    <w:uiPriority w:val="9"/>
    <w:rPr>
      <w:rFonts w:ascii="Arial" w:hAnsi="Arial" w:eastAsia="Arial" w:cs="Arial"/>
      <w:b/>
      <w:bCs/>
      <w:sz w:val="26"/>
      <w:szCs w:val="26"/>
    </w:rPr>
  </w:style>
  <w:style w:type="paragraph" w:styleId="931">
    <w:name w:val="Heading 5"/>
    <w:basedOn w:val="808"/>
    <w:next w:val="808"/>
    <w:link w:val="932"/>
    <w:uiPriority w:val="9"/>
    <w:unhideWhenUsed/>
    <w:qFormat/>
    <w:pPr>
      <w:keepLines/>
      <w:keepNext/>
      <w:spacing w:before="320" w:after="200"/>
      <w:outlineLvl w:val="4"/>
    </w:pPr>
    <w:rPr>
      <w:rFonts w:ascii="Arial" w:hAnsi="Arial" w:eastAsia="Arial" w:cs="Arial"/>
      <w:b/>
      <w:bCs/>
      <w:sz w:val="24"/>
      <w:szCs w:val="24"/>
    </w:rPr>
  </w:style>
  <w:style w:type="character" w:styleId="932">
    <w:name w:val="Heading 5 Char"/>
    <w:basedOn w:val="818"/>
    <w:next w:val="932"/>
    <w:link w:val="931"/>
    <w:uiPriority w:val="9"/>
    <w:rPr>
      <w:rFonts w:ascii="Arial" w:hAnsi="Arial" w:eastAsia="Arial" w:cs="Arial"/>
      <w:b/>
      <w:bCs/>
      <w:sz w:val="24"/>
      <w:szCs w:val="24"/>
    </w:rPr>
  </w:style>
  <w:style w:type="paragraph" w:styleId="933">
    <w:name w:val="Heading 6"/>
    <w:basedOn w:val="808"/>
    <w:next w:val="808"/>
    <w:link w:val="934"/>
    <w:uiPriority w:val="9"/>
    <w:unhideWhenUsed/>
    <w:qFormat/>
    <w:pPr>
      <w:keepLines/>
      <w:keepNext/>
      <w:spacing w:before="320" w:after="200"/>
      <w:outlineLvl w:val="5"/>
    </w:pPr>
    <w:rPr>
      <w:rFonts w:ascii="Arial" w:hAnsi="Arial" w:eastAsia="Arial" w:cs="Arial"/>
      <w:b/>
      <w:bCs/>
      <w:sz w:val="22"/>
      <w:szCs w:val="22"/>
    </w:rPr>
  </w:style>
  <w:style w:type="character" w:styleId="934">
    <w:name w:val="Heading 6 Char"/>
    <w:basedOn w:val="818"/>
    <w:next w:val="934"/>
    <w:link w:val="933"/>
    <w:uiPriority w:val="9"/>
    <w:rPr>
      <w:rFonts w:ascii="Arial" w:hAnsi="Arial" w:eastAsia="Arial" w:cs="Arial"/>
      <w:b/>
      <w:bCs/>
      <w:sz w:val="22"/>
      <w:szCs w:val="22"/>
    </w:rPr>
  </w:style>
  <w:style w:type="paragraph" w:styleId="935">
    <w:name w:val="Heading 7"/>
    <w:basedOn w:val="808"/>
    <w:next w:val="808"/>
    <w:link w:val="936"/>
    <w:uiPriority w:val="9"/>
    <w:unhideWhenUsed/>
    <w:qFormat/>
    <w:pPr>
      <w:keepLines/>
      <w:keepNext/>
      <w:spacing w:before="320" w:after="200"/>
      <w:outlineLvl w:val="6"/>
    </w:pPr>
    <w:rPr>
      <w:rFonts w:ascii="Arial" w:hAnsi="Arial" w:eastAsia="Arial" w:cs="Arial"/>
      <w:b/>
      <w:bCs/>
      <w:i/>
      <w:iCs/>
      <w:sz w:val="22"/>
      <w:szCs w:val="22"/>
    </w:rPr>
  </w:style>
  <w:style w:type="character" w:styleId="936">
    <w:name w:val="Heading 7 Char"/>
    <w:basedOn w:val="818"/>
    <w:next w:val="936"/>
    <w:link w:val="935"/>
    <w:uiPriority w:val="9"/>
    <w:rPr>
      <w:rFonts w:ascii="Arial" w:hAnsi="Arial" w:eastAsia="Arial" w:cs="Arial"/>
      <w:b/>
      <w:bCs/>
      <w:i/>
      <w:iCs/>
      <w:sz w:val="22"/>
      <w:szCs w:val="22"/>
    </w:rPr>
  </w:style>
  <w:style w:type="paragraph" w:styleId="937">
    <w:name w:val="Heading 8"/>
    <w:basedOn w:val="808"/>
    <w:next w:val="808"/>
    <w:link w:val="938"/>
    <w:uiPriority w:val="9"/>
    <w:unhideWhenUsed/>
    <w:qFormat/>
    <w:pPr>
      <w:keepLines/>
      <w:keepNext/>
      <w:spacing w:before="320" w:after="200"/>
      <w:outlineLvl w:val="7"/>
    </w:pPr>
    <w:rPr>
      <w:rFonts w:ascii="Arial" w:hAnsi="Arial" w:eastAsia="Arial" w:cs="Arial"/>
      <w:i/>
      <w:iCs/>
      <w:sz w:val="22"/>
      <w:szCs w:val="22"/>
    </w:rPr>
  </w:style>
  <w:style w:type="character" w:styleId="938">
    <w:name w:val="Heading 8 Char"/>
    <w:basedOn w:val="818"/>
    <w:next w:val="938"/>
    <w:link w:val="937"/>
    <w:uiPriority w:val="9"/>
    <w:rPr>
      <w:rFonts w:ascii="Arial" w:hAnsi="Arial" w:eastAsia="Arial" w:cs="Arial"/>
      <w:i/>
      <w:iCs/>
      <w:sz w:val="22"/>
      <w:szCs w:val="22"/>
    </w:rPr>
  </w:style>
  <w:style w:type="paragraph" w:styleId="939">
    <w:name w:val="Heading 9"/>
    <w:basedOn w:val="808"/>
    <w:next w:val="808"/>
    <w:link w:val="940"/>
    <w:uiPriority w:val="9"/>
    <w:unhideWhenUsed/>
    <w:qFormat/>
    <w:pPr>
      <w:keepLines/>
      <w:keepNext/>
      <w:spacing w:before="320" w:after="200"/>
      <w:outlineLvl w:val="8"/>
    </w:pPr>
    <w:rPr>
      <w:rFonts w:ascii="Arial" w:hAnsi="Arial" w:eastAsia="Arial" w:cs="Arial"/>
      <w:i/>
      <w:iCs/>
    </w:rPr>
  </w:style>
  <w:style w:type="character" w:styleId="940">
    <w:name w:val="Heading 9 Char"/>
    <w:basedOn w:val="818"/>
    <w:next w:val="940"/>
    <w:link w:val="939"/>
    <w:uiPriority w:val="9"/>
    <w:rPr>
      <w:rFonts w:ascii="Arial" w:hAnsi="Arial" w:eastAsia="Arial" w:cs="Arial"/>
      <w:i/>
      <w:iCs/>
      <w:sz w:val="21"/>
      <w:szCs w:val="21"/>
    </w:rPr>
  </w:style>
  <w:style w:type="paragraph" w:styleId="941">
    <w:name w:val="标题"/>
    <w:basedOn w:val="808"/>
    <w:next w:val="808"/>
    <w:link w:val="942"/>
    <w:uiPriority w:val="10"/>
    <w:qFormat/>
    <w:pPr>
      <w:contextualSpacing/>
      <w:spacing w:before="300" w:after="200"/>
    </w:pPr>
    <w:rPr>
      <w:rFonts w:ascii="Calibri" w:hAnsi="Calibri"/>
      <w:sz w:val="48"/>
      <w:szCs w:val="48"/>
    </w:rPr>
  </w:style>
  <w:style w:type="character" w:styleId="942">
    <w:name w:val="标题 Char"/>
    <w:basedOn w:val="818"/>
    <w:next w:val="942"/>
    <w:link w:val="941"/>
    <w:uiPriority w:val="10"/>
    <w:rPr>
      <w:sz w:val="48"/>
      <w:szCs w:val="48"/>
    </w:rPr>
  </w:style>
  <w:style w:type="paragraph" w:styleId="943">
    <w:name w:val="副标题"/>
    <w:basedOn w:val="808"/>
    <w:next w:val="808"/>
    <w:link w:val="944"/>
    <w:uiPriority w:val="11"/>
    <w:qFormat/>
    <w:pPr>
      <w:spacing w:before="200" w:after="200"/>
    </w:pPr>
    <w:rPr>
      <w:rFonts w:ascii="Calibri" w:hAnsi="Calibri"/>
      <w:sz w:val="24"/>
      <w:szCs w:val="24"/>
    </w:rPr>
  </w:style>
  <w:style w:type="character" w:styleId="944">
    <w:name w:val="副标题 Char"/>
    <w:basedOn w:val="818"/>
    <w:next w:val="944"/>
    <w:link w:val="943"/>
    <w:uiPriority w:val="11"/>
    <w:rPr>
      <w:sz w:val="24"/>
      <w:szCs w:val="24"/>
    </w:rPr>
  </w:style>
  <w:style w:type="paragraph" w:styleId="945">
    <w:name w:val="引用"/>
    <w:basedOn w:val="808"/>
    <w:next w:val="808"/>
    <w:link w:val="946"/>
    <w:uiPriority w:val="29"/>
    <w:qFormat/>
    <w:pPr>
      <w:ind w:left="720" w:right="720"/>
    </w:pPr>
    <w:rPr>
      <w:rFonts w:ascii="Calibri" w:hAnsi="Calibri"/>
      <w:i/>
      <w:szCs w:val="24"/>
    </w:rPr>
  </w:style>
  <w:style w:type="character" w:styleId="946">
    <w:name w:val="引用 Char"/>
    <w:basedOn w:val="818"/>
    <w:next w:val="946"/>
    <w:link w:val="945"/>
    <w:uiPriority w:val="29"/>
    <w:rPr>
      <w:i/>
      <w:sz w:val="21"/>
      <w:szCs w:val="24"/>
    </w:rPr>
  </w:style>
  <w:style w:type="paragraph" w:styleId="947">
    <w:name w:val="明显引用"/>
    <w:basedOn w:val="808"/>
    <w:next w:val="808"/>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Cs w:val="24"/>
    </w:rPr>
  </w:style>
  <w:style w:type="character" w:styleId="948">
    <w:name w:val="明显引用 Char"/>
    <w:basedOn w:val="818"/>
    <w:next w:val="948"/>
    <w:link w:val="947"/>
    <w:uiPriority w:val="30"/>
    <w:rPr>
      <w:i/>
      <w:sz w:val="21"/>
      <w:szCs w:val="24"/>
      <w:shd w:val="clear" w:color="auto" w:fill="f2f2f2"/>
    </w:rPr>
  </w:style>
  <w:style w:type="paragraph" w:styleId="949">
    <w:name w:val="Header1"/>
    <w:basedOn w:val="808"/>
    <w:next w:val="949"/>
    <w:link w:val="950"/>
    <w:uiPriority w:val="99"/>
    <w:unhideWhenUsed/>
    <w:pPr>
      <w:tabs>
        <w:tab w:val="center" w:pos="7143" w:leader="none"/>
        <w:tab w:val="right" w:pos="14287" w:leader="none"/>
      </w:tabs>
    </w:pPr>
    <w:rPr>
      <w:rFonts w:ascii="Calibri" w:hAnsi="Calibri"/>
      <w:szCs w:val="24"/>
    </w:rPr>
  </w:style>
  <w:style w:type="character" w:styleId="950">
    <w:name w:val="Header Char"/>
    <w:basedOn w:val="818"/>
    <w:next w:val="950"/>
    <w:link w:val="949"/>
    <w:uiPriority w:val="99"/>
    <w:rPr>
      <w:sz w:val="21"/>
      <w:szCs w:val="24"/>
    </w:rPr>
  </w:style>
  <w:style w:type="paragraph" w:styleId="951">
    <w:name w:val="Footer1"/>
    <w:basedOn w:val="808"/>
    <w:next w:val="951"/>
    <w:link w:val="954"/>
    <w:uiPriority w:val="99"/>
    <w:unhideWhenUsed/>
    <w:pPr>
      <w:tabs>
        <w:tab w:val="center" w:pos="7143" w:leader="none"/>
        <w:tab w:val="right" w:pos="14287" w:leader="none"/>
      </w:tabs>
    </w:pPr>
    <w:rPr>
      <w:rFonts w:ascii="Calibri" w:hAnsi="Calibri"/>
      <w:szCs w:val="24"/>
      <w:lang w:val="en-US" w:eastAsia="en-US"/>
    </w:rPr>
  </w:style>
  <w:style w:type="character" w:styleId="952">
    <w:name w:val="Footer Char"/>
    <w:basedOn w:val="818"/>
    <w:next w:val="952"/>
    <w:link w:val="808"/>
    <w:uiPriority w:val="99"/>
  </w:style>
  <w:style w:type="paragraph" w:styleId="953">
    <w:name w:val="Caption1"/>
    <w:basedOn w:val="808"/>
    <w:next w:val="808"/>
    <w:link w:val="808"/>
    <w:uiPriority w:val="35"/>
    <w:semiHidden/>
    <w:unhideWhenUsed/>
    <w:qFormat/>
    <w:pPr>
      <w:spacing w:line="276" w:lineRule="auto"/>
    </w:pPr>
    <w:rPr>
      <w:rFonts w:ascii="Calibri" w:hAnsi="Calibri"/>
      <w:b/>
      <w:bCs/>
      <w:color w:val="4874cb"/>
      <w:sz w:val="18"/>
      <w:szCs w:val="18"/>
    </w:rPr>
  </w:style>
  <w:style w:type="character" w:styleId="954">
    <w:name w:val="Caption Char"/>
    <w:next w:val="954"/>
    <w:link w:val="951"/>
    <w:uiPriority w:val="99"/>
    <w:rPr>
      <w:sz w:val="21"/>
      <w:szCs w:val="24"/>
    </w:rPr>
  </w:style>
  <w:style w:type="table" w:styleId="955">
    <w:name w:val="网格型1"/>
    <w:basedOn w:val="819"/>
    <w:next w:val="879"/>
    <w:link w:val="808"/>
    <w:uiPriority w:val="59"/>
    <w:rPr>
      <w:rFonts w:ascii="Calibri" w:hAnsi="Calibri" w:eastAsia="宋体" w:cs="Times New Roman"/>
    </w:rPr>
    <w:tblPr/>
  </w:style>
  <w:style w:type="table" w:styleId="956">
    <w:name w:val="Table Grid Light"/>
    <w:basedOn w:val="819"/>
    <w:next w:val="956"/>
    <w:link w:val="808"/>
    <w:uiPriority w:val="59"/>
    <w:rPr>
      <w:rFonts w:ascii="Calibri" w:hAnsi="Calibri" w:eastAsia="宋体" w:cs="Times New Roman"/>
    </w:rPr>
    <w:tblPr/>
  </w:style>
  <w:style w:type="table" w:styleId="957">
    <w:name w:val="Plain Table 1"/>
    <w:basedOn w:val="819"/>
    <w:next w:val="957"/>
    <w:link w:val="808"/>
    <w:uiPriority w:val="59"/>
    <w:rPr>
      <w:rFonts w:ascii="Calibri" w:hAnsi="Calibri" w:eastAsia="宋体" w:cs="Times New Roman"/>
    </w:rPr>
    <w:tblPr/>
  </w:style>
  <w:style w:type="table" w:styleId="958">
    <w:name w:val="Plain Table 2"/>
    <w:basedOn w:val="819"/>
    <w:next w:val="958"/>
    <w:link w:val="808"/>
    <w:uiPriority w:val="59"/>
    <w:rPr>
      <w:rFonts w:ascii="Calibri" w:hAnsi="Calibri" w:eastAsia="宋体" w:cs="Times New Roman"/>
    </w:rPr>
    <w:tblPr/>
  </w:style>
  <w:style w:type="table" w:styleId="959">
    <w:name w:val="Plain Table 3"/>
    <w:basedOn w:val="819"/>
    <w:next w:val="959"/>
    <w:link w:val="808"/>
    <w:uiPriority w:val="99"/>
    <w:rPr>
      <w:rFonts w:ascii="Calibri" w:hAnsi="Calibri" w:eastAsia="宋体" w:cs="Times New Roman"/>
    </w:rPr>
    <w:tblPr/>
  </w:style>
  <w:style w:type="table" w:styleId="960">
    <w:name w:val="Plain Table 4"/>
    <w:basedOn w:val="819"/>
    <w:next w:val="960"/>
    <w:link w:val="808"/>
    <w:uiPriority w:val="99"/>
    <w:rPr>
      <w:rFonts w:ascii="Calibri" w:hAnsi="Calibri" w:eastAsia="宋体" w:cs="Times New Roman"/>
    </w:rPr>
    <w:tblPr/>
  </w:style>
  <w:style w:type="table" w:styleId="961">
    <w:name w:val="Plain Table 5"/>
    <w:basedOn w:val="819"/>
    <w:next w:val="961"/>
    <w:link w:val="808"/>
    <w:uiPriority w:val="99"/>
    <w:rPr>
      <w:rFonts w:ascii="Calibri" w:hAnsi="Calibri" w:eastAsia="宋体" w:cs="Times New Roman"/>
    </w:rPr>
    <w:tblPr/>
  </w:style>
  <w:style w:type="table" w:styleId="962">
    <w:name w:val="Grid Table 1 Light"/>
    <w:basedOn w:val="819"/>
    <w:next w:val="962"/>
    <w:link w:val="808"/>
    <w:uiPriority w:val="99"/>
    <w:rPr>
      <w:rFonts w:ascii="Calibri" w:hAnsi="Calibri" w:eastAsia="宋体" w:cs="Times New Roman"/>
    </w:rPr>
    <w:tblPr/>
  </w:style>
  <w:style w:type="table" w:styleId="963">
    <w:name w:val="Grid Table 1 Light - Accent 1"/>
    <w:basedOn w:val="819"/>
    <w:next w:val="963"/>
    <w:link w:val="808"/>
    <w:uiPriority w:val="99"/>
    <w:rPr>
      <w:rFonts w:ascii="Calibri" w:hAnsi="Calibri" w:eastAsia="宋体" w:cs="Times New Roman"/>
    </w:rPr>
    <w:tblPr/>
  </w:style>
  <w:style w:type="table" w:styleId="964">
    <w:name w:val="Grid Table 1 Light - Accent 2"/>
    <w:basedOn w:val="819"/>
    <w:next w:val="964"/>
    <w:link w:val="808"/>
    <w:uiPriority w:val="99"/>
    <w:rPr>
      <w:rFonts w:ascii="Calibri" w:hAnsi="Calibri" w:eastAsia="宋体" w:cs="Times New Roman"/>
    </w:rPr>
    <w:tblPr/>
  </w:style>
  <w:style w:type="table" w:styleId="965">
    <w:name w:val="Grid Table 1 Light - Accent 3"/>
    <w:basedOn w:val="819"/>
    <w:next w:val="965"/>
    <w:link w:val="808"/>
    <w:uiPriority w:val="99"/>
    <w:rPr>
      <w:rFonts w:ascii="Calibri" w:hAnsi="Calibri" w:eastAsia="宋体" w:cs="Times New Roman"/>
    </w:rPr>
    <w:tblPr/>
  </w:style>
  <w:style w:type="table" w:styleId="966">
    <w:name w:val="Grid Table 1 Light - Accent 4"/>
    <w:basedOn w:val="819"/>
    <w:next w:val="966"/>
    <w:link w:val="808"/>
    <w:uiPriority w:val="99"/>
    <w:rPr>
      <w:rFonts w:ascii="Calibri" w:hAnsi="Calibri" w:eastAsia="宋体" w:cs="Times New Roman"/>
    </w:rPr>
    <w:tblPr/>
  </w:style>
  <w:style w:type="table" w:styleId="967">
    <w:name w:val="Grid Table 1 Light - Accent 5"/>
    <w:basedOn w:val="819"/>
    <w:next w:val="967"/>
    <w:link w:val="808"/>
    <w:uiPriority w:val="99"/>
    <w:rPr>
      <w:rFonts w:ascii="Calibri" w:hAnsi="Calibri" w:eastAsia="宋体" w:cs="Times New Roman"/>
    </w:rPr>
    <w:tblPr/>
  </w:style>
  <w:style w:type="table" w:styleId="968">
    <w:name w:val="Grid Table 1 Light - Accent 6"/>
    <w:basedOn w:val="819"/>
    <w:next w:val="968"/>
    <w:link w:val="808"/>
    <w:uiPriority w:val="99"/>
    <w:rPr>
      <w:rFonts w:ascii="Calibri" w:hAnsi="Calibri" w:eastAsia="宋体" w:cs="Times New Roman"/>
    </w:rPr>
    <w:tblPr/>
  </w:style>
  <w:style w:type="table" w:styleId="969">
    <w:name w:val="Grid Table 2"/>
    <w:basedOn w:val="819"/>
    <w:next w:val="969"/>
    <w:link w:val="808"/>
    <w:uiPriority w:val="99"/>
    <w:rPr>
      <w:rFonts w:ascii="Calibri" w:hAnsi="Calibri" w:eastAsia="宋体" w:cs="Times New Roman"/>
    </w:rPr>
    <w:tblPr/>
  </w:style>
  <w:style w:type="table" w:styleId="970">
    <w:name w:val="Grid Table 2 - Accent 1"/>
    <w:basedOn w:val="819"/>
    <w:next w:val="970"/>
    <w:link w:val="808"/>
    <w:uiPriority w:val="99"/>
    <w:rPr>
      <w:rFonts w:ascii="Calibri" w:hAnsi="Calibri" w:eastAsia="宋体" w:cs="Times New Roman"/>
    </w:rPr>
    <w:tblPr/>
  </w:style>
  <w:style w:type="table" w:styleId="971">
    <w:name w:val="Grid Table 2 - Accent 2"/>
    <w:basedOn w:val="819"/>
    <w:next w:val="971"/>
    <w:link w:val="808"/>
    <w:uiPriority w:val="99"/>
    <w:rPr>
      <w:rFonts w:ascii="Calibri" w:hAnsi="Calibri" w:eastAsia="宋体" w:cs="Times New Roman"/>
    </w:rPr>
    <w:tblPr/>
  </w:style>
  <w:style w:type="table" w:styleId="972">
    <w:name w:val="Grid Table 2 - Accent 3"/>
    <w:basedOn w:val="819"/>
    <w:next w:val="972"/>
    <w:link w:val="808"/>
    <w:uiPriority w:val="99"/>
    <w:rPr>
      <w:rFonts w:ascii="Calibri" w:hAnsi="Calibri" w:eastAsia="宋体" w:cs="Times New Roman"/>
    </w:rPr>
    <w:tblPr/>
  </w:style>
  <w:style w:type="table" w:styleId="973">
    <w:name w:val="Grid Table 2 - Accent 4"/>
    <w:basedOn w:val="819"/>
    <w:next w:val="973"/>
    <w:link w:val="808"/>
    <w:uiPriority w:val="99"/>
    <w:rPr>
      <w:rFonts w:ascii="Calibri" w:hAnsi="Calibri" w:eastAsia="宋体" w:cs="Times New Roman"/>
    </w:rPr>
    <w:tblPr/>
  </w:style>
  <w:style w:type="table" w:styleId="974">
    <w:name w:val="Grid Table 2 - Accent 5"/>
    <w:basedOn w:val="819"/>
    <w:next w:val="974"/>
    <w:link w:val="808"/>
    <w:uiPriority w:val="99"/>
    <w:rPr>
      <w:rFonts w:ascii="Calibri" w:hAnsi="Calibri" w:eastAsia="宋体" w:cs="Times New Roman"/>
    </w:rPr>
    <w:tblPr/>
  </w:style>
  <w:style w:type="table" w:styleId="975">
    <w:name w:val="Grid Table 2 - Accent 6"/>
    <w:basedOn w:val="819"/>
    <w:next w:val="975"/>
    <w:link w:val="808"/>
    <w:uiPriority w:val="99"/>
    <w:rPr>
      <w:rFonts w:ascii="Calibri" w:hAnsi="Calibri" w:eastAsia="宋体" w:cs="Times New Roman"/>
    </w:rPr>
    <w:tblPr/>
  </w:style>
  <w:style w:type="table" w:styleId="976">
    <w:name w:val="Grid Table 3"/>
    <w:basedOn w:val="819"/>
    <w:next w:val="976"/>
    <w:link w:val="808"/>
    <w:uiPriority w:val="99"/>
    <w:rPr>
      <w:rFonts w:ascii="Calibri" w:hAnsi="Calibri" w:eastAsia="宋体" w:cs="Times New Roman"/>
    </w:rPr>
    <w:tblPr/>
  </w:style>
  <w:style w:type="table" w:styleId="977">
    <w:name w:val="Grid Table 3 - Accent 1"/>
    <w:basedOn w:val="819"/>
    <w:next w:val="977"/>
    <w:link w:val="808"/>
    <w:uiPriority w:val="99"/>
    <w:rPr>
      <w:rFonts w:ascii="Calibri" w:hAnsi="Calibri" w:eastAsia="宋体" w:cs="Times New Roman"/>
    </w:rPr>
    <w:tblPr/>
  </w:style>
  <w:style w:type="table" w:styleId="978">
    <w:name w:val="Grid Table 3 - Accent 2"/>
    <w:basedOn w:val="819"/>
    <w:next w:val="978"/>
    <w:link w:val="808"/>
    <w:uiPriority w:val="99"/>
    <w:rPr>
      <w:rFonts w:ascii="Calibri" w:hAnsi="Calibri" w:eastAsia="宋体" w:cs="Times New Roman"/>
    </w:rPr>
    <w:tblPr/>
  </w:style>
  <w:style w:type="table" w:styleId="979">
    <w:name w:val="Grid Table 3 - Accent 3"/>
    <w:basedOn w:val="819"/>
    <w:next w:val="979"/>
    <w:link w:val="808"/>
    <w:uiPriority w:val="99"/>
    <w:rPr>
      <w:rFonts w:ascii="Calibri" w:hAnsi="Calibri" w:eastAsia="宋体" w:cs="Times New Roman"/>
    </w:rPr>
    <w:tblPr/>
  </w:style>
  <w:style w:type="table" w:styleId="980">
    <w:name w:val="Grid Table 3 - Accent 4"/>
    <w:basedOn w:val="819"/>
    <w:next w:val="980"/>
    <w:link w:val="808"/>
    <w:uiPriority w:val="99"/>
    <w:rPr>
      <w:rFonts w:ascii="Calibri" w:hAnsi="Calibri" w:eastAsia="宋体" w:cs="Times New Roman"/>
    </w:rPr>
    <w:tblPr/>
  </w:style>
  <w:style w:type="table" w:styleId="981">
    <w:name w:val="Grid Table 3 - Accent 5"/>
    <w:basedOn w:val="819"/>
    <w:next w:val="981"/>
    <w:link w:val="808"/>
    <w:uiPriority w:val="99"/>
    <w:rPr>
      <w:rFonts w:ascii="Calibri" w:hAnsi="Calibri" w:eastAsia="宋体" w:cs="Times New Roman"/>
    </w:rPr>
    <w:tblPr/>
  </w:style>
  <w:style w:type="table" w:styleId="982">
    <w:name w:val="Grid Table 3 - Accent 6"/>
    <w:basedOn w:val="819"/>
    <w:next w:val="982"/>
    <w:link w:val="808"/>
    <w:uiPriority w:val="99"/>
    <w:rPr>
      <w:rFonts w:ascii="Calibri" w:hAnsi="Calibri" w:eastAsia="宋体" w:cs="Times New Roman"/>
    </w:rPr>
    <w:tblPr/>
  </w:style>
  <w:style w:type="table" w:styleId="983">
    <w:name w:val="Grid Table 4"/>
    <w:basedOn w:val="819"/>
    <w:next w:val="983"/>
    <w:link w:val="808"/>
    <w:uiPriority w:val="59"/>
    <w:rPr>
      <w:rFonts w:ascii="Calibri" w:hAnsi="Calibri" w:eastAsia="宋体" w:cs="Times New Roman"/>
    </w:rPr>
    <w:tblPr/>
  </w:style>
  <w:style w:type="table" w:styleId="984">
    <w:name w:val="Grid Table 4 - Accent 1"/>
    <w:basedOn w:val="819"/>
    <w:next w:val="984"/>
    <w:link w:val="808"/>
    <w:uiPriority w:val="59"/>
    <w:rPr>
      <w:rFonts w:ascii="Calibri" w:hAnsi="Calibri" w:eastAsia="宋体" w:cs="Times New Roman"/>
    </w:rPr>
    <w:tblPr/>
  </w:style>
  <w:style w:type="table" w:styleId="985">
    <w:name w:val="Grid Table 4 - Accent 2"/>
    <w:basedOn w:val="819"/>
    <w:next w:val="985"/>
    <w:link w:val="808"/>
    <w:uiPriority w:val="59"/>
    <w:rPr>
      <w:rFonts w:ascii="Calibri" w:hAnsi="Calibri" w:eastAsia="宋体" w:cs="Times New Roman"/>
    </w:rPr>
    <w:tblPr/>
  </w:style>
  <w:style w:type="table" w:styleId="986">
    <w:name w:val="Grid Table 4 - Accent 3"/>
    <w:basedOn w:val="819"/>
    <w:next w:val="986"/>
    <w:link w:val="808"/>
    <w:uiPriority w:val="59"/>
    <w:rPr>
      <w:rFonts w:ascii="Calibri" w:hAnsi="Calibri" w:eastAsia="宋体" w:cs="Times New Roman"/>
    </w:rPr>
    <w:tblPr/>
  </w:style>
  <w:style w:type="table" w:styleId="987">
    <w:name w:val="Grid Table 4 - Accent 4"/>
    <w:basedOn w:val="819"/>
    <w:next w:val="987"/>
    <w:link w:val="808"/>
    <w:uiPriority w:val="59"/>
    <w:rPr>
      <w:rFonts w:ascii="Calibri" w:hAnsi="Calibri" w:eastAsia="宋体" w:cs="Times New Roman"/>
    </w:rPr>
    <w:tblPr/>
  </w:style>
  <w:style w:type="table" w:styleId="988">
    <w:name w:val="Grid Table 4 - Accent 5"/>
    <w:basedOn w:val="819"/>
    <w:next w:val="988"/>
    <w:link w:val="808"/>
    <w:uiPriority w:val="59"/>
    <w:rPr>
      <w:rFonts w:ascii="Calibri" w:hAnsi="Calibri" w:eastAsia="宋体" w:cs="Times New Roman"/>
    </w:rPr>
    <w:tblPr/>
  </w:style>
  <w:style w:type="table" w:styleId="989">
    <w:name w:val="Grid Table 4 - Accent 6"/>
    <w:basedOn w:val="819"/>
    <w:next w:val="989"/>
    <w:link w:val="808"/>
    <w:uiPriority w:val="59"/>
    <w:rPr>
      <w:rFonts w:ascii="Calibri" w:hAnsi="Calibri" w:eastAsia="宋体" w:cs="Times New Roman"/>
    </w:rPr>
    <w:tblPr/>
  </w:style>
  <w:style w:type="table" w:styleId="990">
    <w:name w:val="Grid Table 5 Dark"/>
    <w:basedOn w:val="819"/>
    <w:next w:val="990"/>
    <w:link w:val="808"/>
    <w:uiPriority w:val="99"/>
    <w:rPr>
      <w:rFonts w:ascii="Calibri" w:hAnsi="Calibri" w:eastAsia="宋体" w:cs="Times New Roman"/>
    </w:rPr>
    <w:tblPr/>
  </w:style>
  <w:style w:type="table" w:styleId="991">
    <w:name w:val="Grid Table 5 Dark- Accent 1"/>
    <w:basedOn w:val="819"/>
    <w:next w:val="991"/>
    <w:link w:val="808"/>
    <w:uiPriority w:val="99"/>
    <w:rPr>
      <w:rFonts w:ascii="Calibri" w:hAnsi="Calibri" w:eastAsia="宋体" w:cs="Times New Roman"/>
    </w:rPr>
    <w:tblPr/>
  </w:style>
  <w:style w:type="table" w:styleId="992">
    <w:name w:val="Grid Table 5 Dark - Accent 2"/>
    <w:basedOn w:val="819"/>
    <w:next w:val="992"/>
    <w:link w:val="808"/>
    <w:uiPriority w:val="99"/>
    <w:rPr>
      <w:rFonts w:ascii="Calibri" w:hAnsi="Calibri" w:eastAsia="宋体" w:cs="Times New Roman"/>
    </w:rPr>
    <w:tblPr/>
  </w:style>
  <w:style w:type="table" w:styleId="993">
    <w:name w:val="Grid Table 5 Dark - Accent 3"/>
    <w:basedOn w:val="819"/>
    <w:next w:val="993"/>
    <w:link w:val="808"/>
    <w:uiPriority w:val="99"/>
    <w:rPr>
      <w:rFonts w:ascii="Calibri" w:hAnsi="Calibri" w:eastAsia="宋体" w:cs="Times New Roman"/>
    </w:rPr>
    <w:tblPr/>
  </w:style>
  <w:style w:type="table" w:styleId="994">
    <w:name w:val="Grid Table 5 Dark- Accent 4"/>
    <w:basedOn w:val="819"/>
    <w:next w:val="994"/>
    <w:link w:val="808"/>
    <w:uiPriority w:val="99"/>
    <w:rPr>
      <w:rFonts w:ascii="Calibri" w:hAnsi="Calibri" w:eastAsia="宋体" w:cs="Times New Roman"/>
    </w:rPr>
    <w:tblPr/>
  </w:style>
  <w:style w:type="table" w:styleId="995">
    <w:name w:val="Grid Table 5 Dark - Accent 5"/>
    <w:basedOn w:val="819"/>
    <w:next w:val="995"/>
    <w:link w:val="808"/>
    <w:uiPriority w:val="99"/>
    <w:rPr>
      <w:rFonts w:ascii="Calibri" w:hAnsi="Calibri" w:eastAsia="宋体" w:cs="Times New Roman"/>
    </w:rPr>
    <w:tblPr/>
  </w:style>
  <w:style w:type="table" w:styleId="996">
    <w:name w:val="Grid Table 5 Dark - Accent 6"/>
    <w:basedOn w:val="819"/>
    <w:next w:val="996"/>
    <w:link w:val="808"/>
    <w:uiPriority w:val="99"/>
    <w:rPr>
      <w:rFonts w:ascii="Calibri" w:hAnsi="Calibri" w:eastAsia="宋体" w:cs="Times New Roman"/>
    </w:rPr>
    <w:tblPr/>
  </w:style>
  <w:style w:type="table" w:styleId="997">
    <w:name w:val="Grid Table 6 Colorful"/>
    <w:basedOn w:val="819"/>
    <w:next w:val="997"/>
    <w:link w:val="808"/>
    <w:uiPriority w:val="99"/>
    <w:rPr>
      <w:rFonts w:ascii="Calibri" w:hAnsi="Calibri" w:eastAsia="宋体" w:cs="Times New Roman"/>
    </w:rPr>
    <w:tblPr/>
  </w:style>
  <w:style w:type="table" w:styleId="998">
    <w:name w:val="Grid Table 6 Colorful - Accent 1"/>
    <w:basedOn w:val="819"/>
    <w:next w:val="998"/>
    <w:link w:val="808"/>
    <w:uiPriority w:val="99"/>
    <w:rPr>
      <w:rFonts w:ascii="Calibri" w:hAnsi="Calibri" w:eastAsia="宋体" w:cs="Times New Roman"/>
    </w:rPr>
    <w:tblPr/>
  </w:style>
  <w:style w:type="table" w:styleId="999">
    <w:name w:val="Grid Table 6 Colorful - Accent 2"/>
    <w:basedOn w:val="819"/>
    <w:next w:val="999"/>
    <w:link w:val="808"/>
    <w:uiPriority w:val="99"/>
    <w:rPr>
      <w:rFonts w:ascii="Calibri" w:hAnsi="Calibri" w:eastAsia="宋体" w:cs="Times New Roman"/>
    </w:rPr>
    <w:tblPr/>
  </w:style>
  <w:style w:type="table" w:styleId="1000">
    <w:name w:val="Grid Table 6 Colorful - Accent 3"/>
    <w:basedOn w:val="819"/>
    <w:next w:val="1000"/>
    <w:link w:val="808"/>
    <w:uiPriority w:val="99"/>
    <w:rPr>
      <w:rFonts w:ascii="Calibri" w:hAnsi="Calibri" w:eastAsia="宋体" w:cs="Times New Roman"/>
    </w:rPr>
    <w:tblPr/>
  </w:style>
  <w:style w:type="table" w:styleId="1001">
    <w:name w:val="Grid Table 6 Colorful - Accent 4"/>
    <w:basedOn w:val="819"/>
    <w:next w:val="1001"/>
    <w:link w:val="808"/>
    <w:uiPriority w:val="99"/>
    <w:rPr>
      <w:rFonts w:ascii="Calibri" w:hAnsi="Calibri" w:eastAsia="宋体" w:cs="Times New Roman"/>
    </w:rPr>
    <w:tblPr/>
  </w:style>
  <w:style w:type="table" w:styleId="1002">
    <w:name w:val="Grid Table 6 Colorful - Accent 5"/>
    <w:basedOn w:val="819"/>
    <w:next w:val="1002"/>
    <w:link w:val="808"/>
    <w:uiPriority w:val="99"/>
    <w:rPr>
      <w:rFonts w:ascii="Calibri" w:hAnsi="Calibri" w:eastAsia="宋体" w:cs="Times New Roman"/>
    </w:rPr>
    <w:tblPr/>
  </w:style>
  <w:style w:type="table" w:styleId="1003">
    <w:name w:val="Grid Table 6 Colorful - Accent 6"/>
    <w:basedOn w:val="819"/>
    <w:next w:val="1003"/>
    <w:link w:val="808"/>
    <w:uiPriority w:val="99"/>
    <w:rPr>
      <w:rFonts w:ascii="Calibri" w:hAnsi="Calibri" w:eastAsia="宋体" w:cs="Times New Roman"/>
    </w:rPr>
    <w:tblPr/>
  </w:style>
  <w:style w:type="table" w:styleId="1004">
    <w:name w:val="Grid Table 7 Colorful"/>
    <w:basedOn w:val="819"/>
    <w:next w:val="1004"/>
    <w:link w:val="808"/>
    <w:uiPriority w:val="99"/>
    <w:rPr>
      <w:rFonts w:ascii="Calibri" w:hAnsi="Calibri" w:eastAsia="宋体" w:cs="Times New Roman"/>
    </w:rPr>
    <w:tblPr/>
  </w:style>
  <w:style w:type="table" w:styleId="1005">
    <w:name w:val="Grid Table 7 Colorful - Accent 1"/>
    <w:basedOn w:val="819"/>
    <w:next w:val="1005"/>
    <w:link w:val="808"/>
    <w:uiPriority w:val="99"/>
    <w:rPr>
      <w:rFonts w:ascii="Calibri" w:hAnsi="Calibri" w:eastAsia="宋体" w:cs="Times New Roman"/>
    </w:rPr>
    <w:tblPr/>
  </w:style>
  <w:style w:type="table" w:styleId="1006">
    <w:name w:val="Grid Table 7 Colorful - Accent 2"/>
    <w:basedOn w:val="819"/>
    <w:next w:val="1006"/>
    <w:link w:val="808"/>
    <w:uiPriority w:val="99"/>
    <w:rPr>
      <w:rFonts w:ascii="Calibri" w:hAnsi="Calibri" w:eastAsia="宋体" w:cs="Times New Roman"/>
    </w:rPr>
    <w:tblPr/>
  </w:style>
  <w:style w:type="table" w:styleId="1007">
    <w:name w:val="Grid Table 7 Colorful - Accent 3"/>
    <w:basedOn w:val="819"/>
    <w:next w:val="1007"/>
    <w:link w:val="808"/>
    <w:uiPriority w:val="99"/>
    <w:rPr>
      <w:rFonts w:ascii="Calibri" w:hAnsi="Calibri" w:eastAsia="宋体" w:cs="Times New Roman"/>
    </w:rPr>
    <w:tblPr/>
  </w:style>
  <w:style w:type="table" w:styleId="1008">
    <w:name w:val="Grid Table 7 Colorful - Accent 4"/>
    <w:basedOn w:val="819"/>
    <w:next w:val="1008"/>
    <w:link w:val="808"/>
    <w:uiPriority w:val="99"/>
    <w:rPr>
      <w:rFonts w:ascii="Calibri" w:hAnsi="Calibri" w:eastAsia="宋体" w:cs="Times New Roman"/>
    </w:rPr>
    <w:tblPr/>
  </w:style>
  <w:style w:type="table" w:styleId="1009">
    <w:name w:val="Grid Table 7 Colorful - Accent 5"/>
    <w:basedOn w:val="819"/>
    <w:next w:val="1009"/>
    <w:link w:val="808"/>
    <w:uiPriority w:val="99"/>
    <w:rPr>
      <w:rFonts w:ascii="Calibri" w:hAnsi="Calibri" w:eastAsia="宋体" w:cs="Times New Roman"/>
    </w:rPr>
    <w:tblPr/>
  </w:style>
  <w:style w:type="table" w:styleId="1010">
    <w:name w:val="Grid Table 7 Colorful - Accent 6"/>
    <w:basedOn w:val="819"/>
    <w:next w:val="1010"/>
    <w:link w:val="808"/>
    <w:uiPriority w:val="99"/>
    <w:rPr>
      <w:rFonts w:ascii="Calibri" w:hAnsi="Calibri" w:eastAsia="宋体" w:cs="Times New Roman"/>
    </w:rPr>
    <w:tblPr/>
  </w:style>
  <w:style w:type="table" w:styleId="1011">
    <w:name w:val="List Table 1 Light"/>
    <w:basedOn w:val="819"/>
    <w:next w:val="1011"/>
    <w:link w:val="808"/>
    <w:uiPriority w:val="99"/>
    <w:rPr>
      <w:rFonts w:ascii="Calibri" w:hAnsi="Calibri" w:eastAsia="宋体" w:cs="Times New Roman"/>
    </w:rPr>
    <w:tblPr/>
  </w:style>
  <w:style w:type="table" w:styleId="1012">
    <w:name w:val="List Table 1 Light - Accent 1"/>
    <w:basedOn w:val="819"/>
    <w:next w:val="1012"/>
    <w:link w:val="808"/>
    <w:uiPriority w:val="99"/>
    <w:rPr>
      <w:rFonts w:ascii="Calibri" w:hAnsi="Calibri" w:eastAsia="宋体" w:cs="Times New Roman"/>
    </w:rPr>
    <w:tblPr/>
  </w:style>
  <w:style w:type="table" w:styleId="1013">
    <w:name w:val="List Table 1 Light - Accent 2"/>
    <w:basedOn w:val="819"/>
    <w:next w:val="1013"/>
    <w:link w:val="808"/>
    <w:uiPriority w:val="99"/>
    <w:rPr>
      <w:rFonts w:ascii="Calibri" w:hAnsi="Calibri" w:eastAsia="宋体" w:cs="Times New Roman"/>
    </w:rPr>
    <w:tblPr/>
  </w:style>
  <w:style w:type="table" w:styleId="1014">
    <w:name w:val="List Table 1 Light - Accent 3"/>
    <w:basedOn w:val="819"/>
    <w:next w:val="1014"/>
    <w:link w:val="808"/>
    <w:uiPriority w:val="99"/>
    <w:rPr>
      <w:rFonts w:ascii="Calibri" w:hAnsi="Calibri" w:eastAsia="宋体" w:cs="Times New Roman"/>
    </w:rPr>
    <w:tblPr/>
  </w:style>
  <w:style w:type="table" w:styleId="1015">
    <w:name w:val="List Table 1 Light - Accent 4"/>
    <w:basedOn w:val="819"/>
    <w:next w:val="1015"/>
    <w:link w:val="808"/>
    <w:uiPriority w:val="99"/>
    <w:rPr>
      <w:rFonts w:ascii="Calibri" w:hAnsi="Calibri" w:eastAsia="宋体" w:cs="Times New Roman"/>
    </w:rPr>
    <w:tblPr/>
  </w:style>
  <w:style w:type="table" w:styleId="1016">
    <w:name w:val="List Table 1 Light - Accent 5"/>
    <w:basedOn w:val="819"/>
    <w:next w:val="1016"/>
    <w:link w:val="808"/>
    <w:uiPriority w:val="99"/>
    <w:rPr>
      <w:rFonts w:ascii="Calibri" w:hAnsi="Calibri" w:eastAsia="宋体" w:cs="Times New Roman"/>
    </w:rPr>
    <w:tblPr/>
  </w:style>
  <w:style w:type="table" w:styleId="1017">
    <w:name w:val="List Table 1 Light - Accent 6"/>
    <w:basedOn w:val="819"/>
    <w:next w:val="1017"/>
    <w:link w:val="808"/>
    <w:uiPriority w:val="99"/>
    <w:rPr>
      <w:rFonts w:ascii="Calibri" w:hAnsi="Calibri" w:eastAsia="宋体" w:cs="Times New Roman"/>
    </w:rPr>
    <w:tblPr/>
  </w:style>
  <w:style w:type="table" w:styleId="1018">
    <w:name w:val="List Table 2"/>
    <w:basedOn w:val="819"/>
    <w:next w:val="1018"/>
    <w:link w:val="808"/>
    <w:uiPriority w:val="99"/>
    <w:rPr>
      <w:rFonts w:ascii="Calibri" w:hAnsi="Calibri" w:eastAsia="宋体" w:cs="Times New Roman"/>
    </w:rPr>
    <w:tblPr/>
  </w:style>
  <w:style w:type="table" w:styleId="1019">
    <w:name w:val="List Table 2 - Accent 1"/>
    <w:basedOn w:val="819"/>
    <w:next w:val="1019"/>
    <w:link w:val="808"/>
    <w:uiPriority w:val="99"/>
    <w:rPr>
      <w:rFonts w:ascii="Calibri" w:hAnsi="Calibri" w:eastAsia="宋体" w:cs="Times New Roman"/>
    </w:rPr>
    <w:tblPr/>
  </w:style>
  <w:style w:type="table" w:styleId="1020">
    <w:name w:val="List Table 2 - Accent 2"/>
    <w:basedOn w:val="819"/>
    <w:next w:val="1020"/>
    <w:link w:val="808"/>
    <w:uiPriority w:val="99"/>
    <w:rPr>
      <w:rFonts w:ascii="Calibri" w:hAnsi="Calibri" w:eastAsia="宋体" w:cs="Times New Roman"/>
    </w:rPr>
    <w:tblPr/>
  </w:style>
  <w:style w:type="table" w:styleId="1021">
    <w:name w:val="List Table 2 - Accent 3"/>
    <w:basedOn w:val="819"/>
    <w:next w:val="1021"/>
    <w:link w:val="808"/>
    <w:uiPriority w:val="99"/>
    <w:rPr>
      <w:rFonts w:ascii="Calibri" w:hAnsi="Calibri" w:eastAsia="宋体" w:cs="Times New Roman"/>
    </w:rPr>
    <w:tblPr/>
  </w:style>
  <w:style w:type="table" w:styleId="1022">
    <w:name w:val="List Table 2 - Accent 4"/>
    <w:basedOn w:val="819"/>
    <w:next w:val="1022"/>
    <w:link w:val="808"/>
    <w:uiPriority w:val="99"/>
    <w:rPr>
      <w:rFonts w:ascii="Calibri" w:hAnsi="Calibri" w:eastAsia="宋体" w:cs="Times New Roman"/>
    </w:rPr>
    <w:tblPr/>
  </w:style>
  <w:style w:type="table" w:styleId="1023">
    <w:name w:val="List Table 2 - Accent 5"/>
    <w:basedOn w:val="819"/>
    <w:next w:val="1023"/>
    <w:link w:val="808"/>
    <w:uiPriority w:val="99"/>
    <w:rPr>
      <w:rFonts w:ascii="Calibri" w:hAnsi="Calibri" w:eastAsia="宋体" w:cs="Times New Roman"/>
    </w:rPr>
    <w:tblPr/>
  </w:style>
  <w:style w:type="table" w:styleId="1024">
    <w:name w:val="List Table 2 - Accent 6"/>
    <w:basedOn w:val="819"/>
    <w:next w:val="1024"/>
    <w:link w:val="808"/>
    <w:uiPriority w:val="99"/>
    <w:rPr>
      <w:rFonts w:ascii="Calibri" w:hAnsi="Calibri" w:eastAsia="宋体" w:cs="Times New Roman"/>
    </w:rPr>
    <w:tblPr/>
  </w:style>
  <w:style w:type="table" w:styleId="1025">
    <w:name w:val="List Table 3"/>
    <w:basedOn w:val="819"/>
    <w:next w:val="1025"/>
    <w:link w:val="808"/>
    <w:uiPriority w:val="99"/>
    <w:rPr>
      <w:rFonts w:ascii="Calibri" w:hAnsi="Calibri" w:eastAsia="宋体" w:cs="Times New Roman"/>
    </w:rPr>
    <w:tblPr/>
  </w:style>
  <w:style w:type="table" w:styleId="1026">
    <w:name w:val="List Table 3 - Accent 1"/>
    <w:basedOn w:val="819"/>
    <w:next w:val="1026"/>
    <w:link w:val="808"/>
    <w:uiPriority w:val="99"/>
    <w:rPr>
      <w:rFonts w:ascii="Calibri" w:hAnsi="Calibri" w:eastAsia="宋体" w:cs="Times New Roman"/>
    </w:rPr>
    <w:tblPr/>
  </w:style>
  <w:style w:type="table" w:styleId="1027">
    <w:name w:val="List Table 3 - Accent 2"/>
    <w:basedOn w:val="819"/>
    <w:next w:val="1027"/>
    <w:link w:val="808"/>
    <w:uiPriority w:val="99"/>
    <w:rPr>
      <w:rFonts w:ascii="Calibri" w:hAnsi="Calibri" w:eastAsia="宋体" w:cs="Times New Roman"/>
    </w:rPr>
    <w:tblPr/>
  </w:style>
  <w:style w:type="table" w:styleId="1028">
    <w:name w:val="List Table 3 - Accent 3"/>
    <w:basedOn w:val="819"/>
    <w:next w:val="1028"/>
    <w:link w:val="808"/>
    <w:uiPriority w:val="99"/>
    <w:rPr>
      <w:rFonts w:ascii="Calibri" w:hAnsi="Calibri" w:eastAsia="宋体" w:cs="Times New Roman"/>
    </w:rPr>
    <w:tblPr/>
  </w:style>
  <w:style w:type="table" w:styleId="1029">
    <w:name w:val="List Table 3 - Accent 4"/>
    <w:basedOn w:val="819"/>
    <w:next w:val="1029"/>
    <w:link w:val="808"/>
    <w:uiPriority w:val="99"/>
    <w:rPr>
      <w:rFonts w:ascii="Calibri" w:hAnsi="Calibri" w:eastAsia="宋体" w:cs="Times New Roman"/>
    </w:rPr>
    <w:tblPr/>
  </w:style>
  <w:style w:type="table" w:styleId="1030">
    <w:name w:val="List Table 3 - Accent 5"/>
    <w:basedOn w:val="819"/>
    <w:next w:val="1030"/>
    <w:link w:val="808"/>
    <w:uiPriority w:val="99"/>
    <w:rPr>
      <w:rFonts w:ascii="Calibri" w:hAnsi="Calibri" w:eastAsia="宋体" w:cs="Times New Roman"/>
    </w:rPr>
    <w:tblPr/>
  </w:style>
  <w:style w:type="table" w:styleId="1031">
    <w:name w:val="List Table 3 - Accent 6"/>
    <w:basedOn w:val="819"/>
    <w:next w:val="1031"/>
    <w:link w:val="808"/>
    <w:uiPriority w:val="99"/>
    <w:rPr>
      <w:rFonts w:ascii="Calibri" w:hAnsi="Calibri" w:eastAsia="宋体" w:cs="Times New Roman"/>
    </w:rPr>
    <w:tblPr/>
  </w:style>
  <w:style w:type="table" w:styleId="1032">
    <w:name w:val="List Table 4"/>
    <w:basedOn w:val="819"/>
    <w:next w:val="1032"/>
    <w:link w:val="808"/>
    <w:uiPriority w:val="99"/>
    <w:rPr>
      <w:rFonts w:ascii="Calibri" w:hAnsi="Calibri" w:eastAsia="宋体" w:cs="Times New Roman"/>
    </w:rPr>
    <w:tblPr/>
  </w:style>
  <w:style w:type="table" w:styleId="1033">
    <w:name w:val="List Table 4 - Accent 1"/>
    <w:basedOn w:val="819"/>
    <w:next w:val="1033"/>
    <w:link w:val="808"/>
    <w:uiPriority w:val="99"/>
    <w:rPr>
      <w:rFonts w:ascii="Calibri" w:hAnsi="Calibri" w:eastAsia="宋体" w:cs="Times New Roman"/>
    </w:rPr>
    <w:tblPr/>
  </w:style>
  <w:style w:type="table" w:styleId="1034">
    <w:name w:val="List Table 4 - Accent 2"/>
    <w:basedOn w:val="819"/>
    <w:next w:val="1034"/>
    <w:link w:val="808"/>
    <w:uiPriority w:val="99"/>
    <w:rPr>
      <w:rFonts w:ascii="Calibri" w:hAnsi="Calibri" w:eastAsia="宋体" w:cs="Times New Roman"/>
    </w:rPr>
    <w:tblPr/>
  </w:style>
  <w:style w:type="table" w:styleId="1035">
    <w:name w:val="List Table 4 - Accent 3"/>
    <w:basedOn w:val="819"/>
    <w:next w:val="1035"/>
    <w:link w:val="808"/>
    <w:uiPriority w:val="99"/>
    <w:rPr>
      <w:rFonts w:ascii="Calibri" w:hAnsi="Calibri" w:eastAsia="宋体" w:cs="Times New Roman"/>
    </w:rPr>
    <w:tblPr/>
  </w:style>
  <w:style w:type="table" w:styleId="1036">
    <w:name w:val="List Table 4 - Accent 4"/>
    <w:basedOn w:val="819"/>
    <w:next w:val="1036"/>
    <w:link w:val="808"/>
    <w:uiPriority w:val="99"/>
    <w:rPr>
      <w:rFonts w:ascii="Calibri" w:hAnsi="Calibri" w:eastAsia="宋体" w:cs="Times New Roman"/>
    </w:rPr>
    <w:tblPr/>
  </w:style>
  <w:style w:type="table" w:styleId="1037">
    <w:name w:val="List Table 4 - Accent 5"/>
    <w:basedOn w:val="819"/>
    <w:next w:val="1037"/>
    <w:link w:val="808"/>
    <w:uiPriority w:val="99"/>
    <w:rPr>
      <w:rFonts w:ascii="Calibri" w:hAnsi="Calibri" w:eastAsia="宋体" w:cs="Times New Roman"/>
    </w:rPr>
    <w:tblPr/>
  </w:style>
  <w:style w:type="table" w:styleId="1038">
    <w:name w:val="List Table 4 - Accent 6"/>
    <w:basedOn w:val="819"/>
    <w:next w:val="1038"/>
    <w:link w:val="808"/>
    <w:uiPriority w:val="99"/>
    <w:rPr>
      <w:rFonts w:ascii="Calibri" w:hAnsi="Calibri" w:eastAsia="宋体" w:cs="Times New Roman"/>
    </w:rPr>
    <w:tblPr/>
  </w:style>
  <w:style w:type="table" w:styleId="1039">
    <w:name w:val="List Table 5 Dark"/>
    <w:basedOn w:val="819"/>
    <w:next w:val="1039"/>
    <w:link w:val="808"/>
    <w:uiPriority w:val="99"/>
    <w:rPr>
      <w:rFonts w:ascii="Calibri" w:hAnsi="Calibri" w:eastAsia="宋体" w:cs="Times New Roman"/>
    </w:rPr>
    <w:tblPr/>
  </w:style>
  <w:style w:type="table" w:styleId="1040">
    <w:name w:val="List Table 5 Dark - Accent 1"/>
    <w:basedOn w:val="819"/>
    <w:next w:val="1040"/>
    <w:link w:val="808"/>
    <w:uiPriority w:val="99"/>
    <w:rPr>
      <w:rFonts w:ascii="Calibri" w:hAnsi="Calibri" w:eastAsia="宋体" w:cs="Times New Roman"/>
    </w:rPr>
    <w:tblPr/>
  </w:style>
  <w:style w:type="table" w:styleId="1041">
    <w:name w:val="List Table 5 Dark - Accent 2"/>
    <w:basedOn w:val="819"/>
    <w:next w:val="1041"/>
    <w:link w:val="808"/>
    <w:uiPriority w:val="99"/>
    <w:rPr>
      <w:rFonts w:ascii="Calibri" w:hAnsi="Calibri" w:eastAsia="宋体" w:cs="Times New Roman"/>
    </w:rPr>
    <w:tblPr/>
  </w:style>
  <w:style w:type="table" w:styleId="1042">
    <w:name w:val="List Table 5 Dark - Accent 3"/>
    <w:basedOn w:val="819"/>
    <w:next w:val="1042"/>
    <w:link w:val="808"/>
    <w:uiPriority w:val="99"/>
    <w:rPr>
      <w:rFonts w:ascii="Calibri" w:hAnsi="Calibri" w:eastAsia="宋体" w:cs="Times New Roman"/>
    </w:rPr>
    <w:tblPr/>
  </w:style>
  <w:style w:type="table" w:styleId="1043">
    <w:name w:val="List Table 5 Dark - Accent 4"/>
    <w:basedOn w:val="819"/>
    <w:next w:val="1043"/>
    <w:link w:val="808"/>
    <w:uiPriority w:val="99"/>
    <w:rPr>
      <w:rFonts w:ascii="Calibri" w:hAnsi="Calibri" w:eastAsia="宋体" w:cs="Times New Roman"/>
    </w:rPr>
    <w:tblPr/>
  </w:style>
  <w:style w:type="table" w:styleId="1044">
    <w:name w:val="List Table 5 Dark - Accent 5"/>
    <w:basedOn w:val="819"/>
    <w:next w:val="1044"/>
    <w:link w:val="808"/>
    <w:uiPriority w:val="99"/>
    <w:rPr>
      <w:rFonts w:ascii="Calibri" w:hAnsi="Calibri" w:eastAsia="宋体" w:cs="Times New Roman"/>
    </w:rPr>
    <w:tblPr/>
  </w:style>
  <w:style w:type="table" w:styleId="1045">
    <w:name w:val="List Table 5 Dark - Accent 6"/>
    <w:basedOn w:val="819"/>
    <w:next w:val="1045"/>
    <w:link w:val="808"/>
    <w:uiPriority w:val="99"/>
    <w:rPr>
      <w:rFonts w:ascii="Calibri" w:hAnsi="Calibri" w:eastAsia="宋体" w:cs="Times New Roman"/>
    </w:rPr>
    <w:tblPr/>
  </w:style>
  <w:style w:type="table" w:styleId="1046">
    <w:name w:val="List Table 6 Colorful"/>
    <w:basedOn w:val="819"/>
    <w:next w:val="1046"/>
    <w:link w:val="808"/>
    <w:uiPriority w:val="99"/>
    <w:rPr>
      <w:rFonts w:ascii="Calibri" w:hAnsi="Calibri" w:eastAsia="宋体" w:cs="Times New Roman"/>
    </w:rPr>
    <w:tblPr/>
  </w:style>
  <w:style w:type="table" w:styleId="1047">
    <w:name w:val="List Table 6 Colorful - Accent 1"/>
    <w:basedOn w:val="819"/>
    <w:next w:val="1047"/>
    <w:link w:val="808"/>
    <w:uiPriority w:val="99"/>
    <w:rPr>
      <w:rFonts w:ascii="Calibri" w:hAnsi="Calibri" w:eastAsia="宋体" w:cs="Times New Roman"/>
    </w:rPr>
    <w:tblPr/>
  </w:style>
  <w:style w:type="table" w:styleId="1048">
    <w:name w:val="List Table 6 Colorful - Accent 2"/>
    <w:basedOn w:val="819"/>
    <w:next w:val="1048"/>
    <w:link w:val="808"/>
    <w:uiPriority w:val="99"/>
    <w:rPr>
      <w:rFonts w:ascii="Calibri" w:hAnsi="Calibri" w:eastAsia="宋体" w:cs="Times New Roman"/>
    </w:rPr>
    <w:tblPr/>
  </w:style>
  <w:style w:type="table" w:styleId="1049">
    <w:name w:val="List Table 6 Colorful - Accent 3"/>
    <w:basedOn w:val="819"/>
    <w:next w:val="1049"/>
    <w:link w:val="808"/>
    <w:uiPriority w:val="99"/>
    <w:rPr>
      <w:rFonts w:ascii="Calibri" w:hAnsi="Calibri" w:eastAsia="宋体" w:cs="Times New Roman"/>
    </w:rPr>
    <w:tblPr/>
  </w:style>
  <w:style w:type="table" w:styleId="1050">
    <w:name w:val="List Table 6 Colorful - Accent 4"/>
    <w:basedOn w:val="819"/>
    <w:next w:val="1050"/>
    <w:link w:val="808"/>
    <w:uiPriority w:val="99"/>
    <w:rPr>
      <w:rFonts w:ascii="Calibri" w:hAnsi="Calibri" w:eastAsia="宋体" w:cs="Times New Roman"/>
    </w:rPr>
    <w:tblPr/>
  </w:style>
  <w:style w:type="table" w:styleId="1051">
    <w:name w:val="List Table 6 Colorful - Accent 5"/>
    <w:basedOn w:val="819"/>
    <w:next w:val="1051"/>
    <w:link w:val="808"/>
    <w:uiPriority w:val="99"/>
    <w:rPr>
      <w:rFonts w:ascii="Calibri" w:hAnsi="Calibri" w:eastAsia="宋体" w:cs="Times New Roman"/>
    </w:rPr>
    <w:tblPr/>
  </w:style>
  <w:style w:type="table" w:styleId="1052">
    <w:name w:val="List Table 6 Colorful - Accent 6"/>
    <w:basedOn w:val="819"/>
    <w:next w:val="1052"/>
    <w:link w:val="808"/>
    <w:uiPriority w:val="99"/>
    <w:rPr>
      <w:rFonts w:ascii="Calibri" w:hAnsi="Calibri" w:eastAsia="宋体" w:cs="Times New Roman"/>
    </w:rPr>
    <w:tblPr/>
  </w:style>
  <w:style w:type="table" w:styleId="1053">
    <w:name w:val="List Table 7 Colorful"/>
    <w:basedOn w:val="819"/>
    <w:next w:val="1053"/>
    <w:link w:val="808"/>
    <w:uiPriority w:val="99"/>
    <w:rPr>
      <w:rFonts w:ascii="Calibri" w:hAnsi="Calibri" w:eastAsia="宋体" w:cs="Times New Roman"/>
    </w:rPr>
    <w:tblPr/>
  </w:style>
  <w:style w:type="table" w:styleId="1054">
    <w:name w:val="List Table 7 Colorful - Accent 1"/>
    <w:basedOn w:val="819"/>
    <w:next w:val="1054"/>
    <w:link w:val="808"/>
    <w:uiPriority w:val="99"/>
    <w:rPr>
      <w:rFonts w:ascii="Calibri" w:hAnsi="Calibri" w:eastAsia="宋体" w:cs="Times New Roman"/>
    </w:rPr>
    <w:tblPr/>
  </w:style>
  <w:style w:type="table" w:styleId="1055">
    <w:name w:val="List Table 7 Colorful - Accent 2"/>
    <w:basedOn w:val="819"/>
    <w:next w:val="1055"/>
    <w:link w:val="808"/>
    <w:uiPriority w:val="99"/>
    <w:rPr>
      <w:rFonts w:ascii="Calibri" w:hAnsi="Calibri" w:eastAsia="宋体" w:cs="Times New Roman"/>
    </w:rPr>
    <w:tblPr/>
  </w:style>
  <w:style w:type="table" w:styleId="1056">
    <w:name w:val="List Table 7 Colorful - Accent 3"/>
    <w:basedOn w:val="819"/>
    <w:next w:val="1056"/>
    <w:link w:val="808"/>
    <w:uiPriority w:val="99"/>
    <w:rPr>
      <w:rFonts w:ascii="Calibri" w:hAnsi="Calibri" w:eastAsia="宋体" w:cs="Times New Roman"/>
    </w:rPr>
    <w:tblPr/>
  </w:style>
  <w:style w:type="table" w:styleId="1057">
    <w:name w:val="List Table 7 Colorful - Accent 4"/>
    <w:basedOn w:val="819"/>
    <w:next w:val="1057"/>
    <w:link w:val="808"/>
    <w:uiPriority w:val="99"/>
    <w:rPr>
      <w:rFonts w:ascii="Calibri" w:hAnsi="Calibri" w:eastAsia="宋体" w:cs="Times New Roman"/>
    </w:rPr>
    <w:tblPr/>
  </w:style>
  <w:style w:type="table" w:styleId="1058">
    <w:name w:val="List Table 7 Colorful - Accent 5"/>
    <w:basedOn w:val="819"/>
    <w:next w:val="1058"/>
    <w:link w:val="808"/>
    <w:uiPriority w:val="99"/>
    <w:rPr>
      <w:rFonts w:ascii="Calibri" w:hAnsi="Calibri" w:eastAsia="宋体" w:cs="Times New Roman"/>
    </w:rPr>
    <w:tblPr/>
  </w:style>
  <w:style w:type="table" w:styleId="1059">
    <w:name w:val="List Table 7 Colorful - Accent 6"/>
    <w:basedOn w:val="819"/>
    <w:next w:val="1059"/>
    <w:link w:val="808"/>
    <w:uiPriority w:val="99"/>
    <w:rPr>
      <w:rFonts w:ascii="Calibri" w:hAnsi="Calibri" w:eastAsia="宋体" w:cs="Times New Roman"/>
    </w:rPr>
    <w:tblPr/>
  </w:style>
  <w:style w:type="table" w:styleId="1060">
    <w:name w:val="Lined - Accent"/>
    <w:basedOn w:val="819"/>
    <w:next w:val="1060"/>
    <w:link w:val="808"/>
    <w:uiPriority w:val="99"/>
    <w:rPr>
      <w:rFonts w:ascii="Calibri" w:hAnsi="Calibri" w:eastAsia="宋体" w:cs="Times New Roman"/>
      <w:color w:val="404040"/>
    </w:rPr>
    <w:tblPr/>
  </w:style>
  <w:style w:type="table" w:styleId="1061">
    <w:name w:val="Lined - Accent 1"/>
    <w:basedOn w:val="819"/>
    <w:next w:val="1061"/>
    <w:link w:val="808"/>
    <w:uiPriority w:val="99"/>
    <w:rPr>
      <w:rFonts w:ascii="Calibri" w:hAnsi="Calibri" w:eastAsia="宋体" w:cs="Times New Roman"/>
      <w:color w:val="404040"/>
    </w:rPr>
    <w:tblPr/>
  </w:style>
  <w:style w:type="table" w:styleId="1062">
    <w:name w:val="Lined - Accent 2"/>
    <w:basedOn w:val="819"/>
    <w:next w:val="1062"/>
    <w:link w:val="808"/>
    <w:uiPriority w:val="99"/>
    <w:rPr>
      <w:rFonts w:ascii="Calibri" w:hAnsi="Calibri" w:eastAsia="宋体" w:cs="Times New Roman"/>
      <w:color w:val="404040"/>
    </w:rPr>
    <w:tblPr/>
  </w:style>
  <w:style w:type="table" w:styleId="1063">
    <w:name w:val="Lined - Accent 3"/>
    <w:basedOn w:val="819"/>
    <w:next w:val="1063"/>
    <w:link w:val="808"/>
    <w:uiPriority w:val="99"/>
    <w:rPr>
      <w:rFonts w:ascii="Calibri" w:hAnsi="Calibri" w:eastAsia="宋体" w:cs="Times New Roman"/>
      <w:color w:val="404040"/>
    </w:rPr>
    <w:tblPr/>
  </w:style>
  <w:style w:type="table" w:styleId="1064">
    <w:name w:val="Lined - Accent 4"/>
    <w:basedOn w:val="819"/>
    <w:next w:val="1064"/>
    <w:link w:val="808"/>
    <w:uiPriority w:val="99"/>
    <w:rPr>
      <w:rFonts w:ascii="Calibri" w:hAnsi="Calibri" w:eastAsia="宋体" w:cs="Times New Roman"/>
      <w:color w:val="404040"/>
    </w:rPr>
    <w:tblPr/>
  </w:style>
  <w:style w:type="table" w:styleId="1065">
    <w:name w:val="Lined - Accent 5"/>
    <w:basedOn w:val="819"/>
    <w:next w:val="1065"/>
    <w:link w:val="808"/>
    <w:uiPriority w:val="99"/>
    <w:rPr>
      <w:rFonts w:ascii="Calibri" w:hAnsi="Calibri" w:eastAsia="宋体" w:cs="Times New Roman"/>
      <w:color w:val="404040"/>
    </w:rPr>
    <w:tblPr/>
  </w:style>
  <w:style w:type="table" w:styleId="1066">
    <w:name w:val="Lined - Accent 6"/>
    <w:basedOn w:val="819"/>
    <w:next w:val="1066"/>
    <w:link w:val="808"/>
    <w:uiPriority w:val="99"/>
    <w:rPr>
      <w:rFonts w:ascii="Calibri" w:hAnsi="Calibri" w:eastAsia="宋体" w:cs="Times New Roman"/>
      <w:color w:val="404040"/>
    </w:rPr>
    <w:tblPr/>
  </w:style>
  <w:style w:type="table" w:styleId="1067">
    <w:name w:val="Bordered &amp; Lined - Accent"/>
    <w:basedOn w:val="819"/>
    <w:next w:val="1067"/>
    <w:link w:val="808"/>
    <w:uiPriority w:val="99"/>
    <w:rPr>
      <w:rFonts w:ascii="Calibri" w:hAnsi="Calibri" w:eastAsia="宋体" w:cs="Times New Roman"/>
      <w:color w:val="404040"/>
    </w:rPr>
    <w:tblPr/>
  </w:style>
  <w:style w:type="table" w:styleId="1068">
    <w:name w:val="Bordered &amp; Lined - Accent 1"/>
    <w:basedOn w:val="819"/>
    <w:next w:val="1068"/>
    <w:link w:val="808"/>
    <w:uiPriority w:val="99"/>
    <w:rPr>
      <w:rFonts w:ascii="Calibri" w:hAnsi="Calibri" w:eastAsia="宋体" w:cs="Times New Roman"/>
      <w:color w:val="404040"/>
    </w:rPr>
    <w:tblPr/>
  </w:style>
  <w:style w:type="table" w:styleId="1069">
    <w:name w:val="Bordered &amp; Lined - Accent 2"/>
    <w:basedOn w:val="819"/>
    <w:next w:val="1069"/>
    <w:link w:val="808"/>
    <w:uiPriority w:val="99"/>
    <w:rPr>
      <w:rFonts w:ascii="Calibri" w:hAnsi="Calibri" w:eastAsia="宋体" w:cs="Times New Roman"/>
      <w:color w:val="404040"/>
    </w:rPr>
    <w:tblPr/>
  </w:style>
  <w:style w:type="table" w:styleId="1070">
    <w:name w:val="Bordered &amp; Lined - Accent 3"/>
    <w:basedOn w:val="819"/>
    <w:next w:val="1070"/>
    <w:link w:val="808"/>
    <w:uiPriority w:val="99"/>
    <w:rPr>
      <w:rFonts w:ascii="Calibri" w:hAnsi="Calibri" w:eastAsia="宋体" w:cs="Times New Roman"/>
      <w:color w:val="404040"/>
    </w:rPr>
    <w:tblPr/>
  </w:style>
  <w:style w:type="table" w:styleId="1071">
    <w:name w:val="Bordered &amp; Lined - Accent 4"/>
    <w:basedOn w:val="819"/>
    <w:next w:val="1071"/>
    <w:link w:val="808"/>
    <w:uiPriority w:val="99"/>
    <w:rPr>
      <w:rFonts w:ascii="Calibri" w:hAnsi="Calibri" w:eastAsia="宋体" w:cs="Times New Roman"/>
      <w:color w:val="404040"/>
    </w:rPr>
    <w:tblPr/>
  </w:style>
  <w:style w:type="table" w:styleId="1072">
    <w:name w:val="Bordered &amp; Lined - Accent 5"/>
    <w:basedOn w:val="819"/>
    <w:next w:val="1072"/>
    <w:link w:val="808"/>
    <w:uiPriority w:val="99"/>
    <w:rPr>
      <w:rFonts w:ascii="Calibri" w:hAnsi="Calibri" w:eastAsia="宋体" w:cs="Times New Roman"/>
      <w:color w:val="404040"/>
    </w:rPr>
    <w:tblPr/>
  </w:style>
  <w:style w:type="table" w:styleId="1073">
    <w:name w:val="Bordered &amp; Lined - Accent 6"/>
    <w:basedOn w:val="819"/>
    <w:next w:val="1073"/>
    <w:link w:val="808"/>
    <w:uiPriority w:val="99"/>
    <w:rPr>
      <w:rFonts w:ascii="Calibri" w:hAnsi="Calibri" w:eastAsia="宋体" w:cs="Times New Roman"/>
      <w:color w:val="404040"/>
    </w:rPr>
    <w:tblPr/>
  </w:style>
  <w:style w:type="table" w:styleId="1074">
    <w:name w:val="Bordered"/>
    <w:basedOn w:val="819"/>
    <w:next w:val="1074"/>
    <w:link w:val="808"/>
    <w:uiPriority w:val="99"/>
    <w:rPr>
      <w:rFonts w:ascii="Calibri" w:hAnsi="Calibri" w:eastAsia="宋体" w:cs="Times New Roman"/>
    </w:rPr>
    <w:tblPr/>
  </w:style>
  <w:style w:type="table" w:styleId="1075">
    <w:name w:val="Bordered - Accent 1"/>
    <w:basedOn w:val="819"/>
    <w:next w:val="1075"/>
    <w:link w:val="808"/>
    <w:uiPriority w:val="99"/>
    <w:rPr>
      <w:rFonts w:ascii="Calibri" w:hAnsi="Calibri" w:eastAsia="宋体" w:cs="Times New Roman"/>
    </w:rPr>
    <w:tblPr/>
  </w:style>
  <w:style w:type="table" w:styleId="1076">
    <w:name w:val="Bordered - Accent 2"/>
    <w:basedOn w:val="819"/>
    <w:next w:val="1076"/>
    <w:link w:val="808"/>
    <w:uiPriority w:val="99"/>
    <w:rPr>
      <w:rFonts w:ascii="Calibri" w:hAnsi="Calibri" w:eastAsia="宋体" w:cs="Times New Roman"/>
    </w:rPr>
    <w:tblPr/>
  </w:style>
  <w:style w:type="table" w:styleId="1077">
    <w:name w:val="Bordered - Accent 3"/>
    <w:basedOn w:val="819"/>
    <w:next w:val="1077"/>
    <w:link w:val="808"/>
    <w:uiPriority w:val="99"/>
    <w:rPr>
      <w:rFonts w:ascii="Calibri" w:hAnsi="Calibri" w:eastAsia="宋体" w:cs="Times New Roman"/>
    </w:rPr>
    <w:tblPr/>
  </w:style>
  <w:style w:type="table" w:styleId="1078">
    <w:name w:val="Bordered - Accent 4"/>
    <w:basedOn w:val="819"/>
    <w:next w:val="1078"/>
    <w:link w:val="808"/>
    <w:uiPriority w:val="99"/>
    <w:rPr>
      <w:rFonts w:ascii="Calibri" w:hAnsi="Calibri" w:eastAsia="宋体" w:cs="Times New Roman"/>
    </w:rPr>
    <w:tblPr/>
  </w:style>
  <w:style w:type="table" w:styleId="1079">
    <w:name w:val="Bordered - Accent 5"/>
    <w:basedOn w:val="819"/>
    <w:next w:val="1079"/>
    <w:link w:val="808"/>
    <w:uiPriority w:val="99"/>
    <w:rPr>
      <w:rFonts w:ascii="Calibri" w:hAnsi="Calibri" w:eastAsia="宋体" w:cs="Times New Roman"/>
    </w:rPr>
    <w:tblPr/>
  </w:style>
  <w:style w:type="table" w:styleId="1080">
    <w:name w:val="Bordered - Accent 6"/>
    <w:basedOn w:val="819"/>
    <w:next w:val="1080"/>
    <w:link w:val="808"/>
    <w:uiPriority w:val="99"/>
    <w:rPr>
      <w:rFonts w:ascii="Calibri" w:hAnsi="Calibri" w:eastAsia="宋体" w:cs="Times New Roman"/>
    </w:rPr>
    <w:tblPr/>
  </w:style>
  <w:style w:type="paragraph" w:styleId="1081">
    <w:name w:val="脚注文本"/>
    <w:basedOn w:val="808"/>
    <w:next w:val="1081"/>
    <w:link w:val="1082"/>
    <w:uiPriority w:val="99"/>
    <w:semiHidden/>
    <w:unhideWhenUsed/>
    <w:pPr>
      <w:spacing w:after="40"/>
    </w:pPr>
    <w:rPr>
      <w:rFonts w:ascii="Calibri" w:hAnsi="Calibri"/>
      <w:sz w:val="18"/>
      <w:szCs w:val="24"/>
    </w:rPr>
  </w:style>
  <w:style w:type="character" w:styleId="1082">
    <w:name w:val="脚注文本 Char"/>
    <w:basedOn w:val="818"/>
    <w:next w:val="1082"/>
    <w:link w:val="1081"/>
    <w:uiPriority w:val="99"/>
    <w:semiHidden/>
    <w:rPr>
      <w:sz w:val="18"/>
      <w:szCs w:val="24"/>
    </w:rPr>
  </w:style>
  <w:style w:type="character" w:styleId="1083">
    <w:name w:val="脚注引用"/>
    <w:basedOn w:val="818"/>
    <w:next w:val="1083"/>
    <w:link w:val="808"/>
    <w:uiPriority w:val="99"/>
    <w:unhideWhenUsed/>
    <w:rPr>
      <w:vertAlign w:val="superscript"/>
    </w:rPr>
  </w:style>
  <w:style w:type="paragraph" w:styleId="1084">
    <w:name w:val="尾注文本"/>
    <w:basedOn w:val="808"/>
    <w:next w:val="1084"/>
    <w:link w:val="1085"/>
    <w:uiPriority w:val="99"/>
    <w:semiHidden/>
    <w:unhideWhenUsed/>
    <w:rPr>
      <w:rFonts w:ascii="Calibri" w:hAnsi="Calibri"/>
      <w:sz w:val="20"/>
      <w:szCs w:val="24"/>
    </w:rPr>
  </w:style>
  <w:style w:type="character" w:styleId="1085">
    <w:name w:val="尾注文本 Char"/>
    <w:basedOn w:val="818"/>
    <w:next w:val="1085"/>
    <w:link w:val="1084"/>
    <w:uiPriority w:val="99"/>
    <w:semiHidden/>
    <w:rPr>
      <w:szCs w:val="24"/>
    </w:rPr>
  </w:style>
  <w:style w:type="character" w:styleId="1086">
    <w:name w:val="尾注引用"/>
    <w:basedOn w:val="818"/>
    <w:next w:val="1086"/>
    <w:link w:val="808"/>
    <w:uiPriority w:val="99"/>
    <w:semiHidden/>
    <w:unhideWhenUsed/>
    <w:rPr>
      <w:vertAlign w:val="superscript"/>
    </w:rPr>
  </w:style>
  <w:style w:type="paragraph" w:styleId="1087">
    <w:name w:val="TOC 标题"/>
    <w:next w:val="1087"/>
    <w:link w:val="808"/>
    <w:uiPriority w:val="39"/>
    <w:unhideWhenUsed/>
    <w:rPr>
      <w:lang w:val="en-US" w:eastAsia="zh-CN" w:bidi="ar-SA"/>
    </w:rPr>
  </w:style>
  <w:style w:type="paragraph" w:styleId="1088">
    <w:name w:val="Heading 2"/>
    <w:basedOn w:val="808"/>
    <w:next w:val="808"/>
    <w:link w:val="927"/>
    <w:uiPriority w:val="9"/>
    <w:qFormat/>
    <w:pPr>
      <w:numPr>
        <w:ilvl w:val="1"/>
        <w:numId w:val="33"/>
      </w:numPr>
      <w:keepLines/>
      <w:keepNext/>
      <w:spacing w:before="260" w:after="260" w:line="413" w:lineRule="auto"/>
      <w:outlineLvl w:val="1"/>
    </w:pPr>
    <w:rPr>
      <w:rFonts w:ascii="Arial" w:hAnsi="Arial" w:eastAsia="Arial" w:cs="Arial"/>
      <w:sz w:val="34"/>
      <w:szCs w:val="20"/>
    </w:rPr>
  </w:style>
  <w:style w:type="paragraph" w:styleId="1089">
    <w:name w:val="Heading 4"/>
    <w:basedOn w:val="808"/>
    <w:next w:val="808"/>
    <w:link w:val="930"/>
    <w:uiPriority w:val="9"/>
    <w:qFormat/>
    <w:pPr>
      <w:numPr>
        <w:ilvl w:val="3"/>
        <w:numId w:val="33"/>
      </w:numPr>
      <w:keepLines/>
      <w:keepNext/>
      <w:spacing w:before="280" w:after="290" w:line="372" w:lineRule="auto"/>
      <w:outlineLvl w:val="3"/>
    </w:pPr>
    <w:rPr>
      <w:rFonts w:ascii="Arial" w:hAnsi="Arial" w:eastAsia="Arial" w:cs="Arial"/>
      <w:b/>
      <w:bCs/>
      <w:sz w:val="26"/>
      <w:szCs w:val="26"/>
    </w:rPr>
  </w:style>
  <w:style w:type="character" w:styleId="1090" w:default="1">
    <w:name w:val="Default Paragraph Font"/>
    <w:uiPriority w:val="1"/>
    <w:semiHidden/>
    <w:unhideWhenUsed/>
  </w:style>
  <w:style w:type="numbering" w:styleId="1091" w:default="1">
    <w:name w:val="No List"/>
    <w:uiPriority w:val="99"/>
    <w:semiHidden/>
    <w:unhideWhenUsed/>
  </w:style>
  <w:style w:type="table" w:styleId="10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李洋</cp:lastModifiedBy>
  <cp:revision>617</cp:revision>
  <dcterms:created xsi:type="dcterms:W3CDTF">2023-03-16T02:16:00Z</dcterms:created>
  <dcterms:modified xsi:type="dcterms:W3CDTF">2024-06-14T01:07:06Z</dcterms:modified>
  <cp:version>786432</cp:version>
</cp:coreProperties>
</file>