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jc w:val="center"/>
        <w:spacing w:before="120" w:after="120" w:line="360" w:lineRule="auto"/>
        <w:rPr>
          <w:rFonts w:ascii="Times New Roman" w:hAnsi="Times New Roman" w:eastAsia="黑体"/>
          <w:b/>
          <w:bCs/>
          <w:color w:val="000000"/>
          <w:sz w:val="84"/>
          <w:szCs w:val="24"/>
          <w:highlight w:val="none"/>
        </w:rPr>
      </w:pPr>
      <w:r>
        <w:rPr>
          <w:rFonts w:ascii="Times New Roman" w:hAnsi="Times New Roman" w:eastAsia="黑体"/>
          <w:b/>
          <w:bCs/>
          <w:color w:val="000000"/>
          <w:sz w:val="84"/>
          <w:szCs w:val="24"/>
          <w:highlight w:val="none"/>
        </w:rPr>
      </w:r>
      <w:r/>
    </w:p>
    <w:p>
      <w:pPr>
        <w:pStyle w:val="898"/>
        <w:jc w:val="center"/>
        <w:spacing w:before="120" w:after="120" w:line="360" w:lineRule="auto"/>
        <w:rPr>
          <w:rFonts w:ascii="Times New Roman" w:hAnsi="Times New Roman" w:eastAsia="黑体"/>
          <w:b/>
          <w:bCs/>
          <w:color w:val="000000"/>
          <w:sz w:val="84"/>
          <w:szCs w:val="24"/>
          <w:highlight w:val="none"/>
        </w:rPr>
      </w:pPr>
      <w:r>
        <w:rPr>
          <w:rFonts w:ascii="Times New Roman" w:hAnsi="Times New Roman" w:eastAsia="黑体"/>
          <w:b/>
          <w:bCs/>
          <w:color w:val="000000"/>
          <w:sz w:val="84"/>
          <w:szCs w:val="24"/>
          <w:highlight w:val="none"/>
        </w:rPr>
        <w:t xml:space="preserve">竞争性磋商文件</w:t>
      </w:r>
      <w:r>
        <w:rPr>
          <w:rFonts w:ascii="Times New Roman" w:hAnsi="Times New Roman" w:eastAsia="黑体"/>
          <w:b/>
          <w:bCs/>
          <w:color w:val="000000"/>
          <w:sz w:val="84"/>
          <w:szCs w:val="24"/>
          <w:highlight w:val="none"/>
        </w:rPr>
      </w:r>
      <w:r/>
    </w:p>
    <w:p>
      <w:pPr>
        <w:pStyle w:val="898"/>
        <w:ind w:firstLine="643"/>
        <w:jc w:val="left"/>
        <w:spacing w:before="120" w:after="120" w:line="360" w:lineRule="auto"/>
        <w:rPr>
          <w:rFonts w:ascii="Times New Roman" w:hAnsi="Times New Roman"/>
          <w:b/>
          <w:bCs/>
          <w:color w:val="000000"/>
          <w:sz w:val="32"/>
          <w:szCs w:val="24"/>
          <w:highlight w:val="none"/>
        </w:rPr>
      </w:pPr>
      <w:r>
        <w:rPr>
          <w:rFonts w:ascii="Times New Roman" w:hAnsi="Times New Roman"/>
          <w:b/>
          <w:bCs/>
          <w:color w:val="000000"/>
          <w:sz w:val="32"/>
          <w:szCs w:val="24"/>
          <w:highlight w:val="none"/>
        </w:rPr>
        <w:t xml:space="preserve">项目名称：江苏水文科普园运维及物业服务采购项目</w:t>
      </w:r>
      <w:r>
        <w:rPr>
          <w:rFonts w:ascii="Times New Roman" w:hAnsi="Times New Roman"/>
          <w:b/>
          <w:bCs/>
          <w:color w:val="000000"/>
          <w:sz w:val="32"/>
          <w:szCs w:val="24"/>
          <w:highlight w:val="none"/>
        </w:rPr>
        <w:t xml:space="preserve">（更正稿）</w:t>
      </w:r>
      <w:r/>
    </w:p>
    <w:p>
      <w:pPr>
        <w:pStyle w:val="898"/>
        <w:ind w:firstLine="643"/>
        <w:jc w:val="left"/>
        <w:spacing w:before="120" w:after="120" w:line="360" w:lineRule="auto"/>
        <w:rPr>
          <w:rFonts w:ascii="Times New Roman" w:hAnsi="Times New Roman"/>
          <w:b/>
          <w:bCs/>
          <w:color w:val="000000"/>
          <w:sz w:val="32"/>
          <w:szCs w:val="24"/>
          <w:highlight w:val="none"/>
        </w:rPr>
      </w:pPr>
      <w:r>
        <w:rPr>
          <w:rFonts w:ascii="Times New Roman" w:hAnsi="Times New Roman"/>
          <w:b/>
          <w:bCs/>
          <w:color w:val="000000"/>
          <w:sz w:val="32"/>
          <w:szCs w:val="24"/>
          <w:highlight w:val="none"/>
        </w:rPr>
        <w:t xml:space="preserve">项目编号：JSZC-320000-SCZX-C2025-0747</w:t>
      </w:r>
      <w:r>
        <w:rPr>
          <w:rFonts w:ascii="Times New Roman" w:hAnsi="Times New Roman"/>
          <w:b/>
          <w:bCs/>
          <w:color w:val="000000"/>
          <w:sz w:val="32"/>
          <w:szCs w:val="24"/>
          <w:highlight w:val="none"/>
        </w:rPr>
        <w:t xml:space="preserve">              </w:t>
      </w:r>
      <w:r>
        <w:rPr>
          <w:rFonts w:ascii="Times New Roman" w:hAnsi="Times New Roman"/>
          <w:b/>
          <w:bCs/>
          <w:color w:val="000000"/>
          <w:sz w:val="32"/>
          <w:szCs w:val="24"/>
          <w:highlight w:val="none"/>
        </w:rPr>
      </w:r>
      <w:r/>
    </w:p>
    <w:p>
      <w:pPr>
        <w:pStyle w:val="898"/>
        <w:ind w:firstLine="1470"/>
        <w:jc w:val="left"/>
        <w:spacing w:before="120" w:after="120" w:line="360" w:lineRule="auto"/>
        <w:rPr>
          <w:b/>
          <w:color w:val="000000"/>
          <w:sz w:val="30"/>
          <w:szCs w:val="30"/>
          <w:highlight w:val="none"/>
        </w:rPr>
      </w:pPr>
      <w:r>
        <w:rPr>
          <w:color w:val="000000"/>
          <w:szCs w:val="21"/>
          <w:highlight w:val="none"/>
        </w:rPr>
        <w:t xml:space="preserve">        </w:t>
      </w:r>
      <w:r>
        <w:rPr>
          <w:b/>
          <w:color w:val="000000"/>
          <w:sz w:val="30"/>
          <w:szCs w:val="30"/>
          <w:highlight w:val="none"/>
        </w:rPr>
        <w:t xml:space="preserve">     </w:t>
      </w:r>
      <w:r>
        <w:rPr>
          <w:b/>
          <w:color w:val="000000"/>
          <w:sz w:val="30"/>
          <w:szCs w:val="30"/>
          <w:highlight w:val="none"/>
        </w:rPr>
      </w:r>
      <w:r/>
    </w:p>
    <w:p>
      <w:pPr>
        <w:pStyle w:val="898"/>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jc w:val="center"/>
        <w:spacing w:before="120" w:after="120" w:line="360" w:lineRule="auto"/>
        <w:rPr>
          <w:rFonts w:ascii="Times New Roman" w:hAnsi="Times New Roman"/>
          <w:b/>
          <w:bCs/>
          <w:color w:val="000000"/>
          <w:sz w:val="32"/>
          <w:szCs w:val="24"/>
          <w:highlight w:val="none"/>
        </w:rPr>
      </w:pPr>
      <w:r>
        <w:rPr>
          <w:rFonts w:ascii="Times New Roman" w:hAnsi="Times New Roman"/>
          <w:b/>
          <w:bCs/>
          <w:color w:val="000000"/>
          <w:sz w:val="32"/>
          <w:szCs w:val="24"/>
          <w:highlight w:val="none"/>
        </w:rPr>
        <w:t xml:space="preserve">江苏省政府采购中心</w:t>
      </w:r>
      <w:r>
        <w:rPr>
          <w:rFonts w:ascii="Times New Roman" w:hAnsi="Times New Roman"/>
          <w:b/>
          <w:bCs/>
          <w:color w:val="000000"/>
          <w:sz w:val="32"/>
          <w:szCs w:val="24"/>
          <w:highlight w:val="none"/>
        </w:rPr>
      </w:r>
      <w:r/>
    </w:p>
    <w:p>
      <w:pPr>
        <w:pStyle w:val="898"/>
        <w:jc w:val="center"/>
        <w:spacing w:before="120" w:after="120" w:line="360" w:lineRule="auto"/>
        <w:rPr>
          <w:rFonts w:ascii="Times New Roman" w:hAnsi="Times New Roman"/>
          <w:b/>
          <w:bCs/>
          <w:color w:val="000000"/>
          <w:sz w:val="32"/>
          <w:szCs w:val="24"/>
          <w:highlight w:val="none"/>
        </w:rPr>
      </w:pPr>
      <w:r>
        <w:rPr>
          <w:rFonts w:ascii="Times New Roman" w:hAnsi="Times New Roman"/>
          <w:b/>
          <w:bCs/>
          <w:color w:val="000000"/>
          <w:sz w:val="32"/>
          <w:szCs w:val="24"/>
          <w:highlight w:val="none"/>
        </w:rPr>
        <w:t xml:space="preserve">_</w:t>
      </w:r>
      <w:r>
        <w:rPr>
          <w:rFonts w:ascii="Times New Roman" w:hAnsi="Times New Roman"/>
          <w:b/>
          <w:bCs/>
          <w:color w:val="000000"/>
          <w:sz w:val="32"/>
          <w:szCs w:val="24"/>
          <w:highlight w:val="none"/>
        </w:rPr>
        <w:t xml:space="preserve">2025</w:t>
      </w:r>
      <w:r>
        <w:rPr>
          <w:rFonts w:ascii="Times New Roman" w:hAnsi="Times New Roman"/>
          <w:b/>
          <w:bCs/>
          <w:color w:val="000000"/>
          <w:sz w:val="32"/>
          <w:szCs w:val="24"/>
          <w:highlight w:val="none"/>
        </w:rPr>
        <w:t xml:space="preserve">_</w:t>
      </w:r>
      <w:r>
        <w:rPr>
          <w:rFonts w:ascii="Times New Roman" w:hAnsi="Times New Roman"/>
          <w:b/>
          <w:bCs/>
          <w:color w:val="000000"/>
          <w:sz w:val="32"/>
          <w:szCs w:val="24"/>
          <w:highlight w:val="none"/>
        </w:rPr>
        <w:t xml:space="preserve">年</w:t>
      </w:r>
      <w:r>
        <w:rPr>
          <w:rFonts w:ascii="Times New Roman" w:hAnsi="Times New Roman"/>
          <w:b/>
          <w:bCs/>
          <w:color w:val="000000"/>
          <w:sz w:val="32"/>
          <w:szCs w:val="24"/>
          <w:highlight w:val="none"/>
        </w:rPr>
        <w:t xml:space="preserve">_</w:t>
      </w:r>
      <w:r>
        <w:rPr>
          <w:rFonts w:ascii="Times New Roman" w:hAnsi="Times New Roman"/>
          <w:b/>
          <w:bCs/>
          <w:color w:val="000000"/>
          <w:sz w:val="32"/>
          <w:szCs w:val="24"/>
          <w:highlight w:val="none"/>
        </w:rPr>
        <w:t xml:space="preserve">12</w:t>
      </w:r>
      <w:r>
        <w:rPr>
          <w:rFonts w:ascii="Times New Roman" w:hAnsi="Times New Roman"/>
          <w:b/>
          <w:bCs/>
          <w:color w:val="000000"/>
          <w:sz w:val="32"/>
          <w:szCs w:val="24"/>
          <w:highlight w:val="none"/>
        </w:rPr>
        <w:t xml:space="preserve">_</w:t>
      </w:r>
      <w:r>
        <w:rPr>
          <w:rFonts w:ascii="Times New Roman" w:hAnsi="Times New Roman"/>
          <w:b/>
          <w:bCs/>
          <w:color w:val="000000"/>
          <w:sz w:val="32"/>
          <w:szCs w:val="24"/>
          <w:highlight w:val="none"/>
        </w:rPr>
        <w:t xml:space="preserve">月</w:t>
      </w:r>
      <w:r>
        <w:rPr>
          <w:rFonts w:ascii="Times New Roman" w:hAnsi="Times New Roman"/>
          <w:b/>
          <w:bCs/>
          <w:color w:val="000000"/>
          <w:sz w:val="32"/>
          <w:szCs w:val="24"/>
          <w:highlight w:val="none"/>
        </w:rPr>
      </w:r>
      <w:r/>
    </w:p>
    <w:p>
      <w:pPr>
        <w:pStyle w:val="898"/>
        <w:jc w:val="left"/>
        <w:spacing w:before="120" w:after="120" w:line="360" w:lineRule="auto"/>
        <w:rPr>
          <w:rFonts w:ascii="Times New Roman" w:hAnsi="Times New Roman"/>
          <w:color w:val="000000"/>
          <w:sz w:val="24"/>
          <w:szCs w:val="24"/>
          <w:highlight w:val="none"/>
          <w:u w:val="single"/>
        </w:rPr>
      </w:pPr>
      <w:r>
        <w:rPr>
          <w:rFonts w:ascii="Times New Roman" w:hAnsi="Times New Roman"/>
          <w:color w:val="000000"/>
          <w:sz w:val="24"/>
          <w:szCs w:val="24"/>
          <w:highlight w:val="none"/>
        </w:rPr>
        <w:t xml:space="preserve">                        </w:t>
      </w:r>
      <w:r>
        <w:rPr>
          <w:rFonts w:ascii="Times New Roman" w:hAnsi="Times New Roman"/>
          <w:color w:val="000000"/>
          <w:sz w:val="24"/>
          <w:szCs w:val="24"/>
          <w:highlight w:val="none"/>
          <w:u w:val="single"/>
        </w:rPr>
      </w:r>
      <w:r/>
    </w:p>
    <w:p>
      <w:pPr>
        <w:pStyle w:val="898"/>
        <w:jc w:val="center"/>
        <w:spacing w:before="120" w:after="120"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jc w:val="center"/>
        <w:spacing w:line="480" w:lineRule="auto"/>
        <w:rPr>
          <w:rFonts w:ascii="Times New Roman" w:hAnsi="Times New Roman" w:eastAsia="黑体"/>
          <w:b/>
          <w:color w:val="000000"/>
          <w:sz w:val="44"/>
          <w:szCs w:val="21"/>
          <w:highlight w:val="none"/>
        </w:rPr>
        <w:outlineLvl w:val="0"/>
      </w:pPr>
      <w:r>
        <w:rPr>
          <w:color w:val="000000"/>
          <w:szCs w:val="21"/>
          <w:highlight w:val="none"/>
        </w:rPr>
        <w:br w:type="page" w:clear="all"/>
      </w:r>
      <w:bookmarkStart w:id="0" w:name="_Toc479757206"/>
      <w:r/>
      <w:bookmarkStart w:id="1" w:name="_Toc16938516"/>
      <w:r/>
      <w:bookmarkStart w:id="2" w:name="_Toc513029200"/>
      <w:r/>
      <w:bookmarkStart w:id="3" w:name="_Toc523127445"/>
      <w:r/>
      <w:bookmarkStart w:id="4" w:name="_Toc20823272"/>
      <w:r/>
      <w:bookmarkStart w:id="5" w:name="_Toc120614210"/>
      <w:r>
        <w:rPr>
          <w:rFonts w:ascii="Times New Roman" w:hAnsi="Times New Roman" w:eastAsia="黑体"/>
          <w:b/>
          <w:color w:val="000000"/>
          <w:sz w:val="44"/>
          <w:szCs w:val="21"/>
          <w:highlight w:val="none"/>
        </w:rPr>
        <w:t xml:space="preserve">总  目  录</w:t>
      </w:r>
      <w:r>
        <w:rPr>
          <w:rFonts w:ascii="Times New Roman" w:hAnsi="Times New Roman" w:eastAsia="黑体"/>
          <w:b/>
          <w:color w:val="000000"/>
          <w:sz w:val="44"/>
          <w:szCs w:val="21"/>
          <w:highlight w:val="none"/>
        </w:rPr>
      </w:r>
      <w:r/>
    </w:p>
    <w:p>
      <w:pPr>
        <w:pStyle w:val="936"/>
        <w:rPr>
          <w:rFonts w:ascii="Times New Roman" w:hAnsi="Times New Roman" w:cs="Times New Roman"/>
          <w:color w:val="000000"/>
          <w:highlight w:val="none"/>
        </w:rPr>
      </w:pPr>
      <w:r>
        <w:rPr>
          <w:rFonts w:ascii="Times New Roman" w:hAnsi="Times New Roman" w:cs="Times New Roman"/>
          <w:color w:val="000000"/>
          <w:highlight w:val="none"/>
        </w:rPr>
      </w:r>
      <w:r/>
    </w:p>
    <w:p>
      <w:pPr>
        <w:pStyle w:val="936"/>
        <w:rPr>
          <w:rFonts w:ascii="Times New Roman" w:hAnsi="Times New Roman" w:eastAsia="黑体" w:cs="Times New Roman"/>
          <w:color w:val="000000"/>
          <w:sz w:val="36"/>
          <w:szCs w:val="36"/>
          <w:highlight w:val="none"/>
        </w:rPr>
      </w:pPr>
      <w:r>
        <w:rPr>
          <w:rFonts w:ascii="Times New Roman" w:hAnsi="Times New Roman" w:eastAsia="黑体" w:cs="Times New Roman"/>
          <w:color w:val="000000"/>
          <w:sz w:val="36"/>
          <w:szCs w:val="36"/>
          <w:highlight w:val="none"/>
        </w:rPr>
        <w:t xml:space="preserve">第一章 </w:t>
      </w:r>
      <w:r>
        <w:rPr>
          <w:rFonts w:ascii="Times New Roman" w:hAnsi="Times New Roman" w:eastAsia="黑体" w:cs="Times New Roman"/>
          <w:color w:val="000000"/>
          <w:sz w:val="36"/>
          <w:szCs w:val="36"/>
          <w:highlight w:val="none"/>
        </w:rPr>
        <w:t xml:space="preserve"> </w:t>
      </w:r>
      <w:r>
        <w:rPr>
          <w:rFonts w:ascii="Times New Roman" w:hAnsi="Times New Roman" w:eastAsia="黑体" w:cs="Times New Roman"/>
          <w:color w:val="000000"/>
          <w:sz w:val="36"/>
          <w:szCs w:val="36"/>
          <w:highlight w:val="none"/>
        </w:rPr>
        <w:t xml:space="preserve">磋商邀请……………………………………1 </w:t>
      </w:r>
      <w:r>
        <w:rPr>
          <w:rFonts w:ascii="Times New Roman" w:hAnsi="Times New Roman" w:eastAsia="黑体" w:cs="Times New Roman"/>
          <w:color w:val="000000"/>
          <w:sz w:val="36"/>
          <w:szCs w:val="36"/>
          <w:highlight w:val="none"/>
        </w:rPr>
      </w:r>
      <w:r/>
    </w:p>
    <w:p>
      <w:pPr>
        <w:pStyle w:val="936"/>
        <w:rPr>
          <w:rFonts w:ascii="Times New Roman" w:hAnsi="Times New Roman" w:eastAsia="黑体" w:cs="Times New Roman"/>
          <w:color w:val="000000"/>
          <w:sz w:val="36"/>
          <w:szCs w:val="36"/>
          <w:highlight w:val="none"/>
        </w:rPr>
      </w:pPr>
      <w:r>
        <w:rPr>
          <w:rFonts w:ascii="Times New Roman" w:hAnsi="Times New Roman" w:eastAsia="黑体" w:cs="Times New Roman"/>
          <w:color w:val="000000"/>
          <w:sz w:val="36"/>
          <w:szCs w:val="36"/>
          <w:highlight w:val="none"/>
        </w:rPr>
        <w:t xml:space="preserve">第二章 </w:t>
      </w:r>
      <w:r>
        <w:rPr>
          <w:rFonts w:ascii="Times New Roman" w:hAnsi="Times New Roman" w:eastAsia="黑体" w:cs="Times New Roman"/>
          <w:color w:val="000000"/>
          <w:sz w:val="36"/>
          <w:szCs w:val="36"/>
          <w:highlight w:val="none"/>
        </w:rPr>
        <w:t xml:space="preserve"> </w:t>
      </w:r>
      <w:r>
        <w:rPr>
          <w:rFonts w:ascii="Times New Roman" w:hAnsi="Times New Roman" w:eastAsia="黑体" w:cs="Times New Roman"/>
          <w:bCs w:val="0"/>
          <w:color w:val="000000"/>
          <w:sz w:val="36"/>
          <w:szCs w:val="36"/>
          <w:highlight w:val="none"/>
        </w:rPr>
        <w:t xml:space="preserve">供应商须知</w:t>
      </w:r>
      <w:r>
        <w:rPr>
          <w:rFonts w:ascii="Times New Roman" w:hAnsi="Times New Roman" w:eastAsia="黑体" w:cs="Times New Roman"/>
          <w:color w:val="000000"/>
          <w:sz w:val="36"/>
          <w:szCs w:val="36"/>
          <w:highlight w:val="none"/>
        </w:rPr>
        <w:t xml:space="preserve">…………………………………4  </w:t>
      </w:r>
      <w:r>
        <w:rPr>
          <w:rFonts w:ascii="Times New Roman" w:hAnsi="Times New Roman" w:eastAsia="黑体" w:cs="Times New Roman"/>
          <w:color w:val="000000"/>
          <w:sz w:val="36"/>
          <w:szCs w:val="36"/>
          <w:highlight w:val="none"/>
        </w:rPr>
      </w:r>
      <w:r/>
    </w:p>
    <w:p>
      <w:pPr>
        <w:pStyle w:val="936"/>
        <w:rPr>
          <w:rFonts w:ascii="Times New Roman" w:hAnsi="Times New Roman" w:eastAsia="黑体" w:cs="Times New Roman"/>
          <w:color w:val="000000"/>
          <w:sz w:val="36"/>
          <w:szCs w:val="36"/>
          <w:highlight w:val="none"/>
        </w:rPr>
      </w:pPr>
      <w:r>
        <w:rPr>
          <w:rFonts w:ascii="Times New Roman" w:hAnsi="Times New Roman" w:eastAsia="黑体" w:cs="Times New Roman"/>
          <w:color w:val="000000"/>
          <w:sz w:val="36"/>
          <w:szCs w:val="36"/>
          <w:highlight w:val="none"/>
        </w:rPr>
        <w:t xml:space="preserve">第三章 </w:t>
      </w:r>
      <w:r>
        <w:rPr>
          <w:rFonts w:ascii="Times New Roman" w:hAnsi="Times New Roman" w:eastAsia="黑体" w:cs="Times New Roman"/>
          <w:color w:val="000000"/>
          <w:sz w:val="36"/>
          <w:szCs w:val="36"/>
          <w:highlight w:val="none"/>
        </w:rPr>
        <w:t xml:space="preserve"> </w:t>
      </w:r>
      <w:r>
        <w:rPr>
          <w:rFonts w:ascii="Times New Roman" w:hAnsi="Times New Roman" w:eastAsia="黑体" w:cs="Times New Roman"/>
          <w:color w:val="000000"/>
          <w:sz w:val="36"/>
          <w:szCs w:val="36"/>
          <w:highlight w:val="none"/>
        </w:rPr>
        <w:t xml:space="preserve">合同文本……………………………………1</w:t>
      </w:r>
      <w:r>
        <w:rPr>
          <w:rFonts w:ascii="Times New Roman" w:hAnsi="Times New Roman" w:eastAsia="黑体" w:cs="Times New Roman"/>
          <w:color w:val="000000"/>
          <w:sz w:val="36"/>
          <w:szCs w:val="36"/>
          <w:highlight w:val="none"/>
        </w:rPr>
        <w:t xml:space="preserve">6</w:t>
      </w:r>
      <w:r>
        <w:rPr>
          <w:rFonts w:ascii="Times New Roman" w:hAnsi="Times New Roman" w:eastAsia="黑体" w:cs="Times New Roman"/>
          <w:color w:val="000000"/>
          <w:sz w:val="36"/>
          <w:szCs w:val="36"/>
          <w:highlight w:val="none"/>
        </w:rPr>
      </w:r>
      <w:r/>
    </w:p>
    <w:p>
      <w:pPr>
        <w:pStyle w:val="936"/>
        <w:rPr>
          <w:rFonts w:ascii="Times New Roman" w:hAnsi="Times New Roman" w:eastAsia="黑体" w:cs="Times New Roman"/>
          <w:color w:val="000000"/>
          <w:sz w:val="36"/>
          <w:szCs w:val="36"/>
          <w:highlight w:val="none"/>
        </w:rPr>
      </w:pPr>
      <w:r>
        <w:rPr>
          <w:rFonts w:ascii="Times New Roman" w:hAnsi="Times New Roman" w:eastAsia="黑体" w:cs="Times New Roman"/>
          <w:color w:val="000000"/>
          <w:sz w:val="36"/>
          <w:szCs w:val="36"/>
          <w:highlight w:val="none"/>
        </w:rPr>
        <w:t xml:space="preserve">第四章 </w:t>
      </w:r>
      <w:r>
        <w:rPr>
          <w:rFonts w:ascii="Times New Roman" w:hAnsi="Times New Roman" w:eastAsia="黑体" w:cs="Times New Roman"/>
          <w:color w:val="000000"/>
          <w:sz w:val="36"/>
          <w:szCs w:val="36"/>
          <w:highlight w:val="none"/>
        </w:rPr>
        <w:t xml:space="preserve"> </w:t>
      </w:r>
      <w:r>
        <w:rPr>
          <w:rFonts w:ascii="Times New Roman" w:hAnsi="Times New Roman" w:eastAsia="黑体" w:cs="Times New Roman"/>
          <w:color w:val="000000"/>
          <w:sz w:val="36"/>
          <w:szCs w:val="36"/>
          <w:highlight w:val="none"/>
        </w:rPr>
        <w:t xml:space="preserve">采购需求……………………………………</w:t>
      </w:r>
      <w:r>
        <w:rPr>
          <w:rFonts w:ascii="Times New Roman" w:hAnsi="Times New Roman" w:eastAsia="黑体" w:cs="Times New Roman"/>
          <w:color w:val="000000"/>
          <w:sz w:val="36"/>
          <w:szCs w:val="36"/>
          <w:highlight w:val="none"/>
        </w:rPr>
        <w:t xml:space="preserve">19</w:t>
      </w:r>
      <w:r>
        <w:rPr>
          <w:rFonts w:ascii="Times New Roman" w:hAnsi="Times New Roman" w:eastAsia="黑体" w:cs="Times New Roman"/>
          <w:color w:val="000000"/>
          <w:sz w:val="36"/>
          <w:szCs w:val="36"/>
          <w:highlight w:val="none"/>
        </w:rPr>
      </w:r>
      <w:r/>
    </w:p>
    <w:p>
      <w:pPr>
        <w:pStyle w:val="936"/>
        <w:rPr>
          <w:rFonts w:ascii="Times New Roman" w:hAnsi="Times New Roman" w:eastAsia="黑体" w:cs="Times New Roman"/>
          <w:color w:val="000000"/>
          <w:sz w:val="36"/>
          <w:szCs w:val="36"/>
          <w:highlight w:val="none"/>
        </w:rPr>
      </w:pPr>
      <w:r>
        <w:rPr>
          <w:rFonts w:ascii="Times New Roman" w:hAnsi="Times New Roman" w:eastAsia="黑体" w:cs="Times New Roman"/>
          <w:color w:val="000000"/>
          <w:sz w:val="36"/>
          <w:szCs w:val="36"/>
          <w:highlight w:val="none"/>
        </w:rPr>
        <w:t xml:space="preserve">第五章 </w:t>
      </w:r>
      <w:r>
        <w:rPr>
          <w:rFonts w:ascii="Times New Roman" w:hAnsi="Times New Roman" w:eastAsia="黑体" w:cs="Times New Roman"/>
          <w:color w:val="000000"/>
          <w:sz w:val="36"/>
          <w:szCs w:val="36"/>
          <w:highlight w:val="none"/>
        </w:rPr>
        <w:t xml:space="preserve"> </w:t>
      </w:r>
      <w:r>
        <w:rPr>
          <w:rFonts w:ascii="Times New Roman" w:hAnsi="Times New Roman" w:eastAsia="黑体" w:cs="Times New Roman"/>
          <w:bCs w:val="0"/>
          <w:color w:val="000000"/>
          <w:sz w:val="36"/>
          <w:szCs w:val="36"/>
          <w:highlight w:val="none"/>
        </w:rPr>
        <w:t xml:space="preserve">评审方法与评审标准</w:t>
      </w:r>
      <w:r>
        <w:rPr>
          <w:rFonts w:ascii="Times New Roman" w:hAnsi="Times New Roman" w:eastAsia="黑体" w:cs="Times New Roman"/>
          <w:color w:val="000000"/>
          <w:sz w:val="36"/>
          <w:szCs w:val="36"/>
          <w:highlight w:val="none"/>
        </w:rPr>
        <w:t xml:space="preserve">………………………</w:t>
      </w:r>
      <w:r>
        <w:rPr>
          <w:rFonts w:ascii="Times New Roman" w:hAnsi="Times New Roman" w:eastAsia="黑体" w:cs="Times New Roman"/>
          <w:color w:val="000000"/>
          <w:sz w:val="36"/>
          <w:szCs w:val="36"/>
          <w:highlight w:val="none"/>
        </w:rPr>
        <w:t xml:space="preserve">72</w:t>
      </w:r>
      <w:r>
        <w:rPr>
          <w:rFonts w:ascii="Times New Roman" w:hAnsi="Times New Roman" w:eastAsia="黑体" w:cs="Times New Roman"/>
          <w:color w:val="000000"/>
          <w:sz w:val="36"/>
          <w:szCs w:val="36"/>
          <w:highlight w:val="none"/>
        </w:rPr>
      </w:r>
      <w:r/>
    </w:p>
    <w:p>
      <w:pPr>
        <w:pStyle w:val="936"/>
        <w:rPr>
          <w:rFonts w:ascii="Times New Roman" w:hAnsi="Times New Roman" w:eastAsia="黑体" w:cs="Times New Roman"/>
          <w:color w:val="000000"/>
          <w:sz w:val="36"/>
          <w:szCs w:val="36"/>
          <w:highlight w:val="none"/>
        </w:rPr>
      </w:pPr>
      <w:r>
        <w:rPr>
          <w:rFonts w:ascii="Times New Roman" w:hAnsi="Times New Roman" w:eastAsia="黑体" w:cs="Times New Roman"/>
          <w:color w:val="000000"/>
          <w:sz w:val="36"/>
          <w:szCs w:val="36"/>
          <w:highlight w:val="none"/>
        </w:rPr>
        <w:t xml:space="preserve">第六章 </w:t>
      </w:r>
      <w:r>
        <w:rPr>
          <w:rFonts w:ascii="Times New Roman" w:hAnsi="Times New Roman" w:eastAsia="黑体" w:cs="Times New Roman"/>
          <w:color w:val="000000"/>
          <w:sz w:val="36"/>
          <w:szCs w:val="36"/>
          <w:highlight w:val="none"/>
        </w:rPr>
        <w:t xml:space="preserve"> </w:t>
      </w:r>
      <w:r>
        <w:rPr>
          <w:rFonts w:ascii="Times New Roman" w:hAnsi="Times New Roman" w:eastAsia="黑体" w:cs="Times New Roman"/>
          <w:color w:val="000000"/>
          <w:sz w:val="36"/>
          <w:szCs w:val="36"/>
          <w:highlight w:val="none"/>
        </w:rPr>
        <w:t xml:space="preserve">响应文件格式………………………………</w:t>
      </w:r>
      <w:r>
        <w:rPr>
          <w:rFonts w:ascii="Times New Roman" w:hAnsi="Times New Roman" w:eastAsia="黑体" w:cs="Times New Roman"/>
          <w:color w:val="000000"/>
          <w:sz w:val="36"/>
          <w:szCs w:val="36"/>
          <w:highlight w:val="none"/>
        </w:rPr>
        <w:t xml:space="preserve">76</w:t>
      </w:r>
      <w:r>
        <w:rPr>
          <w:rFonts w:ascii="Times New Roman" w:hAnsi="Times New Roman" w:eastAsia="黑体" w:cs="Times New Roman"/>
          <w:color w:val="000000"/>
          <w:sz w:val="36"/>
          <w:szCs w:val="36"/>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color w:val="000000"/>
          <w:szCs w:val="21"/>
          <w:highlight w:val="none"/>
        </w:rPr>
      </w:r>
      <w:r/>
    </w:p>
    <w:p>
      <w:pPr>
        <w:pStyle w:val="898"/>
        <w:rPr>
          <w:color w:val="000000"/>
          <w:szCs w:val="21"/>
          <w:highlight w:val="none"/>
        </w:rPr>
      </w:pPr>
      <w:r>
        <w:rPr>
          <w:color w:val="000000"/>
          <w:szCs w:val="21"/>
          <w:highlight w:val="none"/>
        </w:rPr>
      </w:r>
      <w:r/>
    </w:p>
    <w:p>
      <w:pPr>
        <w:pStyle w:val="898"/>
        <w:jc w:val="center"/>
        <w:keepNext/>
        <w:rPr>
          <w:rFonts w:hint="eastAsia" w:ascii="黑体" w:hAnsi="Times New Roman" w:eastAsia="黑体"/>
          <w:bCs/>
          <w:color w:val="000000"/>
          <w:sz w:val="44"/>
          <w:szCs w:val="44"/>
          <w:highlight w:val="none"/>
        </w:rPr>
        <w:outlineLvl w:val="0"/>
      </w:pPr>
      <w:r/>
      <w:bookmarkEnd w:id="0"/>
      <w:r/>
      <w:bookmarkEnd w:id="1"/>
      <w:r/>
      <w:bookmarkEnd w:id="2"/>
      <w:r/>
      <w:bookmarkEnd w:id="3"/>
      <w:r/>
      <w:bookmarkEnd w:id="4"/>
      <w:r/>
      <w:bookmarkEnd w:id="5"/>
      <w:r/>
      <w:bookmarkStart w:id="6" w:name="_Toc16938558"/>
      <w:r/>
      <w:bookmarkStart w:id="7" w:name="_Toc120614221"/>
      <w:r/>
      <w:bookmarkStart w:id="8" w:name="_Toc513029242"/>
      <w:r/>
      <w:bookmarkStart w:id="9" w:name="_Toc479757207"/>
      <w:r/>
      <w:bookmarkStart w:id="10" w:name="_Toc20823314"/>
      <w:r>
        <w:rPr>
          <w:rFonts w:hint="eastAsia" w:ascii="黑体" w:hAnsi="Times New Roman" w:eastAsia="黑体"/>
          <w:color w:val="000000"/>
          <w:sz w:val="44"/>
          <w:szCs w:val="44"/>
          <w:highlight w:val="none"/>
        </w:rPr>
        <w:t xml:space="preserve">第一章  磋商邀请</w:t>
      </w:r>
      <w:r>
        <w:rPr>
          <w:rFonts w:hint="eastAsia" w:ascii="黑体" w:hAnsi="Times New Roman" w:eastAsia="黑体"/>
          <w:bCs/>
          <w:color w:val="000000"/>
          <w:sz w:val="44"/>
          <w:szCs w:val="44"/>
          <w:highlight w:val="none"/>
        </w:rPr>
      </w:r>
      <w:r/>
    </w:p>
    <w:p>
      <w:pPr>
        <w:pStyle w:val="898"/>
        <w:ind w:firstLine="480"/>
        <w:rPr>
          <w:rFonts w:ascii="宋体" w:hAnsi="宋体"/>
          <w:color w:val="000000"/>
          <w:sz w:val="24"/>
          <w:szCs w:val="24"/>
          <w:highlight w:val="none"/>
        </w:rPr>
      </w:pPr>
      <w:r>
        <w:rPr>
          <w:rFonts w:hint="eastAsia" w:ascii="宋体" w:hAnsi="宋体"/>
          <w:color w:val="000000"/>
          <w:sz w:val="24"/>
          <w:szCs w:val="24"/>
          <w:highlight w:val="none"/>
        </w:rPr>
        <w:t xml:space="preserve">受〔江苏省水利数字中心〕的委托，江苏省政府采购中心就〔</w:t>
      </w:r>
      <w:bookmarkStart w:id="11" w:name="OLE_LINK6"/>
      <w:r>
        <w:rPr>
          <w:rFonts w:hint="eastAsia" w:ascii="宋体" w:hAnsi="宋体"/>
          <w:color w:val="000000"/>
          <w:sz w:val="24"/>
          <w:szCs w:val="24"/>
          <w:highlight w:val="none"/>
        </w:rPr>
        <w:t xml:space="preserve">江苏水文科普园运维及物业服务采购项目</w:t>
      </w:r>
      <w:bookmarkEnd w:id="11"/>
      <w:r>
        <w:rPr>
          <w:rFonts w:hint="eastAsia" w:ascii="宋体" w:hAnsi="宋体"/>
          <w:color w:val="000000"/>
          <w:sz w:val="24"/>
          <w:szCs w:val="24"/>
          <w:highlight w:val="none"/>
        </w:rPr>
        <w:t xml:space="preserve">〕(〔JSZC-320000-SCZX-C2025-0747〕)项目进行竞争性磋商采购，欢迎符合条件的供应商参加磋商。</w:t>
      </w:r>
      <w:r>
        <w:rPr>
          <w:rFonts w:ascii="宋体" w:hAnsi="宋体"/>
          <w:color w:val="000000"/>
          <w:sz w:val="24"/>
          <w:szCs w:val="24"/>
          <w:highlight w:val="none"/>
        </w:rPr>
      </w:r>
      <w:r/>
    </w:p>
    <w:p>
      <w:pPr>
        <w:pStyle w:val="898"/>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898"/>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江苏水文科普园运维及物业服务采购项目</w:t>
      </w:r>
      <w:r>
        <w:rPr>
          <w:rFonts w:hint="eastAsia" w:ascii="宋体" w:hAnsi="宋体"/>
          <w:color w:val="000000"/>
          <w:sz w:val="24"/>
          <w:szCs w:val="24"/>
          <w:highlight w:val="none"/>
        </w:rPr>
        <w:t xml:space="preserve">竞争性磋商项目的潜在供应商可在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磋商文件，并于</w:t>
      </w:r>
      <w:r>
        <w:rPr>
          <w:rFonts w:ascii="宋体" w:hAnsi="宋体"/>
          <w:color w:val="000000"/>
          <w:sz w:val="24"/>
          <w:szCs w:val="24"/>
          <w:highlight w:val="none"/>
          <w:u w:val="single"/>
        </w:rPr>
        <w:t xml:space="preserve">2025</w:t>
      </w:r>
      <w:r>
        <w:rPr>
          <w:rFonts w:hint="eastAsia" w:ascii="宋体" w:hAnsi="宋体"/>
          <w:bCs/>
          <w:color w:val="000000"/>
          <w:sz w:val="24"/>
          <w:szCs w:val="24"/>
          <w:highlight w:val="none"/>
          <w:u w:val="single"/>
        </w:rPr>
        <w:t xml:space="preserve">年12月22日14点00    分（</w:t>
      </w:r>
      <w:r>
        <w:rPr>
          <w:rFonts w:hint="eastAsia" w:ascii="宋体" w:hAnsi="宋体"/>
          <w:bCs/>
          <w:color w:val="000000"/>
          <w:sz w:val="24"/>
          <w:szCs w:val="24"/>
          <w:highlight w:val="none"/>
        </w:rPr>
        <w:t xml:space="preserve">北京时间）前递交响应文件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98"/>
        <w:ind w:firstLine="498"/>
        <w:keepLines/>
        <w:keepNext/>
        <w:spacing w:before="156" w:after="156" w:line="360" w:lineRule="auto"/>
        <w:rPr>
          <w:rFonts w:ascii="Times New Roman" w:hAnsi="Times New Roman"/>
          <w:b/>
          <w:bCs/>
          <w:color w:val="000000"/>
          <w:sz w:val="32"/>
          <w:szCs w:val="32"/>
          <w:highlight w:val="none"/>
        </w:rPr>
        <w:outlineLvl w:val="2"/>
      </w:pPr>
      <w:r/>
      <w:bookmarkStart w:id="12" w:name="_Toc28359079"/>
      <w:r/>
      <w:bookmarkStart w:id="13" w:name="_Toc38985263"/>
      <w:r/>
      <w:bookmarkStart w:id="14" w:name="_Toc28359002"/>
      <w:r/>
      <w:bookmarkStart w:id="15" w:name="_Toc35393621"/>
      <w:r/>
      <w:bookmarkStart w:id="16" w:name="_Toc35393790"/>
      <w:r/>
      <w:bookmarkStart w:id="17" w:name="_Hlk24379207"/>
      <w:r>
        <w:rPr>
          <w:rFonts w:hint="eastAsia" w:ascii="Times New Roman" w:hAnsi="Times New Roman"/>
          <w:b/>
          <w:bCs/>
          <w:color w:val="000000"/>
          <w:sz w:val="32"/>
          <w:szCs w:val="32"/>
          <w:highlight w:val="none"/>
        </w:rPr>
        <w:t xml:space="preserve">一、项目基本情况</w:t>
      </w:r>
      <w:bookmarkEnd w:id="12"/>
      <w:r/>
      <w:bookmarkEnd w:id="13"/>
      <w:r/>
      <w:bookmarkEnd w:id="14"/>
      <w:r/>
      <w:bookmarkEnd w:id="15"/>
      <w:r/>
      <w:bookmarkEnd w:id="16"/>
      <w:r>
        <w:rPr>
          <w:rFonts w:ascii="Times New Roman" w:hAnsi="Times New Roman"/>
          <w:b/>
          <w:bCs/>
          <w:color w:val="000000"/>
          <w:sz w:val="32"/>
          <w:szCs w:val="32"/>
          <w:highlight w:val="none"/>
        </w:rPr>
      </w:r>
      <w:r/>
    </w:p>
    <w:p>
      <w:pPr>
        <w:pStyle w:val="898"/>
        <w:ind w:firstLine="480"/>
        <w:rPr>
          <w:rFonts w:ascii="宋体" w:hAnsi="宋体"/>
          <w:color w:val="000000"/>
          <w:sz w:val="24"/>
          <w:szCs w:val="24"/>
          <w:highlight w:val="none"/>
        </w:rPr>
      </w:pPr>
      <w:r>
        <w:rPr>
          <w:rFonts w:hint="eastAsia" w:ascii="宋体" w:hAnsi="宋体"/>
          <w:color w:val="000000"/>
          <w:sz w:val="24"/>
          <w:szCs w:val="24"/>
          <w:highlight w:val="none"/>
        </w:rPr>
        <w:t xml:space="preserve">1.项目编号：JSZC-320000-SCZX-C2025-0747</w:t>
      </w:r>
      <w:r>
        <w:rPr>
          <w:rFonts w:ascii="宋体" w:hAnsi="宋体"/>
          <w:color w:val="000000"/>
          <w:sz w:val="24"/>
          <w:szCs w:val="24"/>
          <w:highlight w:val="none"/>
        </w:rPr>
      </w:r>
      <w:r/>
    </w:p>
    <w:p>
      <w:pPr>
        <w:pStyle w:val="898"/>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w:t>
      </w:r>
      <w:bookmarkEnd w:id="17"/>
      <w:r>
        <w:rPr>
          <w:rFonts w:hint="eastAsia" w:ascii="宋体" w:hAnsi="宋体"/>
          <w:color w:val="000000"/>
          <w:sz w:val="24"/>
          <w:szCs w:val="24"/>
          <w:highlight w:val="none"/>
        </w:rPr>
        <w:t xml:space="preserve">江苏水文科普园运维及物业服务采购项目</w:t>
      </w:r>
      <w:r>
        <w:rPr>
          <w:rFonts w:hint="eastAsia" w:ascii="宋体" w:hAnsi="宋体"/>
          <w:color w:val="000000"/>
          <w:sz w:val="24"/>
          <w:szCs w:val="24"/>
          <w:highlight w:val="none"/>
        </w:rPr>
      </w:r>
      <w:r/>
    </w:p>
    <w:p>
      <w:pPr>
        <w:pStyle w:val="898"/>
        <w:ind w:firstLine="480"/>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ascii="宋体" w:hAnsi="宋体"/>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98"/>
              <w:jc w:val="center"/>
              <w:rPr>
                <w:rFonts w:hint="eastAsia" w:ascii="宋体" w:hAnsi="宋体"/>
                <w:color w:val="000000"/>
                <w:szCs w:val="21"/>
                <w:highlight w:val="none"/>
              </w:rPr>
            </w:pPr>
            <w:r>
              <w:rPr>
                <w:rFonts w:hint="eastAsia" w:ascii="宋体" w:hAnsi="宋体"/>
                <w:color w:val="000000"/>
                <w:szCs w:val="21"/>
                <w:highlight w:val="none"/>
              </w:rPr>
              <w:t xml:space="preserve">采购包号</w:t>
            </w:r>
            <w:r>
              <w:rPr>
                <w:rFonts w:hint="eastAsia" w:ascii="宋体" w:hAnsi="宋体"/>
                <w:color w:val="000000"/>
                <w:szCs w:val="21"/>
                <w:highlight w:val="none"/>
              </w:rPr>
            </w:r>
            <w:r/>
          </w:p>
        </w:tc>
        <w:tc>
          <w:tcPr>
            <w:tcW w:w="2800" w:type="dxa"/>
            <w:vAlign w:val="top"/>
            <w:textDirection w:val="lrTb"/>
            <w:noWrap w:val="false"/>
          </w:tcPr>
          <w:p>
            <w:pPr>
              <w:pStyle w:val="898"/>
              <w:jc w:val="center"/>
              <w:rPr>
                <w:rFonts w:hint="eastAsia" w:ascii="宋体" w:hAnsi="宋体"/>
                <w:color w:val="000000"/>
                <w:szCs w:val="21"/>
                <w:highlight w:val="none"/>
              </w:rPr>
            </w:pPr>
            <w:r>
              <w:rPr>
                <w:rFonts w:hint="eastAsia" w:ascii="宋体" w:hAnsi="宋体"/>
                <w:color w:val="000000"/>
                <w:szCs w:val="21"/>
                <w:highlight w:val="none"/>
              </w:rPr>
              <w:t xml:space="preserve">预算</w:t>
            </w:r>
            <w:r>
              <w:rPr>
                <w:rFonts w:ascii="宋体" w:hAnsi="宋体"/>
                <w:color w:val="000000"/>
                <w:szCs w:val="21"/>
                <w:highlight w:val="none"/>
              </w:rPr>
              <w:t xml:space="preserve">金额</w:t>
            </w:r>
            <w:r>
              <w:rPr>
                <w:rFonts w:hint="eastAsia" w:ascii="宋体" w:hAnsi="宋体"/>
                <w:color w:val="000000"/>
                <w:szCs w:val="21"/>
                <w:highlight w:val="none"/>
              </w:rPr>
              <w:t xml:space="preserve">（人民币</w:t>
            </w:r>
            <w:r>
              <w:rPr>
                <w:rFonts w:ascii="宋体" w:hAnsi="宋体"/>
                <w:color w:val="000000"/>
                <w:szCs w:val="21"/>
                <w:highlight w:val="none"/>
              </w:rPr>
              <w:t xml:space="preserve">：万元</w:t>
            </w:r>
            <w:r>
              <w:rPr>
                <w:rFonts w:hint="eastAsia" w:ascii="宋体" w:hAnsi="宋体"/>
                <w:color w:val="000000"/>
                <w:szCs w:val="21"/>
                <w:highlight w:val="none"/>
              </w:rPr>
              <w:t xml:space="preserve">）</w:t>
            </w:r>
            <w:r>
              <w:rPr>
                <w:rFonts w:hint="eastAsia" w:ascii="宋体" w:hAnsi="宋体"/>
                <w:color w:val="000000"/>
                <w:szCs w:val="21"/>
                <w:highlight w:val="none"/>
              </w:rPr>
            </w:r>
            <w:r/>
          </w:p>
        </w:tc>
      </w:tr>
      <w:tr>
        <w:trPr/>
        <w:tc>
          <w:tcPr>
            <w:tcW w:w="1148" w:type="dxa"/>
            <w:vAlign w:val="top"/>
            <w:textDirection w:val="lrTb"/>
            <w:noWrap w:val="false"/>
          </w:tcPr>
          <w:p>
            <w:pPr>
              <w:pStyle w:val="898"/>
              <w:jc w:val="center"/>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2800" w:type="dxa"/>
            <w:vAlign w:val="top"/>
            <w:textDirection w:val="lrTb"/>
            <w:noWrap w:val="false"/>
          </w:tcPr>
          <w:p>
            <w:pPr>
              <w:pStyle w:val="898"/>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160</w:t>
            </w:r>
            <w:r>
              <w:rPr>
                <w:rFonts w:ascii="宋体" w:hAnsi="宋体" w:eastAsia="宋体"/>
                <w:color w:val="000000"/>
                <w:szCs w:val="21"/>
                <w:highlight w:val="none"/>
                <w:lang w:val="en-US" w:eastAsia="zh-CN"/>
              </w:rPr>
            </w:r>
            <w:r/>
          </w:p>
        </w:tc>
      </w:tr>
    </w:tbl>
    <w:p>
      <w:pPr>
        <w:pStyle w:val="898"/>
        <w:ind w:firstLine="480"/>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4.采购需求（简介）：</w:t>
      </w:r>
      <w:r>
        <w:rPr>
          <w:rFonts w:hint="eastAsia" w:ascii="宋体" w:hAnsi="宋体" w:eastAsia="宋体" w:cs="Times New Roman"/>
          <w:color w:val="000000"/>
          <w:sz w:val="24"/>
          <w:szCs w:val="24"/>
          <w:highlight w:val="none"/>
          <w:lang w:val="en-US" w:eastAsia="zh-CN"/>
        </w:rPr>
        <w:t xml:space="preserve">本项目主要是</w:t>
      </w:r>
      <w:r>
        <w:rPr>
          <w:rFonts w:hint="eastAsia" w:ascii="宋体" w:hAnsi="宋体" w:eastAsia="宋体" w:cs="Times New Roman"/>
          <w:color w:val="000000"/>
          <w:sz w:val="24"/>
          <w:szCs w:val="24"/>
          <w:highlight w:val="none"/>
        </w:rPr>
        <w:t xml:space="preserve">江苏水文科普园</w:t>
      </w:r>
      <w:r>
        <w:rPr>
          <w:rFonts w:hint="eastAsia" w:ascii="宋体" w:hAnsi="宋体"/>
          <w:color w:val="000000"/>
          <w:sz w:val="24"/>
          <w:szCs w:val="24"/>
          <w:highlight w:val="none"/>
        </w:rPr>
        <w:t xml:space="preserve">运维及物业服务</w:t>
      </w:r>
      <w:r>
        <w:rPr>
          <w:rFonts w:hint="eastAsia" w:ascii="宋体" w:hAnsi="宋体" w:eastAsia="宋体" w:cs="Times New Roman"/>
          <w:color w:val="000000"/>
          <w:sz w:val="24"/>
          <w:szCs w:val="24"/>
          <w:highlight w:val="none"/>
          <w:lang w:val="en-US" w:eastAsia="zh-CN"/>
        </w:rPr>
        <w:t xml:space="preserve">，主要分为物业服务、后勤服务、水土保持观测场运维、水文水情教育场馆运维、灾备机房运维等五个分部开展。</w:t>
      </w:r>
      <w:r>
        <w:rPr>
          <w:rFonts w:hint="eastAsia" w:ascii="宋体" w:hAnsi="宋体" w:eastAsia="宋体" w:cs="Times New Roman"/>
          <w:color w:val="000000"/>
          <w:sz w:val="24"/>
          <w:szCs w:val="24"/>
          <w:highlight w:val="none"/>
        </w:rPr>
        <w:t xml:space="preserve">（详细内容见本磋商文件第四章）</w:t>
      </w:r>
      <w:r>
        <w:rPr>
          <w:rFonts w:hint="eastAsia" w:ascii="宋体" w:hAnsi="宋体" w:eastAsia="宋体" w:cs="Times New Roman"/>
          <w:color w:val="000000"/>
          <w:sz w:val="24"/>
          <w:szCs w:val="24"/>
          <w:highlight w:val="none"/>
        </w:rPr>
      </w:r>
      <w:r/>
    </w:p>
    <w:p>
      <w:pPr>
        <w:pStyle w:val="898"/>
        <w:ind w:firstLine="480"/>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5.合同履行期限：</w:t>
      </w:r>
      <w:r>
        <w:rPr>
          <w:rFonts w:hint="eastAsia" w:ascii="宋体" w:hAnsi="宋体"/>
          <w:color w:val="000000"/>
          <w:sz w:val="24"/>
          <w:szCs w:val="24"/>
          <w:highlight w:val="none"/>
          <w:lang w:val="en-US" w:eastAsia="zh-CN"/>
        </w:rPr>
        <w:t xml:space="preserve">2026年1月-2026年12月。</w:t>
      </w:r>
      <w:r>
        <w:rPr>
          <w:rFonts w:ascii="宋体" w:hAnsi="宋体" w:eastAsia="宋体"/>
          <w:color w:val="000000"/>
          <w:sz w:val="24"/>
          <w:szCs w:val="24"/>
          <w:highlight w:val="none"/>
          <w:u w:val="single"/>
          <w:lang w:val="en-US" w:eastAsia="zh-CN"/>
        </w:rPr>
      </w:r>
      <w:r/>
    </w:p>
    <w:p>
      <w:pPr>
        <w:pStyle w:val="898"/>
        <w:ind w:firstLine="498"/>
        <w:keepLines/>
        <w:keepNext/>
        <w:spacing w:before="156" w:after="156" w:line="360" w:lineRule="auto"/>
        <w:rPr>
          <w:rFonts w:ascii="Times New Roman" w:hAnsi="Times New Roman"/>
          <w:b/>
          <w:bCs/>
          <w:color w:val="000000"/>
          <w:sz w:val="32"/>
          <w:szCs w:val="32"/>
          <w:highlight w:val="none"/>
        </w:rPr>
        <w:outlineLvl w:val="2"/>
      </w:pPr>
      <w:r/>
      <w:bookmarkStart w:id="18" w:name="_Toc28359003"/>
      <w:r/>
      <w:bookmarkStart w:id="19" w:name="_Toc35393622"/>
      <w:r/>
      <w:bookmarkStart w:id="20" w:name="_Toc35393791"/>
      <w:r/>
      <w:bookmarkStart w:id="21" w:name="_Toc38985264"/>
      <w:r/>
      <w:bookmarkStart w:id="22" w:name="_Toc28359080"/>
      <w:r>
        <w:rPr>
          <w:rFonts w:hint="eastAsia" w:ascii="Times New Roman" w:hAnsi="Times New Roman"/>
          <w:b/>
          <w:bCs/>
          <w:color w:val="000000"/>
          <w:sz w:val="32"/>
          <w:szCs w:val="32"/>
          <w:highlight w:val="none"/>
        </w:rPr>
        <w:t xml:space="preserve">二、申请人的资格要求：</w:t>
      </w:r>
      <w:bookmarkEnd w:id="18"/>
      <w:r/>
      <w:bookmarkEnd w:id="19"/>
      <w:r/>
      <w:bookmarkEnd w:id="20"/>
      <w:r/>
      <w:bookmarkEnd w:id="21"/>
      <w:r/>
      <w:bookmarkEnd w:id="22"/>
      <w:r>
        <w:rPr>
          <w:rFonts w:ascii="Times New Roman" w:hAnsi="Times New Roman"/>
          <w:b/>
          <w:bCs/>
          <w:color w:val="000000"/>
          <w:sz w:val="32"/>
          <w:szCs w:val="32"/>
          <w:highlight w:val="none"/>
        </w:rPr>
      </w:r>
      <w:r/>
    </w:p>
    <w:p>
      <w:pPr>
        <w:pStyle w:val="898"/>
        <w:ind w:firstLine="480"/>
        <w:rPr>
          <w:rFonts w:hint="eastAsia" w:ascii="宋体" w:hAnsi="宋体"/>
          <w:color w:val="000000"/>
          <w:sz w:val="24"/>
          <w:szCs w:val="24"/>
          <w:highlight w:val="none"/>
        </w:rPr>
      </w:pPr>
      <w:r/>
      <w:bookmarkStart w:id="23" w:name="_Toc28359004"/>
      <w:r/>
      <w:bookmarkStart w:id="24" w:name="_Toc28359081"/>
      <w:r/>
      <w:bookmarkStart w:id="25" w:name="_Toc35393623"/>
      <w:r/>
      <w:bookmarkStart w:id="26" w:name="_Toc38985265"/>
      <w:r/>
      <w:bookmarkStart w:id="27"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98"/>
        <w:ind w:firstLine="480"/>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898"/>
        <w:ind w:firstLine="480"/>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rPr>
          <w:rFonts w:ascii="宋体" w:hAnsi="宋体"/>
          <w:color w:val="000000"/>
          <w:sz w:val="24"/>
          <w:szCs w:val="24"/>
          <w:highlight w:val="none"/>
        </w:rPr>
      </w:r>
      <w:r/>
    </w:p>
    <w:p>
      <w:pPr>
        <w:pStyle w:val="898"/>
        <w:ind w:firstLine="480"/>
        <w:rPr>
          <w:rFonts w:ascii="宋体" w:hAnsi="宋体"/>
          <w:color w:val="000000"/>
          <w:sz w:val="24"/>
          <w:szCs w:val="24"/>
          <w:highlight w:val="none"/>
        </w:rPr>
      </w:pPr>
      <w:r>
        <w:rPr>
          <w:rFonts w:hint="eastAsia" w:ascii="宋体" w:hAnsi="宋体"/>
          <w:color w:val="000000"/>
          <w:sz w:val="24"/>
          <w:szCs w:val="24"/>
          <w:highlight w:val="none"/>
        </w:rPr>
        <w:t xml:space="preserve">1.2上一年度的财务状况报告（成立不满一年无需提供）；</w:t>
      </w:r>
      <w:r>
        <w:rPr>
          <w:rFonts w:ascii="宋体" w:hAnsi="宋体"/>
          <w:color w:val="000000"/>
          <w:sz w:val="24"/>
          <w:szCs w:val="24"/>
          <w:highlight w:val="none"/>
        </w:rPr>
      </w:r>
      <w:r/>
    </w:p>
    <w:p>
      <w:pPr>
        <w:pStyle w:val="898"/>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olor w:val="000000"/>
          <w:sz w:val="24"/>
          <w:szCs w:val="24"/>
          <w:highlight w:val="none"/>
        </w:rPr>
      </w:r>
      <w:r/>
    </w:p>
    <w:p>
      <w:pPr>
        <w:pStyle w:val="898"/>
        <w:ind w:firstLine="480"/>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rPr>
          <w:rFonts w:ascii="宋体" w:hAnsi="宋体"/>
          <w:color w:val="000000"/>
          <w:sz w:val="24"/>
          <w:szCs w:val="24"/>
          <w:highlight w:val="none"/>
        </w:rPr>
      </w:r>
      <w:r/>
    </w:p>
    <w:p>
      <w:pPr>
        <w:pStyle w:val="898"/>
        <w:ind w:firstLine="480"/>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rPr>
          <w:rFonts w:ascii="宋体" w:hAnsi="宋体"/>
          <w:color w:val="000000"/>
          <w:sz w:val="24"/>
          <w:szCs w:val="24"/>
          <w:highlight w:val="none"/>
        </w:rPr>
      </w:r>
      <w:r/>
    </w:p>
    <w:p>
      <w:pPr>
        <w:pStyle w:val="898"/>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宋体" w:hAnsi="宋体"/>
          <w:color w:val="000000"/>
          <w:sz w:val="24"/>
          <w:szCs w:val="24"/>
          <w:highlight w:val="none"/>
        </w:rPr>
      </w:r>
      <w:r/>
    </w:p>
    <w:p>
      <w:pPr>
        <w:pStyle w:val="898"/>
        <w:ind w:firstLine="480"/>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3. 落实政府采购政策需满足的资格要求：无</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4.联合体参与磋商</w:t>
      </w:r>
      <w:r>
        <w:rPr>
          <w:rFonts w:hint="eastAsia" w:ascii="宋体" w:hAnsi="宋体"/>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898"/>
              <w:jc w:val="center"/>
              <w:rPr>
                <w:rFonts w:hint="eastAsia" w:ascii="宋体" w:hAnsi="宋体"/>
                <w:color w:val="000000"/>
                <w:szCs w:val="21"/>
                <w:highlight w:val="none"/>
              </w:rPr>
            </w:pPr>
            <w:r>
              <w:rPr>
                <w:rFonts w:hint="eastAsia" w:ascii="宋体" w:hAnsi="宋体"/>
                <w:color w:val="000000"/>
                <w:szCs w:val="21"/>
                <w:highlight w:val="none"/>
              </w:rPr>
              <w:t xml:space="preserve">采购包号</w:t>
            </w:r>
            <w:r>
              <w:rPr>
                <w:rFonts w:hint="eastAsia" w:ascii="宋体" w:hAnsi="宋体"/>
                <w:color w:val="000000"/>
                <w:szCs w:val="21"/>
                <w:highlight w:val="none"/>
              </w:rPr>
            </w:r>
            <w:r/>
          </w:p>
        </w:tc>
        <w:tc>
          <w:tcPr>
            <w:tcW w:w="2968" w:type="dxa"/>
            <w:vAlign w:val="top"/>
            <w:textDirection w:val="lrTb"/>
            <w:noWrap w:val="false"/>
          </w:tcPr>
          <w:p>
            <w:pPr>
              <w:pStyle w:val="898"/>
              <w:jc w:val="center"/>
              <w:rPr>
                <w:rFonts w:ascii="宋体" w:hAnsi="宋体"/>
                <w:color w:val="000000"/>
                <w:szCs w:val="21"/>
                <w:highlight w:val="none"/>
              </w:rPr>
            </w:pPr>
            <w:r>
              <w:rPr>
                <w:rFonts w:hint="eastAsia" w:ascii="宋体" w:hAnsi="宋体"/>
                <w:color w:val="000000"/>
                <w:szCs w:val="21"/>
                <w:highlight w:val="none"/>
              </w:rPr>
              <w:t xml:space="preserve">是否接受联合体参与磋商</w:t>
            </w:r>
            <w:r>
              <w:rPr>
                <w:rFonts w:ascii="宋体" w:hAnsi="宋体"/>
                <w:color w:val="000000"/>
                <w:szCs w:val="21"/>
                <w:highlight w:val="none"/>
              </w:rPr>
            </w:r>
            <w:r/>
          </w:p>
          <w:p>
            <w:pPr>
              <w:pStyle w:val="898"/>
              <w:jc w:val="center"/>
              <w:rPr>
                <w:rFonts w:hint="eastAsia"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是/否</w:t>
            </w:r>
            <w:r>
              <w:rPr>
                <w:rFonts w:ascii="宋体" w:hAnsi="宋体"/>
                <w:color w:val="000000"/>
                <w:szCs w:val="21"/>
                <w:highlight w:val="none"/>
              </w:rPr>
              <w:t xml:space="preserve">）</w:t>
            </w:r>
            <w:r>
              <w:rPr>
                <w:rFonts w:hint="eastAsia" w:ascii="宋体" w:hAnsi="宋体"/>
                <w:color w:val="000000"/>
                <w:szCs w:val="21"/>
                <w:highlight w:val="none"/>
              </w:rPr>
            </w:r>
            <w:r/>
          </w:p>
        </w:tc>
        <w:tc>
          <w:tcPr>
            <w:tcW w:w="2967" w:type="dxa"/>
            <w:vAlign w:val="top"/>
            <w:textDirection w:val="lrTb"/>
            <w:noWrap w:val="false"/>
          </w:tcPr>
          <w:p>
            <w:pPr>
              <w:pStyle w:val="898"/>
              <w:jc w:val="center"/>
              <w:rPr>
                <w:rFonts w:hint="eastAsia" w:ascii="宋体" w:hAnsi="宋体"/>
                <w:color w:val="000000"/>
                <w:szCs w:val="21"/>
                <w:highlight w:val="none"/>
              </w:rPr>
            </w:pPr>
            <w:r>
              <w:rPr>
                <w:rFonts w:hint="eastAsia" w:ascii="宋体" w:hAnsi="宋体"/>
                <w:color w:val="000000"/>
                <w:szCs w:val="21"/>
                <w:highlight w:val="none"/>
              </w:rPr>
              <w:t xml:space="preserve">该</w:t>
            </w:r>
            <w:r>
              <w:rPr>
                <w:rFonts w:ascii="宋体" w:hAnsi="宋体"/>
                <w:color w:val="000000"/>
                <w:szCs w:val="21"/>
                <w:highlight w:val="none"/>
              </w:rPr>
              <w:t xml:space="preserve">采购包</w:t>
            </w:r>
            <w:r>
              <w:rPr>
                <w:rFonts w:hint="eastAsia" w:ascii="宋体" w:hAnsi="宋体"/>
                <w:color w:val="000000"/>
                <w:szCs w:val="21"/>
                <w:highlight w:val="none"/>
              </w:rPr>
              <w:t xml:space="preserve">中</w:t>
            </w:r>
            <w:r>
              <w:rPr>
                <w:rFonts w:ascii="宋体" w:hAnsi="宋体"/>
                <w:color w:val="000000"/>
                <w:szCs w:val="21"/>
                <w:highlight w:val="none"/>
              </w:rPr>
              <w:t xml:space="preserve">联合体成员数量</w:t>
            </w:r>
            <w:r>
              <w:rPr>
                <w:rFonts w:hint="eastAsia" w:ascii="宋体" w:hAnsi="宋体"/>
                <w:color w:val="000000"/>
                <w:szCs w:val="21"/>
                <w:highlight w:val="none"/>
              </w:rPr>
              <w:t xml:space="preserve">上限</w:t>
            </w:r>
            <w:r>
              <w:rPr>
                <w:rFonts w:hint="eastAsia" w:ascii="宋体" w:hAnsi="宋体"/>
                <w:color w:val="000000"/>
                <w:szCs w:val="21"/>
                <w:highlight w:val="none"/>
              </w:rPr>
            </w:r>
            <w:r/>
          </w:p>
        </w:tc>
      </w:tr>
      <w:tr>
        <w:trPr/>
        <w:tc>
          <w:tcPr>
            <w:tcW w:w="1148" w:type="dxa"/>
            <w:vAlign w:val="top"/>
            <w:textDirection w:val="lrTb"/>
            <w:noWrap w:val="false"/>
          </w:tcPr>
          <w:p>
            <w:pPr>
              <w:pStyle w:val="898"/>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1</w:t>
            </w:r>
            <w:r>
              <w:rPr>
                <w:rFonts w:hint="eastAsia" w:ascii="宋体" w:hAnsi="宋体" w:eastAsia="宋体"/>
                <w:color w:val="000000"/>
                <w:szCs w:val="21"/>
                <w:highlight w:val="none"/>
                <w:lang w:eastAsia="zh-CN"/>
              </w:rPr>
            </w:r>
            <w:r/>
          </w:p>
        </w:tc>
        <w:tc>
          <w:tcPr>
            <w:tcW w:w="2968" w:type="dxa"/>
            <w:vAlign w:val="top"/>
            <w:textDirection w:val="lrTb"/>
            <w:noWrap w:val="false"/>
          </w:tcPr>
          <w:p>
            <w:pPr>
              <w:pStyle w:val="898"/>
              <w:jc w:val="center"/>
              <w:rPr>
                <w:rFonts w:ascii="宋体" w:hAnsi="宋体"/>
                <w:color w:val="000000"/>
                <w:szCs w:val="21"/>
                <w:highlight w:val="none"/>
              </w:rPr>
            </w:pPr>
            <w:r>
              <w:rPr>
                <w:rFonts w:hint="eastAsia" w:ascii="宋体" w:hAnsi="宋体"/>
                <w:color w:val="000000"/>
                <w:szCs w:val="21"/>
                <w:highlight w:val="none"/>
              </w:rPr>
              <w:t xml:space="preserve">否</w:t>
            </w:r>
            <w:r>
              <w:rPr>
                <w:rFonts w:ascii="宋体" w:hAnsi="宋体"/>
                <w:color w:val="000000"/>
                <w:szCs w:val="21"/>
                <w:highlight w:val="none"/>
              </w:rPr>
            </w:r>
            <w:r/>
          </w:p>
        </w:tc>
        <w:tc>
          <w:tcPr>
            <w:tcW w:w="2967" w:type="dxa"/>
            <w:vAlign w:val="top"/>
            <w:textDirection w:val="lrTb"/>
            <w:noWrap w:val="false"/>
          </w:tcPr>
          <w:p>
            <w:pPr>
              <w:pStyle w:val="898"/>
              <w:jc w:val="center"/>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rPr>
            </w:r>
            <w:r/>
          </w:p>
        </w:tc>
      </w:tr>
    </w:tbl>
    <w:p>
      <w:pPr>
        <w:pStyle w:val="898"/>
        <w:ind w:firstLine="480"/>
        <w:rPr>
          <w:rFonts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rFonts w:ascii="宋体" w:hAnsi="宋体"/>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03"/>
      </w:tblGrid>
      <w:tr>
        <w:trPr/>
        <w:tc>
          <w:tcPr>
            <w:tcW w:w="1148" w:type="dxa"/>
            <w:vAlign w:val="top"/>
            <w:textDirection w:val="lrTb"/>
            <w:noWrap w:val="false"/>
          </w:tcPr>
          <w:p>
            <w:pPr>
              <w:pStyle w:val="898"/>
              <w:jc w:val="center"/>
              <w:rPr>
                <w:rFonts w:hint="eastAsia" w:ascii="宋体" w:hAnsi="宋体"/>
                <w:color w:val="000000"/>
                <w:szCs w:val="21"/>
                <w:highlight w:val="none"/>
              </w:rPr>
            </w:pPr>
            <w:r>
              <w:rPr>
                <w:rFonts w:hint="eastAsia" w:ascii="宋体" w:hAnsi="宋体"/>
                <w:color w:val="000000"/>
                <w:szCs w:val="21"/>
                <w:highlight w:val="none"/>
              </w:rPr>
              <w:t xml:space="preserve">采购包号</w:t>
            </w:r>
            <w:r>
              <w:rPr>
                <w:rFonts w:hint="eastAsia" w:ascii="宋体" w:hAnsi="宋体"/>
                <w:color w:val="000000"/>
                <w:szCs w:val="21"/>
                <w:highlight w:val="none"/>
              </w:rPr>
            </w:r>
            <w:r/>
          </w:p>
        </w:tc>
        <w:tc>
          <w:tcPr>
            <w:tcW w:w="5903" w:type="dxa"/>
            <w:vAlign w:val="top"/>
            <w:textDirection w:val="lrTb"/>
            <w:noWrap w:val="false"/>
          </w:tcPr>
          <w:p>
            <w:pPr>
              <w:pStyle w:val="898"/>
              <w:jc w:val="center"/>
              <w:rPr>
                <w:rFonts w:hint="eastAsia" w:ascii="宋体" w:hAnsi="宋体"/>
                <w:color w:val="000000"/>
                <w:szCs w:val="21"/>
                <w:highlight w:val="none"/>
              </w:rPr>
            </w:pPr>
            <w:r>
              <w:rPr>
                <w:rFonts w:hint="eastAsia" w:ascii="宋体" w:hAnsi="宋体"/>
                <w:color w:val="000000"/>
                <w:szCs w:val="21"/>
                <w:highlight w:val="none"/>
              </w:rPr>
              <w:t xml:space="preserve">特定</w:t>
            </w:r>
            <w:r>
              <w:rPr>
                <w:rFonts w:ascii="宋体" w:hAnsi="宋体"/>
                <w:color w:val="000000"/>
                <w:szCs w:val="21"/>
                <w:highlight w:val="none"/>
              </w:rPr>
              <w:t xml:space="preserve">资格要求</w:t>
            </w:r>
            <w:r>
              <w:rPr>
                <w:rFonts w:hint="eastAsia" w:ascii="宋体" w:hAnsi="宋体"/>
                <w:color w:val="000000"/>
                <w:szCs w:val="21"/>
                <w:highlight w:val="none"/>
              </w:rPr>
            </w:r>
            <w:r/>
          </w:p>
        </w:tc>
      </w:tr>
      <w:tr>
        <w:trPr/>
        <w:tc>
          <w:tcPr>
            <w:tcW w:w="1148" w:type="dxa"/>
            <w:vAlign w:val="top"/>
            <w:textDirection w:val="lrTb"/>
            <w:noWrap w:val="false"/>
          </w:tcPr>
          <w:p>
            <w:pPr>
              <w:pStyle w:val="898"/>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1</w:t>
            </w:r>
            <w:r>
              <w:rPr>
                <w:rFonts w:hint="eastAsia" w:ascii="宋体" w:hAnsi="宋体" w:eastAsia="宋体"/>
                <w:color w:val="000000"/>
                <w:szCs w:val="21"/>
                <w:highlight w:val="none"/>
                <w:lang w:eastAsia="zh-CN"/>
              </w:rPr>
            </w:r>
            <w:r/>
          </w:p>
        </w:tc>
        <w:tc>
          <w:tcPr>
            <w:tcW w:w="5903" w:type="dxa"/>
            <w:vAlign w:val="top"/>
            <w:textDirection w:val="lrTb"/>
            <w:noWrap w:val="false"/>
          </w:tcPr>
          <w:p>
            <w:pPr>
              <w:pStyle w:val="898"/>
              <w:jc w:val="center"/>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rPr>
            </w:r>
            <w:r/>
          </w:p>
        </w:tc>
      </w:tr>
    </w:tbl>
    <w:p>
      <w:pPr>
        <w:pStyle w:val="898"/>
        <w:ind w:firstLine="498"/>
        <w:keepLines/>
        <w:keepNext/>
        <w:spacing w:before="156" w:after="156" w:line="360" w:lineRule="auto"/>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三、获取磋商文件</w:t>
      </w:r>
      <w:r>
        <w:rPr>
          <w:rFonts w:ascii="Times New Roman" w:hAnsi="Times New Roman"/>
          <w:b/>
          <w:bCs/>
          <w:color w:val="000000"/>
          <w:sz w:val="32"/>
          <w:szCs w:val="32"/>
          <w:highlight w:val="none"/>
        </w:rPr>
      </w:r>
      <w:r/>
    </w:p>
    <w:p>
      <w:pPr>
        <w:pStyle w:val="898"/>
        <w:ind w:firstLine="54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1.时间</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：自磋商文件公告发布之日起5个工作日。</w:t>
      </w:r>
      <w:r>
        <w:rPr>
          <w:rFonts w:hint="eastAsia" w:ascii="宋体" w:hAnsi="宋体" w:cs="宋体"/>
          <w:b/>
          <w:color w:val="000000"/>
          <w:sz w:val="24"/>
          <w:szCs w:val="24"/>
          <w:highlight w:val="none"/>
        </w:rPr>
      </w:r>
      <w:r/>
    </w:p>
    <w:p>
      <w:pPr>
        <w:pStyle w:val="898"/>
        <w:ind w:firstLine="54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2.方式：在“江苏政府采购网”自行免费下载磋商文件。</w:t>
      </w:r>
      <w:r>
        <w:rPr>
          <w:rFonts w:ascii="宋体" w:hAnsi="宋体" w:cs="宋体"/>
          <w:color w:val="000000"/>
          <w:sz w:val="24"/>
          <w:szCs w:val="24"/>
          <w:highlight w:val="none"/>
          <w:u w:val="single"/>
        </w:rPr>
      </w:r>
      <w:r/>
    </w:p>
    <w:p>
      <w:pPr>
        <w:pStyle w:val="898"/>
        <w:ind w:firstLine="498"/>
        <w:keepLines/>
        <w:keepNext/>
        <w:spacing w:before="156" w:after="156" w:line="360" w:lineRule="auto"/>
        <w:rPr>
          <w:rFonts w:ascii="Times New Roman" w:hAnsi="Times New Roman"/>
          <w:b/>
          <w:bCs/>
          <w:color w:val="000000"/>
          <w:sz w:val="32"/>
          <w:szCs w:val="32"/>
          <w:highlight w:val="none"/>
        </w:rPr>
        <w:outlineLvl w:val="2"/>
      </w:pPr>
      <w:r/>
      <w:bookmarkEnd w:id="23"/>
      <w:r/>
      <w:bookmarkEnd w:id="24"/>
      <w:r/>
      <w:bookmarkEnd w:id="25"/>
      <w:r/>
      <w:bookmarkEnd w:id="26"/>
      <w:r/>
      <w:bookmarkEnd w:id="27"/>
      <w:r/>
      <w:bookmarkStart w:id="28" w:name="_Toc28359005"/>
      <w:r/>
      <w:bookmarkStart w:id="29" w:name="_Toc28359082"/>
      <w:r/>
      <w:bookmarkStart w:id="30" w:name="_Toc35393624"/>
      <w:r/>
      <w:bookmarkStart w:id="31" w:name="_Toc35393793"/>
      <w:r/>
      <w:bookmarkStart w:id="32" w:name="_Toc38985266"/>
      <w:r>
        <w:rPr>
          <w:rFonts w:hint="eastAsia" w:ascii="Times New Roman" w:hAnsi="Times New Roman"/>
          <w:b/>
          <w:bCs/>
          <w:color w:val="000000"/>
          <w:sz w:val="32"/>
          <w:szCs w:val="32"/>
          <w:highlight w:val="none"/>
        </w:rPr>
        <w:t xml:space="preserve">四、提交</w:t>
      </w:r>
      <w:bookmarkEnd w:id="28"/>
      <w:r/>
      <w:bookmarkEnd w:id="29"/>
      <w:r>
        <w:rPr>
          <w:rFonts w:hint="eastAsia" w:ascii="Times New Roman" w:hAnsi="Times New Roman"/>
          <w:b/>
          <w:bCs/>
          <w:color w:val="000000"/>
          <w:sz w:val="32"/>
          <w:szCs w:val="32"/>
          <w:highlight w:val="none"/>
        </w:rPr>
        <w:t xml:space="preserve">响应文件截止时间</w:t>
      </w:r>
      <w:bookmarkEnd w:id="30"/>
      <w:r/>
      <w:bookmarkEnd w:id="31"/>
      <w:r/>
      <w:bookmarkEnd w:id="32"/>
      <w:r>
        <w:rPr>
          <w:rFonts w:hint="eastAsia" w:ascii="Times New Roman" w:hAnsi="Times New Roman"/>
          <w:b/>
          <w:bCs/>
          <w:color w:val="000000"/>
          <w:sz w:val="32"/>
          <w:szCs w:val="32"/>
          <w:highlight w:val="none"/>
        </w:rPr>
        <w:t xml:space="preserve">、开启时间及地点</w:t>
      </w:r>
      <w:r>
        <w:rPr>
          <w:rFonts w:ascii="Times New Roman" w:hAnsi="Times New Roman"/>
          <w:b/>
          <w:bCs/>
          <w:color w:val="000000"/>
          <w:sz w:val="32"/>
          <w:szCs w:val="32"/>
          <w:highlight w:val="none"/>
        </w:rPr>
      </w:r>
      <w:r/>
    </w:p>
    <w:p>
      <w:pPr>
        <w:pStyle w:val="898"/>
        <w:ind w:firstLine="480"/>
        <w:rPr>
          <w:rFonts w:ascii="宋体" w:hAnsi="宋体" w:cs="宋体"/>
          <w:color w:val="000000"/>
          <w:sz w:val="24"/>
          <w:szCs w:val="24"/>
          <w:highlight w:val="none"/>
        </w:rPr>
      </w:pPr>
      <w:r>
        <w:rPr>
          <w:rFonts w:hint="eastAsia" w:ascii="宋体" w:hAnsi="宋体"/>
          <w:bCs/>
          <w:color w:val="000000"/>
          <w:sz w:val="24"/>
          <w:szCs w:val="24"/>
          <w:highlight w:val="none"/>
          <w:u w:val="single"/>
        </w:rPr>
        <w:t xml:space="preserve">1.2025年12月22日14点00分</w:t>
      </w:r>
      <w:r>
        <w:rPr>
          <w:rFonts w:hint="eastAsia" w:ascii="宋体" w:hAnsi="宋体"/>
          <w:bCs/>
          <w:color w:val="000000"/>
          <w:sz w:val="24"/>
          <w:szCs w:val="24"/>
          <w:highlight w:val="none"/>
        </w:rPr>
        <w:t xml:space="preserve">（北京时间）。</w:t>
      </w:r>
      <w:r>
        <w:rPr>
          <w:rFonts w:ascii="宋体" w:hAnsi="宋体" w:cs="宋体"/>
          <w:color w:val="000000"/>
          <w:sz w:val="24"/>
          <w:szCs w:val="24"/>
          <w:highlight w:val="none"/>
        </w:rPr>
      </w:r>
      <w:r/>
    </w:p>
    <w:p>
      <w:pPr>
        <w:pStyle w:val="898"/>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w:t>
      </w:r>
      <w:r>
        <w:rPr>
          <w:rFonts w:ascii="宋体" w:hAnsi="宋体"/>
          <w:color w:val="000000"/>
          <w:sz w:val="24"/>
          <w:szCs w:val="24"/>
          <w:highlight w:val="none"/>
        </w:rPr>
      </w:r>
      <w:r/>
    </w:p>
    <w:p>
      <w:pPr>
        <w:pStyle w:val="898"/>
        <w:ind w:firstLine="498"/>
        <w:keepLines/>
        <w:keepNext/>
        <w:spacing w:before="156" w:after="156" w:line="360" w:lineRule="auto"/>
        <w:rPr>
          <w:rFonts w:ascii="Times New Roman" w:hAnsi="Times New Roman"/>
          <w:b/>
          <w:bCs/>
          <w:color w:val="000000"/>
          <w:sz w:val="32"/>
          <w:szCs w:val="32"/>
          <w:highlight w:val="none"/>
        </w:rPr>
        <w:outlineLvl w:val="2"/>
      </w:pPr>
      <w:r/>
      <w:bookmarkStart w:id="33" w:name="_Toc35393625"/>
      <w:r/>
      <w:bookmarkStart w:id="34" w:name="_Toc28359084"/>
      <w:r/>
      <w:bookmarkStart w:id="35" w:name="_Toc35393794"/>
      <w:r/>
      <w:bookmarkStart w:id="36" w:name="_Toc38985267"/>
      <w:r/>
      <w:bookmarkStart w:id="37" w:name="_Toc28359007"/>
      <w:r>
        <w:rPr>
          <w:rFonts w:hint="eastAsia" w:ascii="Times New Roman" w:hAnsi="Times New Roman"/>
          <w:b/>
          <w:bCs/>
          <w:color w:val="000000"/>
          <w:sz w:val="32"/>
          <w:szCs w:val="32"/>
          <w:highlight w:val="none"/>
        </w:rPr>
        <w:t xml:space="preserve">五、公告期限</w:t>
      </w:r>
      <w:bookmarkEnd w:id="33"/>
      <w:r/>
      <w:bookmarkEnd w:id="34"/>
      <w:r/>
      <w:bookmarkEnd w:id="35"/>
      <w:r/>
      <w:bookmarkEnd w:id="36"/>
      <w:r/>
      <w:bookmarkEnd w:id="37"/>
      <w:r>
        <w:rPr>
          <w:rFonts w:ascii="Times New Roman" w:hAnsi="Times New Roman"/>
          <w:b/>
          <w:bCs/>
          <w:color w:val="000000"/>
          <w:sz w:val="32"/>
          <w:szCs w:val="32"/>
          <w:highlight w:val="none"/>
        </w:rPr>
      </w:r>
      <w:r/>
    </w:p>
    <w:p>
      <w:pPr>
        <w:pStyle w:val="89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磋商公告期限为自本公告发布之日起3个工作日，磋商文件公告期限为自本公告发布之日起</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个工作日。</w:t>
      </w:r>
      <w:r>
        <w:rPr>
          <w:rFonts w:hint="eastAsia" w:ascii="宋体" w:hAnsi="宋体" w:cs="宋体"/>
          <w:color w:val="000000"/>
          <w:sz w:val="24"/>
          <w:szCs w:val="24"/>
          <w:highlight w:val="none"/>
        </w:rPr>
      </w:r>
      <w:r/>
    </w:p>
    <w:p>
      <w:pPr>
        <w:pStyle w:val="898"/>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u w:val="single"/>
        </w:rPr>
      </w:r>
      <w:r/>
    </w:p>
    <w:p>
      <w:pPr>
        <w:pStyle w:val="898"/>
        <w:ind w:firstLine="498"/>
        <w:keepLines/>
        <w:keepNext/>
        <w:spacing w:before="156" w:after="156" w:line="360" w:lineRule="auto"/>
        <w:rPr>
          <w:rFonts w:ascii="Times New Roman" w:hAnsi="Times New Roman"/>
          <w:b/>
          <w:bCs/>
          <w:color w:val="000000"/>
          <w:sz w:val="32"/>
          <w:szCs w:val="32"/>
          <w:highlight w:val="none"/>
        </w:rPr>
        <w:outlineLvl w:val="2"/>
      </w:pPr>
      <w:r/>
      <w:bookmarkStart w:id="38" w:name="_Toc38985268"/>
      <w:r/>
      <w:bookmarkStart w:id="39" w:name="_Toc35393795"/>
      <w:r/>
      <w:bookmarkStart w:id="40" w:name="_Toc35393626"/>
      <w:r>
        <w:rPr>
          <w:rFonts w:hint="eastAsia" w:ascii="Times New Roman" w:hAnsi="Times New Roman"/>
          <w:b/>
          <w:bCs/>
          <w:color w:val="000000"/>
          <w:sz w:val="32"/>
          <w:szCs w:val="32"/>
          <w:highlight w:val="none"/>
        </w:rPr>
        <w:t xml:space="preserve">六、其他补充事宜</w:t>
      </w:r>
      <w:bookmarkEnd w:id="38"/>
      <w:r/>
      <w:bookmarkEnd w:id="39"/>
      <w:r/>
      <w:bookmarkEnd w:id="40"/>
      <w:r>
        <w:rPr>
          <w:rFonts w:ascii="Times New Roman" w:hAnsi="Times New Roman"/>
          <w:b/>
          <w:bCs/>
          <w:color w:val="000000"/>
          <w:sz w:val="32"/>
          <w:szCs w:val="32"/>
          <w:highlight w:val="none"/>
        </w:rPr>
      </w:r>
      <w:r/>
    </w:p>
    <w:p>
      <w:pPr>
        <w:pStyle w:val="898"/>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ind w:firstLine="498"/>
        <w:keepLines/>
        <w:keepNext/>
        <w:spacing w:before="156" w:after="156" w:line="360" w:lineRule="auto"/>
        <w:rPr>
          <w:rFonts w:ascii="Times New Roman" w:hAnsi="Times New Roman"/>
          <w:b/>
          <w:bCs/>
          <w:color w:val="000000"/>
          <w:sz w:val="32"/>
          <w:szCs w:val="32"/>
          <w:highlight w:val="none"/>
        </w:rPr>
        <w:outlineLvl w:val="2"/>
      </w:pPr>
      <w:r/>
      <w:bookmarkStart w:id="41" w:name="_Toc38985269"/>
      <w:r/>
      <w:bookmarkStart w:id="42" w:name="_Toc35393627"/>
      <w:r/>
      <w:bookmarkStart w:id="43" w:name="_Toc28359008"/>
      <w:r/>
      <w:bookmarkStart w:id="44" w:name="_Toc28359085"/>
      <w:r/>
      <w:bookmarkStart w:id="45" w:name="_Toc35393796"/>
      <w:r>
        <w:rPr>
          <w:rFonts w:hint="eastAsia" w:ascii="Times New Roman" w:hAnsi="Times New Roman"/>
          <w:b/>
          <w:bCs/>
          <w:color w:val="000000"/>
          <w:sz w:val="32"/>
          <w:szCs w:val="32"/>
          <w:highlight w:val="none"/>
        </w:rPr>
        <w:t xml:space="preserve">七、本次磋商联系方式</w:t>
      </w:r>
      <w:bookmarkEnd w:id="41"/>
      <w:r/>
      <w:bookmarkEnd w:id="42"/>
      <w:r/>
      <w:bookmarkEnd w:id="43"/>
      <w:r/>
      <w:bookmarkEnd w:id="44"/>
      <w:r/>
      <w:bookmarkEnd w:id="45"/>
      <w:r>
        <w:rPr>
          <w:rFonts w:ascii="Times New Roman" w:hAnsi="Times New Roman"/>
          <w:b/>
          <w:bCs/>
          <w:color w:val="000000"/>
          <w:sz w:val="32"/>
          <w:szCs w:val="32"/>
          <w:highlight w:val="none"/>
        </w:rPr>
      </w:r>
      <w:r/>
    </w:p>
    <w:p>
      <w:pPr>
        <w:pStyle w:val="898"/>
        <w:jc w:val="lef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898"/>
        <w:ind w:left="1079" w:hanging="30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江苏省水利数字中心</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898"/>
        <w:ind w:left="1079" w:hanging="30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南京市雨花区龙西路306号</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898"/>
        <w:ind w:left="1079" w:hanging="30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杨婕</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898"/>
        <w:ind w:left="1079" w:hanging="300"/>
        <w:jc w:val="left"/>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13809007600</w:t>
      </w:r>
      <w:r>
        <w:rPr>
          <w:rFonts w:hint="eastAsia" w:ascii="宋体" w:hAnsi="宋体"/>
          <w:color w:val="000000"/>
          <w:sz w:val="24"/>
          <w:szCs w:val="24"/>
          <w:highlight w:val="none"/>
          <w:u w:val="single"/>
        </w:rPr>
        <w:t xml:space="preserve">　　　　　　　　　 </w:t>
      </w:r>
      <w:bookmarkStart w:id="46" w:name="_Toc28359009"/>
      <w:r/>
      <w:bookmarkStart w:id="47" w:name="_Toc28359086"/>
      <w:r>
        <w:rPr>
          <w:rFonts w:ascii="宋体" w:hAnsi="宋体"/>
          <w:color w:val="000000"/>
          <w:sz w:val="24"/>
          <w:szCs w:val="24"/>
          <w:highlight w:val="none"/>
          <w:u w:val="single"/>
        </w:rPr>
      </w:r>
      <w:r/>
    </w:p>
    <w:p>
      <w:pPr>
        <w:pStyle w:val="898"/>
        <w:ind w:left="1079" w:hanging="300"/>
        <w:jc w:val="left"/>
        <w:spacing w:line="400" w:lineRule="exact"/>
        <w:rPr>
          <w:rFonts w:ascii="宋体" w:hAnsi="宋体"/>
          <w:color w:val="000000"/>
          <w:sz w:val="24"/>
          <w:szCs w:val="24"/>
          <w:highlight w:val="none"/>
        </w:rPr>
      </w:pPr>
      <w:r/>
      <w:bookmarkEnd w:id="46"/>
      <w:r/>
      <w:bookmarkEnd w:id="47"/>
      <w:r/>
      <w:bookmarkStart w:id="48" w:name="OLE_LINK4"/>
      <w:r>
        <w:rPr>
          <w:rFonts w:hint="eastAsia" w:ascii="宋体" w:hAnsi="宋体" w:cs="宋体"/>
          <w:color w:val="000000"/>
          <w:sz w:val="24"/>
          <w:szCs w:val="24"/>
          <w:highlight w:val="none"/>
        </w:rPr>
        <w:t xml:space="preserve">2.江苏省政府采购中心信息</w:t>
      </w:r>
      <w:r>
        <w:rPr>
          <w:rFonts w:ascii="宋体" w:hAnsi="宋体"/>
          <w:color w:val="000000"/>
          <w:sz w:val="24"/>
          <w:szCs w:val="24"/>
          <w:highlight w:val="none"/>
        </w:rPr>
      </w:r>
      <w:r/>
    </w:p>
    <w:p>
      <w:pPr>
        <w:pStyle w:val="898"/>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南京市汉中门大街145号省政务中心二期3楼南区　</w:t>
      </w:r>
      <w:r>
        <w:rPr>
          <w:rFonts w:ascii="宋体" w:hAnsi="宋体"/>
          <w:color w:val="000000"/>
          <w:sz w:val="24"/>
          <w:szCs w:val="24"/>
          <w:highlight w:val="none"/>
        </w:rPr>
      </w:r>
      <w:r/>
    </w:p>
    <w:p>
      <w:pPr>
        <w:pStyle w:val="898"/>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厉彬彬</w:t>
      </w:r>
      <w:r>
        <w:rPr>
          <w:rFonts w:hint="eastAsia" w:ascii="宋体" w:hAnsi="宋体"/>
          <w:color w:val="000000"/>
          <w:sz w:val="24"/>
          <w:szCs w:val="24"/>
          <w:highlight w:val="none"/>
          <w:u w:val="single"/>
          <w:lang w:val="en-US" w:eastAsia="zh-CN"/>
        </w:rPr>
        <w:t xml:space="preserve">、唐文</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898"/>
        <w:ind w:firstLine="7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rPr>
        <w:t xml:space="preserve">　025-83668517</w:t>
      </w:r>
      <w:r>
        <w:rPr>
          <w:rFonts w:hint="eastAsia" w:ascii="宋体" w:hAnsi="宋体"/>
          <w:color w:val="000000"/>
          <w:sz w:val="24"/>
          <w:szCs w:val="24"/>
          <w:highlight w:val="none"/>
          <w:u w:val="single"/>
          <w:lang w:val="en-US" w:eastAsia="zh-CN"/>
        </w:rPr>
        <w:t xml:space="preserve">/83668519</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898"/>
        <w:ind w:firstLine="498"/>
        <w:keepLines/>
        <w:keepNext/>
        <w:spacing w:before="156" w:after="156" w:line="360" w:lineRule="auto"/>
        <w:rPr>
          <w:rFonts w:ascii="Times New Roman" w:hAnsi="Times New Roman"/>
          <w:b/>
          <w:bCs/>
          <w:color w:val="000000"/>
          <w:sz w:val="32"/>
          <w:szCs w:val="32"/>
          <w:highlight w:val="none"/>
        </w:rPr>
        <w:outlineLvl w:val="2"/>
      </w:pPr>
      <w:r/>
      <w:bookmarkEnd w:id="48"/>
      <w:r>
        <w:rPr>
          <w:rFonts w:hint="eastAsia" w:ascii="Times New Roman" w:hAnsi="Times New Roman"/>
          <w:b/>
          <w:bCs/>
          <w:color w:val="000000"/>
          <w:sz w:val="32"/>
          <w:szCs w:val="32"/>
          <w:highlight w:val="none"/>
        </w:rPr>
        <w:t xml:space="preserve">八、其他</w:t>
      </w:r>
      <w:r>
        <w:rPr>
          <w:rFonts w:ascii="Times New Roman" w:hAnsi="Times New Roman"/>
          <w:b/>
          <w:bCs/>
          <w:color w:val="000000"/>
          <w:sz w:val="32"/>
          <w:szCs w:val="32"/>
          <w:highlight w:val="none"/>
        </w:rPr>
      </w:r>
      <w:r/>
    </w:p>
    <w:p>
      <w:pPr>
        <w:pStyle w:val="898"/>
        <w:ind w:firstLine="480"/>
        <w:tabs>
          <w:tab w:val="left" w:pos="900" w:leader="none"/>
        </w:tabs>
        <w:rPr>
          <w:rFonts w:hint="eastAsia" w:ascii="宋体" w:hAnsi="宋体"/>
          <w:bCs/>
          <w:color w:val="000000"/>
          <w:sz w:val="24"/>
          <w:szCs w:val="24"/>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hint="eastAsia" w:ascii="宋体" w:hAnsi="宋体"/>
          <w:bCs/>
          <w:color w:val="000000"/>
          <w:sz w:val="24"/>
          <w:szCs w:val="24"/>
          <w:highlight w:val="none"/>
        </w:rPr>
        <w:t xml:space="preserve">根据省财政厅《关于更换全省政府采购交易系统C 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 A和方正国际软件（北京）有限公司电子签章。如果供应商通过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w:t>
      </w:r>
      <w:r>
        <w:rPr>
          <w:rFonts w:ascii="Times New Roman" w:hAnsi="Times New Roman"/>
          <w:bCs/>
          <w:color w:val="000000"/>
          <w:szCs w:val="21"/>
          <w:highlight w:val="none"/>
        </w:rPr>
        <w:t xml:space="preserve">http://www.ccgp-jiangsu.gov.cn/jiangsu/zlxz/ee/ee3a4bc5a3454aa2b0d9312230633ce9.html。</w:t>
      </w:r>
      <w:r>
        <w:rPr>
          <w:rFonts w:hint="eastAsia" w:ascii="宋体" w:hAnsi="宋体"/>
          <w:bCs/>
          <w:color w:val="000000"/>
          <w:sz w:val="24"/>
          <w:szCs w:val="24"/>
          <w:highlight w:val="none"/>
        </w:rPr>
      </w:r>
      <w:r/>
    </w:p>
    <w:p>
      <w:pPr>
        <w:pStyle w:val="898"/>
        <w:ind w:firstLine="480"/>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t>
      </w:r>
      <w:r>
        <w:rPr>
          <w:rFonts w:ascii="Times New Roman" w:hAnsi="Times New Roman"/>
          <w:bCs/>
          <w:color w:val="000000"/>
          <w:szCs w:val="21"/>
          <w:highlight w:val="none"/>
        </w:rPr>
        <w:t xml:space="preserve">www.jszwfw.gov.cn</w:t>
      </w:r>
      <w:r>
        <w:rPr>
          <w:rFonts w:hint="eastAsia" w:ascii="宋体" w:hAnsi="宋体"/>
          <w:bCs/>
          <w:color w:val="000000"/>
          <w:sz w:val="24"/>
          <w:szCs w:val="24"/>
          <w:highlight w:val="none"/>
        </w:rPr>
        <w:t xml:space="preserve">），“一企来办”专栏下“政府采购”模块详细了解关于CA办理、标书制作、开标投标指引等事宜。</w:t>
      </w:r>
      <w:r>
        <w:rPr>
          <w:rFonts w:ascii="宋体" w:hAnsi="宋体"/>
          <w:bCs/>
          <w:color w:val="000000"/>
          <w:sz w:val="24"/>
          <w:szCs w:val="24"/>
          <w:highlight w:val="none"/>
        </w:rPr>
      </w:r>
      <w:r/>
    </w:p>
    <w:p>
      <w:pPr>
        <w:pStyle w:val="898"/>
        <w:ind w:firstLine="480"/>
        <w:spacing w:line="4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如果“江苏政府采购网”</w:t>
      </w:r>
      <w:r>
        <w:rPr>
          <w:rFonts w:ascii="Times New Roman" w:hAnsi="Times New Roman"/>
          <w:bCs/>
          <w:color w:val="000000"/>
          <w:szCs w:val="21"/>
          <w:highlight w:val="none"/>
        </w:rPr>
        <w:t xml:space="preserve">（www.ccgp-jiangsu.gov.cn）</w:t>
      </w:r>
      <w:r>
        <w:rPr>
          <w:rFonts w:hint="eastAsia" w:ascii="Times New Roman" w:hAnsi="Times New Roman"/>
          <w:bCs/>
          <w:color w:val="000000"/>
          <w:sz w:val="24"/>
          <w:szCs w:val="24"/>
          <w:highlight w:val="none"/>
        </w:rPr>
        <w:t xml:space="preserve">信息</w:t>
      </w:r>
      <w:r>
        <w:rPr>
          <w:rFonts w:hint="eastAsia" w:ascii="宋体" w:hAnsi="宋体"/>
          <w:bCs/>
          <w:color w:val="000000"/>
          <w:sz w:val="24"/>
          <w:szCs w:val="24"/>
          <w:highlight w:val="none"/>
        </w:rPr>
        <w:t xml:space="preserve">与“江苏政务服务网” </w:t>
      </w:r>
      <w:r>
        <w:rPr>
          <w:rFonts w:ascii="Times New Roman" w:hAnsi="Times New Roman"/>
          <w:bCs/>
          <w:color w:val="000000"/>
          <w:szCs w:val="21"/>
          <w:highlight w:val="none"/>
        </w:rPr>
        <w:t xml:space="preserve">（www.jszwfw.gov.cn）</w:t>
      </w:r>
      <w:r>
        <w:rPr>
          <w:rFonts w:hint="eastAsia" w:ascii="宋体" w:hAnsi="宋体"/>
          <w:bCs/>
          <w:color w:val="000000"/>
          <w:sz w:val="24"/>
          <w:szCs w:val="24"/>
          <w:highlight w:val="none"/>
        </w:rPr>
        <w:t xml:space="preserve">，“一企来办”专栏下“政府采购”模块中信息不一致，以“江苏政府采购网”信息为准。</w:t>
      </w:r>
      <w:r>
        <w:rPr>
          <w:rFonts w:hint="eastAsia" w:ascii="宋体" w:hAnsi="宋体"/>
          <w:bCs/>
          <w:color w:val="000000"/>
          <w:sz w:val="24"/>
          <w:szCs w:val="24"/>
          <w:highlight w:val="none"/>
        </w:rPr>
      </w:r>
      <w:r/>
    </w:p>
    <w:p>
      <w:pPr>
        <w:pStyle w:val="898"/>
        <w:ind w:firstLine="480"/>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有关本次磋商的事项若存在变动或修改，敬请及时关注江苏省政府采购中心在“江苏政府采购网”发布的更正公告。</w:t>
      </w:r>
      <w:r>
        <w:rPr>
          <w:rFonts w:hint="eastAsia" w:ascii="宋体" w:hAnsi="宋体"/>
          <w:bCs/>
          <w:color w:val="000000"/>
          <w:sz w:val="24"/>
          <w:szCs w:val="24"/>
          <w:highlight w:val="none"/>
        </w:rPr>
      </w:r>
      <w:r/>
    </w:p>
    <w:p>
      <w:pPr>
        <w:pStyle w:val="898"/>
        <w:ind w:firstLine="480"/>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本次磋商不收取磋商保证金。</w:t>
      </w:r>
      <w:r>
        <w:rPr>
          <w:rFonts w:hint="eastAsia" w:ascii="宋体" w:hAnsi="宋体"/>
          <w:bCs/>
          <w:color w:val="000000"/>
          <w:sz w:val="24"/>
          <w:szCs w:val="24"/>
          <w:highlight w:val="none"/>
        </w:rPr>
      </w:r>
      <w:r/>
    </w:p>
    <w:p>
      <w:pPr>
        <w:pStyle w:val="898"/>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jc w:val="center"/>
        <w:keepLines/>
        <w:keepNext/>
        <w:spacing w:before="260" w:after="260" w:line="416" w:lineRule="auto"/>
        <w:rPr>
          <w:rFonts w:hint="eastAsia" w:ascii="黑体" w:hAnsi="Arial" w:eastAsia="黑体" w:cs="Arial"/>
          <w:color w:val="000000"/>
          <w:sz w:val="44"/>
          <w:szCs w:val="44"/>
          <w:highlight w:val="none"/>
        </w:rPr>
        <w:outlineLvl w:val="1"/>
      </w:pPr>
      <w:r/>
      <w:bookmarkStart w:id="49" w:name="_Toc120614211"/>
      <w:r>
        <w:rPr>
          <w:rFonts w:hint="eastAsia" w:ascii="黑体" w:hAnsi="Arial" w:eastAsia="黑体" w:cs="Arial"/>
          <w:b/>
          <w:bCs/>
          <w:color w:val="000000"/>
          <w:sz w:val="44"/>
          <w:szCs w:val="44"/>
          <w:highlight w:val="none"/>
        </w:rPr>
        <w:br w:type="page" w:clear="all"/>
      </w:r>
      <w:bookmarkEnd w:id="49"/>
      <w:r>
        <w:rPr>
          <w:rFonts w:hint="eastAsia" w:ascii="黑体" w:hAnsi="Arial" w:eastAsia="黑体" w:cs="Arial"/>
          <w:b/>
          <w:bCs/>
          <w:color w:val="000000"/>
          <w:sz w:val="44"/>
          <w:szCs w:val="44"/>
          <w:highlight w:val="none"/>
        </w:rPr>
        <w:t xml:space="preserve">第二章  供应商须知</w:t>
      </w:r>
      <w:r>
        <w:rPr>
          <w:rFonts w:hint="eastAsia" w:ascii="黑体" w:hAnsi="Arial" w:eastAsia="黑体" w:cs="Arial"/>
          <w:color w:val="000000"/>
          <w:sz w:val="44"/>
          <w:szCs w:val="44"/>
          <w:highlight w:val="none"/>
        </w:rPr>
      </w:r>
      <w:r/>
    </w:p>
    <w:p>
      <w:pPr>
        <w:pStyle w:val="898"/>
        <w:ind w:firstLine="498"/>
        <w:keepLines/>
        <w:keepNext/>
        <w:spacing w:before="156" w:after="156" w:line="360" w:lineRule="auto"/>
        <w:rPr>
          <w:rFonts w:hint="eastAsia" w:ascii="Times New Roman" w:hAnsi="Times New Roman"/>
          <w:b/>
          <w:bCs/>
          <w:color w:val="000000"/>
          <w:sz w:val="32"/>
          <w:szCs w:val="32"/>
          <w:highlight w:val="none"/>
        </w:rPr>
        <w:outlineLvl w:val="2"/>
      </w:pPr>
      <w:r/>
      <w:bookmarkStart w:id="50" w:name="_Toc16938519"/>
      <w:r/>
      <w:bookmarkStart w:id="51" w:name="_Toc120614214"/>
      <w:r/>
      <w:bookmarkStart w:id="52" w:name="_Toc513029203"/>
      <w:r/>
      <w:bookmarkStart w:id="53" w:name="_Toc20823275"/>
      <w:r>
        <w:rPr>
          <w:rFonts w:hint="eastAsia" w:ascii="Times New Roman" w:hAnsi="Times New Roman"/>
          <w:b/>
          <w:bCs/>
          <w:color w:val="000000"/>
          <w:sz w:val="32"/>
          <w:szCs w:val="32"/>
          <w:highlight w:val="none"/>
        </w:rPr>
        <w:t xml:space="preserve">一、总则</w:t>
      </w:r>
      <w:bookmarkEnd w:id="50"/>
      <w:r/>
      <w:bookmarkEnd w:id="51"/>
      <w:r/>
      <w:bookmarkEnd w:id="52"/>
      <w:r/>
      <w:bookmarkEnd w:id="53"/>
      <w:r>
        <w:rPr>
          <w:rFonts w:hint="eastAsia" w:ascii="Times New Roman" w:hAnsi="Times New Roman"/>
          <w:b/>
          <w:bCs/>
          <w:color w:val="000000"/>
          <w:sz w:val="32"/>
          <w:szCs w:val="32"/>
          <w:highlight w:val="none"/>
        </w:rPr>
      </w:r>
      <w:r/>
    </w:p>
    <w:p>
      <w:pPr>
        <w:pStyle w:val="898"/>
        <w:ind w:firstLine="420"/>
        <w:keepLines/>
        <w:keepNext/>
        <w:rPr>
          <w:rFonts w:hint="eastAsia" w:ascii="Arial" w:hAnsi="Arial" w:eastAsia="黑体" w:cs="Arial"/>
          <w:color w:val="000000"/>
          <w:sz w:val="28"/>
          <w:szCs w:val="28"/>
          <w:highlight w:val="none"/>
        </w:rPr>
        <w:outlineLvl w:val="3"/>
      </w:pPr>
      <w:r/>
      <w:bookmarkStart w:id="54" w:name="_Hlt16619475"/>
      <w:r/>
      <w:bookmarkEnd w:id="54"/>
      <w:r/>
      <w:bookmarkStart w:id="55" w:name="_Toc458694821"/>
      <w:r/>
      <w:bookmarkStart w:id="56" w:name="_Toc16938520"/>
      <w:r/>
      <w:bookmarkStart w:id="57" w:name="_Toc513029204"/>
      <w:r/>
      <w:bookmarkStart w:id="58" w:name="_Toc20823276"/>
      <w:r>
        <w:rPr>
          <w:rFonts w:hint="eastAsia" w:ascii="Arial" w:hAnsi="Arial" w:eastAsia="黑体" w:cs="Arial"/>
          <w:color w:val="000000"/>
          <w:sz w:val="28"/>
          <w:szCs w:val="28"/>
          <w:highlight w:val="none"/>
        </w:rPr>
        <w:t xml:space="preserve">1</w:t>
      </w:r>
      <w:bookmarkEnd w:id="55"/>
      <w:r>
        <w:rPr>
          <w:rFonts w:hint="eastAsia" w:ascii="Arial" w:hAnsi="Arial" w:eastAsia="黑体" w:cs="Arial"/>
          <w:color w:val="000000"/>
          <w:sz w:val="28"/>
          <w:szCs w:val="28"/>
          <w:highlight w:val="none"/>
        </w:rPr>
        <w:t xml:space="preserve">、采购方式</w:t>
      </w:r>
      <w:bookmarkEnd w:id="56"/>
      <w:r/>
      <w:bookmarkEnd w:id="57"/>
      <w:r/>
      <w:bookmarkEnd w:id="58"/>
      <w:r>
        <w:rPr>
          <w:rFonts w:hint="eastAsia" w:ascii="Arial" w:hAnsi="Arial" w:eastAsia="黑体" w:cs="Arial"/>
          <w:color w:val="000000"/>
          <w:sz w:val="28"/>
          <w:szCs w:val="28"/>
          <w:highlight w:val="none"/>
        </w:rPr>
      </w:r>
      <w:r/>
    </w:p>
    <w:p>
      <w:pPr>
        <w:pStyle w:val="898"/>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本次政府采购活动采取竞争性磋商(以下简称磋商)方式，本磋商文件仅适用于磋商公告中所述项目。</w:t>
      </w:r>
      <w:r>
        <w:rPr>
          <w:rFonts w:hint="eastAsia" w:ascii="宋体" w:hAnsi="宋体"/>
          <w:color w:val="000000"/>
          <w:sz w:val="24"/>
          <w:szCs w:val="21"/>
          <w:highlight w:val="none"/>
        </w:rPr>
      </w:r>
      <w:r/>
    </w:p>
    <w:p>
      <w:pPr>
        <w:pStyle w:val="898"/>
        <w:ind w:firstLine="420"/>
        <w:keepLines/>
        <w:keepNext/>
        <w:rPr>
          <w:rFonts w:hint="eastAsia" w:ascii="Arial" w:hAnsi="Arial" w:eastAsia="黑体" w:cs="Arial"/>
          <w:color w:val="000000"/>
          <w:sz w:val="28"/>
          <w:szCs w:val="28"/>
          <w:highlight w:val="none"/>
        </w:rPr>
        <w:outlineLvl w:val="3"/>
      </w:pPr>
      <w:r/>
      <w:bookmarkStart w:id="59" w:name="_Toc16938521"/>
      <w:r/>
      <w:bookmarkStart w:id="60" w:name="_Toc20823277"/>
      <w:r/>
      <w:bookmarkStart w:id="61" w:name="_Toc513029205"/>
      <w:r>
        <w:rPr>
          <w:rFonts w:hint="eastAsia" w:ascii="Arial" w:hAnsi="Arial" w:eastAsia="黑体" w:cs="Arial"/>
          <w:color w:val="000000"/>
          <w:sz w:val="28"/>
          <w:szCs w:val="28"/>
          <w:highlight w:val="none"/>
        </w:rPr>
        <w:t xml:space="preserve">2、合格的</w:t>
      </w:r>
      <w:bookmarkEnd w:id="59"/>
      <w:r/>
      <w:bookmarkEnd w:id="60"/>
      <w:r/>
      <w:bookmarkEnd w:id="61"/>
      <w:r>
        <w:rPr>
          <w:rFonts w:hint="eastAsia" w:ascii="Arial" w:hAnsi="Arial" w:eastAsia="黑体" w:cs="Arial"/>
          <w:color w:val="000000"/>
          <w:sz w:val="28"/>
          <w:szCs w:val="28"/>
          <w:highlight w:val="none"/>
        </w:rPr>
        <w:t xml:space="preserve">供应商</w:t>
      </w:r>
      <w:r>
        <w:rPr>
          <w:rFonts w:hint="eastAsia" w:ascii="Arial" w:hAnsi="Arial" w:eastAsia="黑体" w:cs="Arial"/>
          <w:color w:val="000000"/>
          <w:sz w:val="28"/>
          <w:szCs w:val="28"/>
          <w:highlight w:val="none"/>
        </w:rPr>
      </w:r>
      <w:r/>
    </w:p>
    <w:p>
      <w:pPr>
        <w:pStyle w:val="89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2.1满足磋商公告中供应商资格要求的规定。</w:t>
      </w:r>
      <w:r>
        <w:rPr>
          <w:rFonts w:hint="eastAsia" w:ascii="宋体" w:hAnsi="宋体"/>
          <w:color w:val="000000"/>
          <w:sz w:val="24"/>
          <w:szCs w:val="24"/>
          <w:highlight w:val="none"/>
        </w:rPr>
      </w:r>
      <w:r/>
    </w:p>
    <w:p>
      <w:pPr>
        <w:pStyle w:val="898"/>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满足本磋商文件实质性要求的规定。</w:t>
      </w:r>
      <w:r>
        <w:rPr>
          <w:rFonts w:hint="eastAsia" w:ascii="宋体" w:hAnsi="宋体"/>
          <w:color w:val="000000"/>
          <w:sz w:val="24"/>
          <w:szCs w:val="24"/>
          <w:highlight w:val="none"/>
        </w:rPr>
      </w:r>
      <w:r/>
    </w:p>
    <w:p>
      <w:pPr>
        <w:pStyle w:val="898"/>
        <w:ind w:firstLine="420"/>
        <w:keepLines/>
        <w:keepNext/>
        <w:rPr>
          <w:rFonts w:hint="eastAsia" w:ascii="Arial" w:hAnsi="Arial" w:eastAsia="黑体" w:cs="Arial"/>
          <w:color w:val="000000"/>
          <w:sz w:val="28"/>
          <w:szCs w:val="28"/>
          <w:highlight w:val="none"/>
        </w:rPr>
        <w:outlineLvl w:val="3"/>
      </w:pPr>
      <w:r/>
      <w:bookmarkStart w:id="62" w:name="_Toc513029206"/>
      <w:r/>
      <w:bookmarkStart w:id="63" w:name="_Toc16938522"/>
      <w:r/>
      <w:bookmarkStart w:id="64" w:name="_Toc20823278"/>
      <w:r>
        <w:rPr>
          <w:rFonts w:hint="eastAsia" w:ascii="Arial" w:hAnsi="Arial" w:eastAsia="黑体" w:cs="Arial"/>
          <w:color w:val="000000"/>
          <w:sz w:val="28"/>
          <w:szCs w:val="28"/>
          <w:highlight w:val="none"/>
        </w:rPr>
        <w:t xml:space="preserve">3、适用法律</w:t>
      </w:r>
      <w:bookmarkEnd w:id="62"/>
      <w:r/>
      <w:bookmarkEnd w:id="63"/>
      <w:r/>
      <w:bookmarkEnd w:id="64"/>
      <w:r>
        <w:rPr>
          <w:rFonts w:hint="eastAsia" w:ascii="Arial" w:hAnsi="Arial" w:eastAsia="黑体" w:cs="Arial"/>
          <w:color w:val="000000"/>
          <w:sz w:val="28"/>
          <w:szCs w:val="28"/>
          <w:highlight w:val="none"/>
        </w:rPr>
      </w:r>
      <w:r/>
    </w:p>
    <w:p>
      <w:pPr>
        <w:pStyle w:val="898"/>
        <w:ind w:firstLine="42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 本次磋商及由此产生的合同受中华人民共和国有关的法律法规制约和保护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898"/>
        <w:ind w:firstLine="420"/>
        <w:keepLines/>
        <w:keepNext/>
        <w:rPr>
          <w:rFonts w:hint="eastAsia" w:ascii="Arial" w:hAnsi="Arial" w:eastAsia="黑体" w:cs="Arial"/>
          <w:color w:val="000000"/>
          <w:sz w:val="28"/>
          <w:szCs w:val="28"/>
          <w:highlight w:val="none"/>
        </w:rPr>
        <w:outlineLvl w:val="3"/>
      </w:pPr>
      <w:r/>
      <w:bookmarkStart w:id="65" w:name="_Toc20823279"/>
      <w:r/>
      <w:bookmarkStart w:id="66" w:name="_Toc16938523"/>
      <w:r/>
      <w:bookmarkStart w:id="67" w:name="_Toc513029207"/>
      <w:r/>
      <w:bookmarkStart w:id="68" w:name="_Toc462564067"/>
      <w:r>
        <w:rPr>
          <w:rFonts w:hint="eastAsia" w:ascii="Arial" w:hAnsi="Arial" w:eastAsia="黑体" w:cs="Arial"/>
          <w:color w:val="000000"/>
          <w:sz w:val="28"/>
          <w:szCs w:val="28"/>
          <w:highlight w:val="none"/>
        </w:rPr>
        <w:t xml:space="preserve">4、磋商费用</w:t>
      </w:r>
      <w:bookmarkEnd w:id="65"/>
      <w:r/>
      <w:bookmarkEnd w:id="66"/>
      <w:r/>
      <w:bookmarkEnd w:id="67"/>
      <w:r/>
      <w:bookmarkEnd w:id="68"/>
      <w:r>
        <w:rPr>
          <w:rFonts w:hint="eastAsia" w:ascii="Arial" w:hAnsi="Arial" w:eastAsia="黑体" w:cs="Arial"/>
          <w:color w:val="000000"/>
          <w:sz w:val="28"/>
          <w:szCs w:val="28"/>
          <w:highlight w:val="none"/>
        </w:rPr>
      </w:r>
      <w:r/>
    </w:p>
    <w:p>
      <w:pPr>
        <w:pStyle w:val="898"/>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供应商应自行承担所有与参加本次磋商有关的费用，无论磋商过程中的做法和结果如何，江苏省政府采购中心（以下简称采购中心）在任何情况下均无义务和责任承担这些费用。</w:t>
      </w:r>
      <w:r>
        <w:rPr>
          <w:rFonts w:hint="eastAsia" w:ascii="宋体" w:hAnsi="宋体"/>
          <w:color w:val="000000"/>
          <w:sz w:val="24"/>
          <w:szCs w:val="21"/>
          <w:highlight w:val="none"/>
        </w:rPr>
      </w:r>
      <w:r/>
    </w:p>
    <w:p>
      <w:pPr>
        <w:pStyle w:val="898"/>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4.2本次磋商采购中心和采购人不收取标书工本费与成交服务费。</w:t>
      </w:r>
      <w:r>
        <w:rPr>
          <w:rFonts w:hint="eastAsia" w:ascii="宋体" w:hAnsi="宋体"/>
          <w:color w:val="000000"/>
          <w:sz w:val="24"/>
          <w:szCs w:val="21"/>
          <w:highlight w:val="none"/>
        </w:rPr>
      </w:r>
      <w:r/>
    </w:p>
    <w:p>
      <w:pPr>
        <w:pStyle w:val="898"/>
        <w:ind w:firstLine="301"/>
        <w:keepLines/>
        <w:keepNext/>
        <w:spacing w:line="480" w:lineRule="exact"/>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磋商文件的约束力</w:t>
      </w:r>
      <w:r>
        <w:rPr>
          <w:rFonts w:hint="eastAsia" w:ascii="黑体" w:hAnsi="宋体" w:eastAsia="黑体" w:cs="Arial"/>
          <w:color w:val="000000"/>
          <w:sz w:val="28"/>
          <w:szCs w:val="28"/>
          <w:highlight w:val="none"/>
        </w:rPr>
      </w:r>
      <w:r/>
    </w:p>
    <w:p>
      <w:pPr>
        <w:pStyle w:val="898"/>
        <w:ind w:firstLine="48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供应商一旦参加本项目采购活动，即被认为接受了本磋商文件的规定和约束。</w:t>
      </w:r>
      <w:r>
        <w:rPr>
          <w:rFonts w:hint="eastAsia" w:ascii="宋体" w:hAnsi="宋体"/>
          <w:color w:val="000000"/>
          <w:sz w:val="24"/>
          <w:szCs w:val="24"/>
          <w:highlight w:val="none"/>
        </w:rPr>
      </w:r>
      <w:r/>
    </w:p>
    <w:p>
      <w:pPr>
        <w:pStyle w:val="898"/>
        <w:ind w:firstLine="321"/>
        <w:keepLines/>
        <w:keepNext/>
        <w:spacing w:before="156" w:after="156" w:line="360" w:lineRule="auto"/>
        <w:rPr>
          <w:rFonts w:hint="eastAsia" w:ascii="Times New Roman" w:hAnsi="Times New Roman"/>
          <w:b/>
          <w:bCs/>
          <w:color w:val="000000"/>
          <w:sz w:val="32"/>
          <w:szCs w:val="32"/>
          <w:highlight w:val="none"/>
        </w:rPr>
        <w:outlineLvl w:val="2"/>
      </w:pPr>
      <w:r/>
      <w:bookmarkStart w:id="69" w:name="_Toc513029209"/>
      <w:r/>
      <w:bookmarkStart w:id="70" w:name="_Toc20823281"/>
      <w:r/>
      <w:bookmarkStart w:id="71" w:name="_Toc16938525"/>
      <w:r/>
      <w:bookmarkStart w:id="72" w:name="_Toc120614215"/>
      <w:r>
        <w:rPr>
          <w:rFonts w:hint="eastAsia" w:ascii="Times New Roman" w:hAnsi="Times New Roman"/>
          <w:b/>
          <w:bCs/>
          <w:color w:val="000000"/>
          <w:sz w:val="32"/>
          <w:szCs w:val="32"/>
          <w:highlight w:val="none"/>
        </w:rPr>
        <w:t xml:space="preserve">二、</w:t>
      </w:r>
      <w:bookmarkEnd w:id="69"/>
      <w:r/>
      <w:bookmarkEnd w:id="70"/>
      <w:r/>
      <w:bookmarkEnd w:id="71"/>
      <w:r/>
      <w:bookmarkEnd w:id="72"/>
      <w:r>
        <w:rPr>
          <w:rFonts w:hint="eastAsia" w:ascii="Times New Roman" w:hAnsi="Times New Roman"/>
          <w:b/>
          <w:bCs/>
          <w:color w:val="000000"/>
          <w:sz w:val="32"/>
          <w:szCs w:val="32"/>
          <w:highlight w:val="none"/>
        </w:rPr>
        <w:t xml:space="preserve">磋商文件</w:t>
      </w:r>
      <w:r>
        <w:rPr>
          <w:rFonts w:hint="eastAsia" w:ascii="Times New Roman" w:hAnsi="Times New Roman"/>
          <w:b/>
          <w:bCs/>
          <w:color w:val="000000"/>
          <w:sz w:val="32"/>
          <w:szCs w:val="32"/>
          <w:highlight w:val="none"/>
        </w:rPr>
      </w:r>
      <w:r/>
    </w:p>
    <w:p>
      <w:pPr>
        <w:pStyle w:val="898"/>
        <w:ind w:firstLine="420"/>
        <w:keepLines/>
        <w:keepNext/>
        <w:rPr>
          <w:rFonts w:hint="eastAsia" w:ascii="Arial" w:hAnsi="Arial" w:eastAsia="黑体" w:cs="Arial"/>
          <w:color w:val="000000"/>
          <w:sz w:val="28"/>
          <w:szCs w:val="28"/>
          <w:highlight w:val="none"/>
        </w:rPr>
        <w:outlineLvl w:val="3"/>
      </w:pPr>
      <w:r/>
      <w:bookmarkStart w:id="73" w:name="_Toc513029210"/>
      <w:r/>
      <w:bookmarkStart w:id="74" w:name="_Toc16938526"/>
      <w:r/>
      <w:bookmarkStart w:id="75" w:name="_Toc20823282"/>
      <w:r>
        <w:rPr>
          <w:rFonts w:hint="eastAsia" w:ascii="Arial" w:hAnsi="Arial" w:eastAsia="黑体" w:cs="Arial"/>
          <w:color w:val="000000"/>
          <w:sz w:val="28"/>
          <w:szCs w:val="28"/>
          <w:highlight w:val="none"/>
        </w:rPr>
        <w:t xml:space="preserve">6、磋商文件构成</w:t>
      </w:r>
      <w:bookmarkEnd w:id="73"/>
      <w:r/>
      <w:bookmarkEnd w:id="74"/>
      <w:r/>
      <w:bookmarkEnd w:id="75"/>
      <w:r>
        <w:rPr>
          <w:rFonts w:hint="eastAsia" w:ascii="Arial" w:hAnsi="Arial" w:eastAsia="黑体" w:cs="Arial"/>
          <w:color w:val="000000"/>
          <w:sz w:val="28"/>
          <w:szCs w:val="28"/>
          <w:highlight w:val="none"/>
        </w:rPr>
      </w:r>
      <w:r/>
    </w:p>
    <w:p>
      <w:pPr>
        <w:pStyle w:val="898"/>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磋商文件由以下部分组成：</w:t>
      </w:r>
      <w:r>
        <w:rPr>
          <w:rFonts w:hint="eastAsia" w:ascii="宋体" w:hAnsi="宋体"/>
          <w:color w:val="000000"/>
          <w:sz w:val="24"/>
          <w:szCs w:val="21"/>
          <w:highlight w:val="none"/>
        </w:rPr>
      </w:r>
      <w:r/>
    </w:p>
    <w:p>
      <w:pPr>
        <w:pStyle w:val="89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（1）磋商</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89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（2）供应商须知</w:t>
      </w:r>
      <w:r>
        <w:rPr>
          <w:rFonts w:hint="eastAsia" w:ascii="宋体" w:hAnsi="宋体"/>
          <w:color w:val="000000"/>
          <w:sz w:val="24"/>
          <w:szCs w:val="24"/>
          <w:highlight w:val="none"/>
        </w:rPr>
      </w:r>
      <w:r/>
    </w:p>
    <w:p>
      <w:pPr>
        <w:pStyle w:val="89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89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89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（5）评审方法与评审标准</w:t>
      </w:r>
      <w:r>
        <w:rPr>
          <w:rFonts w:hint="eastAsia" w:ascii="宋体" w:hAnsi="宋体"/>
          <w:color w:val="000000"/>
          <w:sz w:val="24"/>
          <w:szCs w:val="24"/>
          <w:highlight w:val="none"/>
        </w:rPr>
      </w:r>
      <w:r/>
    </w:p>
    <w:p>
      <w:pPr>
        <w:pStyle w:val="898"/>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（6）响应文件格式</w:t>
      </w:r>
      <w:r>
        <w:rPr>
          <w:rFonts w:hint="eastAsia" w:ascii="宋体" w:hAnsi="宋体"/>
          <w:color w:val="000000"/>
          <w:sz w:val="24"/>
          <w:szCs w:val="24"/>
          <w:highlight w:val="none"/>
        </w:rPr>
      </w:r>
      <w:r/>
    </w:p>
    <w:p>
      <w:pPr>
        <w:pStyle w:val="898"/>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请仔细检查磋商文件是否齐全，如有缺漏请立即与采购中心联系解决。</w:t>
      </w:r>
      <w:r>
        <w:rPr>
          <w:rFonts w:hint="eastAsia" w:ascii="宋体" w:hAnsi="宋体"/>
          <w:color w:val="000000"/>
          <w:sz w:val="24"/>
          <w:szCs w:val="21"/>
          <w:highlight w:val="none"/>
        </w:rPr>
      </w:r>
      <w:r/>
    </w:p>
    <w:p>
      <w:pPr>
        <w:pStyle w:val="898"/>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1"/>
          <w:highlight w:val="none"/>
        </w:rPr>
      </w:r>
      <w:r/>
    </w:p>
    <w:p>
      <w:pPr>
        <w:pStyle w:val="898"/>
        <w:ind w:firstLine="560"/>
        <w:keepLines/>
        <w:keepNext/>
        <w:rPr>
          <w:rFonts w:hint="eastAsia" w:ascii="Arial" w:hAnsi="Arial" w:eastAsia="黑体" w:cs="Arial"/>
          <w:color w:val="000000"/>
          <w:sz w:val="28"/>
          <w:szCs w:val="28"/>
          <w:highlight w:val="none"/>
        </w:rPr>
        <w:outlineLvl w:val="3"/>
      </w:pPr>
      <w:r/>
      <w:bookmarkStart w:id="76" w:name="_Toc462564071"/>
      <w:r/>
      <w:bookmarkStart w:id="77" w:name="_Toc16938528"/>
      <w:r/>
      <w:bookmarkStart w:id="78" w:name="_Toc20823284"/>
      <w:r/>
      <w:bookmarkStart w:id="79" w:name="_Toc513029212"/>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、磋商文件的澄清和修改</w:t>
      </w:r>
      <w:bookmarkEnd w:id="76"/>
      <w:r/>
      <w:bookmarkEnd w:id="77"/>
      <w:r/>
      <w:bookmarkEnd w:id="78"/>
      <w:r/>
      <w:bookmarkEnd w:id="79"/>
      <w:r>
        <w:rPr>
          <w:rFonts w:hint="eastAsia" w:ascii="Arial" w:hAnsi="Arial" w:eastAsia="黑体" w:cs="Arial"/>
          <w:color w:val="000000"/>
          <w:sz w:val="28"/>
          <w:szCs w:val="28"/>
          <w:highlight w:val="none"/>
        </w:rPr>
      </w:r>
      <w:r/>
    </w:p>
    <w:p>
      <w:pPr>
        <w:pStyle w:val="898"/>
        <w:ind w:firstLine="480"/>
        <w:spacing w:line="500" w:lineRule="exact"/>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在响应文件提交截止时间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，采购中心可以对磋商文件进行澄清和修改,</w:t>
      </w:r>
      <w:r>
        <w:rPr>
          <w:rFonts w:hint="eastAsia" w:ascii="Times New Roman" w:hAnsi="Times New Roman"/>
          <w:color w:val="000000"/>
          <w:szCs w:val="21"/>
          <w:highlight w:val="none"/>
        </w:rPr>
        <w:t xml:space="preserve"> </w:t>
      </w:r>
      <w:r>
        <w:rPr>
          <w:rFonts w:hint="eastAsia" w:ascii="宋体" w:hAnsi="宋体"/>
          <w:color w:val="000000"/>
          <w:sz w:val="24"/>
          <w:szCs w:val="21"/>
          <w:highlight w:val="none"/>
        </w:rPr>
        <w:t xml:space="preserve">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w:t>
      </w:r>
      <w:r>
        <w:rPr>
          <w:rFonts w:hint="eastAsia" w:ascii="Times New Roman" w:hAnsi="Times New Roman"/>
          <w:color w:val="000000"/>
          <w:szCs w:val="21"/>
          <w:highlight w:val="none"/>
        </w:rPr>
        <w:t xml:space="preserve"> </w:t>
      </w:r>
      <w:r>
        <w:rPr>
          <w:rFonts w:hint="eastAsia" w:ascii="宋体" w:hAnsi="宋体"/>
          <w:color w:val="000000"/>
          <w:sz w:val="24"/>
          <w:szCs w:val="21"/>
          <w:highlight w:val="none"/>
        </w:rPr>
        <w:t xml:space="preserve">更正公告内容将作为磋商文件的组成部分，并对供应商具有约束力。不足5日的，采购中心将顺延提交首次响应文件截止时间。</w:t>
      </w:r>
      <w:r>
        <w:rPr>
          <w:rFonts w:hint="eastAsia" w:ascii="宋体" w:hAnsi="宋体"/>
          <w:color w:val="000000"/>
          <w:sz w:val="24"/>
          <w:szCs w:val="21"/>
          <w:highlight w:val="none"/>
        </w:rPr>
      </w:r>
      <w:r/>
    </w:p>
    <w:p>
      <w:pPr>
        <w:pStyle w:val="898"/>
        <w:ind w:firstLine="48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.2采购中心可以视采购项目的具体情况，组织供应商进行现场考察或召开磋商前答疑会，但不单独或分别组织只有一个供应商参加的现场考察和答疑会。</w:t>
      </w:r>
      <w:r>
        <w:rPr>
          <w:rFonts w:hint="eastAsia" w:ascii="宋体" w:hAnsi="宋体"/>
          <w:color w:val="000000"/>
          <w:sz w:val="24"/>
          <w:szCs w:val="21"/>
          <w:highlight w:val="none"/>
        </w:rPr>
      </w:r>
      <w:r/>
    </w:p>
    <w:p>
      <w:pPr>
        <w:pStyle w:val="898"/>
        <w:ind w:firstLine="482"/>
        <w:keepLines/>
        <w:keepNext/>
        <w:spacing w:before="156" w:after="156" w:line="360" w:lineRule="auto"/>
        <w:rPr>
          <w:rFonts w:hint="eastAsia" w:ascii="Times New Roman" w:hAnsi="Times New Roman"/>
          <w:b/>
          <w:bCs/>
          <w:color w:val="000000"/>
          <w:sz w:val="32"/>
          <w:szCs w:val="32"/>
          <w:highlight w:val="none"/>
        </w:rPr>
        <w:outlineLvl w:val="2"/>
      </w:pPr>
      <w:r/>
      <w:bookmarkStart w:id="80" w:name="_Toc16938529"/>
      <w:r/>
      <w:bookmarkStart w:id="81" w:name="_Toc120614216"/>
      <w:r/>
      <w:bookmarkStart w:id="82" w:name="_Toc462564072"/>
      <w:r/>
      <w:bookmarkStart w:id="83" w:name="_Toc20823285"/>
      <w:r/>
      <w:bookmarkStart w:id="84" w:name="_Toc513029213"/>
      <w:r>
        <w:rPr>
          <w:rFonts w:hint="eastAsia" w:ascii="Times New Roman" w:hAnsi="Times New Roman"/>
          <w:b/>
          <w:bCs/>
          <w:color w:val="000000"/>
          <w:sz w:val="32"/>
          <w:szCs w:val="32"/>
          <w:highlight w:val="none"/>
        </w:rPr>
        <w:t xml:space="preserve">三、响应文件的编制</w:t>
      </w:r>
      <w:bookmarkEnd w:id="80"/>
      <w:r/>
      <w:bookmarkEnd w:id="81"/>
      <w:r/>
      <w:bookmarkEnd w:id="82"/>
      <w:r/>
      <w:bookmarkEnd w:id="83"/>
      <w:r/>
      <w:bookmarkEnd w:id="84"/>
      <w:r>
        <w:rPr>
          <w:rFonts w:hint="eastAsia" w:ascii="Times New Roman" w:hAnsi="Times New Roman"/>
          <w:b/>
          <w:bCs/>
          <w:color w:val="000000"/>
          <w:sz w:val="32"/>
          <w:szCs w:val="32"/>
          <w:highlight w:val="none"/>
        </w:rPr>
      </w:r>
      <w:r/>
    </w:p>
    <w:p>
      <w:pPr>
        <w:pStyle w:val="898"/>
        <w:ind w:firstLine="560"/>
        <w:keepLines/>
        <w:keepNext/>
        <w:rPr>
          <w:rFonts w:hint="eastAsia" w:ascii="Arial" w:hAnsi="Arial" w:eastAsia="黑体" w:cs="Arial"/>
          <w:b/>
          <w:color w:val="000000"/>
          <w:sz w:val="28"/>
          <w:szCs w:val="28"/>
          <w:highlight w:val="none"/>
        </w:rPr>
        <w:outlineLvl w:val="3"/>
      </w:pPr>
      <w:r/>
      <w:bookmarkStart w:id="85" w:name="_Toc20823286"/>
      <w:r/>
      <w:bookmarkStart w:id="86" w:name="_Toc462564073"/>
      <w:r/>
      <w:bookmarkStart w:id="87" w:name="_Toc513029214"/>
      <w:r/>
      <w:bookmarkStart w:id="88" w:name="_Toc16938530"/>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、响应文件的语言及度量衡单位</w:t>
      </w:r>
      <w:bookmarkEnd w:id="85"/>
      <w:r/>
      <w:bookmarkEnd w:id="86"/>
      <w:r/>
      <w:bookmarkEnd w:id="87"/>
      <w:r/>
      <w:bookmarkEnd w:id="88"/>
      <w:r>
        <w:rPr>
          <w:rFonts w:hint="eastAsia" w:ascii="Arial" w:hAnsi="Arial" w:eastAsia="黑体" w:cs="Arial"/>
          <w:b/>
          <w:color w:val="000000"/>
          <w:sz w:val="28"/>
          <w:szCs w:val="28"/>
          <w:highlight w:val="none"/>
        </w:rPr>
      </w:r>
      <w:r/>
    </w:p>
    <w:p>
      <w:pPr>
        <w:pStyle w:val="898"/>
        <w:ind w:firstLine="480"/>
        <w:spacing w:line="500" w:lineRule="exact"/>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供应商提交的响应文件以及供应商与采购中心就有关磋商的所有来往通知、函件和文件均应使用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98"/>
        <w:ind w:firstLine="480"/>
        <w:spacing w:line="500" w:lineRule="exact"/>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 除技术性能另有规定外，响应文件所使用的度量衡单位，均须采用国家法定计量单位。</w:t>
      </w:r>
      <w:r>
        <w:rPr>
          <w:rFonts w:hint="eastAsia" w:ascii="宋体" w:hAnsi="宋体"/>
          <w:color w:val="000000"/>
          <w:sz w:val="24"/>
          <w:szCs w:val="21"/>
          <w:highlight w:val="none"/>
        </w:rPr>
      </w:r>
      <w:r/>
    </w:p>
    <w:p>
      <w:pPr>
        <w:pStyle w:val="898"/>
        <w:ind w:firstLine="420"/>
        <w:keepLines/>
        <w:keepNext/>
        <w:rPr>
          <w:rFonts w:hint="eastAsia" w:ascii="Arial" w:hAnsi="Arial" w:eastAsia="黑体" w:cs="Arial"/>
          <w:color w:val="000000"/>
          <w:sz w:val="28"/>
          <w:szCs w:val="28"/>
          <w:highlight w:val="none"/>
        </w:rPr>
        <w:outlineLvl w:val="3"/>
      </w:pPr>
      <w:r/>
      <w:bookmarkStart w:id="89" w:name="_Toc513029215"/>
      <w:r/>
      <w:bookmarkStart w:id="90" w:name="_Toc20823287"/>
      <w:r/>
      <w:bookmarkStart w:id="91" w:name="_Toc16938531"/>
      <w:r/>
      <w:bookmarkStart w:id="92" w:name="_Toc462564074"/>
      <w:r>
        <w:rPr>
          <w:rFonts w:ascii="Arial" w:hAnsi="Arial" w:eastAsia="黑体" w:cs="Arial"/>
          <w:color w:val="000000"/>
          <w:sz w:val="28"/>
          <w:szCs w:val="28"/>
          <w:highlight w:val="none"/>
        </w:rPr>
        <w:t xml:space="preserve">9</w:t>
      </w:r>
      <w:r>
        <w:rPr>
          <w:rFonts w:hint="eastAsia" w:ascii="Arial" w:hAnsi="Arial" w:eastAsia="黑体" w:cs="Arial"/>
          <w:color w:val="000000"/>
          <w:sz w:val="28"/>
          <w:szCs w:val="28"/>
          <w:highlight w:val="none"/>
        </w:rPr>
        <w:t xml:space="preserve">、响应文件构成</w:t>
      </w:r>
      <w:bookmarkEnd w:id="89"/>
      <w:r/>
      <w:bookmarkEnd w:id="90"/>
      <w:r/>
      <w:bookmarkEnd w:id="91"/>
      <w:r/>
      <w:bookmarkEnd w:id="92"/>
      <w:r>
        <w:rPr>
          <w:rFonts w:hint="eastAsia" w:ascii="Arial" w:hAnsi="Arial" w:eastAsia="黑体" w:cs="Arial"/>
          <w:color w:val="000000"/>
          <w:sz w:val="28"/>
          <w:szCs w:val="28"/>
          <w:highlight w:val="none"/>
        </w:rPr>
      </w:r>
      <w:r/>
    </w:p>
    <w:p>
      <w:pPr>
        <w:pStyle w:val="898"/>
        <w:ind w:firstLine="480"/>
        <w:spacing w:line="440" w:lineRule="exact"/>
        <w:rPr>
          <w:rFonts w:hint="eastAsia" w:ascii="宋体" w:hAnsi="宋体"/>
          <w:color w:val="000000"/>
          <w:sz w:val="24"/>
          <w:szCs w:val="21"/>
          <w:highlight w:val="none"/>
        </w:rPr>
      </w:pP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供应商编写的响应文件应包括资格证明文件、</w:t>
      </w:r>
      <w:r>
        <w:rPr>
          <w:rFonts w:hint="eastAsia" w:ascii="宋体" w:hAnsi="宋体"/>
          <w:color w:val="000000"/>
          <w:sz w:val="24"/>
          <w:szCs w:val="24"/>
          <w:highlight w:val="none"/>
        </w:rPr>
        <w:t xml:space="preserve">实质性要求响应及偏离表</w:t>
      </w:r>
      <w:r>
        <w:rPr>
          <w:rFonts w:hint="eastAsia" w:ascii="宋体" w:hAnsi="宋体"/>
          <w:color w:val="000000"/>
          <w:sz w:val="24"/>
          <w:szCs w:val="21"/>
          <w:highlight w:val="none"/>
        </w:rPr>
        <w:t xml:space="preserve">、分项报价表、技术要求响应及偏离表、商务要求响应及偏离表、其他证明文件、磋商响应函等部分。</w:t>
      </w:r>
      <w:r>
        <w:rPr>
          <w:rFonts w:hint="eastAsia" w:ascii="宋体" w:hAnsi="宋体"/>
          <w:color w:val="000000"/>
          <w:sz w:val="24"/>
          <w:szCs w:val="21"/>
          <w:highlight w:val="none"/>
        </w:rPr>
      </w:r>
      <w:r/>
    </w:p>
    <w:p>
      <w:pPr>
        <w:pStyle w:val="898"/>
        <w:ind w:firstLine="480"/>
        <w:spacing w:line="440" w:lineRule="exact"/>
        <w:rPr>
          <w:rFonts w:hint="eastAsia"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.2 如标书制作工具中格式和内容与“江苏政府采购网”发布的磋商文件不一致，请以“江苏政府采购网”发布的磋商文件为准。</w:t>
      </w:r>
      <w:r>
        <w:rPr>
          <w:rFonts w:hint="eastAsia" w:ascii="宋体" w:hAnsi="宋体"/>
          <w:color w:val="000000"/>
          <w:sz w:val="24"/>
          <w:szCs w:val="21"/>
          <w:highlight w:val="none"/>
        </w:rPr>
      </w:r>
      <w:r/>
    </w:p>
    <w:p>
      <w:pPr>
        <w:pStyle w:val="898"/>
        <w:ind w:firstLine="420"/>
        <w:keepLines/>
        <w:keepNext/>
        <w:rPr>
          <w:rFonts w:hint="eastAsia" w:ascii="Arial" w:hAnsi="Arial" w:eastAsia="黑体" w:cs="Arial"/>
          <w:color w:val="000000"/>
          <w:sz w:val="28"/>
          <w:szCs w:val="28"/>
          <w:highlight w:val="none"/>
        </w:rPr>
        <w:outlineLvl w:val="3"/>
      </w:pPr>
      <w:r/>
      <w:bookmarkStart w:id="93" w:name="_Toc513029219"/>
      <w:r/>
      <w:bookmarkStart w:id="94" w:name="_Toc513029216"/>
      <w:r/>
      <w:bookmarkStart w:id="95" w:name="_Toc49090507"/>
      <w:r/>
      <w:bookmarkStart w:id="96" w:name="_Toc14577354"/>
      <w:r/>
      <w:bookmarkStart w:id="97" w:name="_Toc14577355"/>
      <w:r/>
      <w:bookmarkStart w:id="98" w:name="_Toc49090508"/>
      <w:r/>
      <w:bookmarkStart w:id="99" w:name="_Hlt26668975"/>
      <w:r/>
      <w:bookmarkEnd w:id="99"/>
      <w:r/>
      <w:bookmarkStart w:id="100" w:name="_Hlt26670360"/>
      <w:r/>
      <w:bookmarkEnd w:id="100"/>
      <w:r/>
      <w:bookmarkStart w:id="101" w:name="_Hlt26954838"/>
      <w:r/>
      <w:bookmarkEnd w:id="101"/>
      <w:r/>
      <w:bookmarkStart w:id="102" w:name="_Toc49090509"/>
      <w:r/>
      <w:bookmarkStart w:id="103" w:name="_Toc14577357"/>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、证明磋商响应标的符合磋商文件规定的文件</w:t>
      </w:r>
      <w:bookmarkEnd w:id="93"/>
      <w:r/>
      <w:bookmarkEnd w:id="102"/>
      <w:r/>
      <w:bookmarkEnd w:id="103"/>
      <w:r>
        <w:rPr>
          <w:rFonts w:hint="eastAsia" w:ascii="Arial" w:hAnsi="Arial" w:eastAsia="黑体" w:cs="Arial"/>
          <w:color w:val="000000"/>
          <w:sz w:val="28"/>
          <w:szCs w:val="28"/>
          <w:highlight w:val="none"/>
        </w:rPr>
      </w:r>
      <w:r/>
    </w:p>
    <w:p>
      <w:pPr>
        <w:pStyle w:val="898"/>
        <w:spacing w:line="480" w:lineRule="exact"/>
        <w:rPr>
          <w:rFonts w:hint="eastAsia" w:ascii="宋体" w:hAnsi="宋体"/>
          <w:color w:val="000000"/>
          <w:sz w:val="24"/>
          <w:szCs w:val="24"/>
          <w:highlight w:val="none"/>
        </w:rPr>
      </w:pPr>
      <w:r/>
      <w:bookmarkEnd w:id="94"/>
      <w:r/>
      <w:bookmarkEnd w:id="95"/>
      <w:r/>
      <w:bookmarkEnd w:id="96"/>
      <w:r>
        <w:rPr>
          <w:rFonts w:hint="eastAsia" w:ascii="宋体" w:hAnsi="宋体"/>
          <w:color w:val="000000"/>
          <w:sz w:val="24"/>
          <w:szCs w:val="24"/>
          <w:highlight w:val="none"/>
        </w:rPr>
        <w:t xml:space="preserve">    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.1供应商应按照磋商文件要求提交证明文件，证明其及磋商响应标的符合磋商文件规定。</w:t>
      </w:r>
      <w:r>
        <w:rPr>
          <w:rFonts w:hint="eastAsia" w:ascii="宋体" w:hAnsi="宋体"/>
          <w:color w:val="000000"/>
          <w:sz w:val="24"/>
          <w:szCs w:val="24"/>
          <w:highlight w:val="none"/>
        </w:rPr>
      </w:r>
      <w:r/>
    </w:p>
    <w:p>
      <w:pPr>
        <w:pStyle w:val="898"/>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.2磋商文件对证明文件无明确形式要求的，证明文件可以以文字资料、图纸和数据等形式提交。</w:t>
      </w:r>
      <w:r>
        <w:rPr>
          <w:rFonts w:hint="eastAsia" w:ascii="宋体" w:hAnsi="宋体"/>
          <w:color w:val="000000"/>
          <w:sz w:val="24"/>
          <w:szCs w:val="24"/>
          <w:highlight w:val="none"/>
        </w:rPr>
      </w:r>
      <w:r/>
    </w:p>
    <w:p>
      <w:pPr>
        <w:pStyle w:val="898"/>
        <w:ind w:firstLine="420"/>
        <w:keepLines/>
        <w:keepNext/>
        <w:rPr>
          <w:rFonts w:hint="eastAsia" w:ascii="Arial" w:hAnsi="Arial" w:eastAsia="黑体" w:cs="Arial"/>
          <w:color w:val="000000"/>
          <w:sz w:val="28"/>
          <w:szCs w:val="28"/>
          <w:highlight w:val="none"/>
        </w:rPr>
        <w:outlineLvl w:val="3"/>
      </w:pPr>
      <w:r/>
      <w:bookmarkEnd w:id="97"/>
      <w:r/>
      <w:bookmarkEnd w:id="98"/>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、分项报价表</w:t>
      </w:r>
      <w:r>
        <w:rPr>
          <w:rFonts w:hint="eastAsia" w:ascii="Arial" w:hAnsi="Arial" w:eastAsia="黑体" w:cs="Arial"/>
          <w:color w:val="000000"/>
          <w:sz w:val="28"/>
          <w:szCs w:val="28"/>
          <w:highlight w:val="none"/>
        </w:rPr>
      </w:r>
      <w:r/>
    </w:p>
    <w:p>
      <w:pPr>
        <w:pStyle w:val="898"/>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供应商应按照磋商文件规定格式填报分项报价表。</w:t>
      </w:r>
      <w:r>
        <w:rPr>
          <w:rFonts w:hint="eastAsia" w:ascii="宋体" w:hAnsi="宋体"/>
          <w:bCs/>
          <w:color w:val="000000"/>
          <w:sz w:val="24"/>
          <w:szCs w:val="21"/>
          <w:highlight w:val="none"/>
        </w:rPr>
      </w:r>
      <w:r/>
    </w:p>
    <w:p>
      <w:pPr>
        <w:pStyle w:val="898"/>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磋商货币。响应文件中的单价和总价无特殊规定的采用人民币报价，以元为单位标注。</w:t>
      </w:r>
      <w:r>
        <w:rPr>
          <w:rFonts w:hint="eastAsia" w:ascii="宋体" w:hAnsi="宋体"/>
          <w:color w:val="000000"/>
          <w:sz w:val="24"/>
          <w:szCs w:val="21"/>
          <w:highlight w:val="none"/>
        </w:rPr>
        <w:t xml:space="preserve">磋商文件中另有规定的按规定执行。</w:t>
      </w:r>
      <w:r>
        <w:rPr>
          <w:rFonts w:hint="eastAsia" w:ascii="宋体" w:hAnsi="宋体"/>
          <w:bCs/>
          <w:color w:val="000000"/>
          <w:sz w:val="24"/>
          <w:szCs w:val="21"/>
          <w:highlight w:val="none"/>
        </w:rPr>
      </w:r>
      <w:r/>
    </w:p>
    <w:p>
      <w:pPr>
        <w:pStyle w:val="898"/>
        <w:ind w:firstLine="420"/>
        <w:keepLines/>
        <w:keepNext/>
        <w:rPr>
          <w:rFonts w:hint="eastAsia" w:ascii="Arial" w:hAnsi="Arial" w:eastAsia="黑体" w:cs="Arial"/>
          <w:color w:val="000000"/>
          <w:sz w:val="28"/>
          <w:szCs w:val="28"/>
          <w:highlight w:val="none"/>
        </w:rPr>
        <w:outlineLvl w:val="3"/>
      </w:pPr>
      <w:r/>
      <w:bookmarkStart w:id="104" w:name="_Hlt26954731"/>
      <w:r/>
      <w:bookmarkEnd w:id="104"/>
      <w:r/>
      <w:bookmarkStart w:id="105" w:name="_Hlt26954848"/>
      <w:r/>
      <w:bookmarkEnd w:id="105"/>
      <w:r/>
      <w:bookmarkStart w:id="106" w:name="_Hlt26670482"/>
      <w:r/>
      <w:bookmarkEnd w:id="106"/>
      <w:r/>
      <w:bookmarkStart w:id="107" w:name="_Hlt26954846"/>
      <w:r/>
      <w:bookmarkEnd w:id="107"/>
      <w:r/>
      <w:bookmarkStart w:id="108" w:name="_Hlt26670486"/>
      <w:r/>
      <w:bookmarkEnd w:id="108"/>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2</w:t>
      </w:r>
      <w:r>
        <w:rPr>
          <w:rFonts w:hint="eastAsia" w:ascii="Arial" w:hAnsi="Arial" w:eastAsia="黑体" w:cs="Arial"/>
          <w:color w:val="000000"/>
          <w:sz w:val="28"/>
          <w:szCs w:val="28"/>
          <w:highlight w:val="none"/>
        </w:rPr>
        <w:t xml:space="preserve">、技术要求响应及偏离表、商务要求响应及偏离表</w:t>
      </w:r>
      <w:r>
        <w:rPr>
          <w:rFonts w:hint="eastAsia" w:ascii="Arial" w:hAnsi="Arial" w:eastAsia="黑体" w:cs="Arial"/>
          <w:color w:val="000000"/>
          <w:sz w:val="28"/>
          <w:szCs w:val="28"/>
          <w:highlight w:val="none"/>
        </w:rPr>
      </w:r>
      <w:r/>
    </w:p>
    <w:p>
      <w:pPr>
        <w:pStyle w:val="898"/>
        <w:ind w:firstLine="480"/>
        <w:spacing w:line="500" w:lineRule="exact"/>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12.1</w:t>
      </w:r>
      <w:r>
        <w:rPr>
          <w:rFonts w:hint="eastAsia" w:ascii="宋体" w:hAnsi="Arial" w:cs="宋体"/>
          <w:color w:val="000000"/>
          <w:sz w:val="24"/>
          <w:szCs w:val="21"/>
          <w:highlight w:val="none"/>
          <w:lang w:val="zh-CN"/>
        </w:rPr>
        <w:t xml:space="preserve">供应商需对磋商文件中的技术要求与商务要求逐项作出响应或偏离，并说明原因。</w:t>
      </w:r>
      <w:r>
        <w:rPr>
          <w:rFonts w:hint="eastAsia" w:ascii="宋体" w:hAnsi="Arial" w:cs="宋体"/>
          <w:color w:val="000000"/>
          <w:sz w:val="24"/>
          <w:szCs w:val="21"/>
          <w:highlight w:val="none"/>
          <w:lang w:val="zh-CN"/>
        </w:rPr>
      </w:r>
      <w:r/>
    </w:p>
    <w:p>
      <w:pPr>
        <w:pStyle w:val="898"/>
        <w:ind w:firstLine="480"/>
        <w:spacing w:line="500" w:lineRule="exact"/>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w:t>
      </w:r>
      <w:r>
        <w:rPr>
          <w:rFonts w:ascii="宋体" w:hAnsi="Arial" w:cs="宋体"/>
          <w:color w:val="000000"/>
          <w:sz w:val="24"/>
          <w:szCs w:val="21"/>
          <w:highlight w:val="none"/>
          <w:lang w:val="zh-CN"/>
        </w:rPr>
        <w:t xml:space="preserve">2</w:t>
      </w:r>
      <w:r>
        <w:rPr>
          <w:rFonts w:hint="eastAsia" w:ascii="宋体" w:hAnsi="Arial" w:cs="宋体"/>
          <w:color w:val="000000"/>
          <w:sz w:val="24"/>
          <w:szCs w:val="21"/>
          <w:highlight w:val="none"/>
          <w:lang w:val="zh-CN"/>
        </w:rPr>
        <w:t xml:space="preserve">.2供应商需按照磋商文件要求，在响应文件中提供与技术要求和商务要求相关的证明材料。</w:t>
      </w:r>
      <w:r>
        <w:rPr>
          <w:rFonts w:hint="eastAsia" w:ascii="宋体" w:hAnsi="Arial" w:cs="宋体"/>
          <w:color w:val="000000"/>
          <w:sz w:val="24"/>
          <w:szCs w:val="21"/>
          <w:highlight w:val="none"/>
          <w:lang w:val="zh-CN"/>
        </w:rPr>
      </w:r>
      <w:r/>
    </w:p>
    <w:p>
      <w:pPr>
        <w:pStyle w:val="898"/>
        <w:ind w:firstLine="420"/>
        <w:keepLines/>
        <w:keepNex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、服务承诺、培训计划、人员安排及其他</w:t>
      </w:r>
      <w:r>
        <w:rPr>
          <w:rFonts w:hint="eastAsia" w:ascii="Arial" w:hAnsi="Arial" w:eastAsia="黑体" w:cs="Arial"/>
          <w:color w:val="000000"/>
          <w:sz w:val="28"/>
          <w:szCs w:val="28"/>
          <w:highlight w:val="none"/>
        </w:rPr>
      </w:r>
      <w:r/>
    </w:p>
    <w:p>
      <w:pPr>
        <w:pStyle w:val="898"/>
        <w:ind w:firstLine="48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13.1</w:t>
      </w:r>
      <w:r>
        <w:rPr>
          <w:rFonts w:hint="eastAsia" w:ascii="宋体" w:hAnsi="宋体"/>
          <w:color w:val="000000"/>
          <w:sz w:val="24"/>
          <w:szCs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898"/>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13.2供应商需根据磋商文件要求提供培训计划。</w:t>
      </w:r>
      <w:r>
        <w:rPr>
          <w:rFonts w:hint="eastAsia" w:ascii="宋体" w:hAnsi="宋体"/>
          <w:color w:val="000000"/>
          <w:sz w:val="24"/>
          <w:szCs w:val="24"/>
          <w:highlight w:val="none"/>
        </w:rPr>
      </w:r>
      <w:r/>
    </w:p>
    <w:p>
      <w:pPr>
        <w:pStyle w:val="898"/>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13.3供应商需根据磋商文件要求提供</w:t>
      </w:r>
      <w:r>
        <w:rPr>
          <w:rFonts w:hint="eastAsia" w:ascii="宋体" w:hAnsi="Arial" w:cs="宋体"/>
          <w:color w:val="000000"/>
          <w:sz w:val="24"/>
          <w:szCs w:val="21"/>
          <w:highlight w:val="none"/>
          <w:lang w:val="zh-CN"/>
        </w:rPr>
        <w:t xml:space="preserve">磋商响应标的的主要组成部分、功能设计、实现思路及关键技术等。</w:t>
      </w:r>
      <w:r>
        <w:rPr>
          <w:rFonts w:hint="eastAsia" w:ascii="宋体" w:hAnsi="宋体"/>
          <w:color w:val="000000"/>
          <w:sz w:val="24"/>
          <w:szCs w:val="24"/>
          <w:highlight w:val="none"/>
        </w:rPr>
      </w:r>
      <w:r/>
    </w:p>
    <w:p>
      <w:pPr>
        <w:pStyle w:val="898"/>
        <w:ind w:firstLine="420"/>
        <w:keepLines/>
        <w:keepNext/>
        <w:rPr>
          <w:rFonts w:hint="eastAsia" w:ascii="Arial" w:hAnsi="Arial" w:eastAsia="黑体" w:cs="Arial"/>
          <w:color w:val="000000"/>
          <w:sz w:val="28"/>
          <w:szCs w:val="28"/>
          <w:highlight w:val="none"/>
        </w:rPr>
        <w:outlineLvl w:val="3"/>
      </w:pPr>
      <w:r/>
      <w:bookmarkStart w:id="109" w:name="_Toc14577359"/>
      <w:r/>
      <w:bookmarkStart w:id="110" w:name="_Toc4909051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、磋商响应函</w:t>
      </w:r>
      <w:r>
        <w:rPr>
          <w:rFonts w:hint="eastAsia" w:ascii="Arial" w:hAnsi="Arial" w:eastAsia="黑体" w:cs="Arial"/>
          <w:color w:val="000000"/>
          <w:sz w:val="28"/>
          <w:szCs w:val="28"/>
          <w:highlight w:val="none"/>
        </w:rPr>
      </w:r>
      <w:r/>
    </w:p>
    <w:p>
      <w:pPr>
        <w:pStyle w:val="898"/>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供应商应按照磋商文件中提供的格式完整、正确填写磋商响应函。</w:t>
      </w:r>
      <w:r>
        <w:rPr>
          <w:rFonts w:hint="eastAsia" w:ascii="宋体" w:hAnsi="宋体"/>
          <w:color w:val="000000"/>
          <w:sz w:val="24"/>
          <w:szCs w:val="21"/>
          <w:highlight w:val="none"/>
        </w:rPr>
      </w:r>
      <w:r/>
    </w:p>
    <w:p>
      <w:pPr>
        <w:pStyle w:val="898"/>
        <w:ind w:firstLine="420"/>
        <w:keepLines/>
        <w:keepNext/>
        <w:rPr>
          <w:rFonts w:hint="eastAsia" w:ascii="Arial" w:hAnsi="Arial" w:eastAsia="黑体" w:cs="Arial"/>
          <w:color w:val="000000"/>
          <w:sz w:val="28"/>
          <w:szCs w:val="28"/>
          <w:highlight w:val="none"/>
        </w:rPr>
        <w:outlineLvl w:val="3"/>
      </w:pPr>
      <w:r/>
      <w:bookmarkEnd w:id="109"/>
      <w:r/>
      <w:bookmarkEnd w:id="110"/>
      <w:r/>
      <w:bookmarkStart w:id="111" w:name="_Toc49090511"/>
      <w:r/>
      <w:bookmarkStart w:id="112" w:name="_Toc1457736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、磋商有效期</w:t>
      </w:r>
      <w:bookmarkEnd w:id="111"/>
      <w:r/>
      <w:bookmarkEnd w:id="112"/>
      <w:r>
        <w:rPr>
          <w:rFonts w:hint="eastAsia" w:ascii="Arial" w:hAnsi="Arial" w:eastAsia="黑体" w:cs="Arial"/>
          <w:color w:val="000000"/>
          <w:sz w:val="28"/>
          <w:szCs w:val="28"/>
          <w:highlight w:val="none"/>
        </w:rPr>
      </w:r>
      <w:r/>
    </w:p>
    <w:p>
      <w:pPr>
        <w:pStyle w:val="898"/>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.1磋商有效期为采购中心规定的提交响应文件截止之日后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。磋商有效期比规定短的将被视为非实质性响应磋商文件而予以拒绝。</w:t>
      </w:r>
      <w:r>
        <w:rPr>
          <w:rFonts w:hint="eastAsia" w:ascii="宋体" w:hAnsi="宋体"/>
          <w:bCs/>
          <w:color w:val="000000"/>
          <w:sz w:val="24"/>
          <w:szCs w:val="21"/>
          <w:highlight w:val="none"/>
        </w:rPr>
      </w:r>
      <w:r/>
    </w:p>
    <w:p>
      <w:pPr>
        <w:pStyle w:val="898"/>
        <w:ind w:firstLine="420"/>
        <w:keepLines/>
        <w:keepNex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、磋商有效期的延长</w:t>
      </w:r>
      <w:r>
        <w:rPr>
          <w:rFonts w:hint="eastAsia" w:ascii="Arial" w:hAnsi="Arial" w:eastAsia="黑体" w:cs="Arial"/>
          <w:color w:val="000000"/>
          <w:sz w:val="28"/>
          <w:szCs w:val="28"/>
          <w:highlight w:val="none"/>
        </w:rPr>
      </w:r>
      <w:r/>
    </w:p>
    <w:p>
      <w:pPr>
        <w:pStyle w:val="898"/>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color w:val="000000"/>
          <w:sz w:val="24"/>
          <w:szCs w:val="24"/>
          <w:highlight w:val="none"/>
        </w:rPr>
        <w:t xml:space="preserve">受磋商有效期约束的所有权利与义务均延长至新的有效期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98"/>
        <w:ind w:firstLine="482"/>
        <w:keepLines/>
        <w:keepNext/>
        <w:spacing w:before="156" w:after="156" w:line="360" w:lineRule="auto"/>
        <w:rPr>
          <w:rFonts w:hint="eastAsia" w:ascii="Times New Roman" w:hAnsi="Times New Roman"/>
          <w:b/>
          <w:bCs/>
          <w:color w:val="000000"/>
          <w:sz w:val="32"/>
          <w:szCs w:val="32"/>
          <w:highlight w:val="none"/>
        </w:rPr>
        <w:outlineLvl w:val="2"/>
      </w:pPr>
      <w:r/>
      <w:bookmarkStart w:id="113" w:name="_Hlt26954739"/>
      <w:r/>
      <w:bookmarkEnd w:id="113"/>
      <w:r/>
      <w:bookmarkStart w:id="114" w:name="_Hlt26954852"/>
      <w:r/>
      <w:bookmarkEnd w:id="114"/>
      <w:r/>
      <w:bookmarkStart w:id="115" w:name="_Toc120614217"/>
      <w:r/>
      <w:bookmarkStart w:id="116" w:name="_Toc513029224"/>
      <w:r/>
      <w:bookmarkStart w:id="117" w:name="_Toc16938540"/>
      <w:r/>
      <w:bookmarkStart w:id="118" w:name="_Toc20823296"/>
      <w:r>
        <w:rPr>
          <w:rFonts w:hint="eastAsia" w:ascii="Times New Roman" w:hAnsi="Times New Roman"/>
          <w:b/>
          <w:bCs/>
          <w:color w:val="000000"/>
          <w:sz w:val="32"/>
          <w:szCs w:val="32"/>
          <w:highlight w:val="none"/>
        </w:rPr>
        <w:t xml:space="preserve">四、响应文件的递交</w:t>
      </w:r>
      <w:bookmarkEnd w:id="115"/>
      <w:r/>
      <w:bookmarkEnd w:id="116"/>
      <w:r/>
      <w:bookmarkEnd w:id="117"/>
      <w:r/>
      <w:bookmarkEnd w:id="118"/>
      <w:r>
        <w:rPr>
          <w:rFonts w:hint="eastAsia" w:ascii="Times New Roman" w:hAnsi="Times New Roman"/>
          <w:b/>
          <w:bCs/>
          <w:color w:val="000000"/>
          <w:sz w:val="32"/>
          <w:szCs w:val="32"/>
          <w:highlight w:val="none"/>
        </w:rPr>
      </w:r>
      <w:r/>
    </w:p>
    <w:p>
      <w:pPr>
        <w:pStyle w:val="898"/>
        <w:ind w:firstLine="560"/>
        <w:keepLines/>
        <w:keepNext/>
        <w:rPr>
          <w:rFonts w:hint="eastAsia" w:ascii="黑体" w:hAnsi="Arial" w:eastAsia="黑体" w:cs="Arial"/>
          <w:color w:val="000000"/>
          <w:sz w:val="28"/>
          <w:szCs w:val="28"/>
          <w:highlight w:val="none"/>
        </w:rPr>
        <w:outlineLvl w:val="3"/>
      </w:pPr>
      <w:r/>
      <w:bookmarkStart w:id="119" w:name="_Toc16938541"/>
      <w:r/>
      <w:bookmarkStart w:id="120" w:name="_Toc20823297"/>
      <w:r/>
      <w:bookmarkStart w:id="121" w:name="_Toc513029225"/>
      <w:r/>
      <w:bookmarkStart w:id="122" w:name="_Toc462564084"/>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磋商</w:t>
      </w:r>
      <w:bookmarkEnd w:id="119"/>
      <w:r/>
      <w:bookmarkEnd w:id="120"/>
      <w:r/>
      <w:bookmarkEnd w:id="121"/>
      <w:r/>
      <w:bookmarkEnd w:id="122"/>
      <w:r>
        <w:rPr>
          <w:rFonts w:hint="eastAsia" w:ascii="黑体" w:hAnsi="Arial" w:eastAsia="黑体" w:cs="Arial"/>
          <w:color w:val="000000"/>
          <w:sz w:val="28"/>
          <w:szCs w:val="28"/>
          <w:highlight w:val="none"/>
        </w:rPr>
        <w:t xml:space="preserve">响应文件的递交</w:t>
      </w:r>
      <w:r>
        <w:rPr>
          <w:rFonts w:hint="eastAsia" w:ascii="黑体" w:hAnsi="Arial" w:eastAsia="黑体" w:cs="Arial"/>
          <w:color w:val="000000"/>
          <w:sz w:val="28"/>
          <w:szCs w:val="28"/>
          <w:highlight w:val="none"/>
        </w:rPr>
      </w:r>
      <w:r/>
    </w:p>
    <w:p>
      <w:pPr>
        <w:pStyle w:val="898"/>
        <w:ind w:firstLine="600"/>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.1供应商应当按照《操作手册》规定，在提交响应文件截止时间前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并上传电子响应文件。</w:t>
      </w:r>
      <w:bookmarkStart w:id="123" w:name="_Toc16938542"/>
      <w:r/>
      <w:bookmarkStart w:id="124" w:name="_Toc20823298"/>
      <w:r/>
      <w:bookmarkStart w:id="125" w:name="_Toc513029226"/>
      <w:r>
        <w:rPr>
          <w:rFonts w:ascii="宋体" w:hAnsi="宋体"/>
          <w:bCs/>
          <w:color w:val="000000"/>
          <w:sz w:val="24"/>
          <w:szCs w:val="21"/>
          <w:highlight w:val="none"/>
        </w:rPr>
      </w:r>
      <w:r/>
    </w:p>
    <w:p>
      <w:pPr>
        <w:pStyle w:val="898"/>
        <w:ind w:firstLine="560"/>
        <w:keepLines/>
        <w:keepNext/>
        <w:spacing w:before="280" w:after="290" w:line="376" w:lineRule="auto"/>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18</w:t>
      </w:r>
      <w:r>
        <w:rPr>
          <w:rFonts w:hint="eastAsia" w:ascii="Arial" w:hAnsi="Arial" w:eastAsia="黑体" w:cs="Arial"/>
          <w:bCs/>
          <w:color w:val="000000"/>
          <w:sz w:val="28"/>
          <w:szCs w:val="28"/>
          <w:highlight w:val="none"/>
        </w:rPr>
        <w:t xml:space="preserve">、提交响应文件截止时间</w:t>
      </w:r>
      <w:bookmarkEnd w:id="123"/>
      <w:r/>
      <w:bookmarkEnd w:id="124"/>
      <w:r/>
      <w:bookmarkEnd w:id="125"/>
      <w:r>
        <w:rPr>
          <w:rFonts w:hint="eastAsia" w:ascii="宋体" w:hAnsi="宋体" w:eastAsia="黑体" w:cs="Arial"/>
          <w:bCs/>
          <w:color w:val="000000"/>
          <w:sz w:val="24"/>
          <w:szCs w:val="28"/>
          <w:highlight w:val="none"/>
        </w:rPr>
      </w:r>
      <w:r/>
    </w:p>
    <w:p>
      <w:pPr>
        <w:pStyle w:val="898"/>
        <w:ind w:firstLine="480"/>
        <w:spacing w:line="500" w:lineRule="exact"/>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供应商上传电子响应文件的时间不得迟于磋商公告中规定的提交响应文件截止时间。</w:t>
      </w:r>
      <w:r>
        <w:rPr>
          <w:rFonts w:hint="eastAsia" w:ascii="宋体" w:hAnsi="宋体"/>
          <w:bCs/>
          <w:color w:val="000000"/>
          <w:sz w:val="24"/>
          <w:szCs w:val="21"/>
          <w:highlight w:val="none"/>
        </w:rPr>
      </w:r>
      <w:r/>
    </w:p>
    <w:p>
      <w:pPr>
        <w:pStyle w:val="898"/>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供应商应充分考虑到网络环境、网络带宽等风险因素，如因供应商自身原因造成的电子响应文件上传不成功的按照本磋商文件第二章第25.3.2条规定做无效响应处理。</w:t>
      </w:r>
      <w:r>
        <w:rPr>
          <w:rFonts w:hint="eastAsia" w:ascii="宋体" w:hAnsi="宋体"/>
          <w:bCs/>
          <w:color w:val="000000"/>
          <w:sz w:val="24"/>
          <w:szCs w:val="21"/>
          <w:highlight w:val="none"/>
        </w:rPr>
      </w:r>
      <w:r/>
    </w:p>
    <w:p>
      <w:pPr>
        <w:pStyle w:val="898"/>
        <w:ind w:firstLine="480"/>
        <w:spacing w:line="500" w:lineRule="exact"/>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color w:val="000000"/>
          <w:sz w:val="24"/>
          <w:szCs w:val="21"/>
          <w:highlight w:val="none"/>
        </w:rPr>
      </w:r>
      <w:r/>
    </w:p>
    <w:p>
      <w:pPr>
        <w:pStyle w:val="898"/>
        <w:ind w:firstLine="420"/>
        <w:keepLines/>
        <w:keepNext/>
        <w:rPr>
          <w:rFonts w:hint="eastAsia" w:ascii="Arial" w:hAnsi="Arial" w:eastAsia="黑体" w:cs="Arial"/>
          <w:color w:val="000000"/>
          <w:sz w:val="28"/>
          <w:szCs w:val="28"/>
          <w:highlight w:val="none"/>
        </w:rPr>
        <w:outlineLvl w:val="3"/>
      </w:pPr>
      <w:r/>
      <w:bookmarkStart w:id="126" w:name="_Toc20823299"/>
      <w:r/>
      <w:bookmarkStart w:id="127" w:name="_Toc16938543"/>
      <w:r/>
      <w:bookmarkStart w:id="128" w:name="_Toc513029227"/>
      <w:r>
        <w:rPr>
          <w:rFonts w:ascii="Arial" w:hAnsi="Arial" w:eastAsia="黑体" w:cs="Arial"/>
          <w:color w:val="000000"/>
          <w:sz w:val="28"/>
          <w:szCs w:val="28"/>
          <w:highlight w:val="none"/>
        </w:rPr>
        <w:t xml:space="preserve">19</w:t>
      </w:r>
      <w:r>
        <w:rPr>
          <w:rFonts w:hint="eastAsia" w:ascii="Arial" w:hAnsi="Arial" w:eastAsia="黑体" w:cs="Arial"/>
          <w:color w:val="000000"/>
          <w:sz w:val="28"/>
          <w:szCs w:val="28"/>
          <w:highlight w:val="none"/>
        </w:rPr>
        <w:t xml:space="preserve">、响应文件</w:t>
      </w:r>
      <w:bookmarkEnd w:id="126"/>
      <w:r/>
      <w:bookmarkEnd w:id="127"/>
      <w:r/>
      <w:bookmarkEnd w:id="128"/>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898"/>
        <w:ind w:firstLine="480"/>
        <w:spacing w:line="500" w:lineRule="exact"/>
        <w:rPr>
          <w:rFonts w:hint="eastAsia" w:ascii="宋体" w:hAnsi="宋体"/>
          <w:bCs/>
          <w:color w:val="000000"/>
          <w:sz w:val="24"/>
          <w:szCs w:val="21"/>
          <w:highlight w:val="none"/>
        </w:rPr>
      </w:pPr>
      <w:r>
        <w:rPr>
          <w:rFonts w:ascii="宋体" w:hAnsi="宋体"/>
          <w:bCs/>
          <w:color w:val="000000"/>
          <w:sz w:val="24"/>
          <w:szCs w:val="21"/>
          <w:highlight w:val="none"/>
        </w:rPr>
        <w:t xml:space="preserve">19</w:t>
      </w:r>
      <w:r>
        <w:rPr>
          <w:rFonts w:hint="eastAsia" w:ascii="宋体" w:hAnsi="宋体"/>
          <w:bCs/>
          <w:color w:val="000000"/>
          <w:sz w:val="24"/>
          <w:szCs w:val="21"/>
          <w:highlight w:val="none"/>
        </w:rPr>
        <w:t xml:space="preserve">.1 采购中心拒绝接收在其规定的提交响应文件截止时间后上传的任何电子响应文件。</w:t>
      </w:r>
      <w:r>
        <w:rPr>
          <w:rFonts w:hint="eastAsia" w:ascii="宋体" w:hAnsi="宋体"/>
          <w:bCs/>
          <w:color w:val="000000"/>
          <w:sz w:val="24"/>
          <w:szCs w:val="21"/>
          <w:highlight w:val="none"/>
        </w:rPr>
      </w:r>
      <w:r/>
    </w:p>
    <w:p>
      <w:pPr>
        <w:pStyle w:val="898"/>
        <w:ind w:firstLine="420"/>
        <w:keepLines/>
        <w:keepNext/>
        <w:rPr>
          <w:rFonts w:hint="eastAsia" w:ascii="Arial" w:hAnsi="Arial" w:eastAsia="黑体" w:cs="Arial"/>
          <w:color w:val="000000"/>
          <w:sz w:val="28"/>
          <w:szCs w:val="28"/>
          <w:highlight w:val="none"/>
        </w:rPr>
        <w:outlineLvl w:val="3"/>
      </w:pPr>
      <w:r/>
      <w:bookmarkStart w:id="129" w:name="_Toc513029228"/>
      <w:r/>
      <w:bookmarkStart w:id="130" w:name="_Toc20823300"/>
      <w:r/>
      <w:bookmarkStart w:id="131" w:name="_Toc1693854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、响应文件的撤回和修改</w:t>
      </w:r>
      <w:bookmarkEnd w:id="129"/>
      <w:r/>
      <w:bookmarkEnd w:id="130"/>
      <w:r/>
      <w:bookmarkEnd w:id="131"/>
      <w:r>
        <w:rPr>
          <w:rFonts w:hint="eastAsia" w:ascii="Arial" w:hAnsi="Arial" w:eastAsia="黑体" w:cs="Arial"/>
          <w:color w:val="000000"/>
          <w:sz w:val="28"/>
          <w:szCs w:val="28"/>
          <w:highlight w:val="none"/>
        </w:rPr>
      </w:r>
      <w:r/>
    </w:p>
    <w:p>
      <w:pPr>
        <w:pStyle w:val="898"/>
        <w:ind w:firstLine="480"/>
        <w:spacing w:line="48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20.1响应文件的撤回</w:t>
      </w:r>
      <w:r>
        <w:rPr>
          <w:rFonts w:hint="eastAsia" w:ascii="宋体" w:hAnsi="宋体"/>
          <w:color w:val="000000"/>
          <w:sz w:val="24"/>
          <w:szCs w:val="21"/>
          <w:highlight w:val="none"/>
        </w:rPr>
      </w:r>
      <w:r/>
    </w:p>
    <w:p>
      <w:pPr>
        <w:pStyle w:val="898"/>
        <w:ind w:firstLine="480"/>
        <w:spacing w:line="48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20.1.1 电子响应文件的撤回</w:t>
      </w:r>
      <w:r>
        <w:rPr>
          <w:rFonts w:hint="eastAsia" w:ascii="宋体" w:hAnsi="宋体"/>
          <w:color w:val="000000"/>
          <w:sz w:val="24"/>
          <w:szCs w:val="21"/>
          <w:highlight w:val="none"/>
        </w:rPr>
      </w:r>
      <w:r/>
    </w:p>
    <w:p>
      <w:pPr>
        <w:pStyle w:val="898"/>
        <w:ind w:firstLine="480"/>
        <w:spacing w:line="48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截止时间前，撤回其电子响应文件，具体操作方法见《操作手册》。</w:t>
      </w:r>
      <w:r>
        <w:rPr>
          <w:rFonts w:hint="eastAsia" w:ascii="宋体" w:hAnsi="宋体"/>
          <w:color w:val="000000"/>
          <w:sz w:val="24"/>
          <w:szCs w:val="21"/>
          <w:highlight w:val="none"/>
        </w:rPr>
      </w:r>
      <w:r/>
    </w:p>
    <w:p>
      <w:pPr>
        <w:pStyle w:val="898"/>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供应商撤回电子响应文件，则认为其不再参与本项目磋商活动。</w:t>
      </w:r>
      <w:r>
        <w:rPr>
          <w:rFonts w:hint="eastAsia" w:ascii="宋体" w:hAnsi="宋体"/>
          <w:color w:val="000000"/>
          <w:sz w:val="24"/>
          <w:szCs w:val="24"/>
          <w:highlight w:val="none"/>
        </w:rPr>
      </w:r>
      <w:r/>
    </w:p>
    <w:p>
      <w:pPr>
        <w:pStyle w:val="898"/>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20.2响应文件的修改</w:t>
      </w:r>
      <w:r>
        <w:rPr>
          <w:rFonts w:hint="eastAsia" w:ascii="宋体" w:hAnsi="宋体"/>
          <w:color w:val="000000"/>
          <w:sz w:val="24"/>
          <w:szCs w:val="24"/>
          <w:highlight w:val="none"/>
        </w:rPr>
      </w:r>
      <w:r/>
    </w:p>
    <w:p>
      <w:pPr>
        <w:pStyle w:val="898"/>
        <w:ind w:firstLine="480"/>
        <w:spacing w:line="48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截止时间前，对其电子响应文件进行修改，具体操作方法见《操作手册》。</w:t>
      </w:r>
      <w:r>
        <w:rPr>
          <w:rFonts w:hint="eastAsia" w:ascii="宋体" w:hAnsi="宋体"/>
          <w:color w:val="000000"/>
          <w:sz w:val="24"/>
          <w:szCs w:val="21"/>
          <w:highlight w:val="none"/>
        </w:rPr>
      </w:r>
      <w:r/>
    </w:p>
    <w:p>
      <w:pPr>
        <w:pStyle w:val="898"/>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20.3</w:t>
      </w:r>
      <w:r>
        <w:rPr>
          <w:rFonts w:hint="eastAsia" w:ascii="宋体" w:hAnsi="宋体"/>
          <w:bCs/>
          <w:color w:val="000000"/>
          <w:sz w:val="24"/>
          <w:szCs w:val="21"/>
          <w:highlight w:val="none"/>
        </w:rPr>
        <w:t xml:space="preserve"> 在提交响应文件截止时间之后，供应商不得对其电子响应文件作任何修改。</w:t>
      </w:r>
      <w:r>
        <w:rPr>
          <w:rFonts w:hint="eastAsia" w:ascii="宋体" w:hAnsi="宋体"/>
          <w:bCs/>
          <w:color w:val="000000"/>
          <w:sz w:val="24"/>
          <w:szCs w:val="21"/>
          <w:highlight w:val="none"/>
        </w:rPr>
      </w:r>
      <w:r/>
    </w:p>
    <w:p>
      <w:pPr>
        <w:pStyle w:val="898"/>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20.4</w:t>
      </w:r>
      <w:r>
        <w:rPr>
          <w:rFonts w:hint="eastAsia" w:ascii="宋体" w:hAnsi="宋体"/>
          <w:bCs/>
          <w:color w:val="000000"/>
          <w:sz w:val="24"/>
          <w:szCs w:val="21"/>
          <w:highlight w:val="none"/>
        </w:rPr>
        <w:t xml:space="preserve"> 在提交响应文件截止时间至磋商文件中规定的磋商有效期满之间的这段时间内，供应商不得撤回其响应文件。</w:t>
      </w:r>
      <w:r>
        <w:rPr>
          <w:rFonts w:hint="eastAsia" w:ascii="宋体" w:hAnsi="宋体"/>
          <w:bCs/>
          <w:color w:val="000000"/>
          <w:sz w:val="24"/>
          <w:szCs w:val="21"/>
          <w:highlight w:val="none"/>
        </w:rPr>
      </w:r>
      <w:r/>
    </w:p>
    <w:p>
      <w:pPr>
        <w:pStyle w:val="898"/>
        <w:ind w:firstLine="482"/>
        <w:keepLines/>
        <w:keepNext/>
        <w:spacing w:before="156" w:after="156" w:line="360" w:lineRule="auto"/>
        <w:rPr>
          <w:rFonts w:hint="eastAsia" w:ascii="Times New Roman" w:hAnsi="Times New Roman"/>
          <w:b/>
          <w:bCs/>
          <w:color w:val="000000"/>
          <w:sz w:val="32"/>
          <w:szCs w:val="32"/>
          <w:highlight w:val="none"/>
        </w:rPr>
        <w:outlineLvl w:val="2"/>
      </w:pPr>
      <w:r/>
      <w:bookmarkStart w:id="132" w:name="_Toc16938545"/>
      <w:r/>
      <w:bookmarkStart w:id="133" w:name="_Toc120614218"/>
      <w:r/>
      <w:bookmarkStart w:id="134" w:name="_Toc513029229"/>
      <w:r/>
      <w:bookmarkStart w:id="135" w:name="_Toc20823301"/>
      <w:r>
        <w:rPr>
          <w:rFonts w:hint="eastAsia" w:ascii="Times New Roman" w:hAnsi="Times New Roman"/>
          <w:b/>
          <w:bCs/>
          <w:color w:val="000000"/>
          <w:sz w:val="32"/>
          <w:szCs w:val="32"/>
          <w:highlight w:val="none"/>
        </w:rPr>
        <w:t xml:space="preserve">五、响应文件的解密与评审</w:t>
      </w:r>
      <w:bookmarkEnd w:id="132"/>
      <w:r/>
      <w:bookmarkEnd w:id="133"/>
      <w:r/>
      <w:bookmarkEnd w:id="134"/>
      <w:r/>
      <w:bookmarkEnd w:id="135"/>
      <w:r>
        <w:rPr>
          <w:rFonts w:hint="eastAsia" w:ascii="Times New Roman" w:hAnsi="Times New Roman"/>
          <w:b/>
          <w:bCs/>
          <w:color w:val="000000"/>
          <w:sz w:val="32"/>
          <w:szCs w:val="32"/>
          <w:highlight w:val="none"/>
        </w:rPr>
      </w:r>
      <w:r/>
    </w:p>
    <w:p>
      <w:pPr>
        <w:pStyle w:val="898"/>
        <w:ind w:firstLine="420"/>
        <w:keepLines/>
        <w:keepNext/>
        <w:rPr>
          <w:rFonts w:hint="eastAsia" w:ascii="Arial" w:hAnsi="Arial" w:eastAsia="黑体" w:cs="Arial"/>
          <w:color w:val="000000"/>
          <w:sz w:val="28"/>
          <w:szCs w:val="28"/>
          <w:highlight w:val="none"/>
        </w:rPr>
        <w:outlineLvl w:val="3"/>
      </w:pPr>
      <w:r/>
      <w:bookmarkStart w:id="136" w:name="_Toc20823302"/>
      <w:r/>
      <w:bookmarkStart w:id="137" w:name="_Toc16938546"/>
      <w:r/>
      <w:bookmarkStart w:id="138" w:name="_Toc51302923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w:t>
      </w:r>
      <w:bookmarkEnd w:id="136"/>
      <w:r/>
      <w:bookmarkEnd w:id="137"/>
      <w:r/>
      <w:bookmarkEnd w:id="138"/>
      <w:r>
        <w:rPr>
          <w:rFonts w:hint="eastAsia" w:ascii="Arial" w:hAnsi="Arial" w:eastAsia="黑体" w:cs="Arial"/>
          <w:color w:val="000000"/>
          <w:sz w:val="28"/>
          <w:szCs w:val="28"/>
          <w:highlight w:val="none"/>
        </w:rPr>
        <w:t xml:space="preserve">响应文件解密</w:t>
      </w:r>
      <w:r>
        <w:rPr>
          <w:rFonts w:hint="eastAsia" w:ascii="Arial" w:hAnsi="Arial" w:eastAsia="黑体" w:cs="Arial"/>
          <w:color w:val="000000"/>
          <w:sz w:val="28"/>
          <w:szCs w:val="28"/>
          <w:highlight w:val="none"/>
        </w:rPr>
      </w:r>
      <w:r/>
    </w:p>
    <w:p>
      <w:pPr>
        <w:pStyle w:val="898"/>
        <w:ind w:firstLine="360"/>
        <w:rPr>
          <w:rFonts w:hint="eastAsia" w:ascii="Times New Roman" w:hAnsi="Times New Roman"/>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w:t>
      </w:r>
      <w:r>
        <w:rPr>
          <w:rFonts w:hint="eastAsia" w:ascii="宋体" w:hAnsi="宋体"/>
          <w:color w:val="000000"/>
          <w:sz w:val="24"/>
          <w:szCs w:val="24"/>
          <w:highlight w:val="none"/>
        </w:rPr>
        <w:t xml:space="preserve">供应商应当按照《操作手册》规定，在苏采云系统规定的时间内对磋商响应文件进行解密。</w:t>
      </w:r>
      <w:r>
        <w:rPr>
          <w:rFonts w:hint="eastAsia" w:ascii="Times New Roman" w:hAnsi="Times New Roman"/>
          <w:color w:val="000000"/>
          <w:szCs w:val="21"/>
          <w:highlight w:val="none"/>
        </w:rPr>
      </w:r>
      <w:r/>
    </w:p>
    <w:p>
      <w:pPr>
        <w:pStyle w:val="898"/>
        <w:ind w:firstLine="420"/>
        <w:keepLines/>
        <w:keepNext/>
        <w:rPr>
          <w:rFonts w:hint="eastAsia" w:ascii="Arial" w:hAnsi="Arial" w:eastAsia="黑体" w:cs="Arial"/>
          <w:color w:val="000000"/>
          <w:sz w:val="28"/>
          <w:szCs w:val="28"/>
          <w:highlight w:val="none"/>
        </w:rPr>
        <w:outlineLvl w:val="3"/>
      </w:pPr>
      <w:r/>
      <w:bookmarkStart w:id="139" w:name="_Toc16938547"/>
      <w:r/>
      <w:bookmarkStart w:id="140" w:name="_Toc20823303"/>
      <w:r/>
      <w:bookmarkStart w:id="141" w:name="_Toc513029231"/>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2</w:t>
      </w:r>
      <w:r>
        <w:rPr>
          <w:rFonts w:hint="eastAsia" w:ascii="Arial" w:hAnsi="Arial" w:eastAsia="黑体" w:cs="Arial"/>
          <w:color w:val="000000"/>
          <w:sz w:val="28"/>
          <w:szCs w:val="28"/>
          <w:highlight w:val="none"/>
        </w:rPr>
        <w:t xml:space="preserve">、磋商小组</w:t>
      </w:r>
      <w:r>
        <w:rPr>
          <w:rFonts w:hint="eastAsia" w:ascii="Arial" w:hAnsi="Arial" w:eastAsia="黑体" w:cs="Arial"/>
          <w:color w:val="000000"/>
          <w:sz w:val="28"/>
          <w:szCs w:val="28"/>
          <w:highlight w:val="none"/>
        </w:rPr>
      </w:r>
      <w:r/>
    </w:p>
    <w:p>
      <w:pPr>
        <w:pStyle w:val="898"/>
        <w:spacing w:line="48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.1采购中心将组织磋商小组对响应文件进行评审。磋商小组由采购人代表和有关技术、经济等方面的专家组成，且人员构成符合政府采购有关规定。</w:t>
      </w:r>
      <w:r>
        <w:rPr>
          <w:rFonts w:hint="eastAsia" w:ascii="宋体" w:hAnsi="宋体"/>
          <w:b/>
          <w:color w:val="000000"/>
          <w:sz w:val="24"/>
          <w:szCs w:val="24"/>
          <w:highlight w:val="none"/>
        </w:rPr>
      </w:r>
      <w:r/>
    </w:p>
    <w:p>
      <w:pPr>
        <w:pStyle w:val="898"/>
        <w:spacing w:line="48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.2磋商小组独立工作，负责评审所有响应文件并确定成交侯选人。</w:t>
      </w:r>
      <w:r>
        <w:rPr>
          <w:rFonts w:hint="eastAsia" w:ascii="宋体" w:hAnsi="宋体"/>
          <w:color w:val="000000"/>
          <w:sz w:val="24"/>
          <w:szCs w:val="24"/>
          <w:highlight w:val="none"/>
        </w:rPr>
      </w:r>
      <w:r/>
    </w:p>
    <w:p>
      <w:pPr>
        <w:pStyle w:val="898"/>
        <w:ind w:firstLine="420"/>
        <w:keepLines/>
        <w:keepNex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3</w:t>
      </w:r>
      <w:r>
        <w:rPr>
          <w:rFonts w:hint="eastAsia" w:ascii="黑体" w:hAnsi="Arial" w:eastAsia="黑体" w:cs="Arial"/>
          <w:color w:val="000000"/>
          <w:sz w:val="28"/>
          <w:szCs w:val="28"/>
          <w:highlight w:val="none"/>
        </w:rPr>
        <w:t xml:space="preserve">、评审过程的保密与公正</w:t>
      </w:r>
      <w:r>
        <w:rPr>
          <w:rFonts w:hint="eastAsia" w:ascii="黑体" w:hAnsi="Arial" w:eastAsia="黑体" w:cs="Arial"/>
          <w:color w:val="000000"/>
          <w:sz w:val="28"/>
          <w:szCs w:val="28"/>
          <w:highlight w:val="none"/>
        </w:rPr>
      </w:r>
      <w:r/>
    </w:p>
    <w:p>
      <w:pPr>
        <w:pStyle w:val="898"/>
        <w:ind w:firstLine="480"/>
        <w:spacing w:line="500" w:lineRule="exact"/>
        <w:rPr>
          <w:rFonts w:hint="eastAsia" w:ascii="宋体" w:hAnsi="宋体"/>
          <w:bCs/>
          <w:color w:val="000000"/>
          <w:sz w:val="24"/>
          <w:szCs w:val="21"/>
          <w:highlight w:val="none"/>
        </w:rPr>
      </w:pPr>
      <w:r/>
      <w:bookmarkEnd w:id="139"/>
      <w:r/>
      <w:bookmarkEnd w:id="140"/>
      <w:r/>
      <w:bookmarkEnd w:id="141"/>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磋商小组、采购人和采购中心工作人员、相关监督人员等与评审工作有关的人员，对评审情况以及在评审过程中获悉的国家秘密、商业秘密负有保密责任。</w:t>
      </w:r>
      <w:r>
        <w:rPr>
          <w:rFonts w:hint="eastAsia" w:ascii="宋体" w:hAnsi="宋体"/>
          <w:bCs/>
          <w:color w:val="000000"/>
          <w:sz w:val="24"/>
          <w:szCs w:val="21"/>
          <w:highlight w:val="none"/>
        </w:rPr>
      </w:r>
      <w:r/>
    </w:p>
    <w:p>
      <w:pPr>
        <w:pStyle w:val="898"/>
        <w:ind w:firstLine="480"/>
        <w:spacing w:line="48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在评审过程中，供应商不得以任何行为影响磋商评审过程，否则其响应文件将被作为无效响应文件。</w:t>
      </w:r>
      <w:r>
        <w:rPr>
          <w:rFonts w:hint="eastAsia" w:ascii="宋体" w:hAnsi="宋体"/>
          <w:color w:val="000000"/>
          <w:sz w:val="24"/>
          <w:szCs w:val="24"/>
          <w:highlight w:val="none"/>
        </w:rPr>
      </w:r>
      <w:r/>
    </w:p>
    <w:p>
      <w:pPr>
        <w:pStyle w:val="898"/>
        <w:ind w:firstLine="480"/>
        <w:spacing w:line="48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.3</w:t>
      </w:r>
      <w:r>
        <w:rPr>
          <w:rFonts w:hint="eastAsia" w:ascii="宋体" w:hAnsi="宋体"/>
          <w:color w:val="000000"/>
          <w:sz w:val="24"/>
          <w:szCs w:val="24"/>
          <w:highlight w:val="none"/>
        </w:rPr>
        <w:t xml:space="preserve">在项目评审期间，采购中心将设专门人员与供应商联系。</w:t>
      </w:r>
      <w:r>
        <w:rPr>
          <w:rFonts w:hint="eastAsia" w:ascii="宋体" w:hAnsi="宋体"/>
          <w:color w:val="000000"/>
          <w:sz w:val="24"/>
          <w:szCs w:val="24"/>
          <w:highlight w:val="none"/>
        </w:rPr>
      </w:r>
      <w:r/>
    </w:p>
    <w:p>
      <w:pPr>
        <w:pStyle w:val="898"/>
        <w:ind w:firstLine="480"/>
        <w:spacing w:line="480" w:lineRule="exact"/>
        <w:rPr>
          <w:rFonts w:hint="eastAsia" w:ascii="宋体" w:hAnsi="宋体"/>
          <w:color w:val="000000"/>
          <w:sz w:val="24"/>
          <w:szCs w:val="24"/>
          <w:highlight w:val="none"/>
        </w:rPr>
      </w:pPr>
      <w:r>
        <w:rPr>
          <w:rFonts w:ascii="宋体" w:hAnsi="宋体"/>
          <w:color w:val="000000"/>
          <w:sz w:val="24"/>
          <w:szCs w:val="24"/>
          <w:highlight w:val="none"/>
        </w:rPr>
        <w:t xml:space="preserve">23</w:t>
      </w:r>
      <w:r>
        <w:rPr>
          <w:rFonts w:hint="eastAsia" w:ascii="宋体" w:hAnsi="宋体"/>
          <w:color w:val="000000"/>
          <w:sz w:val="24"/>
          <w:szCs w:val="24"/>
          <w:highlight w:val="none"/>
        </w:rPr>
        <w:t xml:space="preserve">.4 采购中心和磋商小组不向未成交的供应商解释未成交原因，也不公布评审过程中的相关细节。</w:t>
      </w:r>
      <w:r>
        <w:rPr>
          <w:rFonts w:hint="eastAsia" w:ascii="宋体" w:hAnsi="宋体"/>
          <w:color w:val="000000"/>
          <w:sz w:val="24"/>
          <w:szCs w:val="24"/>
          <w:highlight w:val="none"/>
        </w:rPr>
      </w:r>
      <w:r/>
    </w:p>
    <w:p>
      <w:pPr>
        <w:pStyle w:val="898"/>
        <w:ind w:firstLine="420"/>
        <w:keepLines/>
        <w:keepNext/>
        <w:rPr>
          <w:rFonts w:hint="eastAsia" w:ascii="Arial" w:hAnsi="Arial" w:eastAsia="黑体" w:cs="Arial"/>
          <w:color w:val="000000"/>
          <w:sz w:val="28"/>
          <w:szCs w:val="28"/>
          <w:highlight w:val="none"/>
        </w:rPr>
        <w:outlineLvl w:val="3"/>
      </w:pPr>
      <w:r/>
      <w:bookmarkStart w:id="142" w:name="_Toc20823304"/>
      <w:r/>
      <w:bookmarkStart w:id="143" w:name="_Toc513029232"/>
      <w:r/>
      <w:bookmarkStart w:id="144" w:name="_Toc1693854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、评审过程中的的澄清</w:t>
      </w:r>
      <w:bookmarkEnd w:id="142"/>
      <w:r/>
      <w:bookmarkEnd w:id="143"/>
      <w:r/>
      <w:bookmarkEnd w:id="144"/>
      <w:r>
        <w:rPr>
          <w:rFonts w:hint="eastAsia" w:ascii="Arial" w:hAnsi="Arial" w:eastAsia="黑体" w:cs="Arial"/>
          <w:color w:val="000000"/>
          <w:sz w:val="28"/>
          <w:szCs w:val="28"/>
          <w:highlight w:val="none"/>
        </w:rPr>
      </w:r>
      <w:r/>
    </w:p>
    <w:p>
      <w:pPr>
        <w:pStyle w:val="898"/>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898"/>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磋商小组并非对每个供应商都作澄清要求。</w:t>
      </w:r>
      <w:r>
        <w:rPr>
          <w:rFonts w:hint="eastAsia" w:ascii="宋体" w:hAnsi="宋体" w:cs="宋体"/>
          <w:color w:val="000000"/>
          <w:sz w:val="24"/>
          <w:szCs w:val="24"/>
          <w:highlight w:val="none"/>
        </w:rPr>
      </w:r>
      <w:r/>
    </w:p>
    <w:p>
      <w:pPr>
        <w:pStyle w:val="898"/>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24.2需要供应商进行澄清、说明和更正的，磋商小组将通过</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向供应商发布“澄清要求函”，接到“澄清要求函”的供应商应当按照要求在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中提交“澄清响应函”并加盖CA电子公章。澄清、说明和更正的内容作为响应文件的补充部分，具体</w:t>
      </w:r>
      <w:r>
        <w:rPr>
          <w:rFonts w:ascii="宋体" w:hAnsi="宋体" w:cs="宋体"/>
          <w:color w:val="000000"/>
          <w:sz w:val="24"/>
          <w:szCs w:val="24"/>
          <w:highlight w:val="none"/>
        </w:rPr>
        <w:t xml:space="preserve">操作</w:t>
      </w:r>
      <w:r>
        <w:rPr>
          <w:rFonts w:hint="eastAsia" w:ascii="宋体" w:hAnsi="宋体" w:cs="宋体"/>
          <w:color w:val="000000"/>
          <w:sz w:val="24"/>
          <w:szCs w:val="24"/>
          <w:highlight w:val="none"/>
        </w:rPr>
        <w:t xml:space="preserve">方式</w:t>
      </w:r>
      <w:r>
        <w:rPr>
          <w:rFonts w:ascii="宋体" w:hAnsi="宋体" w:cs="宋体"/>
          <w:color w:val="000000"/>
          <w:sz w:val="24"/>
          <w:szCs w:val="24"/>
          <w:highlight w:val="none"/>
        </w:rPr>
        <w:t xml:space="preserve">见</w:t>
      </w:r>
      <w:r>
        <w:rPr>
          <w:rFonts w:hint="eastAsia" w:ascii="宋体" w:hAnsi="宋体" w:cs="宋体"/>
          <w:color w:val="000000"/>
          <w:sz w:val="24"/>
          <w:szCs w:val="24"/>
          <w:highlight w:val="none"/>
        </w:rPr>
        <w:t xml:space="preserve">《操作手册》。</w:t>
      </w:r>
      <w:r>
        <w:rPr>
          <w:rFonts w:hint="eastAsia" w:ascii="宋体" w:hAnsi="宋体" w:cs="宋体"/>
          <w:color w:val="000000"/>
          <w:sz w:val="24"/>
          <w:szCs w:val="24"/>
          <w:highlight w:val="none"/>
        </w:rPr>
      </w:r>
      <w:r/>
    </w:p>
    <w:p>
      <w:pPr>
        <w:pStyle w:val="898"/>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24.3 接到磋商小组澄清、说明和更正要求的供应商如未按规定做出澄清、说明和 更正，其风险由供应商自行承担。</w:t>
      </w:r>
      <w:r>
        <w:rPr>
          <w:rFonts w:hint="eastAsia" w:ascii="宋体" w:hAnsi="宋体"/>
          <w:color w:val="000000"/>
          <w:sz w:val="24"/>
          <w:szCs w:val="24"/>
          <w:highlight w:val="none"/>
        </w:rPr>
      </w:r>
      <w:r/>
    </w:p>
    <w:p>
      <w:pPr>
        <w:pStyle w:val="898"/>
        <w:ind w:firstLine="420"/>
        <w:keepLines/>
        <w:keepNext/>
        <w:rPr>
          <w:rFonts w:hint="eastAsia" w:ascii="Arial" w:hAnsi="Arial" w:eastAsia="黑体" w:cs="Arial"/>
          <w:color w:val="000000"/>
          <w:sz w:val="28"/>
          <w:szCs w:val="28"/>
          <w:highlight w:val="none"/>
        </w:rPr>
        <w:outlineLvl w:val="3"/>
      </w:pPr>
      <w:r/>
      <w:bookmarkStart w:id="145" w:name="_Toc16938549"/>
      <w:r/>
      <w:bookmarkStart w:id="146" w:name="_Toc513029233"/>
      <w:r/>
      <w:bookmarkStart w:id="147" w:name="_Toc20823305"/>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、对响应文件的审</w:t>
      </w:r>
      <w:bookmarkEnd w:id="145"/>
      <w:r/>
      <w:bookmarkEnd w:id="146"/>
      <w:r/>
      <w:bookmarkEnd w:id="147"/>
      <w:r>
        <w:rPr>
          <w:rFonts w:hint="eastAsia" w:ascii="Arial" w:hAnsi="Arial" w:eastAsia="黑体" w:cs="Arial"/>
          <w:color w:val="000000"/>
          <w:sz w:val="28"/>
          <w:szCs w:val="28"/>
          <w:highlight w:val="none"/>
        </w:rPr>
        <w:t xml:space="preserve">查</w:t>
      </w:r>
      <w:r>
        <w:rPr>
          <w:rFonts w:hint="eastAsia" w:ascii="Arial" w:hAnsi="Arial" w:eastAsia="黑体" w:cs="Arial"/>
          <w:color w:val="000000"/>
          <w:sz w:val="28"/>
          <w:szCs w:val="28"/>
          <w:highlight w:val="none"/>
        </w:rPr>
      </w:r>
      <w:r/>
    </w:p>
    <w:p>
      <w:pPr>
        <w:pStyle w:val="898"/>
        <w:ind w:firstLine="480"/>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25.1</w:t>
      </w:r>
      <w:r>
        <w:rPr>
          <w:rFonts w:hint="eastAsia" w:ascii="宋体" w:hAnsi="宋体"/>
          <w:bCs/>
          <w:color w:val="000000"/>
          <w:sz w:val="24"/>
          <w:szCs w:val="21"/>
          <w:highlight w:val="none"/>
        </w:rPr>
        <w:t xml:space="preserve">响应文件审查分为资格审查和符合性审查。</w:t>
      </w:r>
      <w:r>
        <w:rPr>
          <w:rFonts w:hint="eastAsia" w:ascii="宋体" w:hAnsi="宋体"/>
          <w:bCs/>
          <w:color w:val="000000"/>
          <w:sz w:val="24"/>
          <w:szCs w:val="21"/>
          <w:highlight w:val="none"/>
        </w:rPr>
      </w:r>
      <w:r/>
    </w:p>
    <w:p>
      <w:pPr>
        <w:pStyle w:val="898"/>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25.1.1 资格审查：由磋商小组依据法律法规和磋商文件的规定，对响应文件中的资格证明文件进行审查，以确定供应商是否具备参加磋商的资格。</w:t>
      </w:r>
      <w:r>
        <w:rPr>
          <w:rFonts w:hint="eastAsia" w:ascii="宋体" w:hAnsi="宋体"/>
          <w:bCs/>
          <w:color w:val="000000"/>
          <w:sz w:val="24"/>
          <w:szCs w:val="21"/>
          <w:highlight w:val="none"/>
        </w:rPr>
      </w:r>
      <w:r/>
    </w:p>
    <w:p>
      <w:pPr>
        <w:pStyle w:val="898"/>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bCs/>
          <w:color w:val="000000"/>
          <w:sz w:val="24"/>
          <w:szCs w:val="21"/>
          <w:highlight w:val="none"/>
        </w:rPr>
      </w:r>
      <w:r/>
    </w:p>
    <w:p>
      <w:pPr>
        <w:pStyle w:val="898"/>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898"/>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sz w:val="24"/>
          <w:szCs w:val="21"/>
          <w:highlight w:val="none"/>
        </w:rPr>
      </w:r>
      <w:r/>
    </w:p>
    <w:p>
      <w:pPr>
        <w:pStyle w:val="898"/>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25.1.3 未通过资格审查或符合性审查的供应商，磋商小组将在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bCs/>
          <w:color w:val="000000"/>
          <w:sz w:val="24"/>
          <w:szCs w:val="21"/>
          <w:highlight w:val="none"/>
        </w:rPr>
      </w:r>
      <w:r/>
    </w:p>
    <w:p>
      <w:pPr>
        <w:pStyle w:val="898"/>
        <w:ind w:firstLine="480"/>
        <w:spacing w:line="48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25.2</w:t>
      </w:r>
      <w:r>
        <w:rPr>
          <w:rFonts w:hint="eastAsia" w:ascii="宋体" w:hAnsi="宋体"/>
          <w:color w:val="000000"/>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olor w:val="000000"/>
          <w:sz w:val="24"/>
          <w:szCs w:val="24"/>
          <w:highlight w:val="none"/>
        </w:rPr>
      </w:r>
      <w:r/>
    </w:p>
    <w:p>
      <w:pPr>
        <w:pStyle w:val="898"/>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sz w:val="24"/>
          <w:szCs w:val="24"/>
          <w:highlight w:val="none"/>
        </w:rPr>
      </w:r>
      <w:r/>
    </w:p>
    <w:p>
      <w:pPr>
        <w:pStyle w:val="898"/>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25.3未实质性响应磋商文件的情形</w:t>
      </w:r>
      <w:r>
        <w:rPr>
          <w:rFonts w:hint="eastAsia" w:ascii="宋体" w:hAnsi="宋体"/>
          <w:bCs/>
          <w:color w:val="000000"/>
          <w:sz w:val="24"/>
          <w:szCs w:val="21"/>
          <w:highlight w:val="none"/>
        </w:rPr>
      </w:r>
      <w:r/>
    </w:p>
    <w:p>
      <w:pPr>
        <w:pStyle w:val="898"/>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25.3.1供应商在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规定的时间内未成功解密电子响应文件的。</w:t>
      </w:r>
      <w:r>
        <w:rPr>
          <w:rFonts w:hint="eastAsia" w:ascii="宋体" w:hAnsi="宋体"/>
          <w:bCs/>
          <w:color w:val="000000"/>
          <w:sz w:val="24"/>
          <w:szCs w:val="21"/>
          <w:highlight w:val="none"/>
        </w:rPr>
      </w:r>
      <w:r/>
    </w:p>
    <w:p>
      <w:pPr>
        <w:pStyle w:val="898"/>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25.3.2供应商未按照磋商文件要求上传电子响应文件的。</w:t>
      </w:r>
      <w:r>
        <w:rPr>
          <w:rFonts w:hint="eastAsia" w:ascii="宋体" w:hAnsi="宋体"/>
          <w:bCs/>
          <w:color w:val="000000"/>
          <w:sz w:val="24"/>
          <w:szCs w:val="21"/>
          <w:highlight w:val="none"/>
        </w:rPr>
      </w:r>
      <w:r/>
    </w:p>
    <w:p>
      <w:pPr>
        <w:pStyle w:val="898"/>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25.3.3供应商同一</w:t>
      </w:r>
      <w:r>
        <w:rPr>
          <w:rFonts w:ascii="宋体" w:hAnsi="宋体"/>
          <w:bCs/>
          <w:color w:val="000000"/>
          <w:sz w:val="24"/>
          <w:szCs w:val="21"/>
          <w:highlight w:val="none"/>
        </w:rPr>
        <w:t xml:space="preserve">采购包</w:t>
      </w:r>
      <w:r>
        <w:rPr>
          <w:rFonts w:hint="eastAsia" w:ascii="宋体" w:hAnsi="宋体"/>
          <w:bCs/>
          <w:color w:val="000000"/>
          <w:sz w:val="24"/>
          <w:szCs w:val="21"/>
          <w:highlight w:val="none"/>
        </w:rPr>
        <w:t xml:space="preserve">提交两个（含两个）以上不同的响应文件或者最后报价的。</w:t>
      </w:r>
      <w:r>
        <w:rPr>
          <w:rFonts w:hint="eastAsia" w:ascii="宋体" w:hAnsi="宋体"/>
          <w:bCs/>
          <w:color w:val="000000"/>
          <w:sz w:val="24"/>
          <w:szCs w:val="21"/>
          <w:highlight w:val="none"/>
        </w:rPr>
      </w:r>
      <w:r/>
    </w:p>
    <w:p>
      <w:pPr>
        <w:pStyle w:val="898"/>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25.3.4供应商不具备磋商文件中规定资格要求的。</w:t>
      </w:r>
      <w:r>
        <w:rPr>
          <w:rFonts w:hint="eastAsia" w:ascii="宋体" w:hAnsi="宋体"/>
          <w:bCs/>
          <w:color w:val="000000"/>
          <w:sz w:val="24"/>
          <w:szCs w:val="21"/>
          <w:highlight w:val="none"/>
        </w:rPr>
      </w:r>
      <w:r/>
    </w:p>
    <w:p>
      <w:pPr>
        <w:pStyle w:val="898"/>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25.3.5供应商的最后报价超过了采购预算。</w:t>
      </w:r>
      <w:r>
        <w:rPr>
          <w:rFonts w:hint="eastAsia" w:ascii="宋体" w:hAnsi="宋体"/>
          <w:bCs/>
          <w:color w:val="000000"/>
          <w:sz w:val="24"/>
          <w:szCs w:val="21"/>
          <w:highlight w:val="none"/>
        </w:rPr>
      </w:r>
      <w:r/>
    </w:p>
    <w:p>
      <w:pPr>
        <w:pStyle w:val="898"/>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25.3.6不符合磋商文件中规定的实质性要求的</w:t>
      </w:r>
      <w:r>
        <w:rPr>
          <w:rFonts w:hint="eastAsia" w:ascii="宋体" w:hAnsi="宋体"/>
          <w:b/>
          <w:bCs/>
          <w:color w:val="000000"/>
          <w:sz w:val="24"/>
          <w:szCs w:val="21"/>
          <w:highlight w:val="none"/>
        </w:rPr>
        <w:t xml:space="preserve">（本磋商文件中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或加*号条款为实质性要求）。</w:t>
      </w:r>
      <w:r>
        <w:rPr>
          <w:rFonts w:hint="eastAsia" w:ascii="宋体" w:hAnsi="宋体"/>
          <w:bCs/>
          <w:color w:val="000000"/>
          <w:sz w:val="24"/>
          <w:szCs w:val="21"/>
          <w:highlight w:val="none"/>
        </w:rPr>
      </w:r>
      <w:r/>
    </w:p>
    <w:p>
      <w:pPr>
        <w:pStyle w:val="898"/>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color w:val="000000"/>
          <w:sz w:val="24"/>
          <w:szCs w:val="21"/>
          <w:highlight w:val="none"/>
        </w:rPr>
      </w:r>
      <w:r/>
    </w:p>
    <w:p>
      <w:pPr>
        <w:pStyle w:val="898"/>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25.3.8 响应文件含有采购人不能接受的附加条件的。</w:t>
      </w:r>
      <w:r>
        <w:rPr>
          <w:rFonts w:hint="eastAsia" w:ascii="宋体" w:hAnsi="宋体"/>
          <w:bCs/>
          <w:color w:val="000000"/>
          <w:sz w:val="24"/>
          <w:szCs w:val="21"/>
          <w:highlight w:val="none"/>
        </w:rPr>
      </w:r>
      <w:r/>
    </w:p>
    <w:p>
      <w:pPr>
        <w:pStyle w:val="898"/>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25.3.</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响应文件未按照磋商文件要求加盖CA电子公章的。</w:t>
      </w:r>
      <w:r>
        <w:rPr>
          <w:rFonts w:hint="eastAsia" w:ascii="宋体" w:hAnsi="宋体"/>
          <w:bCs/>
          <w:color w:val="000000"/>
          <w:sz w:val="24"/>
          <w:szCs w:val="21"/>
          <w:highlight w:val="none"/>
        </w:rPr>
      </w:r>
      <w:r/>
    </w:p>
    <w:p>
      <w:pPr>
        <w:pStyle w:val="898"/>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25.4未实质性响应磋商文件的响应文件按无效响应处理。</w:t>
      </w:r>
      <w:r>
        <w:rPr>
          <w:rFonts w:hint="eastAsia" w:ascii="宋体" w:hAnsi="宋体"/>
          <w:bCs/>
          <w:color w:val="000000"/>
          <w:sz w:val="24"/>
          <w:szCs w:val="21"/>
          <w:highlight w:val="none"/>
        </w:rPr>
      </w:r>
      <w:r/>
    </w:p>
    <w:p>
      <w:pPr>
        <w:pStyle w:val="898"/>
        <w:ind w:firstLine="480"/>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25.5</w:t>
      </w:r>
      <w:r>
        <w:rPr>
          <w:rFonts w:hint="eastAsia" w:ascii="宋体" w:hAnsi="宋体"/>
          <w:bCs/>
          <w:color w:val="000000"/>
          <w:sz w:val="24"/>
          <w:szCs w:val="21"/>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color w:val="000000"/>
          <w:sz w:val="24"/>
          <w:szCs w:val="21"/>
          <w:highlight w:val="none"/>
        </w:rPr>
      </w:r>
      <w:r/>
    </w:p>
    <w:p>
      <w:pPr>
        <w:pStyle w:val="898"/>
        <w:ind w:firstLine="480"/>
        <w:spacing w:line="460" w:lineRule="exact"/>
        <w:rPr>
          <w:rFonts w:hint="eastAsia" w:ascii="宋体" w:hAnsi="宋体"/>
          <w:color w:val="000000"/>
          <w:sz w:val="24"/>
          <w:szCs w:val="21"/>
          <w:highlight w:val="none"/>
        </w:rPr>
      </w:pPr>
      <w:r/>
      <w:bookmarkStart w:id="148" w:name="_Toc16938550"/>
      <w:r/>
      <w:bookmarkStart w:id="149" w:name="_Toc513029234"/>
      <w:r/>
      <w:bookmarkStart w:id="150" w:name="_Toc20823306"/>
      <w:r>
        <w:rPr>
          <w:rFonts w:hint="eastAsia" w:ascii="宋体" w:hAnsi="宋体"/>
          <w:color w:val="000000"/>
          <w:sz w:val="24"/>
          <w:szCs w:val="21"/>
          <w:highlight w:val="none"/>
        </w:rPr>
        <w:t xml:space="preserve">25.6供应商在项目评审全过程中应保持通讯畅通，并安排专人与采购中心及磋商小组联系。</w:t>
      </w:r>
      <w:r>
        <w:rPr>
          <w:rFonts w:hint="eastAsia" w:ascii="宋体" w:hAnsi="宋体"/>
          <w:color w:val="000000"/>
          <w:sz w:val="24"/>
          <w:szCs w:val="21"/>
          <w:highlight w:val="none"/>
        </w:rPr>
      </w:r>
      <w:r/>
    </w:p>
    <w:p>
      <w:pPr>
        <w:pStyle w:val="898"/>
        <w:ind w:firstLine="420"/>
        <w:keepLines/>
        <w:keepNex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w:t>
      </w:r>
      <w:bookmarkEnd w:id="148"/>
      <w:r/>
      <w:bookmarkEnd w:id="149"/>
      <w:r/>
      <w:bookmarkEnd w:id="150"/>
      <w:r>
        <w:rPr>
          <w:rFonts w:hint="eastAsia" w:ascii="Arial" w:hAnsi="Arial" w:eastAsia="黑体" w:cs="Arial"/>
          <w:color w:val="000000"/>
          <w:sz w:val="28"/>
          <w:szCs w:val="28"/>
          <w:highlight w:val="none"/>
        </w:rPr>
        <w:t xml:space="preserve">磋商程序及评审方法和评审标准</w:t>
      </w:r>
      <w:r>
        <w:rPr>
          <w:rFonts w:hint="eastAsia" w:ascii="Arial" w:hAnsi="Arial" w:eastAsia="黑体" w:cs="Arial"/>
          <w:color w:val="000000"/>
          <w:sz w:val="28"/>
          <w:szCs w:val="28"/>
          <w:highlight w:val="none"/>
        </w:rPr>
      </w:r>
      <w:r/>
    </w:p>
    <w:p>
      <w:pPr>
        <w:pStyle w:val="898"/>
        <w:ind w:firstLine="477"/>
        <w:spacing w:after="156" w:line="4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26.1磋商程序</w:t>
      </w:r>
      <w:r>
        <w:rPr>
          <w:rFonts w:hint="eastAsia" w:ascii="宋体" w:hAnsi="宋体"/>
          <w:color w:val="000000"/>
          <w:sz w:val="24"/>
          <w:szCs w:val="24"/>
          <w:highlight w:val="none"/>
        </w:rPr>
      </w:r>
      <w:r/>
    </w:p>
    <w:p>
      <w:pPr>
        <w:pStyle w:val="898"/>
        <w:ind w:firstLine="477"/>
        <w:spacing w:after="156" w:line="4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olor w:val="000000"/>
          <w:sz w:val="24"/>
          <w:szCs w:val="24"/>
          <w:highlight w:val="none"/>
        </w:rPr>
      </w:r>
      <w:r/>
    </w:p>
    <w:p>
      <w:pPr>
        <w:pStyle w:val="898"/>
        <w:ind w:firstLine="477"/>
        <w:spacing w:after="156" w:line="4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4"/>
          <w:szCs w:val="24"/>
          <w:highlight w:val="none"/>
        </w:rPr>
      </w:r>
      <w:r/>
    </w:p>
    <w:p>
      <w:pPr>
        <w:pStyle w:val="898"/>
        <w:ind w:firstLine="477"/>
        <w:spacing w:after="156" w:line="4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 26.1.2</w:t>
      </w:r>
      <w:r>
        <w:rPr>
          <w:rFonts w:ascii="宋体" w:hAnsi="宋体"/>
          <w:color w:val="000000"/>
          <w:sz w:val="24"/>
          <w:szCs w:val="24"/>
          <w:highlight w:val="none"/>
        </w:rPr>
        <w:t xml:space="preserve">磋商文件能够详细列明采购标的的技术、服务要求的，磋商结束后，磋商小组</w:t>
      </w:r>
      <w:r>
        <w:rPr>
          <w:rFonts w:hint="eastAsia" w:ascii="宋体" w:hAnsi="宋体"/>
          <w:color w:val="000000"/>
          <w:sz w:val="24"/>
          <w:szCs w:val="24"/>
          <w:highlight w:val="none"/>
        </w:rPr>
        <w:t xml:space="preserve">将在苏采云系统向所有</w:t>
      </w:r>
      <w:r>
        <w:rPr>
          <w:rFonts w:ascii="宋体" w:hAnsi="宋体"/>
          <w:color w:val="000000"/>
          <w:sz w:val="24"/>
          <w:szCs w:val="24"/>
          <w:highlight w:val="none"/>
        </w:rPr>
        <w:t xml:space="preserve">实质性响应的供应商</w:t>
      </w:r>
      <w:r>
        <w:rPr>
          <w:rFonts w:hint="eastAsia" w:ascii="宋体" w:hAnsi="宋体"/>
          <w:color w:val="000000"/>
          <w:sz w:val="24"/>
          <w:szCs w:val="24"/>
          <w:highlight w:val="none"/>
        </w:rPr>
        <w:t xml:space="preserve">发布“最后报价要求函”及最后报价格式表，</w:t>
      </w:r>
      <w:r>
        <w:rPr>
          <w:rFonts w:ascii="宋体" w:hAnsi="宋体"/>
          <w:color w:val="000000"/>
          <w:sz w:val="24"/>
          <w:szCs w:val="24"/>
          <w:highlight w:val="none"/>
        </w:rPr>
        <w:t xml:space="preserve">要求所有实质性响应的供应商在规定时间内提交最后报价。</w:t>
      </w:r>
      <w:r>
        <w:rPr>
          <w:rFonts w:hint="eastAsia" w:ascii="宋体" w:hAnsi="宋体"/>
          <w:color w:val="000000"/>
          <w:sz w:val="24"/>
          <w:szCs w:val="24"/>
          <w:highlight w:val="none"/>
        </w:rPr>
      </w:r>
      <w:r/>
    </w:p>
    <w:p>
      <w:pPr>
        <w:pStyle w:val="898"/>
        <w:ind w:firstLine="477"/>
        <w:spacing w:after="156" w:line="4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olor w:val="000000"/>
          <w:sz w:val="24"/>
          <w:szCs w:val="24"/>
          <w:highlight w:val="none"/>
        </w:rPr>
      </w:r>
      <w:r/>
    </w:p>
    <w:p>
      <w:pPr>
        <w:pStyle w:val="898"/>
        <w:ind w:firstLine="480"/>
        <w:spacing w:after="156" w:line="4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color w:val="000000"/>
          <w:sz w:val="24"/>
          <w:szCs w:val="24"/>
          <w:highlight w:val="none"/>
        </w:rPr>
      </w:r>
      <w:r/>
    </w:p>
    <w:p>
      <w:pPr>
        <w:pStyle w:val="898"/>
        <w:ind w:firstLine="477"/>
        <w:spacing w:after="156" w:line="460" w:lineRule="exact"/>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szCs w:val="24"/>
          <w:highlight w:val="none"/>
        </w:rPr>
        <w:t xml:space="preserve">已提交响应文件的供应商，在提交最后报价之前，可以根据磋商情况退出磋商</w:t>
      </w:r>
      <w:r>
        <w:rPr>
          <w:rFonts w:hint="eastAsia" w:ascii="宋体" w:hAnsi="宋体"/>
          <w:color w:val="000000"/>
          <w:sz w:val="24"/>
          <w:szCs w:val="24"/>
          <w:highlight w:val="none"/>
        </w:rPr>
        <w:t xml:space="preserve">，并在苏采云系统中提交“退出磋商函”并加盖CA电子公章</w:t>
      </w:r>
      <w:r>
        <w:rPr>
          <w:rFonts w:ascii="宋体" w:hAnsi="宋体"/>
          <w:color w:val="000000"/>
          <w:sz w:val="24"/>
          <w:szCs w:val="24"/>
          <w:highlight w:val="none"/>
        </w:rPr>
        <w:t xml:space="preserve">。</w:t>
      </w:r>
      <w:r>
        <w:rPr>
          <w:rFonts w:ascii="宋体" w:hAnsi="宋体"/>
          <w:color w:val="000000"/>
          <w:sz w:val="24"/>
          <w:szCs w:val="24"/>
          <w:highlight w:val="none"/>
        </w:rPr>
      </w:r>
      <w:r/>
    </w:p>
    <w:p>
      <w:pPr>
        <w:pStyle w:val="898"/>
        <w:ind w:firstLine="480"/>
        <w:spacing w:after="156" w:line="460" w:lineRule="exact"/>
        <w:tabs>
          <w:tab w:val="left" w:pos="900"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26.1.4 异常低价响应审查</w:t>
      </w:r>
      <w:r>
        <w:rPr>
          <w:rFonts w:hint="eastAsia" w:ascii="宋体" w:hAnsi="宋体" w:eastAsia="宋体" w:cs="Times New Roman"/>
          <w:color w:val="000000"/>
          <w:sz w:val="24"/>
          <w:szCs w:val="24"/>
          <w:highlight w:val="none"/>
        </w:rPr>
      </w:r>
      <w:r/>
    </w:p>
    <w:p>
      <w:pPr>
        <w:pStyle w:val="898"/>
        <w:ind w:firstLine="480"/>
        <w:spacing w:after="156" w:line="460" w:lineRule="exact"/>
        <w:tabs>
          <w:tab w:val="left" w:pos="900"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26.1.4.1 供应商最后报价出现下列情形之一的，磋商小组应当启动异常低价响应审查程序：</w:t>
      </w:r>
      <w:r>
        <w:rPr>
          <w:rFonts w:hint="eastAsia" w:ascii="宋体" w:hAnsi="宋体" w:eastAsia="宋体" w:cs="Times New Roman"/>
          <w:color w:val="000000"/>
          <w:sz w:val="24"/>
          <w:szCs w:val="24"/>
          <w:highlight w:val="none"/>
        </w:rPr>
      </w:r>
      <w:r/>
    </w:p>
    <w:p>
      <w:pPr>
        <w:pStyle w:val="898"/>
        <w:ind w:firstLine="480"/>
        <w:spacing w:after="156" w:line="460" w:lineRule="exact"/>
        <w:tabs>
          <w:tab w:val="left" w:pos="900"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（1）供应商最后报价低于采购项目预算50%的，即最后报价＜采购项目预算×50%；</w:t>
      </w:r>
      <w:r>
        <w:rPr>
          <w:rFonts w:hint="eastAsia" w:ascii="宋体" w:hAnsi="宋体" w:eastAsia="宋体" w:cs="Times New Roman"/>
          <w:color w:val="000000"/>
          <w:sz w:val="24"/>
          <w:szCs w:val="24"/>
          <w:highlight w:val="none"/>
        </w:rPr>
      </w:r>
      <w:r/>
    </w:p>
    <w:p>
      <w:pPr>
        <w:pStyle w:val="898"/>
        <w:ind w:firstLine="480"/>
        <w:spacing w:after="156" w:line="460" w:lineRule="exact"/>
        <w:tabs>
          <w:tab w:val="left" w:pos="900"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（2）响应报价低于采购项目最高限价45%的，即响应报价＜采购项目最高限价×45%；</w:t>
      </w:r>
      <w:r>
        <w:rPr>
          <w:rFonts w:hint="eastAsia" w:ascii="宋体" w:hAnsi="宋体" w:eastAsia="宋体" w:cs="Times New Roman"/>
          <w:color w:val="000000"/>
          <w:sz w:val="24"/>
          <w:szCs w:val="24"/>
          <w:highlight w:val="none"/>
        </w:rPr>
      </w:r>
      <w:r/>
    </w:p>
    <w:p>
      <w:pPr>
        <w:pStyle w:val="898"/>
        <w:ind w:firstLine="480"/>
        <w:spacing w:after="156" w:line="460" w:lineRule="exact"/>
        <w:tabs>
          <w:tab w:val="left" w:pos="900"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）磋商小组认定的供应商最后报价过低、有可能影响产品质量或者不能诚信履约的其他情形。</w:t>
      </w:r>
      <w:r>
        <w:rPr>
          <w:rFonts w:hint="eastAsia" w:ascii="宋体" w:hAnsi="宋体" w:eastAsia="宋体" w:cs="Times New Roman"/>
          <w:color w:val="000000"/>
          <w:sz w:val="24"/>
          <w:szCs w:val="24"/>
          <w:highlight w:val="none"/>
        </w:rPr>
      </w:r>
      <w:r/>
    </w:p>
    <w:p>
      <w:pPr>
        <w:pStyle w:val="898"/>
        <w:ind w:firstLine="480"/>
        <w:spacing w:after="156" w:line="460" w:lineRule="exact"/>
        <w:tabs>
          <w:tab w:val="left" w:pos="900"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26.1.4.2启动异常低价响应审查后，磋商小组应当要求相关供应商在评审现场合理的时间内，提供项目具体成本测算等与报价合理性相关的书面说明材料及相关证明材料，对最后报价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rPr>
          <w:rFonts w:hint="eastAsia" w:ascii="宋体" w:hAnsi="宋体" w:eastAsia="宋体" w:cs="Times New Roman"/>
          <w:color w:val="000000"/>
          <w:sz w:val="24"/>
          <w:szCs w:val="24"/>
          <w:highlight w:val="none"/>
        </w:rPr>
      </w:r>
      <w:r/>
    </w:p>
    <w:p>
      <w:pPr>
        <w:pStyle w:val="898"/>
        <w:ind w:firstLine="477"/>
        <w:spacing w:after="156" w:line="4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26.2 评审方法和评审标准</w:t>
      </w:r>
      <w:r>
        <w:rPr>
          <w:rFonts w:hint="eastAsia" w:ascii="宋体" w:hAnsi="宋体"/>
          <w:color w:val="000000"/>
          <w:sz w:val="24"/>
          <w:szCs w:val="24"/>
          <w:highlight w:val="none"/>
        </w:rPr>
      </w:r>
      <w:r/>
    </w:p>
    <w:p>
      <w:pPr>
        <w:pStyle w:val="898"/>
        <w:ind w:firstLine="477"/>
        <w:spacing w:after="156" w:line="4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color w:val="000000"/>
          <w:sz w:val="24"/>
          <w:szCs w:val="24"/>
          <w:highlight w:val="none"/>
        </w:rPr>
      </w:r>
      <w:r/>
    </w:p>
    <w:p>
      <w:pPr>
        <w:pStyle w:val="898"/>
        <w:ind w:firstLine="477"/>
        <w:spacing w:after="156" w:line="4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olor w:val="000000"/>
          <w:sz w:val="24"/>
          <w:szCs w:val="24"/>
          <w:highlight w:val="none"/>
        </w:rPr>
      </w:r>
      <w:r/>
    </w:p>
    <w:p>
      <w:pPr>
        <w:pStyle w:val="898"/>
        <w:ind w:firstLine="477"/>
        <w:spacing w:after="156" w:line="4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26.2.2评审标准</w:t>
      </w:r>
      <w:r>
        <w:rPr>
          <w:rFonts w:hint="eastAsia" w:ascii="宋体" w:hAnsi="宋体"/>
          <w:color w:val="000000"/>
          <w:sz w:val="24"/>
          <w:szCs w:val="24"/>
          <w:highlight w:val="none"/>
        </w:rPr>
      </w:r>
      <w:r/>
    </w:p>
    <w:p>
      <w:pPr>
        <w:pStyle w:val="898"/>
        <w:ind w:firstLine="477"/>
        <w:spacing w:after="156" w:line="4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见本磋商文件第五章规定。</w:t>
      </w:r>
      <w:r>
        <w:rPr>
          <w:rFonts w:hint="eastAsia" w:ascii="宋体" w:hAnsi="宋体"/>
          <w:color w:val="000000"/>
          <w:sz w:val="24"/>
          <w:szCs w:val="24"/>
          <w:highlight w:val="none"/>
        </w:rPr>
      </w:r>
      <w:r/>
    </w:p>
    <w:p>
      <w:pPr>
        <w:pStyle w:val="898"/>
        <w:ind w:firstLine="477"/>
        <w:spacing w:after="156" w:line="4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26.3采购活动终止的情况</w:t>
      </w:r>
      <w:r>
        <w:rPr>
          <w:rFonts w:hint="eastAsia" w:ascii="宋体" w:hAnsi="宋体"/>
          <w:color w:val="000000"/>
          <w:sz w:val="24"/>
          <w:szCs w:val="24"/>
          <w:highlight w:val="none"/>
        </w:rPr>
      </w:r>
      <w:r/>
    </w:p>
    <w:p>
      <w:pPr>
        <w:pStyle w:val="898"/>
        <w:ind w:firstLine="360"/>
        <w:spacing w:after="156" w:line="4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出现下列情形之一的，本次竞争性磋商采购活动将被终止：</w:t>
      </w:r>
      <w:r>
        <w:rPr>
          <w:rFonts w:hint="eastAsia" w:ascii="宋体" w:hAnsi="宋体"/>
          <w:color w:val="000000"/>
          <w:sz w:val="24"/>
          <w:szCs w:val="24"/>
          <w:highlight w:val="none"/>
        </w:rPr>
      </w:r>
      <w:r/>
    </w:p>
    <w:p>
      <w:pPr>
        <w:pStyle w:val="898"/>
        <w:ind w:firstLine="360"/>
        <w:spacing w:after="156" w:line="4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26.3.1因情况变化，不再符合规定的竞争性磋商采购方式适用情形的。</w:t>
      </w:r>
      <w:r>
        <w:rPr>
          <w:rFonts w:hint="eastAsia" w:ascii="宋体" w:hAnsi="宋体"/>
          <w:color w:val="000000"/>
          <w:sz w:val="24"/>
          <w:szCs w:val="24"/>
          <w:highlight w:val="none"/>
        </w:rPr>
      </w:r>
      <w:r/>
    </w:p>
    <w:p>
      <w:pPr>
        <w:pStyle w:val="898"/>
        <w:ind w:firstLine="360"/>
        <w:spacing w:after="156" w:line="4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26.3.2出现影响采购公正的违法、违规行为的。</w:t>
      </w:r>
      <w:r>
        <w:rPr>
          <w:rFonts w:hint="eastAsia" w:ascii="宋体" w:hAnsi="宋体"/>
          <w:color w:val="000000"/>
          <w:sz w:val="24"/>
          <w:szCs w:val="24"/>
          <w:highlight w:val="none"/>
        </w:rPr>
      </w:r>
      <w:r/>
    </w:p>
    <w:p>
      <w:pPr>
        <w:pStyle w:val="898"/>
        <w:ind w:firstLine="360"/>
        <w:spacing w:after="156" w:line="4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26.3.3除本磋商文件第二章第26.1.2条第三款规定的情形外，在采购过程中符合要求的供应商或者最后报价未超过采购预算的供应商不足3家的。</w:t>
      </w:r>
      <w:r>
        <w:rPr>
          <w:rFonts w:hint="eastAsia" w:ascii="宋体" w:hAnsi="宋体"/>
          <w:color w:val="000000"/>
          <w:sz w:val="24"/>
          <w:szCs w:val="24"/>
          <w:highlight w:val="none"/>
        </w:rPr>
      </w:r>
      <w:r/>
    </w:p>
    <w:p>
      <w:pPr>
        <w:pStyle w:val="898"/>
        <w:ind w:firstLine="360"/>
        <w:spacing w:after="156" w:line="46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26.3.4在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规定时间内成功解密电子响应文件的供应商不足3家的。</w:t>
      </w:r>
      <w:r>
        <w:rPr>
          <w:rFonts w:hint="eastAsia" w:ascii="宋体" w:hAnsi="宋体" w:cs="宋体"/>
          <w:color w:val="000000"/>
          <w:sz w:val="24"/>
          <w:szCs w:val="24"/>
          <w:highlight w:val="none"/>
        </w:rPr>
      </w:r>
      <w:r/>
    </w:p>
    <w:p>
      <w:pPr>
        <w:pStyle w:val="898"/>
        <w:ind w:firstLine="482"/>
        <w:keepLines/>
        <w:keepNext/>
        <w:spacing w:before="156" w:after="156" w:line="360" w:lineRule="auto"/>
        <w:rPr>
          <w:rFonts w:hint="eastAsia" w:ascii="Times New Roman" w:hAnsi="Times New Roman"/>
          <w:b/>
          <w:bCs/>
          <w:color w:val="000000"/>
          <w:sz w:val="32"/>
          <w:szCs w:val="32"/>
          <w:highlight w:val="none"/>
        </w:rPr>
        <w:outlineLvl w:val="2"/>
      </w:pPr>
      <w:r/>
      <w:bookmarkStart w:id="151" w:name="_Toc513029235"/>
      <w:r/>
      <w:bookmarkStart w:id="152" w:name="_Toc16938551"/>
      <w:r/>
      <w:bookmarkStart w:id="153" w:name="_Toc120614219"/>
      <w:r/>
      <w:bookmarkStart w:id="154" w:name="_Toc20823307"/>
      <w:r>
        <w:rPr>
          <w:rFonts w:hint="eastAsia" w:ascii="Times New Roman" w:hAnsi="Times New Roman"/>
          <w:b/>
          <w:bCs/>
          <w:color w:val="000000"/>
          <w:sz w:val="32"/>
          <w:szCs w:val="32"/>
          <w:highlight w:val="none"/>
        </w:rPr>
        <w:t xml:space="preserve">六、</w:t>
      </w:r>
      <w:bookmarkEnd w:id="151"/>
      <w:r/>
      <w:bookmarkEnd w:id="152"/>
      <w:r/>
      <w:bookmarkEnd w:id="153"/>
      <w:r/>
      <w:bookmarkEnd w:id="154"/>
      <w:r>
        <w:rPr>
          <w:rFonts w:hint="eastAsia" w:ascii="Times New Roman" w:hAnsi="Times New Roman"/>
          <w:b/>
          <w:bCs/>
          <w:color w:val="000000"/>
          <w:sz w:val="32"/>
          <w:szCs w:val="32"/>
          <w:highlight w:val="none"/>
        </w:rPr>
        <w:t xml:space="preserve">成交</w:t>
      </w:r>
      <w:r>
        <w:rPr>
          <w:rFonts w:hint="eastAsia" w:ascii="Times New Roman" w:hAnsi="Times New Roman"/>
          <w:b/>
          <w:bCs/>
          <w:color w:val="000000"/>
          <w:sz w:val="32"/>
          <w:szCs w:val="32"/>
          <w:highlight w:val="none"/>
        </w:rPr>
      </w:r>
      <w:r/>
    </w:p>
    <w:p>
      <w:pPr>
        <w:pStyle w:val="898"/>
        <w:ind w:firstLine="600"/>
        <w:keepLines/>
        <w:keepNext/>
        <w:rPr>
          <w:rFonts w:hint="eastAsia" w:ascii="黑体" w:hAnsi="宋体" w:eastAsia="黑体"/>
          <w:bCs/>
          <w:color w:val="000000"/>
          <w:sz w:val="30"/>
          <w:szCs w:val="30"/>
          <w:highlight w:val="none"/>
        </w:rPr>
        <w:outlineLvl w:val="3"/>
      </w:pPr>
      <w:r/>
      <w:bookmarkStart w:id="155" w:name="_Toc513029238"/>
      <w:r/>
      <w:bookmarkStart w:id="156" w:name="_Toc16938554"/>
      <w:r/>
      <w:bookmarkStart w:id="157" w:name="_Toc20823310"/>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7</w:t>
      </w:r>
      <w:r>
        <w:rPr>
          <w:rFonts w:hint="eastAsia" w:ascii="黑体" w:hAnsi="宋体" w:eastAsia="黑体"/>
          <w:bCs/>
          <w:color w:val="000000"/>
          <w:sz w:val="30"/>
          <w:szCs w:val="30"/>
          <w:highlight w:val="none"/>
        </w:rPr>
        <w:t xml:space="preserve">、</w:t>
      </w:r>
      <w:bookmarkEnd w:id="155"/>
      <w:r>
        <w:rPr>
          <w:rFonts w:hint="eastAsia" w:ascii="黑体" w:hAnsi="宋体" w:eastAsia="黑体"/>
          <w:bCs/>
          <w:color w:val="000000"/>
          <w:sz w:val="30"/>
          <w:szCs w:val="30"/>
          <w:highlight w:val="none"/>
        </w:rPr>
        <w:t xml:space="preserve">确定</w:t>
      </w:r>
      <w:bookmarkEnd w:id="156"/>
      <w:r/>
      <w:bookmarkEnd w:id="157"/>
      <w:r>
        <w:rPr>
          <w:rFonts w:hint="eastAsia" w:ascii="黑体" w:hAnsi="宋体" w:eastAsia="黑体"/>
          <w:bCs/>
          <w:color w:val="000000"/>
          <w:sz w:val="30"/>
          <w:szCs w:val="30"/>
          <w:highlight w:val="none"/>
        </w:rPr>
        <w:t xml:space="preserve">成交单位</w:t>
      </w:r>
      <w:r>
        <w:rPr>
          <w:rFonts w:hint="eastAsia" w:ascii="黑体" w:hAnsi="宋体" w:eastAsia="黑体"/>
          <w:bCs/>
          <w:color w:val="000000"/>
          <w:sz w:val="30"/>
          <w:szCs w:val="30"/>
          <w:highlight w:val="none"/>
        </w:rPr>
      </w:r>
      <w:r/>
    </w:p>
    <w:p>
      <w:pPr>
        <w:pStyle w:val="898"/>
        <w:ind w:firstLine="477"/>
        <w:spacing w:after="156" w:line="560" w:lineRule="exact"/>
        <w:tabs>
          <w:tab w:val="left" w:pos="900" w:leader="none"/>
        </w:tabs>
        <w:rPr>
          <w:rFonts w:hint="eastAsia" w:ascii="宋体" w:hAnsi="宋体"/>
          <w:color w:val="000000"/>
          <w:sz w:val="24"/>
          <w:szCs w:val="21"/>
          <w:highlight w:val="none"/>
        </w:rPr>
      </w:pPr>
      <w:r>
        <w:rPr>
          <w:rFonts w:hint="eastAsia" w:ascii="宋体" w:hAnsi="宋体"/>
          <w:bCs/>
          <w:color w:val="000000"/>
          <w:sz w:val="24"/>
          <w:szCs w:val="21"/>
          <w:highlight w:val="none"/>
        </w:rPr>
        <w:t xml:space="preserve">27.1</w:t>
      </w:r>
      <w:r>
        <w:rPr>
          <w:rFonts w:hint="eastAsia" w:ascii="宋体" w:hAnsi="宋体"/>
          <w:color w:val="000000"/>
          <w:sz w:val="24"/>
          <w:szCs w:val="21"/>
          <w:highlight w:val="none"/>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color w:val="000000"/>
          <w:sz w:val="24"/>
          <w:szCs w:val="21"/>
          <w:highlight w:val="none"/>
        </w:rPr>
      </w:r>
      <w:r/>
    </w:p>
    <w:p>
      <w:pPr>
        <w:pStyle w:val="898"/>
        <w:ind w:firstLine="480"/>
        <w:spacing w:line="44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宋体" w:hAnsi="宋体"/>
          <w:bCs/>
          <w:color w:val="000000"/>
          <w:sz w:val="24"/>
          <w:szCs w:val="21"/>
          <w:highlight w:val="none"/>
        </w:rPr>
      </w:r>
      <w:r/>
    </w:p>
    <w:p>
      <w:pPr>
        <w:pStyle w:val="898"/>
        <w:ind w:firstLine="480"/>
        <w:spacing w:line="44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27.3若有充分证据证明，成交供应商出现下列情况之一的，一经查实，将被取消成交资格：</w:t>
      </w:r>
      <w:r>
        <w:rPr>
          <w:rFonts w:hint="eastAsia" w:ascii="宋体" w:hAnsi="宋体"/>
          <w:bCs/>
          <w:color w:val="000000"/>
          <w:sz w:val="24"/>
          <w:szCs w:val="21"/>
          <w:highlight w:val="none"/>
        </w:rPr>
      </w:r>
      <w:r/>
    </w:p>
    <w:p>
      <w:pPr>
        <w:pStyle w:val="898"/>
        <w:ind w:firstLine="480"/>
        <w:spacing w:line="44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27.3.1提供虚假材料谋取成交的。</w:t>
      </w:r>
      <w:r>
        <w:rPr>
          <w:rFonts w:hint="eastAsia" w:ascii="宋体" w:hAnsi="宋体"/>
          <w:bCs/>
          <w:color w:val="000000"/>
          <w:sz w:val="24"/>
          <w:szCs w:val="21"/>
          <w:highlight w:val="none"/>
        </w:rPr>
      </w:r>
      <w:r/>
    </w:p>
    <w:p>
      <w:pPr>
        <w:pStyle w:val="898"/>
        <w:ind w:firstLine="480"/>
        <w:spacing w:line="44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27.3.2与评审专家、采购人、其他供应商或者采购中心工作人员恶意串通的。</w:t>
      </w:r>
      <w:r>
        <w:rPr>
          <w:rFonts w:hint="eastAsia" w:ascii="宋体" w:hAnsi="宋体"/>
          <w:bCs/>
          <w:color w:val="000000"/>
          <w:sz w:val="24"/>
          <w:szCs w:val="21"/>
          <w:highlight w:val="none"/>
        </w:rPr>
      </w:r>
      <w:r/>
    </w:p>
    <w:p>
      <w:pPr>
        <w:pStyle w:val="898"/>
        <w:ind w:firstLine="480"/>
        <w:spacing w:line="44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27.3.3向评审专家、采购人或采购中心工作人员行贿或者提供其他不正当利益的。</w:t>
      </w:r>
      <w:r>
        <w:rPr>
          <w:rFonts w:hint="eastAsia" w:ascii="宋体" w:hAnsi="宋体"/>
          <w:bCs/>
          <w:color w:val="000000"/>
          <w:sz w:val="24"/>
          <w:szCs w:val="21"/>
          <w:highlight w:val="none"/>
        </w:rPr>
      </w:r>
      <w:r/>
    </w:p>
    <w:p>
      <w:pPr>
        <w:pStyle w:val="898"/>
        <w:ind w:firstLine="480"/>
        <w:spacing w:line="44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27.3.4恶意竞争，最后报价明显低于其自身合理成本且又无法提供证明的。</w:t>
      </w:r>
      <w:r>
        <w:rPr>
          <w:rFonts w:hint="eastAsia" w:ascii="宋体" w:hAnsi="宋体"/>
          <w:bCs/>
          <w:color w:val="000000"/>
          <w:sz w:val="24"/>
          <w:szCs w:val="21"/>
          <w:highlight w:val="none"/>
        </w:rPr>
      </w:r>
      <w:r/>
    </w:p>
    <w:p>
      <w:pPr>
        <w:pStyle w:val="898"/>
        <w:ind w:firstLine="480"/>
        <w:spacing w:line="44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27.3.5不满足本磋商文件规定的实质性要求，但在评审过程中又未被磋商小组发现的。</w:t>
      </w:r>
      <w:r>
        <w:rPr>
          <w:rFonts w:hint="eastAsia" w:ascii="宋体" w:hAnsi="宋体"/>
          <w:bCs/>
          <w:color w:val="000000"/>
          <w:sz w:val="24"/>
          <w:szCs w:val="21"/>
          <w:highlight w:val="none"/>
        </w:rPr>
      </w:r>
      <w:r/>
    </w:p>
    <w:p>
      <w:pPr>
        <w:pStyle w:val="898"/>
        <w:ind w:firstLine="480"/>
        <w:spacing w:line="44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27.3.6成交后无正当理由拒不与采购人签订政府采购合同或者未按照磋商文件确定的事项签订政府采购合同的。</w:t>
      </w:r>
      <w:r>
        <w:rPr>
          <w:rFonts w:hint="eastAsia" w:ascii="宋体" w:hAnsi="宋体"/>
          <w:bCs/>
          <w:color w:val="000000"/>
          <w:sz w:val="24"/>
          <w:szCs w:val="21"/>
          <w:highlight w:val="none"/>
        </w:rPr>
      </w:r>
      <w:r/>
    </w:p>
    <w:p>
      <w:pPr>
        <w:pStyle w:val="898"/>
        <w:ind w:firstLine="480"/>
        <w:spacing w:line="44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27.3.7将政府采购合同转包的。</w:t>
      </w:r>
      <w:r>
        <w:rPr>
          <w:rFonts w:hint="eastAsia" w:ascii="宋体" w:hAnsi="宋体"/>
          <w:bCs/>
          <w:color w:val="000000"/>
          <w:sz w:val="24"/>
          <w:szCs w:val="21"/>
          <w:highlight w:val="none"/>
        </w:rPr>
      </w:r>
      <w:r/>
    </w:p>
    <w:p>
      <w:pPr>
        <w:pStyle w:val="898"/>
        <w:ind w:firstLine="600"/>
        <w:keepLines/>
        <w:keepNext/>
        <w:rPr>
          <w:rFonts w:hint="eastAsia" w:ascii="黑体" w:hAnsi="宋体" w:eastAsia="黑体"/>
          <w:bCs/>
          <w:color w:val="000000"/>
          <w:sz w:val="30"/>
          <w:szCs w:val="30"/>
          <w:highlight w:val="none"/>
        </w:rPr>
        <w:outlineLvl w:val="3"/>
      </w:pPr>
      <w:r/>
      <w:bookmarkStart w:id="158" w:name="_Toc200451960"/>
      <w:r>
        <w:rPr>
          <w:rFonts w:ascii="黑体" w:hAnsi="宋体" w:eastAsia="黑体"/>
          <w:bCs/>
          <w:color w:val="000000"/>
          <w:sz w:val="30"/>
          <w:szCs w:val="30"/>
          <w:highlight w:val="none"/>
        </w:rPr>
        <w:t xml:space="preserve">28</w:t>
      </w:r>
      <w:r>
        <w:rPr>
          <w:rFonts w:hint="eastAsia" w:ascii="黑体" w:hAnsi="宋体" w:eastAsia="黑体"/>
          <w:bCs/>
          <w:color w:val="000000"/>
          <w:sz w:val="30"/>
          <w:szCs w:val="30"/>
          <w:highlight w:val="none"/>
        </w:rPr>
        <w:t xml:space="preserve">、质疑处理</w:t>
      </w:r>
      <w:bookmarkEnd w:id="158"/>
      <w:r>
        <w:rPr>
          <w:rFonts w:hint="eastAsia" w:ascii="黑体" w:hAnsi="宋体" w:eastAsia="黑体"/>
          <w:bCs/>
          <w:color w:val="000000"/>
          <w:sz w:val="30"/>
          <w:szCs w:val="30"/>
          <w:highlight w:val="none"/>
        </w:rPr>
      </w:r>
      <w:r/>
    </w:p>
    <w:p>
      <w:pPr>
        <w:pStyle w:val="898"/>
        <w:ind w:firstLine="480"/>
        <w:spacing w:line="48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898"/>
        <w:ind w:firstLine="480"/>
        <w:spacing w:line="48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highlight w:val="none"/>
        </w:rPr>
      </w:r>
      <w:r/>
    </w:p>
    <w:p>
      <w:pPr>
        <w:pStyle w:val="898"/>
        <w:ind w:firstLine="480"/>
        <w:spacing w:line="48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对可以质疑的采购文件提出质疑的，为收到采购文件之日或者采购文件公告期限届满之日</w:t>
      </w:r>
      <w:r>
        <w:rPr>
          <w:rFonts w:hint="eastAsia" w:ascii="Times New Roman" w:hAnsi="宋体" w:cs="宋体"/>
          <w:color w:val="000000"/>
          <w:sz w:val="24"/>
          <w:szCs w:val="24"/>
          <w:highlight w:val="none"/>
        </w:rPr>
        <w:t xml:space="preserve">。</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rPr>
          <w:rFonts w:hint="eastAsia" w:ascii="Times New Roman" w:hAnsi="宋体" w:cs="宋体"/>
          <w:color w:val="000000"/>
          <w:sz w:val="24"/>
          <w:szCs w:val="24"/>
          <w:highlight w:val="none"/>
        </w:rPr>
        <w:t xml:space="preserve">。</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2.3</w:t>
      </w:r>
      <w:r>
        <w:rPr>
          <w:rFonts w:ascii="Times New Roman" w:hAnsi="宋体" w:cs="宋体"/>
          <w:color w:val="000000"/>
          <w:sz w:val="24"/>
          <w:szCs w:val="24"/>
          <w:highlight w:val="none"/>
        </w:rPr>
        <w:t xml:space="preserve">对成交结果提出质疑的，为成交结果公告期限届满之日。</w:t>
      </w:r>
      <w:r>
        <w:rPr>
          <w:rFonts w:hint="eastAsia" w:ascii="Times New Roman" w:hAnsi="宋体" w:cs="宋体"/>
          <w:color w:val="000000"/>
          <w:sz w:val="24"/>
          <w:szCs w:val="24"/>
          <w:highlight w:val="none"/>
        </w:rPr>
      </w:r>
      <w:r/>
    </w:p>
    <w:p>
      <w:pPr>
        <w:pStyle w:val="898"/>
        <w:ind w:firstLine="480"/>
        <w:spacing w:line="480" w:lineRule="exact"/>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highlight w:val="none"/>
        </w:rPr>
        <w:t xml:space="preserve">采购人</w:t>
      </w:r>
      <w:r>
        <w:rPr>
          <w:rFonts w:hint="eastAsia" w:ascii="Times New Roman" w:hAnsi="宋体" w:cs="宋体"/>
          <w:color w:val="000000"/>
          <w:sz w:val="24"/>
          <w:szCs w:val="24"/>
          <w:highlight w:val="none"/>
        </w:rPr>
        <w:t xml:space="preserve">将只对供应商第一次质疑作出答复。</w:t>
      </w:r>
      <w:r>
        <w:rPr>
          <w:rFonts w:hint="eastAsia" w:ascii="Times New Roman" w:hAnsi="宋体" w:cs="宋体"/>
          <w:color w:val="000000"/>
          <w:sz w:val="24"/>
          <w:szCs w:val="24"/>
          <w:highlight w:val="none"/>
        </w:rPr>
      </w:r>
      <w:r/>
    </w:p>
    <w:p>
      <w:pPr>
        <w:pStyle w:val="898"/>
        <w:ind w:firstLine="480"/>
        <w:spacing w:line="48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olor w:val="000000"/>
          <w:sz w:val="24"/>
          <w:szCs w:val="24"/>
          <w:highlight w:val="none"/>
        </w:rPr>
      </w:r>
      <w:r/>
    </w:p>
    <w:p>
      <w:pPr>
        <w:pStyle w:val="898"/>
        <w:ind w:firstLine="480"/>
        <w:spacing w:line="480" w:lineRule="exact"/>
        <w:rPr>
          <w:rFonts w:hint="eastAsia" w:ascii="宋体" w:hAnsi="宋体"/>
          <w:b/>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4 供应商（含</w:t>
      </w:r>
      <w:r>
        <w:rPr>
          <w:rFonts w:ascii="宋体" w:hAnsi="宋体"/>
          <w:color w:val="000000"/>
          <w:sz w:val="24"/>
          <w:szCs w:val="24"/>
          <w:highlight w:val="none"/>
        </w:rPr>
        <w:t xml:space="preserve">潜在供应商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评审方法与评审标准</w:t>
      </w:r>
      <w:r>
        <w:rPr>
          <w:rFonts w:ascii="宋体" w:hAnsi="宋体"/>
          <w:color w:val="000000"/>
          <w:sz w:val="24"/>
          <w:szCs w:val="24"/>
          <w:highlight w:val="none"/>
        </w:rPr>
        <w:t xml:space="preserve">、合同文本</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、质疑请向采购中心提出，由采购中心</w:t>
      </w:r>
      <w:r>
        <w:rPr>
          <w:rFonts w:hint="eastAsia" w:ascii="宋体" w:hAnsi="宋体"/>
          <w:color w:val="000000"/>
          <w:sz w:val="24"/>
          <w:szCs w:val="24"/>
          <w:highlight w:val="none"/>
        </w:rPr>
        <w:t xml:space="preserve">负责</w:t>
      </w:r>
      <w:r>
        <w:rPr>
          <w:rFonts w:ascii="宋体" w:hAnsi="宋体"/>
          <w:color w:val="000000"/>
          <w:sz w:val="24"/>
          <w:szCs w:val="24"/>
          <w:highlight w:val="none"/>
        </w:rPr>
        <w:t xml:space="preserve">答复。</w:t>
      </w:r>
      <w:r>
        <w:rPr>
          <w:rFonts w:hint="eastAsia" w:ascii="宋体" w:hAnsi="宋体"/>
          <w:b/>
          <w:color w:val="000000"/>
          <w:sz w:val="24"/>
          <w:szCs w:val="24"/>
          <w:highlight w:val="none"/>
        </w:rPr>
      </w:r>
      <w:r/>
    </w:p>
    <w:p>
      <w:pPr>
        <w:pStyle w:val="898"/>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采购人及采购中心只接收以纸质原件形式送达的质疑,建议供应商尽量通过邮寄方式提交质疑（采购人和采购中心不接受无快递运</w:t>
      </w:r>
      <w:r>
        <w:rPr>
          <w:rFonts w:ascii="宋体" w:hAnsi="宋体"/>
          <w:color w:val="000000"/>
          <w:sz w:val="24"/>
          <w:szCs w:val="24"/>
          <w:highlight w:val="none"/>
        </w:rPr>
        <w:t xml:space="preserve">单号</w:t>
      </w:r>
      <w:r>
        <w:rPr>
          <w:rFonts w:hint="eastAsia" w:ascii="宋体" w:hAnsi="宋体"/>
          <w:color w:val="000000"/>
          <w:sz w:val="24"/>
          <w:szCs w:val="24"/>
          <w:highlight w:val="none"/>
        </w:rPr>
        <w:t xml:space="preserve">的快递）。</w:t>
      </w:r>
      <w:r>
        <w:rPr>
          <w:rFonts w:hint="eastAsia" w:ascii="宋体" w:hAnsi="宋体"/>
          <w:color w:val="000000"/>
          <w:sz w:val="24"/>
          <w:szCs w:val="24"/>
          <w:highlight w:val="none"/>
        </w:rPr>
      </w:r>
      <w:r/>
    </w:p>
    <w:p>
      <w:pPr>
        <w:pStyle w:val="898"/>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color w:val="000000"/>
          <w:sz w:val="24"/>
          <w:szCs w:val="24"/>
          <w:highlight w:val="none"/>
        </w:rPr>
        <w:t xml:space="preserve">3029</w:t>
      </w:r>
      <w:r>
        <w:rPr>
          <w:rFonts w:hint="eastAsia" w:ascii="宋体" w:hAnsi="宋体"/>
          <w:color w:val="000000"/>
          <w:sz w:val="24"/>
          <w:szCs w:val="24"/>
          <w:highlight w:val="none"/>
        </w:rPr>
        <w:t xml:space="preserve">室，联系电话：025-83668531。</w:t>
      </w:r>
      <w:r>
        <w:rPr>
          <w:rFonts w:hint="eastAsia" w:ascii="宋体" w:hAnsi="宋体"/>
          <w:color w:val="000000"/>
          <w:sz w:val="24"/>
          <w:szCs w:val="24"/>
          <w:highlight w:val="none"/>
        </w:rPr>
      </w:r>
      <w:r/>
    </w:p>
    <w:p>
      <w:pPr>
        <w:pStyle w:val="898"/>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采购人质疑接收人及联系方式见本磋商文件第一章。</w:t>
      </w:r>
      <w:r>
        <w:rPr>
          <w:rFonts w:hint="eastAsia" w:ascii="宋体" w:hAnsi="宋体"/>
          <w:color w:val="000000"/>
          <w:sz w:val="24"/>
          <w:szCs w:val="24"/>
          <w:highlight w:val="none"/>
        </w:rPr>
      </w:r>
      <w:r/>
    </w:p>
    <w:p>
      <w:pPr>
        <w:pStyle w:val="898"/>
        <w:ind w:firstLine="480"/>
        <w:spacing w:line="48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p>
    <w:p>
      <w:pPr>
        <w:pStyle w:val="898"/>
        <w:ind w:firstLine="480"/>
        <w:spacing w:line="48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5.1 内容不符合《政府采购质疑和投诉办法》第十二条规定的质疑。</w:t>
      </w:r>
      <w:r>
        <w:rPr>
          <w:rFonts w:hint="eastAsia" w:ascii="宋体" w:hAnsi="宋体"/>
          <w:color w:val="000000"/>
          <w:sz w:val="24"/>
          <w:szCs w:val="24"/>
          <w:highlight w:val="none"/>
        </w:rPr>
      </w:r>
      <w:r/>
    </w:p>
    <w:p>
      <w:pPr>
        <w:pStyle w:val="898"/>
        <w:ind w:firstLine="480"/>
        <w:spacing w:line="48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5.2 超出政府采购法定期限的质疑。</w:t>
      </w:r>
      <w:r>
        <w:rPr>
          <w:rFonts w:hint="eastAsia" w:ascii="宋体" w:hAnsi="宋体"/>
          <w:color w:val="000000"/>
          <w:sz w:val="24"/>
          <w:szCs w:val="24"/>
          <w:highlight w:val="none"/>
        </w:rPr>
      </w:r>
      <w:r/>
    </w:p>
    <w:p>
      <w:pPr>
        <w:pStyle w:val="898"/>
        <w:ind w:firstLine="480"/>
        <w:spacing w:line="48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5.3 以传真、电子邮件等方式递交的非原件形式的质疑。</w:t>
      </w:r>
      <w:r>
        <w:rPr>
          <w:rFonts w:hint="eastAsia" w:ascii="宋体" w:hAnsi="宋体"/>
          <w:color w:val="000000"/>
          <w:sz w:val="24"/>
          <w:szCs w:val="24"/>
          <w:highlight w:val="none"/>
        </w:rPr>
      </w:r>
      <w:r/>
    </w:p>
    <w:p>
      <w:pPr>
        <w:pStyle w:val="898"/>
        <w:ind w:firstLine="480"/>
        <w:spacing w:line="48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5.4 未参加磋商活动的供应商或在磋商活动中自身权益未受到损害的供应商所提出的质疑。</w:t>
      </w:r>
      <w:r>
        <w:rPr>
          <w:rFonts w:hint="eastAsia" w:ascii="宋体" w:hAnsi="宋体"/>
          <w:color w:val="000000"/>
          <w:sz w:val="24"/>
          <w:szCs w:val="24"/>
          <w:highlight w:val="none"/>
        </w:rPr>
      </w:r>
      <w:r/>
    </w:p>
    <w:p>
      <w:pPr>
        <w:pStyle w:val="898"/>
        <w:ind w:firstLine="480"/>
        <w:spacing w:line="48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5.5供应商组成联合体参加磋商，联合体中任何一方或多方未按要求签字、盖章、加盖公章的质疑。</w:t>
      </w:r>
      <w:r>
        <w:rPr>
          <w:rFonts w:hint="eastAsia" w:ascii="宋体" w:hAnsi="宋体"/>
          <w:color w:val="000000"/>
          <w:sz w:val="24"/>
          <w:szCs w:val="24"/>
          <w:highlight w:val="none"/>
        </w:rPr>
      </w:r>
      <w:r/>
    </w:p>
    <w:p>
      <w:pPr>
        <w:pStyle w:val="898"/>
        <w:ind w:firstLine="468"/>
        <w:spacing w:line="48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898"/>
        <w:ind w:firstLine="600"/>
        <w:keepLines/>
        <w:keepNex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、成交通知书</w:t>
      </w:r>
      <w:r>
        <w:rPr>
          <w:rFonts w:hint="eastAsia" w:ascii="黑体" w:hAnsi="宋体" w:eastAsia="黑体"/>
          <w:bCs/>
          <w:color w:val="000000"/>
          <w:sz w:val="30"/>
          <w:szCs w:val="30"/>
          <w:highlight w:val="none"/>
        </w:rPr>
      </w:r>
      <w:r/>
    </w:p>
    <w:p>
      <w:pPr>
        <w:pStyle w:val="898"/>
        <w:ind w:firstLine="600"/>
        <w:spacing w:line="480" w:lineRule="exact"/>
        <w:rPr>
          <w:rFonts w:hint="eastAsia" w:ascii="宋体" w:hAnsi="宋体"/>
          <w:color w:val="000000"/>
          <w:sz w:val="24"/>
          <w:szCs w:val="24"/>
          <w:highlight w:val="none"/>
        </w:rPr>
      </w:pPr>
      <w:r>
        <w:rPr>
          <w:rFonts w:ascii="宋体" w:hAnsi="宋体"/>
          <w:color w:val="000000"/>
          <w:sz w:val="24"/>
          <w:szCs w:val="24"/>
          <w:highlight w:val="none"/>
        </w:rPr>
        <w:t xml:space="preserve">29.1</w:t>
      </w:r>
      <w:r>
        <w:rPr>
          <w:rFonts w:hint="eastAsia" w:ascii="宋体" w:hAnsi="宋体"/>
          <w:color w:val="000000"/>
          <w:sz w:val="24"/>
          <w:szCs w:val="24"/>
          <w:highlight w:val="none"/>
        </w:rPr>
        <w:t xml:space="preserve">成交结果确定后，采购中心将向成交供应商发出成交通知书。</w:t>
      </w:r>
      <w:r>
        <w:rPr>
          <w:rFonts w:hint="eastAsia" w:ascii="宋体" w:hAnsi="宋体" w:cs="宋体"/>
          <w:color w:val="000000"/>
          <w:sz w:val="24"/>
          <w:szCs w:val="24"/>
          <w:highlight w:val="none"/>
        </w:rPr>
        <w:t xml:space="preserve">请成交供应商在成交结果公告届满之日起30日内,使用CA数字证书登录</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及时下载成交通知书。因系统存储空间有限，自成交结果公告届满之日起30日后，</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不再保证提供下载成交通知书服务,因未及时下载而造成的不利后果由成交供应商自行承担。</w:t>
      </w:r>
      <w:r>
        <w:rPr>
          <w:rFonts w:hint="eastAsia" w:ascii="宋体" w:hAnsi="宋体"/>
          <w:color w:val="000000"/>
          <w:sz w:val="24"/>
          <w:szCs w:val="24"/>
          <w:highlight w:val="none"/>
        </w:rPr>
      </w:r>
      <w:r/>
    </w:p>
    <w:p>
      <w:pPr>
        <w:pStyle w:val="898"/>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4"/>
          <w:highlight w:val="none"/>
        </w:rPr>
      </w:r>
      <w:r/>
    </w:p>
    <w:p>
      <w:pPr>
        <w:pStyle w:val="898"/>
        <w:keepLines/>
        <w:keepNext/>
        <w:spacing w:before="156" w:after="156" w:line="360" w:lineRule="auto"/>
        <w:rPr>
          <w:rFonts w:hint="eastAsia" w:ascii="Times New Roman" w:hAnsi="Times New Roman"/>
          <w:b/>
          <w:bCs/>
          <w:color w:val="000000"/>
          <w:sz w:val="32"/>
          <w:szCs w:val="32"/>
          <w:highlight w:val="none"/>
        </w:rPr>
        <w:outlineLvl w:val="2"/>
      </w:pPr>
      <w:r/>
      <w:bookmarkStart w:id="159" w:name="_Toc513029236"/>
      <w:r/>
      <w:bookmarkStart w:id="160" w:name="_Toc20823308"/>
      <w:r/>
      <w:bookmarkStart w:id="161" w:name="_Toc16938552"/>
      <w:r/>
      <w:bookmarkStart w:id="162" w:name="_Toc120614220"/>
      <w:r>
        <w:rPr>
          <w:rFonts w:hint="eastAsia" w:ascii="Times New Roman" w:hAnsi="Times New Roman"/>
          <w:b/>
          <w:bCs/>
          <w:color w:val="000000"/>
          <w:sz w:val="32"/>
          <w:szCs w:val="32"/>
          <w:highlight w:val="none"/>
        </w:rPr>
        <w:t xml:space="preserve">七、授予合同</w:t>
      </w:r>
      <w:bookmarkEnd w:id="162"/>
      <w:r>
        <w:rPr>
          <w:rFonts w:hint="eastAsia" w:ascii="Times New Roman" w:hAnsi="Times New Roman"/>
          <w:b/>
          <w:bCs/>
          <w:color w:val="000000"/>
          <w:sz w:val="32"/>
          <w:szCs w:val="32"/>
          <w:highlight w:val="none"/>
        </w:rPr>
      </w:r>
      <w:r/>
    </w:p>
    <w:p>
      <w:pPr>
        <w:pStyle w:val="898"/>
        <w:ind w:firstLine="600"/>
        <w:keepLines/>
        <w:keepNext/>
        <w:rPr>
          <w:rFonts w:hint="eastAsia" w:ascii="黑体" w:hAnsi="宋体" w:eastAsia="黑体"/>
          <w:bCs/>
          <w:color w:val="000000"/>
          <w:sz w:val="30"/>
          <w:szCs w:val="30"/>
          <w:highlight w:val="none"/>
        </w:rPr>
        <w:outlineLvl w:val="3"/>
      </w:pPr>
      <w:r/>
      <w:bookmarkEnd w:id="159"/>
      <w:r/>
      <w:bookmarkEnd w:id="160"/>
      <w:r/>
      <w:bookmarkEnd w:id="161"/>
      <w:r/>
      <w:bookmarkStart w:id="163" w:name="_Toc20823309"/>
      <w:r/>
      <w:bookmarkStart w:id="164" w:name="_Toc513029237"/>
      <w:r/>
      <w:bookmarkStart w:id="165" w:name="_Toc16938553"/>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 签订合同</w:t>
      </w:r>
      <w:r>
        <w:rPr>
          <w:rFonts w:hint="eastAsia" w:ascii="黑体" w:hAnsi="宋体" w:eastAsia="黑体"/>
          <w:bCs/>
          <w:color w:val="000000"/>
          <w:sz w:val="30"/>
          <w:szCs w:val="30"/>
          <w:highlight w:val="none"/>
        </w:rPr>
      </w:r>
      <w:r/>
    </w:p>
    <w:p>
      <w:pPr>
        <w:pStyle w:val="898"/>
        <w:ind w:firstLine="60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0</w:t>
      </w:r>
      <w:r>
        <w:rPr>
          <w:rFonts w:hint="eastAsia" w:ascii="宋体" w:hAnsi="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color w:val="000000"/>
          <w:sz w:val="24"/>
          <w:szCs w:val="24"/>
          <w:highlight w:val="none"/>
        </w:rPr>
      </w:r>
      <w:r/>
    </w:p>
    <w:p>
      <w:pPr>
        <w:pStyle w:val="898"/>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.2磋商文件、成交供应商的响应文件及磋商过程中有关澄清、承诺文件均应作为合同附件。</w:t>
      </w:r>
      <w:r>
        <w:rPr>
          <w:rFonts w:hint="eastAsia" w:ascii="宋体" w:hAnsi="宋体"/>
          <w:color w:val="000000"/>
          <w:sz w:val="24"/>
          <w:szCs w:val="24"/>
          <w:highlight w:val="none"/>
        </w:rPr>
      </w:r>
      <w:r/>
    </w:p>
    <w:p>
      <w:pPr>
        <w:pStyle w:val="898"/>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4"/>
          <w:highlight w:val="none"/>
        </w:rPr>
      </w:r>
      <w:r/>
    </w:p>
    <w:p>
      <w:pPr>
        <w:pStyle w:val="898"/>
        <w:ind w:firstLine="600"/>
        <w:keepLines/>
        <w:keepNex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、标的物的追加</w:t>
      </w:r>
      <w:r>
        <w:rPr>
          <w:rFonts w:hint="eastAsia" w:ascii="黑体" w:hAnsi="宋体" w:eastAsia="黑体"/>
          <w:bCs/>
          <w:color w:val="000000"/>
          <w:sz w:val="30"/>
          <w:szCs w:val="30"/>
          <w:highlight w:val="none"/>
        </w:rPr>
      </w:r>
      <w:r/>
    </w:p>
    <w:p>
      <w:pPr>
        <w:pStyle w:val="898"/>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olor w:val="000000"/>
          <w:sz w:val="24"/>
          <w:szCs w:val="24"/>
          <w:highlight w:val="none"/>
        </w:rPr>
      </w:r>
      <w:r/>
    </w:p>
    <w:p>
      <w:pPr>
        <w:pStyle w:val="898"/>
        <w:ind w:firstLine="600"/>
        <w:keepLines/>
        <w:keepNext/>
        <w:rPr>
          <w:rFonts w:ascii="黑体" w:hAnsi="宋体" w:eastAsia="黑体"/>
          <w:bCs/>
          <w:color w:val="000000"/>
          <w:sz w:val="30"/>
          <w:szCs w:val="30"/>
          <w:highlight w:val="none"/>
        </w:rPr>
        <w:outlineLvl w:val="3"/>
      </w:pPr>
      <w:r/>
      <w:bookmarkEnd w:id="163"/>
      <w:r/>
      <w:bookmarkEnd w:id="164"/>
      <w:r/>
      <w:bookmarkEnd w:id="165"/>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、政府采购履约资金扶持政策</w:t>
      </w:r>
      <w:r>
        <w:rPr>
          <w:rFonts w:ascii="黑体" w:hAnsi="宋体" w:eastAsia="黑体"/>
          <w:bCs/>
          <w:color w:val="000000"/>
          <w:sz w:val="30"/>
          <w:szCs w:val="30"/>
          <w:highlight w:val="none"/>
        </w:rPr>
      </w:r>
      <w:r/>
    </w:p>
    <w:p>
      <w:pPr>
        <w:pStyle w:val="898"/>
        <w:ind w:firstLine="555"/>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成交供应商可凭政府采购合同办理融资贷款，详情请见江苏政府采购网“政采贷”专栏。</w:t>
      </w:r>
      <w:r>
        <w:rPr>
          <w:rFonts w:hint="eastAsia" w:ascii="宋体" w:hAnsi="宋体"/>
          <w:bCs/>
          <w:color w:val="000000"/>
          <w:sz w:val="24"/>
          <w:szCs w:val="24"/>
          <w:highlight w:val="none"/>
        </w:rPr>
      </w:r>
      <w:r/>
    </w:p>
    <w:p>
      <w:pPr>
        <w:pStyle w:val="899"/>
        <w:rPr>
          <w:rFonts w:ascii="Times New Roman"/>
          <w:color w:val="000000"/>
          <w:highlight w:val="none"/>
        </w:rPr>
      </w:pPr>
      <w:r>
        <w:rPr>
          <w:rFonts w:ascii="Times New Roman"/>
          <w:color w:val="000000"/>
          <w:highlight w:val="none"/>
        </w:rPr>
        <w:br w:type="page" w:clear="all"/>
      </w:r>
      <w:r>
        <w:rPr>
          <w:rFonts w:ascii="Times New Roman"/>
          <w:color w:val="000000"/>
          <w:highlight w:val="none"/>
        </w:rPr>
        <w:t xml:space="preserve">第三章  合同</w:t>
      </w:r>
      <w:bookmarkEnd w:id="6"/>
      <w:r/>
      <w:bookmarkEnd w:id="7"/>
      <w:r/>
      <w:bookmarkEnd w:id="8"/>
      <w:r/>
      <w:bookmarkEnd w:id="9"/>
      <w:r/>
      <w:bookmarkEnd w:id="10"/>
      <w:r>
        <w:rPr>
          <w:rFonts w:ascii="Times New Roman"/>
          <w:color w:val="000000"/>
          <w:highlight w:val="none"/>
        </w:rPr>
        <w:t xml:space="preserve">文本</w:t>
      </w:r>
      <w:r>
        <w:rPr>
          <w:rFonts w:ascii="Times New Roman"/>
          <w:color w:val="000000"/>
          <w:highlight w:val="none"/>
        </w:rPr>
      </w:r>
      <w:r/>
    </w:p>
    <w:p>
      <w:pPr>
        <w:pStyle w:val="898"/>
        <w:spacing w:line="400" w:lineRule="exact"/>
        <w:rPr>
          <w:rFonts w:ascii="Times New Roman" w:hAnsi="Times New Roman"/>
          <w:bCs/>
          <w:color w:val="000000"/>
          <w:sz w:val="24"/>
          <w:szCs w:val="24"/>
          <w:highlight w:val="none"/>
        </w:rPr>
      </w:pPr>
      <w:r/>
      <w:bookmarkStart w:id="166" w:name="_Toc20823315"/>
      <w:r/>
      <w:bookmarkStart w:id="167" w:name="_Toc513029243"/>
      <w:r/>
      <w:bookmarkStart w:id="168" w:name="_Toc16938559"/>
      <w:r>
        <w:rPr>
          <w:rFonts w:ascii="Times New Roman" w:hAnsi="Times New Roman"/>
          <w:bCs/>
          <w:color w:val="000000"/>
          <w:sz w:val="24"/>
          <w:szCs w:val="24"/>
          <w:highlight w:val="none"/>
        </w:rPr>
      </w:r>
      <w:r/>
    </w:p>
    <w:p>
      <w:pPr>
        <w:pStyle w:val="936"/>
        <w:jc w:val="center"/>
        <w:rPr>
          <w:rFonts w:ascii="Times New Roman" w:hAnsi="Times New Roman" w:cs="Times New Roman"/>
          <w:b/>
          <w:color w:val="000000"/>
          <w:sz w:val="30"/>
          <w:szCs w:val="30"/>
          <w:highlight w:val="none"/>
        </w:rPr>
      </w:pPr>
      <w:r>
        <w:rPr>
          <w:rFonts w:ascii="Times New Roman" w:hAnsi="Times New Roman" w:cs="Times New Roman"/>
          <w:b/>
          <w:color w:val="000000"/>
          <w:sz w:val="30"/>
          <w:szCs w:val="30"/>
          <w:highlight w:val="none"/>
        </w:rPr>
        <w:t xml:space="preserve">江苏省政府采购合同（合同编号）</w:t>
      </w:r>
      <w:r>
        <w:rPr>
          <w:rFonts w:ascii="Times New Roman" w:hAnsi="Times New Roman" w:cs="Times New Roman"/>
          <w:b/>
          <w:color w:val="000000"/>
          <w:sz w:val="30"/>
          <w:szCs w:val="30"/>
          <w:highlight w:val="none"/>
        </w:rPr>
      </w:r>
      <w:r/>
    </w:p>
    <w:p>
      <w:pPr>
        <w:pStyle w:val="936"/>
        <w:jc w:val="center"/>
        <w:rPr>
          <w:rFonts w:ascii="Times New Roman" w:hAnsi="Times New Roman" w:cs="Times New Roman"/>
          <w:b/>
          <w:bCs/>
          <w:color w:val="000000"/>
          <w:sz w:val="30"/>
          <w:szCs w:val="30"/>
          <w:highlight w:val="none"/>
        </w:rPr>
      </w:pPr>
      <w:r>
        <w:rPr>
          <w:rFonts w:ascii="Times New Roman" w:hAnsi="Times New Roman" w:cs="Times New Roman"/>
          <w:b/>
          <w:color w:val="000000"/>
          <w:sz w:val="30"/>
          <w:szCs w:val="30"/>
          <w:highlight w:val="none"/>
        </w:rPr>
        <w:t xml:space="preserve">（适用于服务类项目）</w:t>
      </w:r>
      <w:r>
        <w:rPr>
          <w:rFonts w:ascii="Times New Roman" w:hAnsi="Times New Roman" w:cs="Times New Roman"/>
          <w:b/>
          <w:bCs/>
          <w:color w:val="000000"/>
          <w:sz w:val="30"/>
          <w:szCs w:val="30"/>
          <w:highlight w:val="none"/>
        </w:rPr>
      </w:r>
      <w:r/>
    </w:p>
    <w:p>
      <w:pPr>
        <w:pStyle w:val="898"/>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项目名称：</w:t>
      </w:r>
      <w:r>
        <w:rPr>
          <w:rFonts w:ascii="Times New Roman" w:hAnsi="Times New Roman" w:cs="Times New Roman"/>
          <w:color w:val="000000"/>
          <w:sz w:val="24"/>
          <w:szCs w:val="24"/>
          <w:highlight w:val="none"/>
        </w:rPr>
        <w:t xml:space="preserve">江苏水文科普园运维及物业服务采购项目</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rPr>
      </w:r>
      <w:r/>
    </w:p>
    <w:p>
      <w:pPr>
        <w:pStyle w:val="898"/>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项目编号：</w:t>
      </w:r>
      <w:r>
        <w:rPr>
          <w:rFonts w:ascii="Times New Roman" w:hAnsi="Times New Roman" w:cs="Times New Roman"/>
          <w:color w:val="000000"/>
          <w:sz w:val="24"/>
          <w:szCs w:val="24"/>
          <w:highlight w:val="none"/>
        </w:rPr>
        <w:t xml:space="preserve">JSZC-320000-SCZX-C2025-0679</w:t>
      </w:r>
      <w:r>
        <w:rPr>
          <w:rFonts w:ascii="Times New Roman" w:hAnsi="Times New Roman" w:cs="Times New Roman"/>
          <w:color w:val="000000"/>
          <w:sz w:val="24"/>
          <w:szCs w:val="24"/>
          <w:highlight w:val="none"/>
        </w:rPr>
      </w:r>
      <w:r/>
    </w:p>
    <w:p>
      <w:pPr>
        <w:pStyle w:val="898"/>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采购包号：*</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898"/>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甲方：（买方</w:t>
      </w:r>
      <w:r>
        <w:rPr>
          <w:rFonts w:ascii="Times New Roman" w:hAnsi="Times New Roman" w:cs="Times New Roman"/>
          <w:color w:val="000000"/>
          <w:sz w:val="24"/>
          <w:szCs w:val="24"/>
          <w:highlight w:val="none"/>
        </w:rPr>
        <w:t xml:space="preserve">/采购人</w:t>
      </w:r>
      <w:r>
        <w:rPr>
          <w:rFonts w:ascii="Times New Roman" w:hAnsi="Times New Roman" w:cs="Times New Roman"/>
          <w:color w:val="000000"/>
          <w:sz w:val="24"/>
          <w:szCs w:val="24"/>
          <w:highlight w:val="none"/>
        </w:rPr>
        <w:t xml:space="preserve">）__</w:t>
      </w:r>
      <w:r>
        <w:rPr>
          <w:rFonts w:ascii="Times New Roman" w:hAnsi="Times New Roman" w:cs="Times New Roman"/>
          <w:color w:val="000000"/>
          <w:sz w:val="24"/>
          <w:szCs w:val="24"/>
          <w:highlight w:val="none"/>
        </w:rPr>
        <w:t xml:space="preserve">江苏省水利数字中心</w:t>
      </w:r>
      <w:r>
        <w:rPr>
          <w:rFonts w:ascii="Times New Roman" w:hAnsi="Times New Roman" w:cs="Times New Roman"/>
          <w:color w:val="000000"/>
          <w:sz w:val="24"/>
          <w:szCs w:val="24"/>
          <w:highlight w:val="none"/>
        </w:rPr>
        <w:t xml:space="preserve">_______</w:t>
      </w:r>
      <w:r>
        <w:rPr>
          <w:rFonts w:ascii="Times New Roman" w:hAnsi="Times New Roman" w:cs="Times New Roman"/>
          <w:color w:val="000000"/>
          <w:sz w:val="24"/>
          <w:szCs w:val="24"/>
          <w:highlight w:val="none"/>
        </w:rPr>
      </w:r>
      <w:r/>
    </w:p>
    <w:p>
      <w:pPr>
        <w:pStyle w:val="898"/>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乙方：（卖方</w:t>
      </w:r>
      <w:r>
        <w:rPr>
          <w:rFonts w:ascii="Times New Roman" w:hAnsi="Times New Roman" w:cs="Times New Roman"/>
          <w:color w:val="000000"/>
          <w:sz w:val="24"/>
          <w:szCs w:val="24"/>
          <w:highlight w:val="none"/>
        </w:rPr>
        <w:t xml:space="preserve">/成交</w:t>
      </w:r>
      <w:r>
        <w:rPr>
          <w:rFonts w:ascii="Times New Roman" w:hAnsi="Times New Roman" w:cs="Times New Roman"/>
          <w:color w:val="000000"/>
          <w:sz w:val="24"/>
          <w:szCs w:val="24"/>
          <w:highlight w:val="none"/>
        </w:rPr>
        <w:t xml:space="preserve">供应商）_________</w:t>
      </w:r>
      <w:r>
        <w:rPr>
          <w:rFonts w:ascii="Times New Roman" w:hAnsi="Times New Roman" w:cs="Times New Roman"/>
          <w:color w:val="000000"/>
          <w:sz w:val="24"/>
          <w:szCs w:val="24"/>
          <w:highlight w:val="none"/>
        </w:rPr>
      </w:r>
      <w:r/>
    </w:p>
    <w:p>
      <w:pPr>
        <w:pStyle w:val="898"/>
        <w:spacing w:before="120" w:after="120"/>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   </w:t>
      </w:r>
      <w:r>
        <w:rPr>
          <w:rFonts w:ascii="Times New Roman" w:hAnsi="Times New Roman" w:cs="Times New Roman"/>
          <w:color w:val="000000"/>
          <w:sz w:val="24"/>
          <w:szCs w:val="24"/>
          <w:highlight w:val="none"/>
        </w:rPr>
        <w:t xml:space="preserve">甲、乙双方根据</w:t>
      </w:r>
      <w:r>
        <w:rPr>
          <w:rFonts w:ascii="Times New Roman" w:hAnsi="Times New Roman" w:cs="Times New Roman"/>
          <w:color w:val="000000"/>
          <w:sz w:val="24"/>
          <w:szCs w:val="24"/>
          <w:highlight w:val="none"/>
        </w:rPr>
        <w:t xml:space="preserve">江苏省政府采购中心</w:t>
      </w:r>
      <w:r>
        <w:rPr>
          <w:rFonts w:ascii="Times New Roman" w:hAnsi="Times New Roman" w:cs="Times New Roman"/>
          <w:color w:val="000000"/>
          <w:sz w:val="24"/>
          <w:szCs w:val="24"/>
          <w:highlight w:val="none"/>
          <w:u w:val="single"/>
        </w:rPr>
        <w:t xml:space="preserve">  江苏水文科普园运维及物业服务采购项目  </w:t>
      </w:r>
      <w:r>
        <w:rPr>
          <w:rFonts w:ascii="Times New Roman" w:hAnsi="Times New Roman" w:cs="Times New Roman"/>
          <w:color w:val="000000"/>
          <w:sz w:val="24"/>
          <w:szCs w:val="24"/>
          <w:highlight w:val="none"/>
        </w:rPr>
        <w:t xml:space="preserve">项目</w:t>
      </w:r>
      <w:r>
        <w:rPr>
          <w:rFonts w:ascii="Times New Roman" w:hAnsi="Times New Roman" w:cs="Times New Roman"/>
          <w:color w:val="000000"/>
          <w:sz w:val="24"/>
          <w:szCs w:val="24"/>
          <w:highlight w:val="none"/>
        </w:rPr>
        <w:t xml:space="preserve">竞争性磋商</w:t>
      </w:r>
      <w:r>
        <w:rPr>
          <w:rFonts w:ascii="Times New Roman" w:hAnsi="Times New Roman" w:cs="Times New Roman"/>
          <w:color w:val="000000"/>
          <w:sz w:val="24"/>
          <w:szCs w:val="24"/>
          <w:highlight w:val="none"/>
        </w:rPr>
        <w:t xml:space="preserve">的结果，签署本合同。</w:t>
      </w:r>
      <w:r>
        <w:rPr>
          <w:rFonts w:ascii="Times New Roman" w:hAnsi="Times New Roman" w:cs="Times New Roman"/>
          <w:b/>
          <w:color w:val="000000"/>
          <w:sz w:val="24"/>
          <w:szCs w:val="24"/>
          <w:highlight w:val="none"/>
        </w:rPr>
      </w:r>
      <w:r/>
    </w:p>
    <w:p>
      <w:pPr>
        <w:pStyle w:val="898"/>
        <w:spacing w:before="120" w:after="120"/>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一、</w:t>
      </w:r>
      <w:r>
        <w:rPr>
          <w:rFonts w:ascii="Times New Roman" w:hAnsi="Times New Roman" w:cs="Times New Roman"/>
          <w:b/>
          <w:color w:val="000000"/>
          <w:sz w:val="24"/>
          <w:szCs w:val="24"/>
          <w:highlight w:val="none"/>
        </w:rPr>
        <w:t xml:space="preserve">合同</w:t>
      </w:r>
      <w:r>
        <w:rPr>
          <w:rFonts w:ascii="Times New Roman" w:hAnsi="Times New Roman" w:cs="Times New Roman"/>
          <w:b/>
          <w:color w:val="000000"/>
          <w:sz w:val="24"/>
          <w:szCs w:val="24"/>
          <w:highlight w:val="none"/>
        </w:rPr>
        <w:t xml:space="preserve">内容</w:t>
      </w:r>
      <w:r>
        <w:rPr>
          <w:rFonts w:ascii="Times New Roman" w:hAnsi="Times New Roman" w:cs="Times New Roman"/>
          <w:b/>
          <w:color w:val="000000"/>
          <w:sz w:val="24"/>
          <w:szCs w:val="24"/>
          <w:highlight w:val="none"/>
        </w:rPr>
      </w:r>
      <w:r/>
    </w:p>
    <w:p>
      <w:pPr>
        <w:pStyle w:val="898"/>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1.1 </w:t>
      </w:r>
      <w:r>
        <w:rPr>
          <w:rFonts w:ascii="Times New Roman" w:hAnsi="Times New Roman" w:cs="Times New Roman"/>
          <w:color w:val="000000"/>
          <w:sz w:val="24"/>
          <w:szCs w:val="24"/>
          <w:highlight w:val="none"/>
        </w:rPr>
        <w:t xml:space="preserve">标的</w:t>
      </w:r>
      <w:r>
        <w:rPr>
          <w:rFonts w:ascii="Times New Roman" w:hAnsi="Times New Roman" w:cs="Times New Roman"/>
          <w:color w:val="000000"/>
          <w:sz w:val="24"/>
          <w:szCs w:val="24"/>
          <w:highlight w:val="none"/>
        </w:rPr>
        <w:t xml:space="preserve">名称：</w:t>
      </w:r>
      <w:r>
        <w:rPr>
          <w:rFonts w:ascii="Times New Roman" w:hAnsi="Times New Roman" w:cs="Times New Roman"/>
          <w:color w:val="000000"/>
          <w:sz w:val="24"/>
          <w:szCs w:val="24"/>
          <w:highlight w:val="none"/>
        </w:rPr>
      </w:r>
      <w:r/>
    </w:p>
    <w:p>
      <w:pPr>
        <w:pStyle w:val="898"/>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1.2 </w:t>
      </w:r>
      <w:r>
        <w:rPr>
          <w:rFonts w:ascii="Times New Roman" w:hAnsi="Times New Roman" w:cs="Times New Roman"/>
          <w:color w:val="000000"/>
          <w:sz w:val="24"/>
          <w:szCs w:val="24"/>
          <w:highlight w:val="none"/>
        </w:rPr>
        <w:t xml:space="preserve">标的质量：</w:t>
      </w:r>
      <w:r>
        <w:rPr>
          <w:rFonts w:ascii="Times New Roman" w:hAnsi="Times New Roman" w:cs="Times New Roman"/>
          <w:color w:val="000000"/>
          <w:sz w:val="24"/>
          <w:szCs w:val="24"/>
          <w:highlight w:val="none"/>
        </w:rPr>
      </w:r>
      <w:r/>
    </w:p>
    <w:p>
      <w:pPr>
        <w:pStyle w:val="898"/>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1.3 标的数量（规模）：</w:t>
      </w:r>
      <w:r>
        <w:rPr>
          <w:rFonts w:ascii="Times New Roman" w:hAnsi="Times New Roman" w:cs="Times New Roman"/>
          <w:color w:val="000000"/>
          <w:sz w:val="24"/>
          <w:szCs w:val="24"/>
          <w:highlight w:val="none"/>
        </w:rPr>
      </w:r>
      <w:r/>
    </w:p>
    <w:p>
      <w:pPr>
        <w:pStyle w:val="898"/>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1.4 履行时间（期限）：</w:t>
      </w:r>
      <w:r>
        <w:rPr>
          <w:rFonts w:ascii="Times New Roman" w:hAnsi="Times New Roman" w:cs="Times New Roman"/>
          <w:color w:val="000000"/>
          <w:sz w:val="24"/>
          <w:szCs w:val="24"/>
          <w:highlight w:val="none"/>
        </w:rPr>
      </w:r>
      <w:r/>
    </w:p>
    <w:p>
      <w:pPr>
        <w:pStyle w:val="898"/>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1.5 履行地点：</w:t>
      </w:r>
      <w:r>
        <w:rPr>
          <w:rFonts w:ascii="Times New Roman" w:hAnsi="Times New Roman" w:cs="Times New Roman"/>
          <w:color w:val="000000"/>
          <w:sz w:val="24"/>
          <w:szCs w:val="24"/>
          <w:highlight w:val="none"/>
        </w:rPr>
      </w:r>
      <w:r/>
    </w:p>
    <w:p>
      <w:pPr>
        <w:pStyle w:val="898"/>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t xml:space="preserve">6</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rPr>
        <w:t xml:space="preserve">履行方式：</w:t>
      </w:r>
      <w:r>
        <w:rPr>
          <w:rFonts w:ascii="Times New Roman" w:hAnsi="Times New Roman" w:cs="Times New Roman"/>
          <w:color w:val="000000"/>
          <w:sz w:val="24"/>
          <w:szCs w:val="24"/>
          <w:highlight w:val="none"/>
        </w:rPr>
      </w:r>
      <w:r/>
    </w:p>
    <w:p>
      <w:pPr>
        <w:pStyle w:val="898"/>
        <w:spacing w:before="120" w:after="120"/>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二、合同金额</w:t>
      </w:r>
      <w:r>
        <w:rPr>
          <w:rFonts w:ascii="Times New Roman" w:hAnsi="Times New Roman" w:cs="Times New Roman"/>
          <w:b/>
          <w:color w:val="000000"/>
          <w:sz w:val="24"/>
          <w:szCs w:val="24"/>
          <w:highlight w:val="none"/>
        </w:rPr>
      </w:r>
      <w:r/>
    </w:p>
    <w:p>
      <w:pPr>
        <w:pStyle w:val="898"/>
        <w:ind w:left="410" w:hanging="410"/>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2.1 本合同金额为（大写）：____________________________________</w:t>
      </w:r>
      <w:r>
        <w:rPr>
          <w:rFonts w:ascii="Times New Roman" w:hAnsi="Times New Roman" w:cs="Times New Roman"/>
          <w:color w:val="000000"/>
          <w:sz w:val="24"/>
          <w:szCs w:val="24"/>
          <w:highlight w:val="none"/>
        </w:rPr>
        <w:t xml:space="preserve">圆</w:t>
      </w:r>
      <w:r>
        <w:rPr>
          <w:rFonts w:ascii="Times New Roman" w:hAnsi="Times New Roman" w:cs="Times New Roman"/>
          <w:color w:val="000000"/>
          <w:sz w:val="24"/>
          <w:szCs w:val="24"/>
          <w:highlight w:val="none"/>
        </w:rPr>
        <w:t xml:space="preserve">（_______________元）人民币</w:t>
      </w:r>
      <w:r>
        <w:rPr>
          <w:rFonts w:ascii="Times New Roman" w:hAnsi="Times New Roman" w:cs="Times New Roman"/>
          <w:color w:val="000000"/>
          <w:sz w:val="24"/>
          <w:szCs w:val="24"/>
          <w:highlight w:val="none"/>
        </w:rPr>
        <w:t xml:space="preserve">或其他币种</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898"/>
        <w:spacing w:before="120" w:after="120"/>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三、技术资料</w:t>
      </w:r>
      <w:r>
        <w:rPr>
          <w:rFonts w:ascii="Times New Roman" w:hAnsi="Times New Roman" w:cs="Times New Roman"/>
          <w:b/>
          <w:color w:val="000000"/>
          <w:sz w:val="24"/>
          <w:szCs w:val="24"/>
          <w:highlight w:val="none"/>
        </w:rPr>
      </w:r>
      <w:r/>
    </w:p>
    <w:p>
      <w:pPr>
        <w:pStyle w:val="898"/>
        <w:ind w:left="410" w:hanging="410"/>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3.1乙方应按</w:t>
      </w:r>
      <w:r>
        <w:rPr>
          <w:rFonts w:ascii="Times New Roman" w:hAnsi="Times New Roman" w:cs="Times New Roman"/>
          <w:color w:val="000000"/>
          <w:sz w:val="24"/>
          <w:szCs w:val="24"/>
          <w:highlight w:val="none"/>
        </w:rPr>
        <w:t xml:space="preserve">磋商</w:t>
      </w:r>
      <w:r>
        <w:rPr>
          <w:rFonts w:ascii="Times New Roman" w:hAnsi="Times New Roman" w:cs="Times New Roman"/>
          <w:color w:val="000000"/>
          <w:sz w:val="24"/>
          <w:szCs w:val="24"/>
          <w:highlight w:val="none"/>
        </w:rPr>
        <w:t xml:space="preserve">文件规定的时间向甲方提供</w:t>
      </w:r>
      <w:r>
        <w:rPr>
          <w:rFonts w:ascii="Times New Roman" w:hAnsi="Times New Roman" w:cs="Times New Roman"/>
          <w:color w:val="000000"/>
          <w:sz w:val="24"/>
          <w:szCs w:val="24"/>
          <w:highlight w:val="none"/>
        </w:rPr>
        <w:t xml:space="preserve">与合同标的</w:t>
      </w:r>
      <w:r>
        <w:rPr>
          <w:rFonts w:ascii="Times New Roman" w:hAnsi="Times New Roman" w:cs="Times New Roman"/>
          <w:color w:val="000000"/>
          <w:sz w:val="24"/>
          <w:szCs w:val="24"/>
          <w:highlight w:val="none"/>
        </w:rPr>
        <w:t xml:space="preserve">有关的技术资料。</w:t>
      </w:r>
      <w:r>
        <w:rPr>
          <w:rFonts w:ascii="Times New Roman" w:hAnsi="Times New Roman" w:cs="Times New Roman"/>
          <w:color w:val="000000"/>
          <w:sz w:val="24"/>
          <w:szCs w:val="24"/>
          <w:highlight w:val="none"/>
        </w:rPr>
      </w:r>
      <w:r/>
    </w:p>
    <w:p>
      <w:pPr>
        <w:pStyle w:val="898"/>
        <w:ind w:left="410" w:hanging="410"/>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cs="Times New Roman"/>
          <w:color w:val="000000"/>
          <w:sz w:val="24"/>
          <w:szCs w:val="24"/>
          <w:highlight w:val="none"/>
        </w:rPr>
      </w:r>
      <w:r/>
    </w:p>
    <w:p>
      <w:pPr>
        <w:pStyle w:val="898"/>
        <w:ind w:left="412" w:hanging="412"/>
        <w:spacing w:before="120" w:after="120"/>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四、知识产权</w:t>
      </w:r>
      <w:r>
        <w:rPr>
          <w:rFonts w:ascii="Times New Roman" w:hAnsi="Times New Roman" w:cs="Times New Roman"/>
          <w:b/>
          <w:color w:val="000000"/>
          <w:sz w:val="24"/>
          <w:szCs w:val="24"/>
          <w:highlight w:val="none"/>
        </w:rPr>
      </w:r>
      <w:r/>
    </w:p>
    <w:p>
      <w:pPr>
        <w:pStyle w:val="898"/>
        <w:ind w:left="408" w:hanging="408"/>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4.1乙</w:t>
      </w:r>
      <w:r>
        <w:rPr>
          <w:rFonts w:ascii="Times New Roman" w:hAnsi="Times New Roman" w:cs="Times New Roman"/>
          <w:color w:val="000000"/>
          <w:sz w:val="24"/>
          <w:szCs w:val="24"/>
          <w:highlight w:val="none"/>
        </w:rPr>
        <w:t xml:space="preserve">方应保证甲方在使用、接受本合同标的或其任何一部分时不受第三方提出侵犯其专利权、版权、商标权和工业设计权等知识产权的起诉。一旦出现侵权，由乙方负全部责任。</w:t>
      </w:r>
      <w:r>
        <w:rPr>
          <w:rFonts w:ascii="Times New Roman" w:hAnsi="Times New Roman" w:cs="Times New Roman"/>
          <w:color w:val="000000"/>
          <w:sz w:val="24"/>
          <w:szCs w:val="24"/>
          <w:highlight w:val="none"/>
        </w:rPr>
      </w:r>
      <w:r/>
    </w:p>
    <w:p>
      <w:pPr>
        <w:pStyle w:val="898"/>
        <w:spacing w:before="120" w:after="120"/>
        <w:rPr>
          <w:rFonts w:ascii="Times New Roman" w:hAnsi="Times New Roman" w:cs="Times New Roman"/>
          <w:color w:val="000000"/>
          <w:sz w:val="24"/>
          <w:szCs w:val="24"/>
          <w:highlight w:val="none"/>
          <w:u w:val="single"/>
        </w:rPr>
      </w:pPr>
      <w:r>
        <w:rPr>
          <w:rFonts w:ascii="Times New Roman" w:hAnsi="Times New Roman" w:cs="Times New Roman"/>
          <w:b/>
          <w:color w:val="000000"/>
          <w:sz w:val="24"/>
          <w:szCs w:val="24"/>
          <w:highlight w:val="none"/>
        </w:rPr>
        <w:t xml:space="preserve">五、产权担保</w:t>
      </w:r>
      <w:r>
        <w:rPr>
          <w:rFonts w:ascii="Times New Roman" w:hAnsi="Times New Roman" w:cs="Times New Roman"/>
          <w:color w:val="000000"/>
          <w:sz w:val="24"/>
          <w:szCs w:val="24"/>
          <w:highlight w:val="none"/>
          <w:u w:val="single"/>
        </w:rPr>
      </w:r>
      <w:r/>
    </w:p>
    <w:p>
      <w:pPr>
        <w:pStyle w:val="898"/>
        <w:ind w:left="408" w:hanging="408"/>
        <w:spacing w:before="120" w:after="120"/>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5.1 乙方保证所交付的</w:t>
      </w:r>
      <w:r>
        <w:rPr>
          <w:rFonts w:ascii="Times New Roman" w:hAnsi="Times New Roman" w:cs="Times New Roman"/>
          <w:color w:val="000000"/>
          <w:sz w:val="24"/>
          <w:szCs w:val="24"/>
          <w:highlight w:val="none"/>
        </w:rPr>
        <w:t xml:space="preserve">合同标的</w:t>
      </w:r>
      <w:r>
        <w:rPr>
          <w:rFonts w:ascii="Times New Roman" w:hAnsi="Times New Roman" w:cs="Times New Roman"/>
          <w:color w:val="000000"/>
          <w:sz w:val="24"/>
          <w:szCs w:val="24"/>
          <w:highlight w:val="none"/>
        </w:rPr>
        <w:t xml:space="preserve">的所有权完全属于乙方且无任何抵押、查封等产权瑕疵。</w:t>
      </w:r>
      <w:r>
        <w:rPr>
          <w:rFonts w:ascii="Times New Roman" w:hAnsi="Times New Roman" w:cs="Times New Roman"/>
          <w:color w:val="000000"/>
          <w:sz w:val="24"/>
          <w:szCs w:val="24"/>
          <w:highlight w:val="none"/>
          <w:u w:val="single"/>
        </w:rPr>
      </w:r>
      <w:r/>
    </w:p>
    <w:p>
      <w:pPr>
        <w:pStyle w:val="898"/>
        <w:ind w:left="410" w:hanging="410"/>
        <w:spacing w:before="120" w:after="120"/>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六、履约保证金</w:t>
      </w:r>
      <w:r>
        <w:rPr>
          <w:rFonts w:ascii="Times New Roman" w:hAnsi="Times New Roman" w:cs="Times New Roman"/>
          <w:b/>
          <w:color w:val="000000"/>
          <w:sz w:val="24"/>
          <w:szCs w:val="24"/>
          <w:highlight w:val="none"/>
        </w:rPr>
      </w:r>
      <w:r/>
    </w:p>
    <w:p>
      <w:pPr>
        <w:pStyle w:val="898"/>
        <w:ind w:left="408" w:hanging="408"/>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本项目不收取履约保证金。</w:t>
      </w:r>
      <w:r>
        <w:rPr>
          <w:rFonts w:ascii="Times New Roman" w:hAnsi="Times New Roman" w:cs="Times New Roman"/>
          <w:color w:val="000000"/>
          <w:sz w:val="24"/>
          <w:szCs w:val="24"/>
          <w:highlight w:val="none"/>
        </w:rPr>
      </w:r>
      <w:r/>
    </w:p>
    <w:p>
      <w:pPr>
        <w:pStyle w:val="898"/>
        <w:spacing w:before="156" w:after="156"/>
        <w:rPr>
          <w:rFonts w:ascii="Times New Roman" w:hAnsi="Times New Roman" w:eastAsia="仿宋_GB2312"/>
          <w:b/>
          <w:color w:val="000000"/>
          <w:sz w:val="24"/>
          <w:szCs w:val="24"/>
          <w:highlight w:val="none"/>
        </w:rPr>
      </w:pPr>
      <w:r>
        <w:rPr>
          <w:rFonts w:ascii="Times New Roman" w:hAnsi="Times New Roman"/>
          <w:b/>
          <w:color w:val="000000"/>
          <w:sz w:val="24"/>
          <w:szCs w:val="24"/>
          <w:highlight w:val="none"/>
        </w:rPr>
        <w:t xml:space="preserve">七、合同转包或分包</w:t>
      </w:r>
      <w:r>
        <w:rPr>
          <w:rFonts w:ascii="Times New Roman" w:hAnsi="Times New Roman" w:eastAsia="仿宋_GB2312"/>
          <w:b/>
          <w:color w:val="000000"/>
          <w:sz w:val="24"/>
          <w:szCs w:val="24"/>
          <w:highlight w:val="none"/>
        </w:rPr>
      </w:r>
      <w:r/>
    </w:p>
    <w:p>
      <w:pPr>
        <w:pStyle w:val="898"/>
        <w:spacing w:before="156" w:after="156"/>
        <w:rPr>
          <w:rFonts w:ascii="Times New Roman" w:hAnsi="Times New Roman"/>
          <w:color w:val="000000"/>
          <w:sz w:val="24"/>
          <w:szCs w:val="24"/>
          <w:highlight w:val="none"/>
        </w:rPr>
      </w:pPr>
      <w:r>
        <w:rPr>
          <w:rFonts w:ascii="Times New Roman" w:hAnsi="Times New Roman"/>
          <w:color w:val="000000"/>
          <w:sz w:val="24"/>
          <w:szCs w:val="24"/>
          <w:highlight w:val="none"/>
        </w:rPr>
        <w:t xml:space="preserve">7.1乙方不得将合同标的转包给他人履行。</w:t>
      </w:r>
      <w:r>
        <w:rPr>
          <w:rFonts w:ascii="Times New Roman" w:hAnsi="Times New Roman"/>
          <w:color w:val="000000"/>
          <w:sz w:val="24"/>
          <w:szCs w:val="24"/>
          <w:highlight w:val="none"/>
        </w:rPr>
      </w:r>
      <w:r/>
    </w:p>
    <w:p>
      <w:pPr>
        <w:pStyle w:val="898"/>
        <w:spacing w:before="156" w:after="156"/>
        <w:rPr>
          <w:rFonts w:ascii="Times New Roman" w:hAnsi="Times New Roman"/>
          <w:color w:val="000000"/>
          <w:sz w:val="24"/>
          <w:szCs w:val="24"/>
          <w:highlight w:val="none"/>
        </w:rPr>
      </w:pPr>
      <w:r>
        <w:rPr>
          <w:rFonts w:ascii="Times New Roman" w:hAnsi="Times New Roman"/>
          <w:color w:val="000000"/>
          <w:sz w:val="24"/>
          <w:szCs w:val="24"/>
          <w:highlight w:val="none"/>
        </w:rPr>
        <w:t xml:space="preserve">7.2</w:t>
      </w:r>
      <w:r>
        <w:rPr>
          <w:rFonts w:ascii="Times New Roman" w:hAnsi="Times New Roman"/>
          <w:color w:val="000000"/>
          <w:sz w:val="24"/>
          <w:szCs w:val="24"/>
          <w:highlight w:val="none"/>
        </w:rPr>
        <w:t xml:space="preserve">乙方不得将合同标的分包给他人履行。</w:t>
      </w:r>
      <w:r>
        <w:rPr>
          <w:rFonts w:ascii="Times New Roman" w:hAnsi="Times New Roman"/>
          <w:color w:val="000000"/>
          <w:sz w:val="24"/>
          <w:szCs w:val="24"/>
          <w:highlight w:val="none"/>
        </w:rPr>
      </w:r>
      <w:r/>
    </w:p>
    <w:p>
      <w:pPr>
        <w:pStyle w:val="898"/>
        <w:spacing w:before="156" w:after="156"/>
        <w:rPr>
          <w:rFonts w:ascii="Times New Roman" w:hAnsi="Times New Roman" w:eastAsia="仿宋_GB2312"/>
          <w:color w:val="000000"/>
          <w:sz w:val="24"/>
          <w:szCs w:val="24"/>
          <w:highlight w:val="none"/>
        </w:rPr>
      </w:pPr>
      <w:r>
        <w:rPr>
          <w:rFonts w:ascii="Times New Roman" w:hAnsi="Times New Roman"/>
          <w:color w:val="000000"/>
          <w:sz w:val="24"/>
          <w:szCs w:val="24"/>
          <w:highlight w:val="none"/>
        </w:rPr>
        <w:t xml:space="preserve">7.3</w:t>
      </w:r>
      <w:r>
        <w:rPr>
          <w:rFonts w:ascii="Times New Roman" w:hAnsi="Times New Roman"/>
          <w:color w:val="000000"/>
          <w:sz w:val="24"/>
          <w:szCs w:val="24"/>
          <w:highlight w:val="none"/>
        </w:rPr>
        <w:t xml:space="preserve">乙方如有转包或未经甲方同意的分包行为，甲方有权解除合同。</w:t>
      </w:r>
      <w:r>
        <w:rPr>
          <w:rFonts w:ascii="Times New Roman" w:hAnsi="Times New Roman" w:eastAsia="仿宋_GB2312"/>
          <w:color w:val="000000"/>
          <w:sz w:val="24"/>
          <w:szCs w:val="24"/>
          <w:highlight w:val="none"/>
        </w:rPr>
      </w:r>
      <w:r/>
    </w:p>
    <w:p>
      <w:pPr>
        <w:pStyle w:val="898"/>
        <w:spacing w:before="120" w:after="120"/>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八</w:t>
      </w:r>
      <w:r>
        <w:rPr>
          <w:rFonts w:ascii="Times New Roman" w:hAnsi="Times New Roman" w:cs="Times New Roman"/>
          <w:b/>
          <w:color w:val="000000"/>
          <w:sz w:val="24"/>
          <w:szCs w:val="24"/>
          <w:highlight w:val="none"/>
        </w:rPr>
        <w:t xml:space="preserve">、</w:t>
      </w:r>
      <w:r>
        <w:rPr>
          <w:rFonts w:ascii="Times New Roman" w:hAnsi="Times New Roman" w:cs="Times New Roman"/>
          <w:b/>
          <w:color w:val="000000"/>
          <w:sz w:val="24"/>
          <w:szCs w:val="24"/>
          <w:highlight w:val="none"/>
        </w:rPr>
        <w:t xml:space="preserve">合同款项</w:t>
      </w:r>
      <w:r>
        <w:rPr>
          <w:rFonts w:ascii="Times New Roman" w:hAnsi="Times New Roman" w:cs="Times New Roman"/>
          <w:b/>
          <w:color w:val="000000"/>
          <w:sz w:val="24"/>
          <w:szCs w:val="24"/>
          <w:highlight w:val="none"/>
        </w:rPr>
        <w:t xml:space="preserve">支付</w:t>
      </w:r>
      <w:r>
        <w:rPr>
          <w:rFonts w:ascii="Times New Roman" w:hAnsi="Times New Roman" w:cs="Times New Roman"/>
          <w:b/>
          <w:color w:val="000000"/>
          <w:sz w:val="24"/>
          <w:szCs w:val="24"/>
          <w:highlight w:val="none"/>
        </w:rPr>
      </w:r>
      <w:r/>
    </w:p>
    <w:p>
      <w:pPr>
        <w:pStyle w:val="898"/>
        <w:ind w:left="480" w:hanging="480"/>
        <w:spacing w:before="120" w:after="120"/>
        <w:rPr>
          <w:rFonts w:ascii="Times New Roman" w:hAnsi="Times New Roman" w:cs="Times New Roman"/>
          <w:b w:val="0"/>
          <w:color w:val="000000"/>
          <w:sz w:val="24"/>
          <w:szCs w:val="24"/>
          <w:highlight w:val="none"/>
        </w:rPr>
      </w:pPr>
      <w:r>
        <w:rPr>
          <w:rFonts w:ascii="Times New Roman" w:hAnsi="Times New Roman" w:cs="Times New Roman"/>
          <w:color w:val="000000"/>
          <w:sz w:val="24"/>
          <w:szCs w:val="24"/>
          <w:highlight w:val="none"/>
        </w:rPr>
        <w:t xml:space="preserve">8</w:t>
      </w:r>
      <w:r>
        <w:rPr>
          <w:rFonts w:ascii="Times New Roman" w:hAnsi="Times New Roman"/>
          <w:color w:val="000000"/>
          <w:sz w:val="24"/>
          <w:szCs w:val="24"/>
          <w:highlight w:val="none"/>
        </w:rPr>
        <w:t xml:space="preserve">.1</w:t>
      </w:r>
      <w:r>
        <w:rPr>
          <w:rFonts w:ascii="Times New Roman" w:hAnsi="Times New Roman" w:cs="Times New Roman"/>
          <w:color w:val="000000"/>
          <w:sz w:val="24"/>
          <w:szCs w:val="24"/>
          <w:highlight w:val="none"/>
        </w:rPr>
        <w:t xml:space="preserve"> </w:t>
      </w:r>
      <w:r>
        <w:rPr>
          <w:rFonts w:hint="eastAsia"/>
          <w:color w:val="000000"/>
          <w:sz w:val="24"/>
          <w:szCs w:val="24"/>
          <w:highlight w:val="none"/>
        </w:rPr>
        <w:t xml:space="preserve">本项目费用支付按分项执行。物业管理和后勤服务项目，服务期内甲方每季度组织考核并根据考核结果支付当季度费用；水土保持观测场、水文水情教育场馆及灾备机房3个分项，服务期内甲方每季度开展1次分项验收，验收合格后支付当季度合同款，合同到期办理交接手续，经完工验收合格后十五天内支付剩余款项。</w:t>
      </w:r>
      <w:r>
        <w:rPr>
          <w:rFonts w:ascii="Times New Roman" w:hAnsi="Times New Roman" w:cs="Times New Roman"/>
          <w:b w:val="0"/>
          <w:color w:val="000000"/>
          <w:sz w:val="24"/>
          <w:szCs w:val="24"/>
          <w:highlight w:val="none"/>
        </w:rPr>
      </w:r>
      <w:r/>
    </w:p>
    <w:p>
      <w:pPr>
        <w:pStyle w:val="898"/>
        <w:spacing w:before="156" w:after="156"/>
        <w:rPr>
          <w:rFonts w:ascii="Times New Roman" w:hAnsi="Times New Roman" w:eastAsia="仿宋_GB2312"/>
          <w:b/>
          <w:color w:val="000000"/>
          <w:sz w:val="24"/>
          <w:szCs w:val="24"/>
          <w:highlight w:val="none"/>
        </w:rPr>
      </w:pPr>
      <w:r>
        <w:rPr>
          <w:rFonts w:ascii="Times New Roman" w:hAnsi="Times New Roman"/>
          <w:b/>
          <w:color w:val="000000"/>
          <w:sz w:val="24"/>
          <w:szCs w:val="24"/>
          <w:highlight w:val="none"/>
        </w:rPr>
        <w:t xml:space="preserve">九、税费</w:t>
      </w:r>
      <w:r>
        <w:rPr>
          <w:rFonts w:ascii="Times New Roman" w:hAnsi="Times New Roman" w:eastAsia="仿宋_GB2312"/>
          <w:b/>
          <w:color w:val="000000"/>
          <w:sz w:val="24"/>
          <w:szCs w:val="24"/>
          <w:highlight w:val="none"/>
        </w:rPr>
      </w:r>
      <w:r/>
    </w:p>
    <w:p>
      <w:pPr>
        <w:pStyle w:val="898"/>
        <w:spacing w:before="156" w:after="156"/>
        <w:rPr>
          <w:rFonts w:ascii="Times New Roman" w:hAnsi="Times New Roman" w:eastAsia="仿宋_GB2312"/>
          <w:color w:val="000000"/>
          <w:sz w:val="24"/>
          <w:szCs w:val="24"/>
          <w:highlight w:val="none"/>
        </w:rPr>
      </w:pPr>
      <w:r>
        <w:rPr>
          <w:rFonts w:ascii="Times New Roman" w:hAnsi="Times New Roman"/>
          <w:color w:val="000000"/>
          <w:sz w:val="24"/>
          <w:szCs w:val="24"/>
          <w:highlight w:val="none"/>
        </w:rPr>
        <w:t xml:space="preserve">9</w:t>
      </w: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本合同执行中相关的一切税费均由乙方负担。</w:t>
      </w:r>
      <w:r>
        <w:rPr>
          <w:rFonts w:ascii="Times New Roman" w:hAnsi="Times New Roman" w:eastAsia="仿宋_GB2312"/>
          <w:color w:val="000000"/>
          <w:sz w:val="24"/>
          <w:szCs w:val="24"/>
          <w:highlight w:val="none"/>
        </w:rPr>
      </w:r>
      <w:r/>
    </w:p>
    <w:p>
      <w:pPr>
        <w:pStyle w:val="898"/>
        <w:spacing w:before="120" w:after="120"/>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十、</w:t>
      </w:r>
      <w:r>
        <w:rPr>
          <w:rFonts w:ascii="Times New Roman" w:hAnsi="Times New Roman" w:cs="Times New Roman"/>
          <w:b/>
          <w:color w:val="000000"/>
          <w:sz w:val="24"/>
          <w:szCs w:val="24"/>
          <w:highlight w:val="none"/>
        </w:rPr>
        <w:t xml:space="preserve">项目</w:t>
      </w:r>
      <w:r>
        <w:rPr>
          <w:rFonts w:ascii="Times New Roman" w:hAnsi="Times New Roman" w:cs="Times New Roman"/>
          <w:b/>
          <w:color w:val="000000"/>
          <w:sz w:val="24"/>
          <w:szCs w:val="24"/>
          <w:highlight w:val="none"/>
        </w:rPr>
        <w:t xml:space="preserve">验收</w:t>
      </w:r>
      <w:r>
        <w:rPr>
          <w:rFonts w:ascii="Times New Roman" w:hAnsi="Times New Roman" w:cs="Times New Roman"/>
          <w:b/>
          <w:color w:val="000000"/>
          <w:sz w:val="24"/>
          <w:szCs w:val="24"/>
          <w:highlight w:val="none"/>
        </w:rPr>
      </w:r>
      <w:r/>
    </w:p>
    <w:p>
      <w:pPr>
        <w:pStyle w:val="898"/>
        <w:ind w:left="480" w:hanging="480"/>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10.</w:t>
      </w:r>
      <w:r>
        <w:rPr>
          <w:rFonts w:ascii="Times New Roman" w:hAnsi="Times New Roman" w:cs="Times New Roman"/>
          <w:color w:val="000000"/>
          <w:sz w:val="24"/>
          <w:szCs w:val="24"/>
          <w:highlight w:val="none"/>
        </w:rPr>
        <w:t xml:space="preserve">1 </w:t>
      </w:r>
      <w:r>
        <w:rPr>
          <w:rFonts w:ascii="Times New Roman" w:hAnsi="Times New Roman" w:cs="Times New Roman"/>
          <w:color w:val="000000"/>
          <w:sz w:val="24"/>
          <w:szCs w:val="24"/>
          <w:highlight w:val="none"/>
        </w:rPr>
        <w:t xml:space="preserve">甲方依法组织履约验收工作。本项目中物业管理和后勤服务分项，服务期内每季度进行考核，水土保持观测场、水文水情教育场馆和灾备机房等3个分项，服务期内每季度开展1次分项验收。</w:t>
      </w:r>
      <w:r>
        <w:rPr>
          <w:rFonts w:ascii="Times New Roman" w:hAnsi="Times New Roman" w:cs="Times New Roman"/>
          <w:color w:val="000000"/>
          <w:sz w:val="24"/>
          <w:szCs w:val="24"/>
          <w:highlight w:val="none"/>
        </w:rPr>
      </w:r>
      <w:r/>
    </w:p>
    <w:p>
      <w:pPr>
        <w:pStyle w:val="898"/>
        <w:ind w:left="480" w:hanging="480"/>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10.2</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cs="Times New Roman"/>
          <w:color w:val="000000"/>
          <w:sz w:val="24"/>
          <w:szCs w:val="24"/>
          <w:highlight w:val="none"/>
        </w:rPr>
      </w:r>
      <w:r/>
    </w:p>
    <w:p>
      <w:pPr>
        <w:pStyle w:val="898"/>
        <w:ind w:left="480" w:hanging="480"/>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10.3</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rPr>
        <w:t xml:space="preserve">对于实际使用人和甲方分离的项目，甲方邀请实际使用人参与验收。</w:t>
      </w:r>
      <w:r>
        <w:rPr>
          <w:rFonts w:ascii="Times New Roman" w:hAnsi="Times New Roman" w:cs="Times New Roman"/>
          <w:color w:val="000000"/>
          <w:sz w:val="24"/>
          <w:szCs w:val="24"/>
          <w:highlight w:val="none"/>
        </w:rPr>
      </w:r>
      <w:r/>
    </w:p>
    <w:p>
      <w:pPr>
        <w:pStyle w:val="898"/>
        <w:ind w:left="480" w:hanging="480"/>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10.4</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rPr>
        <w:t xml:space="preserve">如有必要，甲方邀请参加本项目的其他供应商或第三方专业机构及专家参与验收，相关意见将作为验收书的参考资料。</w:t>
      </w:r>
      <w:r>
        <w:rPr>
          <w:rFonts w:ascii="Times New Roman" w:hAnsi="Times New Roman" w:cs="Times New Roman"/>
          <w:color w:val="000000"/>
          <w:sz w:val="24"/>
          <w:szCs w:val="24"/>
          <w:highlight w:val="none"/>
        </w:rPr>
      </w:r>
      <w:r/>
    </w:p>
    <w:p>
      <w:pPr>
        <w:pStyle w:val="898"/>
        <w:ind w:left="480" w:hanging="480"/>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10.5</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cs="Times New Roman"/>
          <w:color w:val="000000"/>
          <w:sz w:val="24"/>
          <w:szCs w:val="24"/>
          <w:highlight w:val="none"/>
        </w:rPr>
      </w:r>
      <w:r/>
    </w:p>
    <w:p>
      <w:pPr>
        <w:pStyle w:val="898"/>
        <w:ind w:left="480" w:hanging="480"/>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Times New Roman" w:hAnsi="Times New Roman" w:cs="Times New Roman"/>
          <w:color w:val="000000"/>
          <w:sz w:val="24"/>
          <w:szCs w:val="24"/>
          <w:highlight w:val="none"/>
        </w:rPr>
      </w:r>
      <w:r/>
    </w:p>
    <w:p>
      <w:pPr>
        <w:pStyle w:val="898"/>
        <w:spacing w:before="120" w:after="120"/>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十</w:t>
      </w:r>
      <w:r>
        <w:rPr>
          <w:rFonts w:ascii="Times New Roman" w:hAnsi="Times New Roman" w:cs="Times New Roman"/>
          <w:b/>
          <w:color w:val="000000"/>
          <w:sz w:val="24"/>
          <w:szCs w:val="24"/>
          <w:highlight w:val="none"/>
        </w:rPr>
        <w:t xml:space="preserve">一</w:t>
      </w:r>
      <w:r>
        <w:rPr>
          <w:rFonts w:ascii="Times New Roman" w:hAnsi="Times New Roman" w:cs="Times New Roman"/>
          <w:b/>
          <w:color w:val="000000"/>
          <w:sz w:val="24"/>
          <w:szCs w:val="24"/>
          <w:highlight w:val="none"/>
        </w:rPr>
        <w:t xml:space="preserve">、违约责任</w:t>
      </w:r>
      <w:r>
        <w:rPr>
          <w:rFonts w:ascii="Times New Roman" w:hAnsi="Times New Roman" w:cs="Times New Roman"/>
          <w:b/>
          <w:color w:val="000000"/>
          <w:sz w:val="24"/>
          <w:szCs w:val="24"/>
          <w:highlight w:val="none"/>
        </w:rPr>
      </w:r>
      <w:r/>
    </w:p>
    <w:p>
      <w:pPr>
        <w:pStyle w:val="898"/>
        <w:ind w:left="410" w:hanging="410"/>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t xml:space="preserve">.1甲方无正当理由</w:t>
      </w:r>
      <w:r>
        <w:rPr>
          <w:rFonts w:ascii="Times New Roman" w:hAnsi="Times New Roman" w:cs="Times New Roman"/>
          <w:color w:val="000000"/>
          <w:sz w:val="24"/>
          <w:szCs w:val="24"/>
          <w:highlight w:val="none"/>
        </w:rPr>
        <w:t xml:space="preserve">拒绝接受乙方提供的合同标的</w:t>
      </w:r>
      <w:r>
        <w:rPr>
          <w:rFonts w:ascii="Times New Roman" w:hAnsi="Times New Roman" w:cs="Times New Roman"/>
          <w:color w:val="000000"/>
          <w:sz w:val="24"/>
          <w:szCs w:val="24"/>
          <w:highlight w:val="none"/>
        </w:rPr>
        <w:t xml:space="preserve">的，甲方向乙方偿付</w:t>
      </w:r>
      <w:r>
        <w:rPr>
          <w:rFonts w:ascii="Times New Roman" w:hAnsi="Times New Roman" w:cs="Times New Roman"/>
          <w:color w:val="000000"/>
          <w:sz w:val="24"/>
          <w:szCs w:val="24"/>
          <w:highlight w:val="none"/>
        </w:rPr>
        <w:t xml:space="preserve">拒绝接受合同价款</w:t>
      </w:r>
      <w:r>
        <w:rPr>
          <w:rFonts w:ascii="Times New Roman" w:hAnsi="Times New Roman" w:cs="Times New Roman"/>
          <w:color w:val="000000"/>
          <w:sz w:val="24"/>
          <w:szCs w:val="24"/>
          <w:highlight w:val="none"/>
        </w:rPr>
        <w:t xml:space="preserve">总值</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的违约金。</w:t>
      </w:r>
      <w:r>
        <w:rPr>
          <w:rFonts w:ascii="Times New Roman" w:hAnsi="Times New Roman" w:cs="Times New Roman"/>
          <w:color w:val="000000"/>
          <w:sz w:val="24"/>
          <w:szCs w:val="24"/>
          <w:highlight w:val="none"/>
        </w:rPr>
      </w:r>
      <w:r/>
    </w:p>
    <w:p>
      <w:pPr>
        <w:pStyle w:val="898"/>
        <w:ind w:left="410" w:hanging="410"/>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t xml:space="preserve">.2 甲方无故逾期验收和办理</w:t>
      </w:r>
      <w:r>
        <w:rPr>
          <w:rFonts w:ascii="Times New Roman" w:hAnsi="Times New Roman" w:cs="Times New Roman"/>
          <w:color w:val="000000"/>
          <w:sz w:val="24"/>
          <w:szCs w:val="24"/>
          <w:highlight w:val="none"/>
        </w:rPr>
        <w:t xml:space="preserve">合同款项</w:t>
      </w:r>
      <w:r>
        <w:rPr>
          <w:rFonts w:ascii="Times New Roman" w:hAnsi="Times New Roman" w:cs="Times New Roman"/>
          <w:color w:val="000000"/>
          <w:sz w:val="24"/>
          <w:szCs w:val="24"/>
          <w:highlight w:val="none"/>
        </w:rPr>
        <w:t xml:space="preserve">支付手续的,甲方应按逾期付款总额</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每日向乙方支付违约金。</w:t>
      </w:r>
      <w:r>
        <w:rPr>
          <w:rFonts w:ascii="Times New Roman" w:hAnsi="Times New Roman" w:cs="Times New Roman"/>
          <w:color w:val="000000"/>
          <w:sz w:val="24"/>
          <w:szCs w:val="24"/>
          <w:highlight w:val="none"/>
        </w:rPr>
      </w:r>
      <w:r/>
    </w:p>
    <w:p>
      <w:pPr>
        <w:pStyle w:val="898"/>
        <w:ind w:left="410" w:hanging="410"/>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t xml:space="preserve">.3 乙方逾期</w:t>
      </w:r>
      <w:r>
        <w:rPr>
          <w:rFonts w:ascii="Times New Roman" w:hAnsi="Times New Roman" w:cs="Times New Roman"/>
          <w:color w:val="000000"/>
          <w:sz w:val="24"/>
          <w:szCs w:val="24"/>
          <w:highlight w:val="none"/>
        </w:rPr>
        <w:t xml:space="preserve">交付合同标的</w:t>
      </w:r>
      <w:r>
        <w:rPr>
          <w:rFonts w:ascii="Times New Roman" w:hAnsi="Times New Roman" w:cs="Times New Roman"/>
          <w:color w:val="000000"/>
          <w:sz w:val="24"/>
          <w:szCs w:val="24"/>
          <w:highlight w:val="none"/>
        </w:rPr>
        <w:t xml:space="preserve">的，乙方应按逾期</w:t>
      </w:r>
      <w:r>
        <w:rPr>
          <w:rFonts w:ascii="Times New Roman" w:hAnsi="Times New Roman" w:cs="Times New Roman"/>
          <w:color w:val="000000"/>
          <w:sz w:val="24"/>
          <w:szCs w:val="24"/>
          <w:highlight w:val="none"/>
        </w:rPr>
        <w:t xml:space="preserve">交付合同</w:t>
      </w:r>
      <w:r>
        <w:rPr>
          <w:rFonts w:ascii="Times New Roman" w:hAnsi="Times New Roman" w:cs="Times New Roman"/>
          <w:color w:val="000000"/>
          <w:sz w:val="24"/>
          <w:szCs w:val="24"/>
          <w:highlight w:val="none"/>
        </w:rPr>
        <w:t xml:space="preserve">总额每日千分之六向甲方支付违约金，由甲方从待付</w:t>
      </w:r>
      <w:r>
        <w:rPr>
          <w:rFonts w:ascii="Times New Roman" w:hAnsi="Times New Roman" w:cs="Times New Roman"/>
          <w:color w:val="000000"/>
          <w:sz w:val="24"/>
          <w:szCs w:val="24"/>
          <w:highlight w:val="none"/>
        </w:rPr>
        <w:t xml:space="preserve">合同款项</w:t>
      </w:r>
      <w:r>
        <w:rPr>
          <w:rFonts w:ascii="Times New Roman" w:hAnsi="Times New Roman" w:cs="Times New Roman"/>
          <w:color w:val="000000"/>
          <w:sz w:val="24"/>
          <w:szCs w:val="24"/>
          <w:highlight w:val="none"/>
        </w:rPr>
        <w:t xml:space="preserve">中扣除。逾期超过约定日期10个工作日不能</w:t>
      </w:r>
      <w:r>
        <w:rPr>
          <w:rFonts w:ascii="Times New Roman" w:hAnsi="Times New Roman" w:cs="Times New Roman"/>
          <w:color w:val="000000"/>
          <w:sz w:val="24"/>
          <w:szCs w:val="24"/>
          <w:highlight w:val="none"/>
        </w:rPr>
        <w:t xml:space="preserve">交付合同标的</w:t>
      </w:r>
      <w:r>
        <w:rPr>
          <w:rFonts w:ascii="Times New Roman" w:hAnsi="Times New Roman" w:cs="Times New Roman"/>
          <w:color w:val="000000"/>
          <w:sz w:val="24"/>
          <w:szCs w:val="24"/>
          <w:highlight w:val="none"/>
        </w:rPr>
        <w:t xml:space="preserve">的，甲方可解除本合同。乙方因逾期</w:t>
      </w:r>
      <w:r>
        <w:rPr>
          <w:rFonts w:ascii="Times New Roman" w:hAnsi="Times New Roman" w:cs="Times New Roman"/>
          <w:color w:val="000000"/>
          <w:sz w:val="24"/>
          <w:szCs w:val="24"/>
          <w:highlight w:val="none"/>
        </w:rPr>
        <w:t xml:space="preserve">交付合同标的</w:t>
      </w:r>
      <w:r>
        <w:rPr>
          <w:rFonts w:ascii="Times New Roman" w:hAnsi="Times New Roman" w:cs="Times New Roman"/>
          <w:color w:val="000000"/>
          <w:sz w:val="24"/>
          <w:szCs w:val="24"/>
          <w:highlight w:val="none"/>
        </w:rPr>
        <w:t xml:space="preserve">或因其他违约行为导致甲方解除合同的，乙方应向甲方支付合同</w:t>
      </w:r>
      <w:r>
        <w:rPr>
          <w:rFonts w:ascii="Times New Roman" w:hAnsi="Times New Roman" w:cs="Times New Roman"/>
          <w:color w:val="000000"/>
          <w:sz w:val="24"/>
          <w:szCs w:val="24"/>
          <w:highlight w:val="none"/>
        </w:rPr>
        <w:t xml:space="preserve">价款总额</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的违约金，如造成甲方损失超过违约金的，超出部分由乙方继续承担赔偿责任。 </w:t>
      </w:r>
      <w:r>
        <w:rPr>
          <w:rFonts w:ascii="Times New Roman" w:hAnsi="Times New Roman" w:cs="Times New Roman"/>
          <w:color w:val="000000"/>
          <w:sz w:val="24"/>
          <w:szCs w:val="24"/>
          <w:highlight w:val="none"/>
        </w:rPr>
      </w:r>
      <w:r/>
    </w:p>
    <w:p>
      <w:pPr>
        <w:pStyle w:val="898"/>
        <w:ind w:left="410" w:hanging="410"/>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t xml:space="preserve">.4 乙方</w:t>
      </w:r>
      <w:r>
        <w:rPr>
          <w:rFonts w:ascii="Times New Roman" w:hAnsi="Times New Roman" w:cs="Times New Roman"/>
          <w:color w:val="000000"/>
          <w:sz w:val="24"/>
          <w:szCs w:val="24"/>
          <w:highlight w:val="none"/>
        </w:rPr>
        <w:t xml:space="preserve">交付合同标的的标准</w:t>
      </w:r>
      <w:r>
        <w:rPr>
          <w:rFonts w:ascii="Times New Roman" w:hAnsi="Times New Roman" w:cs="Times New Roman"/>
          <w:color w:val="000000"/>
          <w:sz w:val="24"/>
          <w:szCs w:val="24"/>
          <w:highlight w:val="none"/>
        </w:rPr>
        <w:t xml:space="preserve">不符合合同规定及</w:t>
      </w:r>
      <w:r>
        <w:rPr>
          <w:rFonts w:ascii="Times New Roman" w:hAnsi="Times New Roman" w:cs="Times New Roman"/>
          <w:color w:val="000000"/>
          <w:sz w:val="24"/>
          <w:szCs w:val="24"/>
          <w:highlight w:val="none"/>
        </w:rPr>
        <w:t xml:space="preserve">磋商</w:t>
      </w:r>
      <w:r>
        <w:rPr>
          <w:rFonts w:ascii="Times New Roman" w:hAnsi="Times New Roman" w:cs="Times New Roman"/>
          <w:color w:val="000000"/>
          <w:sz w:val="24"/>
          <w:szCs w:val="24"/>
          <w:highlight w:val="none"/>
        </w:rPr>
        <w:t xml:space="preserve">文件规定标准的，甲方有权</w:t>
      </w:r>
      <w:r>
        <w:rPr>
          <w:rFonts w:ascii="Times New Roman" w:hAnsi="Times New Roman" w:cs="Times New Roman"/>
          <w:color w:val="000000"/>
          <w:sz w:val="24"/>
          <w:szCs w:val="24"/>
          <w:highlight w:val="none"/>
        </w:rPr>
        <w:t xml:space="preserve">拒绝接受合同标的</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t xml:space="preserve">并</w:t>
      </w:r>
      <w:r>
        <w:rPr>
          <w:rFonts w:ascii="Times New Roman" w:hAnsi="Times New Roman" w:cs="Times New Roman"/>
          <w:color w:val="000000"/>
          <w:sz w:val="24"/>
          <w:szCs w:val="24"/>
          <w:highlight w:val="none"/>
        </w:rPr>
        <w:t xml:space="preserve">可单方面解除合同。</w:t>
      </w:r>
      <w:r>
        <w:rPr>
          <w:rFonts w:ascii="Times New Roman" w:hAnsi="Times New Roman" w:cs="Times New Roman"/>
          <w:color w:val="000000"/>
          <w:sz w:val="24"/>
          <w:szCs w:val="24"/>
          <w:highlight w:val="none"/>
        </w:rPr>
      </w:r>
      <w:r/>
    </w:p>
    <w:p>
      <w:pPr>
        <w:pStyle w:val="898"/>
        <w:spacing w:before="120" w:after="120"/>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十</w:t>
      </w:r>
      <w:r>
        <w:rPr>
          <w:rFonts w:ascii="Times New Roman" w:hAnsi="Times New Roman" w:cs="Times New Roman"/>
          <w:b/>
          <w:color w:val="000000"/>
          <w:sz w:val="24"/>
          <w:szCs w:val="24"/>
          <w:highlight w:val="none"/>
        </w:rPr>
        <w:t xml:space="preserve">二</w:t>
      </w:r>
      <w:r>
        <w:rPr>
          <w:rFonts w:ascii="Times New Roman" w:hAnsi="Times New Roman" w:cs="Times New Roman"/>
          <w:b/>
          <w:color w:val="000000"/>
          <w:sz w:val="24"/>
          <w:szCs w:val="24"/>
          <w:highlight w:val="none"/>
        </w:rPr>
        <w:t xml:space="preserve">、不可抗力事件处理</w:t>
      </w:r>
      <w:r>
        <w:rPr>
          <w:rFonts w:ascii="Times New Roman" w:hAnsi="Times New Roman" w:cs="Times New Roman"/>
          <w:b/>
          <w:color w:val="000000"/>
          <w:sz w:val="24"/>
          <w:szCs w:val="24"/>
          <w:highlight w:val="none"/>
        </w:rPr>
      </w:r>
      <w:r/>
    </w:p>
    <w:p>
      <w:pPr>
        <w:pStyle w:val="898"/>
        <w:ind w:left="480" w:hanging="480"/>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t xml:space="preserve">.1 在合同有效期内，任何一方因不可抗力事件导致不能履行合同，则合同履行期可延长，其延长期与不可抗力影响</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rPr>
        <w:t xml:space="preserve">期相同。</w:t>
      </w:r>
      <w:r>
        <w:rPr>
          <w:rFonts w:ascii="Times New Roman" w:hAnsi="Times New Roman" w:cs="Times New Roman"/>
          <w:color w:val="000000"/>
          <w:sz w:val="24"/>
          <w:szCs w:val="24"/>
          <w:highlight w:val="none"/>
        </w:rPr>
      </w:r>
      <w:r/>
    </w:p>
    <w:p>
      <w:pPr>
        <w:pStyle w:val="898"/>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t xml:space="preserve">.2 不可抗力事件发生后，应立即通知对方，并寄送有关权威机构出具的证明。</w:t>
      </w:r>
      <w:r>
        <w:rPr>
          <w:rFonts w:ascii="Times New Roman" w:hAnsi="Times New Roman" w:cs="Times New Roman"/>
          <w:color w:val="000000"/>
          <w:sz w:val="24"/>
          <w:szCs w:val="24"/>
          <w:highlight w:val="none"/>
        </w:rPr>
      </w:r>
      <w:r/>
    </w:p>
    <w:p>
      <w:pPr>
        <w:pStyle w:val="898"/>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t xml:space="preserve">.3 不可抗力事件延续120天以上，双方应通过友好协商，确定是否继续履行合同。</w:t>
      </w:r>
      <w:r>
        <w:rPr>
          <w:rFonts w:ascii="Times New Roman" w:hAnsi="Times New Roman" w:cs="Times New Roman"/>
          <w:color w:val="000000"/>
          <w:sz w:val="24"/>
          <w:szCs w:val="24"/>
          <w:highlight w:val="none"/>
        </w:rPr>
      </w:r>
      <w:r/>
    </w:p>
    <w:p>
      <w:pPr>
        <w:pStyle w:val="898"/>
        <w:spacing w:before="120" w:after="120"/>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十</w:t>
      </w:r>
      <w:r>
        <w:rPr>
          <w:rFonts w:ascii="Times New Roman" w:hAnsi="Times New Roman" w:cs="Times New Roman"/>
          <w:b/>
          <w:color w:val="000000"/>
          <w:sz w:val="24"/>
          <w:szCs w:val="24"/>
          <w:highlight w:val="none"/>
        </w:rPr>
        <w:t xml:space="preserve">三</w:t>
      </w:r>
      <w:r>
        <w:rPr>
          <w:rFonts w:ascii="Times New Roman" w:hAnsi="Times New Roman" w:cs="Times New Roman"/>
          <w:b/>
          <w:color w:val="000000"/>
          <w:sz w:val="24"/>
          <w:szCs w:val="24"/>
          <w:highlight w:val="none"/>
        </w:rPr>
        <w:t xml:space="preserve">、</w:t>
      </w:r>
      <w:r>
        <w:rPr>
          <w:rFonts w:ascii="Times New Roman" w:hAnsi="Times New Roman" w:cs="Times New Roman"/>
          <w:b/>
          <w:color w:val="000000"/>
          <w:sz w:val="24"/>
          <w:szCs w:val="24"/>
          <w:highlight w:val="none"/>
        </w:rPr>
        <w:t xml:space="preserve">解决争议的方法</w:t>
      </w:r>
      <w:r>
        <w:rPr>
          <w:rFonts w:ascii="Times New Roman" w:hAnsi="Times New Roman" w:cs="Times New Roman"/>
          <w:b/>
          <w:color w:val="000000"/>
          <w:sz w:val="24"/>
          <w:szCs w:val="24"/>
          <w:highlight w:val="none"/>
        </w:rPr>
      </w:r>
      <w:r/>
    </w:p>
    <w:p>
      <w:pPr>
        <w:pStyle w:val="898"/>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13.1</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rPr>
        <w:t xml:space="preserve">双方在签订、履行合同中所发生的一切争议，应通过友好协商解决。如协商不成，由甲方住所地人民法院管辖。</w:t>
      </w:r>
      <w:r>
        <w:rPr>
          <w:rFonts w:ascii="Times New Roman" w:hAnsi="Times New Roman" w:cs="Times New Roman"/>
          <w:color w:val="000000"/>
          <w:sz w:val="24"/>
          <w:szCs w:val="24"/>
          <w:highlight w:val="none"/>
        </w:rPr>
      </w:r>
      <w:r/>
    </w:p>
    <w:p>
      <w:pPr>
        <w:pStyle w:val="898"/>
        <w:spacing w:before="120" w:after="120"/>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十</w:t>
      </w:r>
      <w:r>
        <w:rPr>
          <w:rFonts w:ascii="Times New Roman" w:hAnsi="Times New Roman" w:cs="Times New Roman"/>
          <w:b/>
          <w:color w:val="000000"/>
          <w:sz w:val="24"/>
          <w:szCs w:val="24"/>
          <w:highlight w:val="none"/>
        </w:rPr>
        <w:t xml:space="preserve">四</w:t>
      </w:r>
      <w:r>
        <w:rPr>
          <w:rFonts w:ascii="Times New Roman" w:hAnsi="Times New Roman" w:cs="Times New Roman"/>
          <w:b/>
          <w:color w:val="000000"/>
          <w:sz w:val="24"/>
          <w:szCs w:val="24"/>
          <w:highlight w:val="none"/>
        </w:rPr>
        <w:t xml:space="preserve">、合同生效及其它</w:t>
      </w:r>
      <w:r>
        <w:rPr>
          <w:rFonts w:ascii="Times New Roman" w:hAnsi="Times New Roman" w:cs="Times New Roman"/>
          <w:b/>
          <w:color w:val="000000"/>
          <w:sz w:val="24"/>
          <w:szCs w:val="24"/>
          <w:highlight w:val="none"/>
        </w:rPr>
      </w:r>
      <w:r/>
    </w:p>
    <w:p>
      <w:pPr>
        <w:pStyle w:val="898"/>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13.1 合同经双方法定代表人或授权委托代</w:t>
      </w:r>
      <w:r>
        <w:rPr>
          <w:rFonts w:ascii="Times New Roman" w:hAnsi="Times New Roman" w:cs="Times New Roman"/>
          <w:color w:val="000000"/>
          <w:sz w:val="24"/>
          <w:szCs w:val="24"/>
          <w:highlight w:val="none"/>
        </w:rPr>
        <w:t xml:space="preserve">表</w:t>
      </w:r>
      <w:r>
        <w:rPr>
          <w:rFonts w:ascii="Times New Roman" w:hAnsi="Times New Roman" w:cs="Times New Roman"/>
          <w:color w:val="000000"/>
          <w:sz w:val="24"/>
          <w:szCs w:val="24"/>
          <w:highlight w:val="none"/>
        </w:rPr>
        <w:t xml:space="preserve">人签字并加盖单位公章后生效。</w:t>
      </w:r>
      <w:r>
        <w:rPr>
          <w:rFonts w:ascii="Times New Roman" w:hAnsi="Times New Roman" w:cs="Times New Roman"/>
          <w:color w:val="000000"/>
          <w:sz w:val="24"/>
          <w:szCs w:val="24"/>
          <w:highlight w:val="none"/>
        </w:rPr>
      </w:r>
      <w:r/>
    </w:p>
    <w:p>
      <w:pPr>
        <w:pStyle w:val="898"/>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13.2 本合同未尽事宜，遵照</w:t>
      </w:r>
      <w:r>
        <w:rPr>
          <w:rFonts w:hAnsi="Times New Roman"/>
          <w:color w:val="000000"/>
          <w:sz w:val="24"/>
          <w:szCs w:val="24"/>
          <w:highlight w:val="none"/>
        </w:rPr>
        <w:t xml:space="preserve">中华人民共和国现行法律法规</w:t>
      </w:r>
      <w:r>
        <w:rPr>
          <w:rFonts w:ascii="Times New Roman" w:hAnsi="Times New Roman" w:cs="Times New Roman"/>
          <w:color w:val="000000"/>
          <w:sz w:val="24"/>
          <w:szCs w:val="24"/>
          <w:highlight w:val="none"/>
        </w:rPr>
        <w:t xml:space="preserve">有关条文执行。</w:t>
      </w:r>
      <w:r>
        <w:rPr>
          <w:rFonts w:ascii="Times New Roman" w:hAnsi="Times New Roman" w:cs="Times New Roman"/>
          <w:color w:val="000000"/>
          <w:sz w:val="24"/>
          <w:szCs w:val="24"/>
          <w:highlight w:val="none"/>
        </w:rPr>
      </w:r>
      <w:r/>
    </w:p>
    <w:p>
      <w:pPr>
        <w:pStyle w:val="898"/>
        <w:ind w:left="480" w:hanging="480"/>
        <w:spacing w:before="120" w:after="12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13.</w:t>
      </w: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rPr>
        <w:t xml:space="preserve"> 本合同正本一式</w:t>
      </w:r>
      <w:r>
        <w:rPr>
          <w:rFonts w:ascii="Times New Roman" w:hAnsi="Times New Roman" w:cs="Times New Roman"/>
          <w:color w:val="000000"/>
          <w:sz w:val="24"/>
          <w:szCs w:val="24"/>
          <w:highlight w:val="none"/>
        </w:rPr>
        <w:t xml:space="preserve">三</w:t>
      </w:r>
      <w:r>
        <w:rPr>
          <w:rFonts w:ascii="Times New Roman" w:hAnsi="Times New Roman" w:cs="Times New Roman"/>
          <w:color w:val="000000"/>
          <w:sz w:val="24"/>
          <w:szCs w:val="24"/>
          <w:highlight w:val="none"/>
        </w:rPr>
        <w:t xml:space="preserve">份，具有同等法律效力，甲</w:t>
      </w:r>
      <w:r>
        <w:rPr>
          <w:rFonts w:ascii="Times New Roman" w:hAnsi="Times New Roman" w:cs="Times New Roman"/>
          <w:color w:val="000000"/>
          <w:sz w:val="24"/>
          <w:szCs w:val="24"/>
          <w:highlight w:val="none"/>
        </w:rPr>
        <w:t xml:space="preserve">方、</w:t>
      </w:r>
      <w:r>
        <w:rPr>
          <w:rFonts w:ascii="Times New Roman" w:hAnsi="Times New Roman" w:cs="Times New Roman"/>
          <w:color w:val="000000"/>
          <w:sz w:val="24"/>
          <w:szCs w:val="24"/>
          <w:highlight w:val="none"/>
        </w:rPr>
        <w:t xml:space="preserve">乙方</w:t>
      </w:r>
      <w:r>
        <w:rPr>
          <w:rFonts w:ascii="Times New Roman" w:hAnsi="Times New Roman" w:cs="Times New Roman"/>
          <w:color w:val="000000"/>
          <w:sz w:val="24"/>
          <w:szCs w:val="24"/>
          <w:highlight w:val="none"/>
        </w:rPr>
        <w:t xml:space="preserve">及财政监管部门</w:t>
      </w:r>
      <w:r>
        <w:rPr>
          <w:rFonts w:ascii="Times New Roman" w:hAnsi="Times New Roman" w:cs="Times New Roman"/>
          <w:color w:val="000000"/>
          <w:sz w:val="24"/>
          <w:szCs w:val="24"/>
          <w:highlight w:val="none"/>
        </w:rPr>
        <w:t xml:space="preserve">各执一份。</w:t>
      </w:r>
      <w:r>
        <w:rPr>
          <w:rFonts w:ascii="Times New Roman" w:hAnsi="Times New Roman" w:cs="Times New Roman"/>
          <w:color w:val="000000"/>
          <w:sz w:val="24"/>
          <w:szCs w:val="24"/>
          <w:highlight w:val="none"/>
        </w:rPr>
      </w:r>
      <w:r/>
    </w:p>
    <w:p>
      <w:pPr>
        <w:pStyle w:val="898"/>
        <w:ind w:left="480" w:hanging="480"/>
        <w:spacing w:before="120" w:after="120"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  甲方：                        乙方： </w:t>
      </w:r>
      <w:r>
        <w:rPr>
          <w:rFonts w:ascii="Times New Roman" w:hAnsi="Times New Roman" w:cs="Times New Roman"/>
          <w:color w:val="000000"/>
          <w:sz w:val="24"/>
          <w:szCs w:val="24"/>
          <w:highlight w:val="none"/>
        </w:rPr>
      </w:r>
      <w:r/>
    </w:p>
    <w:p>
      <w:pPr>
        <w:pStyle w:val="898"/>
        <w:spacing w:before="120" w:after="120"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  地址：                       </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rPr>
        <w:t xml:space="preserve">地址： </w:t>
      </w:r>
      <w:r>
        <w:rPr>
          <w:rFonts w:ascii="Times New Roman" w:hAnsi="Times New Roman" w:cs="Times New Roman"/>
          <w:color w:val="000000"/>
          <w:sz w:val="24"/>
          <w:szCs w:val="24"/>
          <w:highlight w:val="none"/>
        </w:rPr>
      </w:r>
      <w:r/>
    </w:p>
    <w:p>
      <w:pPr>
        <w:pStyle w:val="898"/>
        <w:spacing w:before="120" w:after="120"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  法定代表人</w:t>
      </w:r>
      <w:r>
        <w:rPr>
          <w:rFonts w:ascii="Times New Roman" w:hAnsi="Times New Roman" w:cs="Times New Roman"/>
          <w:color w:val="000000"/>
          <w:sz w:val="24"/>
          <w:szCs w:val="24"/>
          <w:highlight w:val="none"/>
        </w:rPr>
        <w:t xml:space="preserve">或授权代表</w:t>
      </w:r>
      <w:r>
        <w:rPr>
          <w:rFonts w:ascii="Times New Roman" w:hAnsi="Times New Roman" w:cs="Times New Roman"/>
          <w:color w:val="000000"/>
          <w:sz w:val="24"/>
          <w:szCs w:val="24"/>
          <w:highlight w:val="none"/>
        </w:rPr>
        <w:t xml:space="preserve">：        法定代表人</w:t>
      </w:r>
      <w:r>
        <w:rPr>
          <w:rFonts w:ascii="Times New Roman" w:hAnsi="Times New Roman" w:cs="Times New Roman"/>
          <w:color w:val="000000"/>
          <w:sz w:val="24"/>
          <w:szCs w:val="24"/>
          <w:highlight w:val="none"/>
        </w:rPr>
        <w:t xml:space="preserve">或授权代表</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898"/>
        <w:ind w:firstLine="240"/>
        <w:spacing w:before="120" w:after="120" w:line="0" w:lineRule="atLeast"/>
        <w:rPr>
          <w:rFonts w:ascii="Times New Roman" w:hAnsi="Times New Roman" w:cs="Times New Roman"/>
          <w:color w:val="000000"/>
          <w:szCs w:val="21"/>
          <w:highlight w:val="none"/>
        </w:rPr>
      </w:pPr>
      <w:r>
        <w:rPr>
          <w:rFonts w:ascii="Times New Roman" w:hAnsi="Times New Roman" w:cs="Times New Roman"/>
          <w:color w:val="000000"/>
          <w:sz w:val="24"/>
          <w:szCs w:val="24"/>
          <w:highlight w:val="none"/>
        </w:rPr>
        <w:t xml:space="preserve">联系电话：                    联系电话：          </w:t>
      </w:r>
      <w:r>
        <w:rPr>
          <w:rFonts w:ascii="Times New Roman" w:hAnsi="Times New Roman" w:cs="Times New Roman"/>
          <w:color w:val="000000"/>
          <w:szCs w:val="21"/>
          <w:highlight w:val="none"/>
        </w:rPr>
      </w:r>
      <w:r/>
    </w:p>
    <w:p>
      <w:pPr>
        <w:pStyle w:val="898"/>
        <w:ind w:firstLine="420"/>
        <w:spacing w:line="500" w:lineRule="exact"/>
        <w:rPr>
          <w:color w:val="000000"/>
          <w:szCs w:val="21"/>
          <w:highlight w:val="none"/>
        </w:rPr>
      </w:pPr>
      <w:r>
        <w:rPr>
          <w:color w:val="000000"/>
          <w:szCs w:val="21"/>
          <w:highlight w:val="none"/>
        </w:rPr>
        <w:t xml:space="preserve">                                          </w:t>
      </w:r>
      <w:r>
        <w:rPr>
          <w:color w:val="000000"/>
          <w:szCs w:val="21"/>
          <w:highlight w:val="none"/>
        </w:rPr>
      </w:r>
      <w:r/>
    </w:p>
    <w:p>
      <w:pPr>
        <w:pStyle w:val="898"/>
        <w:ind w:firstLine="420"/>
        <w:spacing w:line="500" w:lineRule="exact"/>
        <w:rPr>
          <w:color w:val="000000"/>
          <w:szCs w:val="21"/>
          <w:highlight w:val="none"/>
        </w:rPr>
      </w:pPr>
      <w:r>
        <w:rPr>
          <w:color w:val="000000"/>
          <w:szCs w:val="21"/>
          <w:highlight w:val="none"/>
        </w:rPr>
      </w:r>
      <w:r/>
    </w:p>
    <w:p>
      <w:pPr>
        <w:pStyle w:val="898"/>
        <w:ind w:firstLine="480"/>
        <w:jc w:val="right"/>
        <w:spacing w:line="500" w:lineRule="exact"/>
        <w:rPr>
          <w:color w:val="000000"/>
          <w:sz w:val="24"/>
          <w:szCs w:val="24"/>
          <w:highlight w:val="none"/>
        </w:rPr>
      </w:pPr>
      <w:r>
        <w:rPr>
          <w:color w:val="000000"/>
          <w:sz w:val="24"/>
          <w:szCs w:val="24"/>
          <w:highlight w:val="none"/>
        </w:rPr>
        <w:t xml:space="preserve">签订日期：      年  </w:t>
      </w:r>
      <w:r>
        <w:rPr>
          <w:color w:val="000000"/>
          <w:sz w:val="24"/>
          <w:szCs w:val="24"/>
          <w:highlight w:val="none"/>
        </w:rPr>
        <w:t xml:space="preserve">  </w:t>
      </w:r>
      <w:r>
        <w:rPr>
          <w:color w:val="000000"/>
          <w:sz w:val="24"/>
          <w:szCs w:val="24"/>
          <w:highlight w:val="none"/>
        </w:rPr>
        <w:t xml:space="preserve">月  </w:t>
      </w:r>
      <w:r>
        <w:rPr>
          <w:color w:val="000000"/>
          <w:sz w:val="24"/>
          <w:szCs w:val="24"/>
          <w:highlight w:val="none"/>
        </w:rPr>
        <w:t xml:space="preserve"> </w:t>
      </w:r>
      <w:r>
        <w:rPr>
          <w:color w:val="000000"/>
          <w:sz w:val="24"/>
          <w:szCs w:val="24"/>
          <w:highlight w:val="none"/>
        </w:rPr>
        <w:t xml:space="preserve">日</w:t>
      </w:r>
      <w:r>
        <w:rPr>
          <w:color w:val="000000"/>
          <w:sz w:val="24"/>
          <w:szCs w:val="24"/>
          <w:highlight w:val="none"/>
        </w:rPr>
      </w:r>
      <w:r/>
    </w:p>
    <w:p>
      <w:pPr>
        <w:pStyle w:val="899"/>
        <w:rPr>
          <w:rFonts w:ascii="Times New Roman" w:hAnsi="Times New Roman" w:eastAsia="黑体" w:cs="Times New Roman"/>
          <w:bCs w:val="0"/>
          <w:color w:val="000000"/>
          <w:sz w:val="44"/>
          <w:szCs w:val="28"/>
          <w:highlight w:val="none"/>
        </w:rPr>
      </w:pPr>
      <w:r/>
      <w:bookmarkEnd w:id="166"/>
      <w:r/>
      <w:bookmarkEnd w:id="167"/>
      <w:r/>
      <w:bookmarkEnd w:id="168"/>
      <w:r/>
      <w:bookmarkStart w:id="169" w:name="_Hlt16619350"/>
      <w:r/>
      <w:bookmarkStart w:id="170" w:name="_Toc20823346"/>
      <w:r/>
      <w:bookmarkStart w:id="171" w:name="_Toc120614244"/>
      <w:r/>
      <w:bookmarkStart w:id="172" w:name="_Toc16938590"/>
      <w:r/>
      <w:bookmarkStart w:id="173" w:name="_Toc479757211"/>
      <w:r/>
      <w:bookmarkStart w:id="174" w:name="_Toc462564139"/>
      <w:r>
        <w:rPr>
          <w:rFonts w:ascii="Times New Roman" w:hAnsi="Times New Roman" w:eastAsia="黑体" w:cs="Times New Roman"/>
          <w:bCs w:val="0"/>
          <w:color w:val="000000"/>
          <w:sz w:val="44"/>
          <w:szCs w:val="28"/>
          <w:highlight w:val="none"/>
        </w:rPr>
        <w:t xml:space="preserve">第</w:t>
      </w:r>
      <w:bookmarkEnd w:id="169"/>
      <w:r>
        <w:rPr>
          <w:rFonts w:ascii="Times New Roman" w:hAnsi="Times New Roman" w:eastAsia="黑体" w:cs="Times New Roman"/>
          <w:bCs w:val="0"/>
          <w:color w:val="000000"/>
          <w:sz w:val="44"/>
          <w:szCs w:val="28"/>
          <w:highlight w:val="none"/>
        </w:rPr>
        <w:t xml:space="preserve">四章 </w:t>
      </w:r>
      <w:r>
        <w:rPr>
          <w:rFonts w:ascii="Times New Roman"/>
          <w:color w:val="000000"/>
          <w:highlight w:val="none"/>
        </w:rPr>
        <w:t xml:space="preserve"> </w:t>
      </w:r>
      <w:r>
        <w:rPr>
          <w:rFonts w:ascii="Times New Roman" w:hAnsi="Times New Roman" w:eastAsia="黑体" w:cs="Times New Roman"/>
          <w:bCs w:val="0"/>
          <w:color w:val="000000"/>
          <w:sz w:val="44"/>
          <w:szCs w:val="28"/>
          <w:highlight w:val="none"/>
        </w:rPr>
        <w:t xml:space="preserve">采购需求</w:t>
      </w:r>
      <w:bookmarkEnd w:id="170"/>
      <w:r/>
      <w:bookmarkEnd w:id="171"/>
      <w:r/>
      <w:bookmarkEnd w:id="172"/>
      <w:r/>
      <w:bookmarkStart w:id="175" w:name="_Toc49090575"/>
      <w:r/>
      <w:bookmarkStart w:id="176" w:name="_Toc26554093"/>
      <w:r>
        <w:rPr>
          <w:rFonts w:ascii="Times New Roman" w:hAnsi="Times New Roman" w:eastAsia="黑体" w:cs="Times New Roman"/>
          <w:bCs w:val="0"/>
          <w:color w:val="000000"/>
          <w:sz w:val="44"/>
          <w:szCs w:val="28"/>
          <w:highlight w:val="none"/>
        </w:rPr>
      </w:r>
      <w:r/>
    </w:p>
    <w:p>
      <w:pPr>
        <w:pStyle w:val="900"/>
        <w:rPr>
          <w:rFonts w:ascii="Times New Roman" w:hAnsi="Times New Roman" w:cs="Times New Roman"/>
          <w:b/>
          <w:color w:val="000000"/>
          <w:highlight w:val="none"/>
        </w:rPr>
      </w:pPr>
      <w:r>
        <w:rPr>
          <w:rFonts w:ascii="Times New Roman" w:hAnsi="Times New Roman" w:cs="Times New Roman"/>
          <w:b/>
          <w:color w:val="000000"/>
          <w:highlight w:val="none"/>
        </w:rPr>
        <w:t xml:space="preserve">一</w:t>
      </w:r>
      <w:r>
        <w:rPr>
          <w:rFonts w:ascii="Times New Roman" w:hAnsi="Times New Roman" w:cs="Times New Roman"/>
          <w:b/>
          <w:color w:val="000000"/>
          <w:highlight w:val="none"/>
        </w:rPr>
        <w:t xml:space="preserve">、</w:t>
      </w:r>
      <w:r>
        <w:rPr>
          <w:rFonts w:ascii="Times New Roman" w:hAnsi="Times New Roman" w:cs="Times New Roman"/>
          <w:b/>
          <w:color w:val="000000"/>
          <w:highlight w:val="none"/>
        </w:rPr>
        <w:t xml:space="preserve">采购</w:t>
      </w:r>
      <w:r>
        <w:rPr>
          <w:rFonts w:ascii="Times New Roman" w:hAnsi="Times New Roman" w:cs="Times New Roman"/>
          <w:b/>
          <w:color w:val="000000"/>
          <w:highlight w:val="none"/>
        </w:rPr>
        <w:t xml:space="preserve">标的清单</w:t>
      </w:r>
      <w:r>
        <w:rPr>
          <w:rFonts w:ascii="Times New Roman" w:hAnsi="Times New Roman" w:cs="Times New Roman"/>
          <w:b/>
          <w:color w:val="000000"/>
          <w:highlight w:val="none"/>
        </w:rPr>
      </w:r>
      <w:r/>
    </w:p>
    <w:tbl>
      <w:tblPr>
        <w:tblW w:w="0" w:type="auto"/>
        <w:jc w:val="center"/>
        <w:tblInd w:w="-5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6"/>
        <w:gridCol w:w="813"/>
        <w:gridCol w:w="3291"/>
        <w:gridCol w:w="2862"/>
      </w:tblGrid>
      <w:tr>
        <w:trPr>
          <w:cantSplit/>
        </w:trPr>
        <w:tc>
          <w:tcPr>
            <w:tcW w:w="1446"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采购包</w:t>
            </w:r>
            <w:r>
              <w:rPr>
                <w:rFonts w:ascii="Times New Roman" w:hAnsi="Times New Roman"/>
                <w:color w:val="000000"/>
                <w:sz w:val="24"/>
                <w:szCs w:val="24"/>
                <w:highlight w:val="none"/>
              </w:rPr>
            </w:r>
            <w:r/>
          </w:p>
        </w:tc>
        <w:tc>
          <w:tcPr>
            <w:tcW w:w="813"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序号</w:t>
            </w:r>
            <w:r>
              <w:rPr>
                <w:rFonts w:ascii="Times New Roman" w:hAnsi="Times New Roman"/>
                <w:color w:val="000000"/>
                <w:sz w:val="24"/>
                <w:szCs w:val="24"/>
                <w:highlight w:val="none"/>
              </w:rPr>
            </w:r>
            <w:r/>
          </w:p>
        </w:tc>
        <w:tc>
          <w:tcPr>
            <w:tcW w:w="3291"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采购</w:t>
            </w:r>
            <w:r>
              <w:rPr>
                <w:rFonts w:ascii="Times New Roman" w:hAnsi="Times New Roman"/>
                <w:color w:val="000000"/>
                <w:sz w:val="24"/>
                <w:szCs w:val="24"/>
                <w:highlight w:val="none"/>
              </w:rPr>
              <w:t xml:space="preserve">标的</w:t>
            </w:r>
            <w:r>
              <w:rPr>
                <w:rFonts w:ascii="Times New Roman" w:hAnsi="Times New Roman"/>
                <w:color w:val="000000"/>
                <w:sz w:val="24"/>
                <w:szCs w:val="24"/>
                <w:highlight w:val="none"/>
              </w:rPr>
            </w:r>
            <w:r/>
          </w:p>
        </w:tc>
        <w:tc>
          <w:tcPr>
            <w:tcW w:w="2862"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对应中</w:t>
            </w:r>
            <w:r>
              <w:rPr>
                <w:rFonts w:ascii="Times New Roman" w:hAnsi="Times New Roman"/>
                <w:color w:val="000000"/>
                <w:sz w:val="24"/>
                <w:szCs w:val="24"/>
                <w:highlight w:val="none"/>
              </w:rPr>
              <w:t xml:space="preserve">小企业划分标准所属行业</w:t>
            </w:r>
            <w:r>
              <w:rPr>
                <w:rFonts w:ascii="Times New Roman" w:hAnsi="Times New Roman"/>
                <w:color w:val="000000"/>
                <w:sz w:val="24"/>
                <w:szCs w:val="24"/>
                <w:highlight w:val="none"/>
              </w:rPr>
            </w:r>
            <w:r/>
          </w:p>
        </w:tc>
      </w:tr>
      <w:tr>
        <w:trPr>
          <w:cantSplit/>
          <w:trHeight w:val="1093"/>
        </w:trPr>
        <w:tc>
          <w:tcPr>
            <w:tcW w:w="1446"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tc>
        <w:tc>
          <w:tcPr>
            <w:tcW w:w="813"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3291" w:type="dxa"/>
            <w:vAlign w:val="center"/>
            <w:textDirection w:val="lrTb"/>
            <w:noWrap w:val="false"/>
          </w:tcPr>
          <w:p>
            <w:pPr>
              <w:pStyle w:val="898"/>
              <w:jc w:val="left"/>
              <w:spacing w:line="0" w:lineRule="atLeast"/>
              <w:tabs>
                <w:tab w:val="left" w:pos="2020" w:leader="none"/>
              </w:tabs>
              <w:rPr>
                <w:rFonts w:ascii="Times New Roman" w:hAnsi="Times New Roman"/>
                <w:color w:val="000000"/>
                <w:sz w:val="24"/>
                <w:szCs w:val="24"/>
                <w:highlight w:val="none"/>
              </w:rPr>
            </w:pPr>
            <w:r>
              <w:rPr>
                <w:rFonts w:ascii="Times New Roman" w:hAnsi="Times New Roman" w:eastAsia="宋体" w:cs="Times New Roman"/>
                <w:color w:val="000000"/>
                <w:sz w:val="24"/>
                <w:szCs w:val="24"/>
                <w:highlight w:val="none"/>
              </w:rPr>
              <w:t xml:space="preserve">江苏水文科普园运维及物业服务采购项目</w:t>
            </w:r>
            <w:r>
              <w:rPr>
                <w:rFonts w:ascii="Times New Roman" w:hAnsi="Times New Roman"/>
                <w:color w:val="000000"/>
                <w:sz w:val="24"/>
                <w:szCs w:val="24"/>
                <w:highlight w:val="none"/>
              </w:rPr>
              <w:tab/>
            </w:r>
            <w:r>
              <w:rPr>
                <w:rFonts w:ascii="Times New Roman" w:hAnsi="Times New Roman"/>
                <w:color w:val="000000"/>
                <w:sz w:val="24"/>
                <w:szCs w:val="24"/>
                <w:highlight w:val="none"/>
              </w:rPr>
            </w:r>
            <w:r/>
          </w:p>
        </w:tc>
        <w:tc>
          <w:tcPr>
            <w:tcW w:w="2862"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物业服务管理</w:t>
            </w:r>
            <w:r>
              <w:rPr>
                <w:rFonts w:ascii="Times New Roman" w:hAnsi="Times New Roman"/>
                <w:color w:val="000000"/>
                <w:sz w:val="24"/>
                <w:szCs w:val="24"/>
                <w:highlight w:val="none"/>
              </w:rPr>
            </w:r>
            <w:r/>
          </w:p>
        </w:tc>
      </w:tr>
    </w:tbl>
    <w:p>
      <w:pPr>
        <w:pStyle w:val="900"/>
        <w:rPr>
          <w:rFonts w:ascii="Times New Roman" w:hAnsi="Times New Roman" w:cs="Times New Roman"/>
          <w:b/>
          <w:color w:val="000000"/>
          <w:highlight w:val="none"/>
        </w:rPr>
      </w:pPr>
      <w:r>
        <w:rPr>
          <w:rFonts w:ascii="Times New Roman" w:hAnsi="Times New Roman" w:cs="Times New Roman"/>
          <w:b/>
          <w:color w:val="000000"/>
          <w:highlight w:val="none"/>
        </w:rPr>
        <w:t xml:space="preserve">二、项目概况</w:t>
      </w:r>
      <w:r>
        <w:rPr>
          <w:rFonts w:ascii="Times New Roman" w:hAnsi="Times New Roman" w:cs="Times New Roman"/>
          <w:b/>
          <w:color w:val="000000"/>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江苏水文科普园位于南京市雨花台区，占地42亩。建有江苏省水文综合实验楼、江苏省水文档案馆、江苏省水文仪器实验楼、食堂和江苏省省水文综合服务楼等5个建筑，室内场馆总建筑面积11648.3平方米（详见表1），其中本项目服务面积10032.78平方米。室外教育场所包括清风园、水文综合观测场、水土保持边坡治理措施、水质生态监测区、水位流量监测区、节水教育长廊、地下水监测区等，约20000平方米，均在本项目服务范围内。</w:t>
      </w:r>
      <w:r>
        <w:rPr>
          <w:rFonts w:ascii="Times New Roman" w:hAnsi="Times New Roman" w:cs="Times New Roman"/>
          <w:color w:val="000000"/>
          <w:sz w:val="24"/>
          <w:szCs w:val="24"/>
          <w:highlight w:val="none"/>
        </w:rPr>
      </w:r>
      <w:r/>
    </w:p>
    <w:p>
      <w:pPr>
        <w:pStyle w:val="898"/>
        <w:jc w:val="center"/>
        <w:spacing w:line="0" w:lineRule="atLeas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表1 江苏水文科普园室内场馆详细面积表</w:t>
      </w:r>
      <w:r>
        <w:rPr>
          <w:rFonts w:ascii="Times New Roman" w:hAnsi="Times New Roman"/>
          <w:b/>
          <w:color w:val="000000"/>
          <w:sz w:val="24"/>
          <w:szCs w:val="24"/>
          <w:highlight w:val="none"/>
        </w:rPr>
      </w:r>
      <w:r/>
    </w:p>
    <w:tbl>
      <w:tblPr>
        <w:tblW w:w="0" w:type="auto"/>
        <w:jc w:val="center"/>
        <w:tblInd w:w="-2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929"/>
        <w:gridCol w:w="1417"/>
        <w:gridCol w:w="4253"/>
      </w:tblGrid>
      <w:tr>
        <w:trPr/>
        <w:tc>
          <w:tcPr>
            <w:tcW w:w="770" w:type="dxa"/>
            <w:vAlign w:val="center"/>
            <w:textDirection w:val="lrTb"/>
            <w:noWrap w:val="false"/>
          </w:tcPr>
          <w:p>
            <w:pPr>
              <w:pStyle w:val="898"/>
              <w:ind w:right="3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序号</w:t>
            </w:r>
            <w:r>
              <w:rPr>
                <w:rFonts w:ascii="Times New Roman" w:hAnsi="Times New Roman" w:cs="Times New Roman"/>
                <w:color w:val="000000"/>
                <w:sz w:val="24"/>
                <w:szCs w:val="24"/>
                <w:highlight w:val="none"/>
              </w:rPr>
            </w:r>
            <w:r/>
          </w:p>
        </w:tc>
        <w:tc>
          <w:tcPr>
            <w:tcW w:w="1929" w:type="dxa"/>
            <w:vAlign w:val="center"/>
            <w:textDirection w:val="lrTb"/>
            <w:noWrap w:val="false"/>
          </w:tcPr>
          <w:p>
            <w:pPr>
              <w:pStyle w:val="898"/>
              <w:ind w:right="3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建筑名称</w:t>
            </w:r>
            <w:r>
              <w:rPr>
                <w:rFonts w:ascii="Times New Roman" w:hAnsi="Times New Roman" w:cs="Times New Roman"/>
                <w:color w:val="000000"/>
                <w:sz w:val="24"/>
                <w:szCs w:val="24"/>
                <w:highlight w:val="none"/>
              </w:rPr>
            </w:r>
            <w:r/>
          </w:p>
        </w:tc>
        <w:tc>
          <w:tcPr>
            <w:tcW w:w="1417" w:type="dxa"/>
            <w:vAlign w:val="center"/>
            <w:textDirection w:val="lrTb"/>
            <w:noWrap w:val="false"/>
          </w:tcPr>
          <w:p>
            <w:pPr>
              <w:pStyle w:val="898"/>
              <w:ind w:right="3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面积</w:t>
            </w:r>
            <w:r>
              <w:rPr>
                <w:rFonts w:ascii="Times New Roman" w:hAnsi="Times New Roman" w:cs="Times New Roman"/>
                <w:color w:val="000000"/>
                <w:sz w:val="24"/>
                <w:szCs w:val="24"/>
                <w:highlight w:val="none"/>
              </w:rPr>
            </w:r>
            <w:r/>
          </w:p>
          <w:p>
            <w:pPr>
              <w:pStyle w:val="898"/>
              <w:ind w:right="3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（平方米）</w:t>
            </w:r>
            <w:r>
              <w:rPr>
                <w:rFonts w:ascii="Times New Roman" w:hAnsi="Times New Roman" w:cs="Times New Roman"/>
                <w:color w:val="000000"/>
                <w:sz w:val="24"/>
                <w:szCs w:val="24"/>
                <w:highlight w:val="none"/>
              </w:rPr>
            </w:r>
            <w:r/>
          </w:p>
        </w:tc>
        <w:tc>
          <w:tcPr>
            <w:tcW w:w="4253" w:type="dxa"/>
            <w:vAlign w:val="center"/>
            <w:textDirection w:val="lrTb"/>
            <w:noWrap w:val="false"/>
          </w:tcPr>
          <w:p>
            <w:pPr>
              <w:pStyle w:val="898"/>
              <w:ind w:right="3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备注</w:t>
            </w:r>
            <w:r>
              <w:rPr>
                <w:rFonts w:ascii="Times New Roman" w:hAnsi="Times New Roman" w:cs="Times New Roman"/>
                <w:color w:val="000000"/>
                <w:sz w:val="24"/>
                <w:szCs w:val="24"/>
                <w:highlight w:val="none"/>
              </w:rPr>
            </w:r>
            <w:r/>
          </w:p>
        </w:tc>
      </w:tr>
      <w:tr>
        <w:trPr/>
        <w:tc>
          <w:tcPr>
            <w:tcW w:w="770" w:type="dxa"/>
            <w:vAlign w:val="center"/>
            <w:textDirection w:val="lrTb"/>
            <w:noWrap w:val="false"/>
          </w:tcPr>
          <w:p>
            <w:pPr>
              <w:pStyle w:val="89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tcW w:w="1929" w:type="dxa"/>
            <w:vAlign w:val="center"/>
            <w:textDirection w:val="lrTb"/>
            <w:noWrap w:val="false"/>
          </w:tcPr>
          <w:p>
            <w:pPr>
              <w:pStyle w:val="898"/>
              <w:ind w:right="3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江苏省水文综合实验楼</w:t>
            </w:r>
            <w:r>
              <w:rPr>
                <w:rFonts w:ascii="Times New Roman" w:hAnsi="Times New Roman" w:cs="Times New Roman"/>
                <w:color w:val="000000"/>
                <w:sz w:val="24"/>
                <w:szCs w:val="24"/>
                <w:highlight w:val="none"/>
              </w:rPr>
            </w:r>
            <w:r/>
          </w:p>
        </w:tc>
        <w:tc>
          <w:tcPr>
            <w:tcW w:w="1417" w:type="dxa"/>
            <w:vAlign w:val="center"/>
            <w:textDirection w:val="lrTb"/>
            <w:noWrap w:val="false"/>
          </w:tcPr>
          <w:p>
            <w:pPr>
              <w:pStyle w:val="89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4889.6</w:t>
            </w:r>
            <w:r>
              <w:rPr>
                <w:rFonts w:ascii="Times New Roman" w:hAnsi="Times New Roman" w:cs="Times New Roman"/>
                <w:color w:val="000000"/>
                <w:sz w:val="24"/>
                <w:szCs w:val="24"/>
                <w:highlight w:val="none"/>
              </w:rPr>
            </w:r>
            <w:r/>
          </w:p>
        </w:tc>
        <w:tc>
          <w:tcPr>
            <w:tcW w:w="4253" w:type="dxa"/>
            <w:vAlign w:val="center"/>
            <w:textDirection w:val="lrTb"/>
            <w:noWrap w:val="false"/>
          </w:tcPr>
          <w:p>
            <w:pPr>
              <w:pStyle w:val="898"/>
              <w:ind w:right="3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其中灾备机房1637平方米，其余3252.6平方米为省水环境监测中心实验室</w:t>
            </w:r>
            <w:r>
              <w:rPr>
                <w:rFonts w:ascii="Times New Roman" w:hAnsi="Times New Roman" w:cs="Times New Roman"/>
                <w:color w:val="000000"/>
                <w:sz w:val="24"/>
                <w:szCs w:val="24"/>
                <w:highlight w:val="none"/>
              </w:rPr>
            </w:r>
            <w:r/>
          </w:p>
        </w:tc>
      </w:tr>
      <w:tr>
        <w:trPr>
          <w:trHeight w:val="898" w:hRule="exact"/>
        </w:trPr>
        <w:tc>
          <w:tcPr>
            <w:tcW w:w="770" w:type="dxa"/>
            <w:vAlign w:val="center"/>
            <w:textDirection w:val="lrTb"/>
            <w:noWrap w:val="false"/>
          </w:tcPr>
          <w:p>
            <w:pPr>
              <w:pStyle w:val="89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tcW w:w="1929" w:type="dxa"/>
            <w:vAlign w:val="center"/>
            <w:textDirection w:val="lrTb"/>
            <w:noWrap w:val="false"/>
          </w:tcPr>
          <w:p>
            <w:pPr>
              <w:pStyle w:val="898"/>
              <w:ind w:right="3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江苏省水文档案馆</w:t>
            </w:r>
            <w:r>
              <w:rPr>
                <w:rFonts w:ascii="Times New Roman" w:hAnsi="Times New Roman" w:cs="Times New Roman"/>
                <w:color w:val="000000"/>
                <w:sz w:val="24"/>
                <w:szCs w:val="24"/>
                <w:highlight w:val="none"/>
              </w:rPr>
            </w:r>
            <w:r/>
          </w:p>
        </w:tc>
        <w:tc>
          <w:tcPr>
            <w:tcW w:w="1417" w:type="dxa"/>
            <w:vAlign w:val="center"/>
            <w:textDirection w:val="lrTb"/>
            <w:noWrap w:val="false"/>
          </w:tcPr>
          <w:p>
            <w:pPr>
              <w:pStyle w:val="89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2909.71</w:t>
            </w:r>
            <w:r>
              <w:rPr>
                <w:rFonts w:ascii="Times New Roman" w:hAnsi="Times New Roman" w:cs="Times New Roman"/>
                <w:color w:val="000000"/>
                <w:sz w:val="24"/>
                <w:szCs w:val="24"/>
                <w:highlight w:val="none"/>
              </w:rPr>
            </w:r>
            <w:r/>
          </w:p>
        </w:tc>
        <w:tc>
          <w:tcPr>
            <w:tcW w:w="4253" w:type="dxa"/>
            <w:vAlign w:val="center"/>
            <w:textDirection w:val="lrTb"/>
            <w:noWrap w:val="false"/>
          </w:tcPr>
          <w:p>
            <w:pPr>
              <w:pStyle w:val="898"/>
              <w:ind w:right="38"/>
              <w:spacing w:line="300" w:lineRule="exact"/>
              <w:rPr>
                <w:rFonts w:ascii="Times New Roman" w:hAnsi="Times New Roman" w:cs="Times New Roman"/>
                <w:color w:val="000000"/>
                <w:sz w:val="24"/>
                <w:szCs w:val="24"/>
                <w:highlight w:val="none"/>
              </w:rPr>
            </w:pPr>
            <w:r/>
            <w:bookmarkStart w:id="177" w:name="OLE_LINK1"/>
            <w:r>
              <w:rPr>
                <w:rFonts w:ascii="Times New Roman" w:hAnsi="Times New Roman" w:cs="Times New Roman"/>
                <w:color w:val="000000"/>
                <w:sz w:val="24"/>
                <w:szCs w:val="24"/>
                <w:highlight w:val="none"/>
              </w:rPr>
              <w:t xml:space="preserve">其中数字中心办公、会议、公摊面积710.09平方米，其余2199.62平方米为水文展览馆和水文资料库房、业务用房等。</w:t>
            </w:r>
            <w:bookmarkEnd w:id="177"/>
            <w:r>
              <w:rPr>
                <w:rFonts w:ascii="Times New Roman" w:hAnsi="Times New Roman" w:cs="Times New Roman"/>
                <w:color w:val="000000"/>
                <w:sz w:val="24"/>
                <w:szCs w:val="24"/>
                <w:highlight w:val="none"/>
              </w:rPr>
            </w:r>
            <w:r/>
          </w:p>
        </w:tc>
      </w:tr>
      <w:tr>
        <w:trPr>
          <w:trHeight w:val="698" w:hRule="exact"/>
        </w:trPr>
        <w:tc>
          <w:tcPr>
            <w:tcW w:w="770" w:type="dxa"/>
            <w:vAlign w:val="center"/>
            <w:textDirection w:val="lrTb"/>
            <w:noWrap w:val="false"/>
          </w:tcPr>
          <w:p>
            <w:pPr>
              <w:pStyle w:val="89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rPr>
            </w:r>
            <w:r/>
          </w:p>
        </w:tc>
        <w:tc>
          <w:tcPr>
            <w:tcW w:w="1929" w:type="dxa"/>
            <w:vAlign w:val="center"/>
            <w:textDirection w:val="lrTb"/>
            <w:noWrap w:val="false"/>
          </w:tcPr>
          <w:p>
            <w:pPr>
              <w:pStyle w:val="898"/>
              <w:ind w:right="3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江苏省水文仪器实验楼</w:t>
            </w:r>
            <w:r>
              <w:rPr>
                <w:rFonts w:ascii="Times New Roman" w:hAnsi="Times New Roman" w:cs="Times New Roman"/>
                <w:color w:val="000000"/>
                <w:sz w:val="24"/>
                <w:szCs w:val="24"/>
                <w:highlight w:val="none"/>
              </w:rPr>
            </w:r>
            <w:r/>
          </w:p>
        </w:tc>
        <w:tc>
          <w:tcPr>
            <w:tcW w:w="1417" w:type="dxa"/>
            <w:vAlign w:val="center"/>
            <w:textDirection w:val="lrTb"/>
            <w:noWrap w:val="false"/>
          </w:tcPr>
          <w:p>
            <w:pPr>
              <w:pStyle w:val="89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1615.52</w:t>
            </w:r>
            <w:r>
              <w:rPr>
                <w:rFonts w:ascii="Times New Roman" w:hAnsi="Times New Roman" w:cs="Times New Roman"/>
                <w:color w:val="000000"/>
                <w:sz w:val="24"/>
                <w:szCs w:val="24"/>
                <w:highlight w:val="none"/>
              </w:rPr>
            </w:r>
            <w:r/>
          </w:p>
        </w:tc>
        <w:tc>
          <w:tcPr>
            <w:tcW w:w="4253" w:type="dxa"/>
            <w:vAlign w:val="center"/>
            <w:textDirection w:val="lrTb"/>
            <w:noWrap w:val="false"/>
          </w:tcPr>
          <w:p>
            <w:pPr>
              <w:pStyle w:val="898"/>
              <w:ind w:right="3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不在本项目范围内</w:t>
            </w:r>
            <w:r>
              <w:rPr>
                <w:rFonts w:ascii="Times New Roman" w:hAnsi="Times New Roman" w:cs="Times New Roman"/>
                <w:color w:val="000000"/>
                <w:sz w:val="24"/>
                <w:szCs w:val="24"/>
                <w:highlight w:val="none"/>
              </w:rPr>
            </w:r>
            <w:r/>
          </w:p>
        </w:tc>
      </w:tr>
      <w:tr>
        <w:trPr>
          <w:trHeight w:val="708" w:hRule="exact"/>
        </w:trPr>
        <w:tc>
          <w:tcPr>
            <w:tcW w:w="770" w:type="dxa"/>
            <w:vAlign w:val="center"/>
            <w:textDirection w:val="lrTb"/>
            <w:noWrap w:val="false"/>
          </w:tcPr>
          <w:p>
            <w:pPr>
              <w:pStyle w:val="89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w:t>
            </w:r>
            <w:r>
              <w:rPr>
                <w:rFonts w:ascii="Times New Roman" w:hAnsi="Times New Roman" w:cs="Times New Roman"/>
                <w:color w:val="000000"/>
                <w:sz w:val="24"/>
                <w:szCs w:val="24"/>
                <w:highlight w:val="none"/>
              </w:rPr>
            </w:r>
            <w:r/>
          </w:p>
        </w:tc>
        <w:tc>
          <w:tcPr>
            <w:tcW w:w="1929" w:type="dxa"/>
            <w:vAlign w:val="center"/>
            <w:textDirection w:val="lrTb"/>
            <w:noWrap w:val="false"/>
          </w:tcPr>
          <w:p>
            <w:pPr>
              <w:pStyle w:val="898"/>
              <w:ind w:right="3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食堂</w:t>
            </w:r>
            <w:r>
              <w:rPr>
                <w:rFonts w:ascii="Times New Roman" w:hAnsi="Times New Roman" w:cs="Times New Roman"/>
                <w:color w:val="000000"/>
                <w:sz w:val="24"/>
                <w:szCs w:val="24"/>
                <w:highlight w:val="none"/>
              </w:rPr>
            </w:r>
            <w:r/>
          </w:p>
        </w:tc>
        <w:tc>
          <w:tcPr>
            <w:tcW w:w="1417" w:type="dxa"/>
            <w:vAlign w:val="center"/>
            <w:textDirection w:val="lrTb"/>
            <w:noWrap w:val="false"/>
          </w:tcPr>
          <w:p>
            <w:pPr>
              <w:pStyle w:val="89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949.40</w:t>
            </w:r>
            <w:r>
              <w:rPr>
                <w:rFonts w:ascii="Times New Roman" w:hAnsi="Times New Roman" w:cs="Times New Roman"/>
                <w:color w:val="000000"/>
                <w:sz w:val="24"/>
                <w:szCs w:val="24"/>
                <w:highlight w:val="none"/>
              </w:rPr>
            </w:r>
            <w:r/>
          </w:p>
        </w:tc>
        <w:tc>
          <w:tcPr>
            <w:tcW w:w="4253" w:type="dxa"/>
            <w:vAlign w:val="center"/>
            <w:textDirection w:val="lrTb"/>
            <w:noWrap w:val="false"/>
          </w:tcPr>
          <w:p>
            <w:pPr>
              <w:pStyle w:val="898"/>
              <w:ind w:right="3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trHeight w:val="718" w:hRule="exact"/>
        </w:trPr>
        <w:tc>
          <w:tcPr>
            <w:tcW w:w="770" w:type="dxa"/>
            <w:vAlign w:val="center"/>
            <w:textDirection w:val="lrTb"/>
            <w:noWrap w:val="false"/>
          </w:tcPr>
          <w:p>
            <w:pPr>
              <w:pStyle w:val="89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w:t>
            </w:r>
            <w:r>
              <w:rPr>
                <w:rFonts w:ascii="Times New Roman" w:hAnsi="Times New Roman" w:cs="Times New Roman"/>
                <w:color w:val="000000"/>
                <w:sz w:val="24"/>
                <w:szCs w:val="24"/>
                <w:highlight w:val="none"/>
              </w:rPr>
            </w:r>
            <w:r/>
          </w:p>
        </w:tc>
        <w:tc>
          <w:tcPr>
            <w:tcW w:w="1929" w:type="dxa"/>
            <w:vAlign w:val="center"/>
            <w:textDirection w:val="lrTb"/>
            <w:noWrap w:val="false"/>
          </w:tcPr>
          <w:p>
            <w:pPr>
              <w:pStyle w:val="898"/>
              <w:ind w:right="3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水文综合</w:t>
            </w:r>
            <w:r>
              <w:rPr>
                <w:rFonts w:ascii="Times New Roman" w:hAnsi="Times New Roman" w:cs="Times New Roman"/>
                <w:color w:val="000000"/>
                <w:sz w:val="24"/>
                <w:szCs w:val="24"/>
                <w:highlight w:val="none"/>
              </w:rPr>
            </w:r>
            <w:r/>
          </w:p>
          <w:p>
            <w:pPr>
              <w:pStyle w:val="898"/>
              <w:ind w:right="3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服务楼</w:t>
            </w:r>
            <w:r>
              <w:rPr>
                <w:rFonts w:ascii="Times New Roman" w:hAnsi="Times New Roman" w:cs="Times New Roman"/>
                <w:color w:val="000000"/>
                <w:sz w:val="24"/>
                <w:szCs w:val="24"/>
                <w:highlight w:val="none"/>
              </w:rPr>
            </w:r>
            <w:r/>
          </w:p>
        </w:tc>
        <w:tc>
          <w:tcPr>
            <w:tcW w:w="1417" w:type="dxa"/>
            <w:vAlign w:val="center"/>
            <w:textDirection w:val="lrTb"/>
            <w:noWrap w:val="false"/>
          </w:tcPr>
          <w:p>
            <w:pPr>
              <w:pStyle w:val="89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1284.07</w:t>
            </w:r>
            <w:r>
              <w:rPr>
                <w:rFonts w:ascii="Times New Roman" w:hAnsi="Times New Roman" w:cs="Times New Roman"/>
                <w:color w:val="000000"/>
                <w:sz w:val="24"/>
                <w:szCs w:val="24"/>
                <w:highlight w:val="none"/>
              </w:rPr>
            </w:r>
            <w:r/>
          </w:p>
        </w:tc>
        <w:tc>
          <w:tcPr>
            <w:tcW w:w="4253" w:type="dxa"/>
            <w:vAlign w:val="center"/>
            <w:textDirection w:val="lrTb"/>
            <w:noWrap w:val="false"/>
          </w:tcPr>
          <w:p>
            <w:pPr>
              <w:pStyle w:val="898"/>
              <w:ind w:right="3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trHeight w:val="710" w:hRule="exact"/>
        </w:trPr>
        <w:tc>
          <w:tcPr>
            <w:tcW w:w="770" w:type="dxa"/>
            <w:vAlign w:val="center"/>
            <w:textDirection w:val="lrTb"/>
            <w:noWrap w:val="false"/>
          </w:tcPr>
          <w:p>
            <w:pPr>
              <w:pStyle w:val="89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w:t>
            </w:r>
            <w:r>
              <w:rPr>
                <w:rFonts w:ascii="Times New Roman" w:hAnsi="Times New Roman" w:cs="Times New Roman"/>
                <w:color w:val="000000"/>
                <w:sz w:val="24"/>
                <w:szCs w:val="24"/>
                <w:highlight w:val="none"/>
              </w:rPr>
            </w:r>
            <w:r/>
          </w:p>
        </w:tc>
        <w:tc>
          <w:tcPr>
            <w:tcW w:w="1929" w:type="dxa"/>
            <w:vAlign w:val="center"/>
            <w:textDirection w:val="lrTb"/>
            <w:noWrap w:val="false"/>
          </w:tcPr>
          <w:p>
            <w:pPr>
              <w:pStyle w:val="89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合计</w:t>
            </w:r>
            <w:r>
              <w:rPr>
                <w:rFonts w:ascii="Times New Roman" w:hAnsi="Times New Roman" w:cs="Times New Roman"/>
                <w:color w:val="000000"/>
                <w:sz w:val="24"/>
                <w:szCs w:val="24"/>
                <w:highlight w:val="none"/>
              </w:rPr>
            </w:r>
            <w:r/>
          </w:p>
        </w:tc>
        <w:tc>
          <w:tcPr>
            <w:tcW w:w="1417" w:type="dxa"/>
            <w:vAlign w:val="center"/>
            <w:textDirection w:val="lrTb"/>
            <w:noWrap w:val="false"/>
          </w:tcPr>
          <w:p>
            <w:pPr>
              <w:pStyle w:val="89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11648.3</w:t>
            </w:r>
            <w:r>
              <w:rPr>
                <w:rFonts w:ascii="Times New Roman" w:hAnsi="Times New Roman" w:cs="Times New Roman"/>
                <w:color w:val="000000"/>
                <w:sz w:val="24"/>
                <w:szCs w:val="24"/>
                <w:highlight w:val="none"/>
              </w:rPr>
            </w:r>
            <w:r/>
          </w:p>
        </w:tc>
        <w:tc>
          <w:tcPr>
            <w:tcW w:w="4253" w:type="dxa"/>
            <w:vAlign w:val="center"/>
            <w:textDirection w:val="lrTb"/>
            <w:noWrap w:val="false"/>
          </w:tcPr>
          <w:p>
            <w:pPr>
              <w:pStyle w:val="898"/>
              <w:ind w:right="3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trHeight w:val="710" w:hRule="exact"/>
        </w:trPr>
        <w:tc>
          <w:tcPr>
            <w:tcW w:w="770" w:type="dxa"/>
            <w:vAlign w:val="center"/>
            <w:textDirection w:val="lrTb"/>
            <w:noWrap w:val="false"/>
          </w:tcPr>
          <w:p>
            <w:pPr>
              <w:pStyle w:val="89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w:t>
            </w:r>
            <w:r>
              <w:rPr>
                <w:rFonts w:ascii="Times New Roman" w:hAnsi="Times New Roman" w:cs="Times New Roman"/>
                <w:color w:val="000000"/>
                <w:sz w:val="24"/>
                <w:szCs w:val="24"/>
                <w:highlight w:val="none"/>
              </w:rPr>
            </w:r>
            <w:r/>
          </w:p>
        </w:tc>
        <w:tc>
          <w:tcPr>
            <w:tcW w:w="1929" w:type="dxa"/>
            <w:vAlign w:val="center"/>
            <w:textDirection w:val="lrTb"/>
            <w:noWrap w:val="false"/>
          </w:tcPr>
          <w:p>
            <w:pPr>
              <w:pStyle w:val="89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本项目服务范围</w:t>
            </w:r>
            <w:r>
              <w:rPr>
                <w:rFonts w:ascii="Times New Roman" w:hAnsi="Times New Roman" w:cs="Times New Roman"/>
                <w:color w:val="000000"/>
                <w:sz w:val="24"/>
                <w:szCs w:val="24"/>
                <w:highlight w:val="none"/>
              </w:rPr>
            </w:r>
            <w:r/>
          </w:p>
        </w:tc>
        <w:tc>
          <w:tcPr>
            <w:tcW w:w="1417" w:type="dxa"/>
            <w:vAlign w:val="center"/>
            <w:textDirection w:val="lrTb"/>
            <w:noWrap w:val="false"/>
          </w:tcPr>
          <w:p>
            <w:pPr>
              <w:pStyle w:val="89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10032.78</w:t>
            </w:r>
            <w:r>
              <w:rPr>
                <w:rFonts w:ascii="Times New Roman" w:hAnsi="Times New Roman" w:cs="Times New Roman"/>
                <w:color w:val="000000"/>
                <w:sz w:val="24"/>
                <w:szCs w:val="24"/>
                <w:highlight w:val="none"/>
              </w:rPr>
            </w:r>
            <w:r/>
          </w:p>
        </w:tc>
        <w:tc>
          <w:tcPr>
            <w:tcW w:w="4253" w:type="dxa"/>
            <w:vAlign w:val="center"/>
            <w:textDirection w:val="lrTb"/>
            <w:noWrap w:val="false"/>
          </w:tcPr>
          <w:p>
            <w:pPr>
              <w:pStyle w:val="898"/>
              <w:ind w:right="3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bl>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本次采购服务分为物业服务、后勤服务、水土保持观测场运维、水文水情教育场馆运维、灾备机房运维等五个分部开展。</w:t>
      </w:r>
      <w:r>
        <w:rPr>
          <w:rFonts w:ascii="Times New Roman" w:hAnsi="Times New Roman" w:cs="Times New Roman"/>
          <w:color w:val="000000"/>
          <w:sz w:val="24"/>
          <w:szCs w:val="24"/>
          <w:highlight w:val="none"/>
        </w:rPr>
      </w:r>
      <w:r/>
    </w:p>
    <w:p>
      <w:pPr>
        <w:pStyle w:val="901"/>
        <w:rPr>
          <w:color w:val="000000"/>
          <w:highlight w:val="none"/>
        </w:rPr>
      </w:pPr>
      <w:r>
        <w:rPr>
          <w:color w:val="000000"/>
          <w:highlight w:val="none"/>
        </w:rPr>
        <w:t xml:space="preserve">1.物业服务</w:t>
      </w:r>
      <w:r>
        <w:rPr>
          <w:color w:val="000000"/>
          <w:highlight w:val="none"/>
        </w:rPr>
      </w:r>
      <w:r/>
    </w:p>
    <w:p>
      <w:pPr>
        <w:pStyle w:val="902"/>
        <w:rPr>
          <w:rFonts w:cs="Times New Roman"/>
          <w:color w:val="000000"/>
          <w:highlight w:val="none"/>
        </w:rPr>
      </w:pPr>
      <w:r>
        <w:rPr>
          <w:rFonts w:cs="Times New Roman"/>
          <w:color w:val="000000"/>
          <w:highlight w:val="none"/>
        </w:rPr>
        <w:t xml:space="preserve">1.1 </w:t>
      </w:r>
      <w:r>
        <w:rPr>
          <w:rFonts w:cs="Times New Roman"/>
          <w:color w:val="000000"/>
          <w:highlight w:val="none"/>
        </w:rPr>
        <w:t xml:space="preserve">项目基本情况</w:t>
      </w:r>
      <w:r>
        <w:rPr>
          <w:rFonts w:cs="Times New Roman"/>
          <w:color w:val="000000"/>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服务区域总计约3543.56平方米，包括江苏省水文档案馆2-3楼办公、会议、公共区域，食堂，水文综合服务楼总计2943.56平方米；附属绿化约600平方米。</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服务内容包括：场馆综合管理、秩序维护、保洁服务、会务服务、客房服务、设备日常运维管理、蚊虫消杀和室外绿化养护等。 </w:t>
      </w:r>
      <w:r>
        <w:rPr>
          <w:rFonts w:ascii="Times New Roman" w:hAnsi="Times New Roman" w:cs="Times New Roman"/>
          <w:color w:val="000000"/>
          <w:sz w:val="24"/>
          <w:szCs w:val="24"/>
          <w:highlight w:val="none"/>
        </w:rPr>
      </w:r>
      <w:r/>
    </w:p>
    <w:p>
      <w:pPr>
        <w:pStyle w:val="903"/>
        <w:rPr>
          <w:rFonts w:ascii="Times New Roman"/>
          <w:b/>
          <w:color w:val="000000"/>
          <w:highlight w:val="none"/>
        </w:rPr>
      </w:pPr>
      <w:r>
        <w:rPr>
          <w:rFonts w:ascii="Times New Roman"/>
          <w:b/>
          <w:color w:val="000000"/>
          <w:highlight w:val="none"/>
        </w:rPr>
        <w:t xml:space="preserve">1.1.1</w:t>
      </w:r>
      <w:r>
        <w:rPr>
          <w:rFonts w:ascii="Times New Roman"/>
          <w:color w:val="000000"/>
          <w:highlight w:val="none"/>
        </w:rPr>
        <w:t xml:space="preserve"> </w:t>
      </w:r>
      <w:r>
        <w:rPr>
          <w:rFonts w:ascii="Times New Roman"/>
          <w:b/>
          <w:color w:val="000000"/>
          <w:highlight w:val="none"/>
        </w:rPr>
        <w:t xml:space="preserve">江苏省水文档案馆</w:t>
      </w:r>
      <w:r>
        <w:rPr>
          <w:rFonts w:ascii="Times New Roman"/>
          <w:b/>
          <w:color w:val="000000"/>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江苏水文档案馆总面积2909.71平方米。本项目维护面积约710平方米，包括档案馆2-3楼的办公区、会议区和公共区域，其面积分别为180平方米，200平方米和330平方米。（详见表2）</w:t>
      </w:r>
      <w:r>
        <w:rPr>
          <w:rFonts w:ascii="Times New Roman" w:hAnsi="Times New Roman" w:cs="Times New Roman"/>
          <w:color w:val="000000"/>
          <w:sz w:val="24"/>
          <w:szCs w:val="24"/>
          <w:highlight w:val="none"/>
        </w:rPr>
      </w:r>
      <w:r/>
    </w:p>
    <w:p>
      <w:pPr>
        <w:pStyle w:val="898"/>
        <w:ind w:firstLine="0"/>
        <w:jc w:val="center"/>
        <w:spacing w:line="0" w:lineRule="atLeast"/>
        <w:rPr>
          <w:b/>
          <w:color w:val="000000"/>
          <w:sz w:val="24"/>
          <w:szCs w:val="24"/>
          <w:highlight w:val="none"/>
        </w:rPr>
      </w:pPr>
      <w:r>
        <w:rPr>
          <w:b/>
          <w:color w:val="000000"/>
          <w:sz w:val="24"/>
          <w:szCs w:val="24"/>
          <w:highlight w:val="none"/>
        </w:rPr>
        <w:t xml:space="preserve">表</w:t>
      </w:r>
      <w:r>
        <w:rPr>
          <w:b/>
          <w:color w:val="000000"/>
          <w:sz w:val="24"/>
          <w:szCs w:val="24"/>
          <w:highlight w:val="none"/>
        </w:rPr>
        <w:t xml:space="preserve">2</w:t>
      </w:r>
      <w:r>
        <w:rPr>
          <w:b/>
          <w:color w:val="000000"/>
          <w:sz w:val="24"/>
          <w:szCs w:val="24"/>
          <w:highlight w:val="none"/>
        </w:rPr>
        <w:t xml:space="preserve"> 江苏水文档案馆维护区域明细</w:t>
      </w:r>
      <w:r>
        <w:rPr>
          <w:b/>
          <w:color w:val="000000"/>
          <w:sz w:val="24"/>
          <w:szCs w:val="24"/>
          <w:highlight w:val="none"/>
        </w:rPr>
      </w:r>
      <w:r/>
    </w:p>
    <w:tbl>
      <w:tblPr>
        <w:tblW w:w="4975"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3107"/>
        <w:gridCol w:w="4371"/>
      </w:tblGrid>
      <w:tr>
        <w:trPr>
          <w:trHeight w:val="454"/>
        </w:trPr>
        <w:tc>
          <w:tcPr>
            <w:gridSpan w:val="2"/>
            <w:tcW w:w="4253" w:type="dxa"/>
            <w:vAlign w:val="center"/>
            <w:textDirection w:val="lrTb"/>
            <w:noWrap w:val="false"/>
          </w:tcPr>
          <w:p>
            <w:pPr>
              <w:pStyle w:val="898"/>
              <w:jc w:val="center"/>
              <w:spacing w:line="300" w:lineRule="exact"/>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t xml:space="preserve">名称</w:t>
            </w:r>
            <w:r>
              <w:rPr>
                <w:rFonts w:ascii="Times New Roman" w:hAnsi="Times New Roman" w:cs="Times New Roman"/>
                <w:b/>
                <w:bCs/>
                <w:color w:val="000000"/>
                <w:sz w:val="24"/>
                <w:szCs w:val="24"/>
                <w:highlight w:val="none"/>
              </w:rPr>
            </w:r>
            <w:r/>
          </w:p>
        </w:tc>
        <w:tc>
          <w:tcPr>
            <w:tcW w:w="4536" w:type="dxa"/>
            <w:vAlign w:val="center"/>
            <w:textDirection w:val="lrTb"/>
            <w:noWrap w:val="false"/>
          </w:tcPr>
          <w:p>
            <w:pPr>
              <w:pStyle w:val="898"/>
              <w:jc w:val="center"/>
              <w:spacing w:line="300" w:lineRule="exact"/>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t xml:space="preserve">明细</w:t>
            </w:r>
            <w:r>
              <w:rPr>
                <w:rFonts w:ascii="Times New Roman" w:hAnsi="Times New Roman" w:cs="Times New Roman"/>
                <w:b/>
                <w:bCs/>
                <w:color w:val="000000"/>
                <w:sz w:val="24"/>
                <w:szCs w:val="24"/>
                <w:highlight w:val="none"/>
              </w:rPr>
            </w:r>
            <w:r/>
          </w:p>
        </w:tc>
      </w:tr>
      <w:tr>
        <w:trPr>
          <w:trHeight w:val="454"/>
        </w:trPr>
        <w:tc>
          <w:tcPr>
            <w:gridSpan w:val="2"/>
            <w:tcW w:w="4253"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建筑1名称</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江苏省水文档案馆2-3楼（办公区、会议区、公共区域）</w:t>
            </w:r>
            <w:r>
              <w:rPr>
                <w:rFonts w:ascii="Times New Roman" w:hAnsi="Times New Roman" w:cs="Times New Roman"/>
                <w:color w:val="000000"/>
                <w:sz w:val="24"/>
                <w:szCs w:val="24"/>
                <w:highlight w:val="none"/>
              </w:rPr>
            </w:r>
            <w:r/>
          </w:p>
        </w:tc>
      </w:tr>
      <w:tr>
        <w:trPr>
          <w:trHeight w:val="454"/>
        </w:trPr>
        <w:tc>
          <w:tcPr>
            <w:tcW w:w="1031" w:type="dxa"/>
            <w:vAlign w:val="center"/>
            <w:vMerge w:val="restart"/>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总面积</w:t>
            </w: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建筑面积（㎡）</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710㎡</w:t>
            </w:r>
            <w:r>
              <w:rPr>
                <w:rFonts w:ascii="Times New Roman" w:hAnsi="Times New Roman" w:cs="Times New Roman"/>
                <w:color w:val="000000"/>
                <w:sz w:val="24"/>
                <w:szCs w:val="24"/>
                <w:highlight w:val="none"/>
              </w:rPr>
            </w:r>
            <w:r/>
          </w:p>
        </w:tc>
      </w:tr>
      <w:tr>
        <w:trPr>
          <w:trHeight w:val="454"/>
        </w:trPr>
        <w:tc>
          <w:tcPr>
            <w:tcW w:w="1031" w:type="dxa"/>
            <w:vAlign w:val="center"/>
            <w:vMerge w:val="continue"/>
            <w:textDirection w:val="lrTb"/>
            <w:noWrap w:val="false"/>
          </w:tcPr>
          <w:p>
            <w:pPr>
              <w:pStyle w:val="89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需保洁面积（㎡）</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710㎡</w:t>
            </w:r>
            <w:r>
              <w:rPr>
                <w:rFonts w:ascii="Times New Roman" w:hAnsi="Times New Roman" w:cs="Times New Roman"/>
                <w:color w:val="000000"/>
                <w:sz w:val="24"/>
                <w:szCs w:val="24"/>
                <w:highlight w:val="none"/>
              </w:rPr>
            </w:r>
            <w:r/>
          </w:p>
        </w:tc>
      </w:tr>
      <w:tr>
        <w:trPr>
          <w:trHeight w:val="454"/>
        </w:trPr>
        <w:tc>
          <w:tcPr>
            <w:tcW w:w="1031"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门窗</w:t>
            </w: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门窗总数量（个）及总面积（㎡）</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门13扇，总计34.64㎡</w:t>
            </w:r>
            <w:r>
              <w:rPr>
                <w:rFonts w:ascii="Times New Roman" w:hAnsi="Times New Roman" w:cs="Times New Roman"/>
                <w:color w:val="000000"/>
                <w:sz w:val="24"/>
                <w:szCs w:val="24"/>
                <w:highlight w:val="none"/>
              </w:rPr>
            </w:r>
            <w:r/>
          </w:p>
          <w:p>
            <w:pPr>
              <w:pStyle w:val="898"/>
              <w:spacing w:line="30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4"/>
                <w:highlight w:val="none"/>
              </w:rPr>
              <w:t xml:space="preserve">窗40扇，总计149.11㎡</w:t>
            </w:r>
            <w:r>
              <w:rPr>
                <w:rFonts w:ascii="Times New Roman" w:hAnsi="Times New Roman" w:cs="Times New Roman"/>
                <w:color w:val="000000"/>
                <w:sz w:val="24"/>
                <w:szCs w:val="28"/>
                <w:highlight w:val="none"/>
              </w:rPr>
            </w:r>
            <w:r/>
          </w:p>
        </w:tc>
      </w:tr>
      <w:tr>
        <w:trPr>
          <w:trHeight w:val="454"/>
        </w:trPr>
        <w:tc>
          <w:tcPr>
            <w:tcW w:w="1031"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地面</w:t>
            </w: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地面各材质及总面积（㎡）</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瓷砖，约700㎡</w:t>
            </w:r>
            <w:r>
              <w:rPr>
                <w:rFonts w:ascii="Times New Roman" w:hAnsi="Times New Roman" w:cs="Times New Roman"/>
                <w:color w:val="000000"/>
                <w:sz w:val="24"/>
                <w:szCs w:val="24"/>
                <w:highlight w:val="none"/>
              </w:rPr>
            </w:r>
            <w:r/>
          </w:p>
        </w:tc>
      </w:tr>
      <w:tr>
        <w:trPr>
          <w:trHeight w:val="454"/>
        </w:trPr>
        <w:tc>
          <w:tcPr>
            <w:tcW w:w="1031"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内墙饰面</w:t>
            </w: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内墙饰面各材质及总面积（㎡）</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乳胶漆，约1500㎡</w:t>
            </w:r>
            <w:r>
              <w:rPr>
                <w:rFonts w:ascii="Times New Roman" w:hAnsi="Times New Roman" w:cs="Times New Roman"/>
                <w:color w:val="000000"/>
                <w:sz w:val="24"/>
                <w:szCs w:val="24"/>
                <w:highlight w:val="none"/>
              </w:rPr>
            </w:r>
            <w:r/>
          </w:p>
        </w:tc>
      </w:tr>
      <w:tr>
        <w:trPr>
          <w:trHeight w:val="576"/>
        </w:trPr>
        <w:tc>
          <w:tcPr>
            <w:tcW w:w="1031"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顶面</w:t>
            </w: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顶面各材质及总面积（㎡）</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乳胶漆，约700㎡</w:t>
            </w:r>
            <w:r>
              <w:rPr>
                <w:rFonts w:ascii="Times New Roman" w:hAnsi="Times New Roman" w:cs="Times New Roman"/>
                <w:color w:val="000000"/>
                <w:sz w:val="24"/>
                <w:szCs w:val="24"/>
                <w:highlight w:val="none"/>
              </w:rPr>
            </w:r>
            <w:r/>
          </w:p>
        </w:tc>
      </w:tr>
      <w:tr>
        <w:trPr>
          <w:trHeight w:val="454"/>
        </w:trPr>
        <w:tc>
          <w:tcPr>
            <w:tcW w:w="1031" w:type="dxa"/>
            <w:vAlign w:val="center"/>
            <w:vMerge w:val="restart"/>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外墙</w:t>
            </w: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外墙各材质及总面积（㎡）</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面砖，约500㎡</w:t>
            </w:r>
            <w:r>
              <w:rPr>
                <w:rFonts w:ascii="Times New Roman" w:hAnsi="Times New Roman" w:cs="Times New Roman"/>
                <w:color w:val="000000"/>
                <w:sz w:val="24"/>
                <w:szCs w:val="24"/>
                <w:highlight w:val="none"/>
              </w:rPr>
            </w:r>
            <w:r/>
          </w:p>
        </w:tc>
      </w:tr>
      <w:tr>
        <w:trPr>
          <w:trHeight w:val="454"/>
        </w:trPr>
        <w:tc>
          <w:tcPr>
            <w:tcW w:w="1031" w:type="dxa"/>
            <w:vAlign w:val="center"/>
            <w:vMerge w:val="continue"/>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外墙需清洗面积（㎡）</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约350㎡</w:t>
            </w:r>
            <w:r>
              <w:rPr>
                <w:rFonts w:ascii="Times New Roman" w:hAnsi="Times New Roman" w:cs="Times New Roman"/>
                <w:color w:val="000000"/>
                <w:sz w:val="24"/>
                <w:szCs w:val="24"/>
                <w:highlight w:val="none"/>
              </w:rPr>
            </w:r>
            <w:r/>
          </w:p>
        </w:tc>
      </w:tr>
      <w:tr>
        <w:trPr>
          <w:trHeight w:val="454"/>
        </w:trPr>
        <w:tc>
          <w:tcPr>
            <w:tcW w:w="1031" w:type="dxa"/>
            <w:vAlign w:val="center"/>
            <w:vMerge w:val="restart"/>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会议室</w:t>
            </w: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室内设施说明</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第一会议室：会议桌1张，会议椅23张，视频会议系统1套。</w:t>
            </w:r>
            <w:r>
              <w:rPr>
                <w:rFonts w:ascii="Times New Roman" w:hAnsi="Times New Roman" w:cs="Times New Roman"/>
                <w:color w:val="000000"/>
                <w:sz w:val="24"/>
                <w:szCs w:val="24"/>
                <w:highlight w:val="none"/>
              </w:rPr>
            </w:r>
            <w:r/>
          </w:p>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第二会议室：会议桌1张，会议椅16张，电视屏幕1张。</w:t>
            </w:r>
            <w:r>
              <w:rPr>
                <w:rFonts w:ascii="Times New Roman" w:hAnsi="Times New Roman" w:cs="Times New Roman"/>
                <w:color w:val="000000"/>
                <w:sz w:val="24"/>
                <w:szCs w:val="24"/>
                <w:highlight w:val="none"/>
              </w:rPr>
            </w:r>
            <w:r/>
          </w:p>
          <w:p>
            <w:pPr>
              <w:pStyle w:val="898"/>
              <w:spacing w:line="30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4"/>
                <w:highlight w:val="none"/>
              </w:rPr>
              <w:t xml:space="preserve">第三会议室：会议桌1张，会议椅13张，电视视频系统1套。</w:t>
            </w:r>
            <w:r>
              <w:rPr>
                <w:rFonts w:ascii="Times New Roman" w:hAnsi="Times New Roman" w:cs="Times New Roman"/>
                <w:color w:val="000000"/>
                <w:sz w:val="24"/>
                <w:szCs w:val="28"/>
                <w:highlight w:val="none"/>
              </w:rPr>
            </w:r>
            <w:r/>
          </w:p>
        </w:tc>
      </w:tr>
      <w:tr>
        <w:trPr>
          <w:trHeight w:val="454"/>
        </w:trPr>
        <w:tc>
          <w:tcPr>
            <w:tcW w:w="1031" w:type="dxa"/>
            <w:vAlign w:val="center"/>
            <w:vMerge w:val="continue"/>
            <w:textDirection w:val="lrTb"/>
            <w:noWrap w:val="false"/>
          </w:tcPr>
          <w:p>
            <w:pPr>
              <w:pStyle w:val="89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会议室数量（个）及总面积（㎡）</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3个，总计200㎡</w:t>
            </w:r>
            <w:r>
              <w:rPr>
                <w:rFonts w:ascii="Times New Roman" w:hAnsi="Times New Roman" w:cs="Times New Roman"/>
                <w:color w:val="000000"/>
                <w:sz w:val="24"/>
                <w:szCs w:val="24"/>
                <w:highlight w:val="none"/>
              </w:rPr>
            </w:r>
            <w:r/>
          </w:p>
        </w:tc>
      </w:tr>
      <w:tr>
        <w:trPr>
          <w:trHeight w:val="454"/>
        </w:trPr>
        <w:tc>
          <w:tcPr>
            <w:tcW w:w="1031" w:type="dxa"/>
            <w:vAlign w:val="center"/>
            <w:vMerge w:val="restart"/>
            <w:textDirection w:val="lrTb"/>
            <w:noWrap w:val="false"/>
          </w:tcPr>
          <w:p>
            <w:pPr>
              <w:pStyle w:val="898"/>
              <w:jc w:val="left"/>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报告厅</w:t>
            </w: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室内设施说明</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无</w:t>
            </w:r>
            <w:r>
              <w:rPr>
                <w:rFonts w:ascii="Times New Roman" w:hAnsi="Times New Roman" w:cs="Times New Roman"/>
                <w:color w:val="000000"/>
                <w:sz w:val="24"/>
                <w:szCs w:val="24"/>
                <w:highlight w:val="none"/>
              </w:rPr>
            </w:r>
            <w:r/>
          </w:p>
        </w:tc>
      </w:tr>
      <w:tr>
        <w:trPr>
          <w:trHeight w:val="454"/>
        </w:trPr>
        <w:tc>
          <w:tcPr>
            <w:tcW w:w="1031" w:type="dxa"/>
            <w:vAlign w:val="center"/>
            <w:vMerge w:val="continue"/>
            <w:textDirection w:val="lrTb"/>
            <w:noWrap w:val="false"/>
          </w:tcPr>
          <w:p>
            <w:pPr>
              <w:pStyle w:val="898"/>
              <w:jc w:val="center"/>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报告厅数量（个）及总面积（㎡）</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无</w:t>
            </w:r>
            <w:r>
              <w:rPr>
                <w:rFonts w:ascii="Times New Roman" w:hAnsi="Times New Roman" w:cs="Times New Roman"/>
                <w:color w:val="000000"/>
                <w:sz w:val="24"/>
                <w:szCs w:val="24"/>
                <w:highlight w:val="none"/>
              </w:rPr>
            </w:r>
            <w:r/>
          </w:p>
        </w:tc>
      </w:tr>
      <w:tr>
        <w:trPr>
          <w:trHeight w:val="454"/>
        </w:trPr>
        <w:tc>
          <w:tcPr>
            <w:tcW w:w="1031"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卫生间</w:t>
            </w: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卫生间数量（个）及总面积（㎡）</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无</w:t>
            </w:r>
            <w:r>
              <w:rPr>
                <w:rFonts w:ascii="Times New Roman" w:hAnsi="Times New Roman" w:cs="Times New Roman"/>
                <w:color w:val="000000"/>
                <w:sz w:val="24"/>
                <w:szCs w:val="24"/>
                <w:highlight w:val="none"/>
              </w:rPr>
            </w:r>
            <w:r/>
          </w:p>
        </w:tc>
      </w:tr>
      <w:tr>
        <w:trPr>
          <w:trHeight w:val="454"/>
        </w:trPr>
        <w:tc>
          <w:tcPr>
            <w:tcW w:w="1031"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垃圾存放点</w:t>
            </w: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4"/>
                <w:highlight w:val="none"/>
              </w:rPr>
              <w:t xml:space="preserve">各垃圾存放点位置、面积（㎡）及数量（个）</w:t>
            </w:r>
            <w:r>
              <w:rPr>
                <w:rFonts w:ascii="Times New Roman" w:hAnsi="Times New Roman" w:cs="Times New Roman"/>
                <w:color w:val="000000"/>
                <w:sz w:val="24"/>
                <w:szCs w:val="28"/>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4"/>
                <w:highlight w:val="none"/>
              </w:rPr>
              <w:t xml:space="preserve">2个，分别在2、3楼楼梯拐角，共计4.34㎡</w:t>
            </w:r>
            <w:r>
              <w:rPr>
                <w:rFonts w:ascii="Times New Roman" w:hAnsi="Times New Roman" w:cs="Times New Roman"/>
                <w:color w:val="000000"/>
                <w:sz w:val="24"/>
                <w:szCs w:val="28"/>
                <w:highlight w:val="none"/>
              </w:rPr>
            </w:r>
            <w:r/>
          </w:p>
        </w:tc>
      </w:tr>
      <w:tr>
        <w:trPr>
          <w:trHeight w:val="454"/>
        </w:trPr>
        <w:tc>
          <w:tcPr>
            <w:tcW w:w="1031" w:type="dxa"/>
            <w:vAlign w:val="center"/>
            <w:vMerge w:val="restart"/>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车位数</w:t>
            </w: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地下车位数</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无</w:t>
            </w:r>
            <w:r>
              <w:rPr>
                <w:rFonts w:ascii="Times New Roman" w:hAnsi="Times New Roman" w:cs="Times New Roman"/>
                <w:color w:val="000000"/>
                <w:sz w:val="24"/>
                <w:szCs w:val="24"/>
                <w:highlight w:val="none"/>
              </w:rPr>
            </w:r>
            <w:r/>
          </w:p>
        </w:tc>
      </w:tr>
      <w:tr>
        <w:trPr>
          <w:trHeight w:val="454"/>
        </w:trPr>
        <w:tc>
          <w:tcPr>
            <w:tcW w:w="1031" w:type="dxa"/>
            <w:vAlign w:val="center"/>
            <w:vMerge w:val="continue"/>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地面车位数</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无</w:t>
            </w:r>
            <w:r>
              <w:rPr>
                <w:rFonts w:ascii="Times New Roman" w:hAnsi="Times New Roman" w:cs="Times New Roman"/>
                <w:color w:val="000000"/>
                <w:sz w:val="24"/>
                <w:szCs w:val="24"/>
                <w:highlight w:val="none"/>
              </w:rPr>
            </w:r>
            <w:r/>
          </w:p>
        </w:tc>
      </w:tr>
      <w:tr>
        <w:trPr>
          <w:trHeight w:val="454"/>
        </w:trPr>
        <w:tc>
          <w:tcPr>
            <w:tcW w:w="1031" w:type="dxa"/>
            <w:vAlign w:val="center"/>
            <w:vMerge w:val="restart"/>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车行/人行口</w:t>
            </w: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4"/>
                <w:highlight w:val="none"/>
              </w:rPr>
              <w:t xml:space="preserve">车行口</w:t>
            </w:r>
            <w:r>
              <w:rPr>
                <w:rFonts w:ascii="Times New Roman" w:hAnsi="Times New Roman" w:cs="Times New Roman"/>
                <w:color w:val="000000"/>
                <w:sz w:val="24"/>
                <w:szCs w:val="28"/>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4"/>
                <w:highlight w:val="none"/>
              </w:rPr>
              <w:t xml:space="preserve">无</w:t>
            </w:r>
            <w:r>
              <w:rPr>
                <w:rFonts w:ascii="Times New Roman" w:hAnsi="Times New Roman" w:cs="Times New Roman"/>
                <w:color w:val="000000"/>
                <w:sz w:val="24"/>
                <w:szCs w:val="28"/>
                <w:highlight w:val="none"/>
              </w:rPr>
            </w:r>
            <w:r/>
          </w:p>
        </w:tc>
      </w:tr>
      <w:tr>
        <w:trPr>
          <w:trHeight w:val="454"/>
        </w:trPr>
        <w:tc>
          <w:tcPr>
            <w:tcW w:w="1031" w:type="dxa"/>
            <w:vAlign w:val="center"/>
            <w:vMerge w:val="continue"/>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人行口</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4"/>
                <w:highlight w:val="none"/>
              </w:rPr>
              <w:t xml:space="preserve">3个</w:t>
            </w:r>
            <w:r>
              <w:rPr>
                <w:rFonts w:ascii="Times New Roman" w:hAnsi="Times New Roman" w:cs="Times New Roman"/>
                <w:color w:val="000000"/>
                <w:sz w:val="24"/>
                <w:szCs w:val="28"/>
                <w:highlight w:val="none"/>
              </w:rPr>
            </w:r>
            <w:r/>
          </w:p>
        </w:tc>
      </w:tr>
      <w:tr>
        <w:trPr>
          <w:trHeight w:val="454"/>
        </w:trPr>
        <w:tc>
          <w:tcPr>
            <w:tcW w:w="1031" w:type="dxa"/>
            <w:vAlign w:val="center"/>
            <w:vMerge w:val="restart"/>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设施设备（可另行附表）</w:t>
            </w:r>
            <w:r>
              <w:rPr>
                <w:rFonts w:ascii="Times New Roman" w:hAnsi="Times New Roman" w:cs="Times New Roman"/>
                <w:color w:val="000000"/>
                <w:sz w:val="24"/>
                <w:szCs w:val="24"/>
                <w:highlight w:val="none"/>
              </w:rPr>
            </w:r>
            <w:r/>
          </w:p>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电梯系统</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无</w:t>
            </w:r>
            <w:r>
              <w:rPr>
                <w:rFonts w:ascii="Times New Roman" w:hAnsi="Times New Roman" w:cs="Times New Roman"/>
                <w:color w:val="000000"/>
                <w:sz w:val="24"/>
                <w:szCs w:val="24"/>
                <w:highlight w:val="none"/>
              </w:rPr>
            </w:r>
            <w:r/>
          </w:p>
        </w:tc>
      </w:tr>
      <w:tr>
        <w:trPr>
          <w:trHeight w:val="454"/>
        </w:trPr>
        <w:tc>
          <w:tcPr>
            <w:tcW w:w="1031" w:type="dxa"/>
            <w:vAlign w:val="center"/>
            <w:vMerge w:val="continue"/>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空调系统</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办公室与会议室均为独立空调，无中央空调机组。</w:t>
            </w:r>
            <w:r>
              <w:rPr>
                <w:rFonts w:ascii="Times New Roman" w:hAnsi="Times New Roman" w:cs="Times New Roman"/>
                <w:color w:val="000000"/>
                <w:sz w:val="24"/>
                <w:szCs w:val="24"/>
                <w:highlight w:val="none"/>
              </w:rPr>
            </w:r>
            <w:r/>
          </w:p>
        </w:tc>
      </w:tr>
      <w:tr>
        <w:trPr>
          <w:trHeight w:val="454"/>
        </w:trPr>
        <w:tc>
          <w:tcPr>
            <w:tcW w:w="1031" w:type="dxa"/>
            <w:vAlign w:val="center"/>
            <w:vMerge w:val="continue"/>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4"/>
                <w:highlight w:val="none"/>
              </w:rPr>
              <w:t xml:space="preserve">采暖系统</w:t>
            </w:r>
            <w:r>
              <w:rPr>
                <w:rFonts w:ascii="Times New Roman" w:hAnsi="Times New Roman" w:cs="Times New Roman"/>
                <w:color w:val="000000"/>
                <w:sz w:val="24"/>
                <w:szCs w:val="28"/>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无</w:t>
            </w:r>
            <w:r>
              <w:rPr>
                <w:rFonts w:ascii="Times New Roman" w:hAnsi="Times New Roman" w:cs="Times New Roman"/>
                <w:color w:val="000000"/>
                <w:sz w:val="24"/>
                <w:szCs w:val="24"/>
                <w:highlight w:val="none"/>
              </w:rPr>
            </w:r>
            <w:r/>
          </w:p>
        </w:tc>
      </w:tr>
      <w:tr>
        <w:trPr>
          <w:trHeight w:val="707"/>
        </w:trPr>
        <w:tc>
          <w:tcPr>
            <w:tcW w:w="1031" w:type="dxa"/>
            <w:vAlign w:val="center"/>
            <w:vMerge w:val="continue"/>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给排水系统</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无</w:t>
            </w:r>
            <w:r>
              <w:rPr>
                <w:rFonts w:ascii="Times New Roman" w:hAnsi="Times New Roman" w:cs="Times New Roman"/>
                <w:color w:val="000000"/>
                <w:sz w:val="24"/>
                <w:szCs w:val="24"/>
                <w:highlight w:val="none"/>
              </w:rPr>
            </w:r>
            <w:r/>
          </w:p>
        </w:tc>
      </w:tr>
      <w:tr>
        <w:trPr>
          <w:trHeight w:val="454"/>
        </w:trPr>
        <w:tc>
          <w:tcPr>
            <w:tcW w:w="1031" w:type="dxa"/>
            <w:vAlign w:val="center"/>
            <w:vMerge w:val="continue"/>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消防系统</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消火栓2套，灭火器、灭火毯若干，自动报警系统等，有专业维养队伍。</w:t>
            </w:r>
            <w:r>
              <w:rPr>
                <w:rFonts w:ascii="Times New Roman" w:hAnsi="Times New Roman" w:cs="Times New Roman"/>
                <w:color w:val="000000"/>
                <w:sz w:val="24"/>
                <w:szCs w:val="24"/>
                <w:highlight w:val="none"/>
              </w:rPr>
            </w:r>
            <w:r/>
          </w:p>
        </w:tc>
      </w:tr>
      <w:tr>
        <w:trPr>
          <w:trHeight w:val="454"/>
        </w:trPr>
        <w:tc>
          <w:tcPr>
            <w:tcW w:w="1031" w:type="dxa"/>
            <w:vAlign w:val="center"/>
            <w:vMerge w:val="continue"/>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锅炉设备</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无</w:t>
            </w:r>
            <w:r>
              <w:rPr>
                <w:rFonts w:ascii="Times New Roman" w:hAnsi="Times New Roman" w:cs="Times New Roman"/>
                <w:color w:val="000000"/>
                <w:sz w:val="24"/>
                <w:szCs w:val="24"/>
                <w:highlight w:val="none"/>
              </w:rPr>
            </w:r>
            <w:r/>
          </w:p>
        </w:tc>
      </w:tr>
      <w:tr>
        <w:trPr>
          <w:trHeight w:val="454"/>
        </w:trPr>
        <w:tc>
          <w:tcPr>
            <w:tcW w:w="1031" w:type="dxa"/>
            <w:vAlign w:val="center"/>
            <w:vMerge w:val="continue"/>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安防系统</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每层办公区域走道间两端各安装一个摄像头，共计4个监控设备。</w:t>
            </w:r>
            <w:r>
              <w:rPr>
                <w:rFonts w:ascii="Times New Roman" w:hAnsi="Times New Roman" w:cs="Times New Roman"/>
                <w:color w:val="000000"/>
                <w:sz w:val="24"/>
                <w:szCs w:val="24"/>
                <w:highlight w:val="none"/>
              </w:rPr>
            </w:r>
            <w:r/>
          </w:p>
        </w:tc>
      </w:tr>
      <w:tr>
        <w:trPr>
          <w:trHeight w:val="454"/>
        </w:trPr>
        <w:tc>
          <w:tcPr>
            <w:tcW w:w="1031" w:type="dxa"/>
            <w:vAlign w:val="center"/>
            <w:vMerge w:val="continue"/>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照明系统</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办公场所均为吸顶灯。</w:t>
            </w:r>
            <w:r>
              <w:rPr>
                <w:rFonts w:ascii="Times New Roman" w:hAnsi="Times New Roman" w:cs="Times New Roman"/>
                <w:color w:val="000000"/>
                <w:sz w:val="24"/>
                <w:szCs w:val="24"/>
                <w:highlight w:val="none"/>
              </w:rPr>
            </w:r>
            <w:r/>
          </w:p>
        </w:tc>
      </w:tr>
      <w:tr>
        <w:trPr>
          <w:trHeight w:val="573"/>
        </w:trPr>
        <w:tc>
          <w:tcPr>
            <w:tcW w:w="1031" w:type="dxa"/>
            <w:vAlign w:val="center"/>
            <w:vMerge w:val="continue"/>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222"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供配电系统</w:t>
            </w:r>
            <w:r>
              <w:rPr>
                <w:rFonts w:ascii="Times New Roman" w:hAnsi="Times New Roman" w:cs="Times New Roman"/>
                <w:color w:val="000000"/>
                <w:sz w:val="24"/>
                <w:szCs w:val="24"/>
                <w:highlight w:val="none"/>
              </w:rPr>
            </w:r>
            <w:r/>
          </w:p>
        </w:tc>
        <w:tc>
          <w:tcPr>
            <w:tcW w:w="4536" w:type="dxa"/>
            <w:vAlign w:val="center"/>
            <w:textDirection w:val="lrTb"/>
            <w:noWrap w:val="false"/>
          </w:tcPr>
          <w:p>
            <w:pPr>
              <w:pStyle w:val="898"/>
              <w:spacing w:line="3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无</w:t>
            </w:r>
            <w:r>
              <w:rPr>
                <w:rFonts w:ascii="Times New Roman" w:hAnsi="Times New Roman" w:cs="Times New Roman"/>
                <w:color w:val="000000"/>
                <w:sz w:val="24"/>
                <w:szCs w:val="24"/>
                <w:highlight w:val="none"/>
              </w:rPr>
            </w:r>
            <w:r/>
          </w:p>
        </w:tc>
      </w:tr>
    </w:tbl>
    <w:p>
      <w:pPr>
        <w:pStyle w:val="903"/>
        <w:rPr>
          <w:rFonts w:ascii="Times New Roman"/>
          <w:color w:val="000000"/>
          <w:highlight w:val="none"/>
        </w:rPr>
      </w:pPr>
      <w:r>
        <w:rPr>
          <w:rFonts w:ascii="Times New Roman"/>
          <w:color w:val="000000"/>
          <w:highlight w:val="none"/>
        </w:rPr>
        <w:t xml:space="preserve">1.1.2</w:t>
      </w:r>
      <w:r>
        <w:rPr>
          <w:rFonts w:ascii="Times New Roman"/>
          <w:color w:val="000000"/>
          <w:highlight w:val="none"/>
        </w:rPr>
        <w:t xml:space="preserve"> </w:t>
      </w:r>
      <w:r>
        <w:rPr>
          <w:rFonts w:ascii="Times New Roman"/>
          <w:color w:val="000000"/>
          <w:highlight w:val="none"/>
        </w:rPr>
        <w:t xml:space="preserve">食堂</w:t>
      </w:r>
      <w:r>
        <w:rPr>
          <w:rFonts w:ascii="Times New Roman"/>
          <w:color w:val="000000"/>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江苏省水文科普园食堂面积949.40平方米，主要为采购方职工及相关人员日常就餐场所。</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食堂分上下两层，第一层包含</w:t>
      </w:r>
      <w:bookmarkStart w:id="178" w:name="_Hlk213706091"/>
      <w:r>
        <w:rPr>
          <w:rFonts w:ascii="Times New Roman" w:hAnsi="Times New Roman" w:cs="Times New Roman"/>
          <w:color w:val="000000"/>
          <w:sz w:val="24"/>
          <w:szCs w:val="24"/>
          <w:highlight w:val="none"/>
        </w:rPr>
        <w:t xml:space="preserve">大厅、前台、厨房、办公室、仓库</w:t>
      </w:r>
      <w:bookmarkEnd w:id="178"/>
      <w:r>
        <w:rPr>
          <w:rFonts w:ascii="Times New Roman" w:hAnsi="Times New Roman" w:cs="Times New Roman"/>
          <w:color w:val="000000"/>
          <w:sz w:val="24"/>
          <w:szCs w:val="24"/>
          <w:highlight w:val="none"/>
        </w:rPr>
        <w:t xml:space="preserve">、卫生间和其他公共区域。其中大厅约200平方米，配备10张圆桌，餐椅若干，可同时容纳80-100人就餐。厨房占地约100平方米，配有猛火灶台、操作台、冰柜、消毒柜、蒸饭车等一套餐厨设备，同时安装燃气泄露预警装置，配备灭火毯、灭火器等消防设施。仓库占地约20平方米，一般存放食用油、干调等物资。第二层包含4个房间，2个配菜间，可同时容纳40-60人就餐。</w:t>
      </w:r>
      <w:r>
        <w:rPr>
          <w:rFonts w:ascii="Times New Roman" w:hAnsi="Times New Roman" w:cs="Times New Roman"/>
          <w:color w:val="000000"/>
          <w:sz w:val="24"/>
          <w:szCs w:val="24"/>
          <w:highlight w:val="none"/>
        </w:rPr>
      </w:r>
      <w:r/>
    </w:p>
    <w:p>
      <w:pPr>
        <w:pStyle w:val="903"/>
        <w:rPr>
          <w:rFonts w:ascii="Times New Roman"/>
          <w:color w:val="000000"/>
          <w:highlight w:val="none"/>
        </w:rPr>
      </w:pPr>
      <w:r>
        <w:rPr>
          <w:rFonts w:ascii="Times New Roman"/>
          <w:color w:val="000000"/>
          <w:highlight w:val="none"/>
        </w:rPr>
        <w:t xml:space="preserve">1.1.3</w:t>
      </w:r>
      <w:r>
        <w:rPr>
          <w:rFonts w:ascii="Times New Roman"/>
          <w:color w:val="000000"/>
          <w:highlight w:val="none"/>
        </w:rPr>
        <w:t xml:space="preserve"> </w:t>
      </w:r>
      <w:r>
        <w:rPr>
          <w:rFonts w:ascii="Times New Roman"/>
          <w:color w:val="000000"/>
          <w:highlight w:val="none"/>
        </w:rPr>
        <w:t xml:space="preserve">水文综合服务楼</w:t>
      </w:r>
      <w:r>
        <w:rPr>
          <w:rFonts w:ascii="Times New Roman"/>
          <w:color w:val="000000"/>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水文综合服务楼总面积1284.07平方米，主要承担系统内部人员会务住宿，年入住约60次左右。</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服务楼外部由面砖和玻璃幕墙组成，内部分为四层，地下一层，地上三层，包含16个房间和1个会议室，可同时接纳30人入住。其中一楼楼梯旁的房间为值班室，其余15个房间均为客房，每个房间都配备床品，茶几，书桌等客房家具，有独立卫生间。三楼有会议室一间，占地约68.8平方米。整个服务楼采用中央空调调节室温，采用屋面太阳能热水器提供热水。</w:t>
      </w:r>
      <w:r>
        <w:rPr>
          <w:rFonts w:ascii="Times New Roman" w:hAnsi="Times New Roman" w:cs="Times New Roman"/>
          <w:color w:val="000000"/>
          <w:sz w:val="24"/>
          <w:szCs w:val="24"/>
          <w:highlight w:val="none"/>
        </w:rPr>
      </w:r>
      <w:r/>
    </w:p>
    <w:p>
      <w:pPr>
        <w:pStyle w:val="903"/>
        <w:rPr>
          <w:rFonts w:ascii="Times New Roman"/>
          <w:color w:val="000000"/>
          <w:highlight w:val="none"/>
        </w:rPr>
      </w:pPr>
      <w:r>
        <w:rPr>
          <w:rFonts w:ascii="Times New Roman"/>
          <w:color w:val="000000"/>
          <w:highlight w:val="none"/>
        </w:rPr>
        <w:t xml:space="preserve">1.1.4</w:t>
      </w:r>
      <w:r>
        <w:rPr>
          <w:rFonts w:ascii="Times New Roman"/>
          <w:color w:val="000000"/>
          <w:highlight w:val="none"/>
        </w:rPr>
        <w:t xml:space="preserve"> </w:t>
      </w:r>
      <w:r>
        <w:rPr>
          <w:rFonts w:ascii="Times New Roman"/>
          <w:color w:val="000000"/>
          <w:highlight w:val="none"/>
        </w:rPr>
        <w:t xml:space="preserve">附属绿化</w:t>
      </w:r>
      <w:r>
        <w:rPr>
          <w:rFonts w:ascii="Times New Roman"/>
          <w:color w:val="000000"/>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附属绿化总面积600平方米，主要分布在食堂周边和服务楼入口。</w:t>
      </w:r>
      <w:r>
        <w:rPr>
          <w:rFonts w:ascii="Times New Roman" w:hAnsi="Times New Roman" w:cs="Times New Roman"/>
          <w:color w:val="000000"/>
          <w:sz w:val="24"/>
          <w:szCs w:val="24"/>
          <w:highlight w:val="none"/>
        </w:rPr>
      </w:r>
      <w:r/>
    </w:p>
    <w:p>
      <w:pPr>
        <w:pStyle w:val="902"/>
        <w:rPr>
          <w:rFonts w:cs="Times New Roman"/>
          <w:color w:val="000000"/>
          <w:highlight w:val="none"/>
        </w:rPr>
      </w:pPr>
      <w:r>
        <w:rPr>
          <w:rFonts w:cs="Times New Roman"/>
          <w:color w:val="000000"/>
          <w:highlight w:val="none"/>
        </w:rPr>
        <w:t xml:space="preserve">1.2 管理范围及内容</w:t>
      </w:r>
      <w:r>
        <w:rPr>
          <w:rFonts w:cs="Times New Roman"/>
          <w:color w:val="000000"/>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（1）负责本物业管理范围内24小时消防通道畅通管理，公共秩序维护，机动车和非机动车引导停放及调度管理。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（2）负责本物业管理范围内（含室内非机电设备设施、给排水系统、楼层配电系统、室内外照明、通风设备系统、空调主机、消防系统、监控系统等）的日常运行管理和维护保养。</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（3）负责本物业管理范围内24小时门卫、守护和巡逻，治安和突发事件处理，防盗和安全保安维护以及公共秩序管理。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负责江苏水文档案馆2-3楼的办公区、会议区、公共区域，食堂1楼的大厅、前台、厨房、办公室、仓库、卫生间，食堂2楼的配餐室、包间、卫生间，水文综合服务楼的单间、标准间、值班室、会议室、卫生间及所有公共场所和楼宇外墙的日常保洁、除异味；废弃物清理；垃圾分类处理；除“四害”消毒杀菌等卫生管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负责本物业管理范围内所配套的服务设备设施（除上述所涵盖内容之外）的日常管理、维护保养、故障维修和定期检查。协助和配合好专业设备维保单位的工作，接受相关行业主管单位的指导、监督等工作的联系和管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（6）负责食堂油烟管道的定期清洗。</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（7）负责本物业服务范围内的蚊虫定期消杀。</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（8）负责本物业管理范围内的会议室会务服务。</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9）负责水文综合服务楼的客房服务。对每个房间进行日常清扫、床品更换、卫生间清洁消毒。定期清运垃圾，清洁客房楼层走廊，清洗窗帘、地毯，处理客房异味，特殊区域消毒。及时进行物品配置（如饮用水、洗漱用品）。</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（10）负责本物业管理范围内相关活动的迎宾、展板和悬挂条幅的管理，花草、树木、绿地的日常养护和管理。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（11）负责本物业管理范围内的物业档案资料的收集保存管理（如各岗位值班、设备维修、保养记录及配电、消防台账、节能减排台账、垃圾分类台账等）。</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（12）负责本物业管理范围内的治安保安、防火防盗、灭火救援、清扫雨雪等工作及严格规范的应急、应对各类突发事件的保障体系管理。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（13）负责本物业管理范围内的各类下水道、污水井管的通畅保障，“门前三包”和垃圾清运工作。</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（14）按时抄取院落内水、电表读数并核查有无异常，同时将《水电抄表记录》和《水电消耗月报表》提交给采购方。</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（15）采购方因工作需要，除完成常规工作以外需要额外人员加班或值班的，采购方根据内部管理规定进行费用补贴并结算。</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（16）负责本物业管理范围内未尽注明的其他工作事项。</w:t>
      </w:r>
      <w:r>
        <w:rPr>
          <w:rFonts w:ascii="Times New Roman" w:hAnsi="Times New Roman" w:cs="Times New Roman"/>
          <w:color w:val="000000"/>
          <w:sz w:val="24"/>
          <w:szCs w:val="24"/>
          <w:highlight w:val="none"/>
        </w:rPr>
      </w:r>
      <w:r/>
    </w:p>
    <w:p>
      <w:pPr>
        <w:pStyle w:val="902"/>
        <w:rPr>
          <w:rFonts w:cs="Times New Roman"/>
          <w:color w:val="000000"/>
          <w:highlight w:val="none"/>
        </w:rPr>
      </w:pPr>
      <w:r>
        <w:rPr>
          <w:rFonts w:cs="Times New Roman"/>
          <w:color w:val="000000"/>
          <w:highlight w:val="none"/>
        </w:rPr>
        <w:t xml:space="preserve">1.3 管理标准与服务质量要求</w:t>
      </w:r>
      <w:r>
        <w:rPr>
          <w:rFonts w:cs="Times New Roman"/>
          <w:color w:val="000000"/>
          <w:highlight w:val="none"/>
        </w:rPr>
      </w:r>
      <w:r/>
    </w:p>
    <w:p>
      <w:pPr>
        <w:pStyle w:val="903"/>
        <w:rPr>
          <w:rFonts w:ascii="Times New Roman"/>
          <w:color w:val="000000"/>
          <w:highlight w:val="none"/>
        </w:rPr>
      </w:pPr>
      <w:r>
        <w:rPr>
          <w:rFonts w:ascii="Times New Roman"/>
          <w:color w:val="000000"/>
          <w:highlight w:val="none"/>
        </w:rPr>
        <w:t xml:space="preserve">1.3.1</w:t>
      </w:r>
      <w:r>
        <w:rPr>
          <w:rFonts w:ascii="Times New Roman"/>
          <w:color w:val="000000"/>
          <w:highlight w:val="none"/>
        </w:rPr>
        <w:t xml:space="preserve"> </w:t>
      </w:r>
      <w:r>
        <w:rPr>
          <w:rFonts w:ascii="Times New Roman"/>
          <w:color w:val="000000"/>
          <w:highlight w:val="none"/>
        </w:rPr>
        <w:t xml:space="preserve">综合管理</w:t>
      </w:r>
      <w:r>
        <w:rPr>
          <w:rFonts w:ascii="Times New Roman"/>
          <w:color w:val="000000"/>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（1）成交供应商在本次中标“合同”的服务项目中，按照实际情况和管理要求配备相应工作人员。</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（2）所有工作人员须统一着装，仪表整洁，挂牌上岗；相关技术工种所配置的人员须按照有关规定取得相应岗位技术证书或上岗证书，方可挂牌上岗。</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（3）负责制订管理与服务工作计划并组织实施，每季度应向采购方（管理部门）报告1次计划实施情况。</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（4）负责确定配电、消防等岗位的值班制度和交接班制度；各岗位与责任区按照物业管理规范定时进行工作记录；建立各岗位管理制度和考核制度；服务场所公示办事制度和规章。</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（5）负责24小时受理采购方或使用人的房屋内设施的报修事项，急修15分钟到达现场察看处理，一般维修任务不超过24小时；建立报修、维修和回访记录，确保设施完好和正常使用。</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（6）负责建立健全物业管理档案和采购方移交的物业竣工验收档案、设备管理档案及委托管理期间档案等物业管理服务资料。</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（7）负责在物管服务中，对采购方或使用人的投诉应在二天内给予答复处理，并采取多种形式进行友好沟通，服务不到位或不足之处应及时进行有效整改，不断完善服务质量和提高服务水平。</w:t>
      </w:r>
      <w:r>
        <w:rPr>
          <w:rFonts w:ascii="Times New Roman" w:hAnsi="Times New Roman" w:cs="Times New Roman"/>
          <w:color w:val="000000"/>
          <w:sz w:val="24"/>
          <w:szCs w:val="24"/>
          <w:highlight w:val="none"/>
        </w:rPr>
      </w:r>
      <w:r/>
    </w:p>
    <w:p>
      <w:pPr>
        <w:pStyle w:val="903"/>
        <w:rPr>
          <w:rFonts w:ascii="Times New Roman"/>
          <w:color w:val="000000"/>
          <w:highlight w:val="none"/>
        </w:rPr>
      </w:pPr>
      <w:r>
        <w:rPr>
          <w:rFonts w:ascii="Times New Roman"/>
          <w:color w:val="000000"/>
          <w:highlight w:val="none"/>
        </w:rPr>
        <w:t xml:space="preserve">1.3.2 秩序维护</w:t>
      </w:r>
      <w:r>
        <w:rPr>
          <w:rFonts w:ascii="Times New Roman"/>
          <w:color w:val="000000"/>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安全保卫人员，须选派身体健康，工作认真负责，具有一定处理突发事件的经验与能力，接受过安全技能训练（专项培训、岗中持续培训），并具有较强的安全防范技能，能正确使用各类消防、物防、技防设备和器材能力的安全保卫人员。</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对服务范围内的设备、物品负有防盗、防窃、进行保护的责任，门岗24小时值班、巡视，能熟练掌握业主方主要人员的基本情况，包括姓名、特征、车辆等，物业服务范围内所有车辆行驶和停放秩序的管理服务。</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（3）按照要求负责监控室管理，并按采购方的规定对监控数据进行管理，保证监控数据时间上的连续性。</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对服务范围内的消防安全进行巡查管理，掌握消防监控、电梯报警对讲等设施设备的操作程序，配合聘请专业消防经理人并负责大楼的消防安全检查，按照消防部门的规定履行消防安全方面的检查、宣传、演练等工作。</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（5）法定节假日期间加强巡逻防范，保证服务区域的安全和稳定，防止意外事件发生。善于发现各种事故隐患和可疑人员，并能及时正确处理各种突发事件，遇有疑难时及时报告。</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在出入口对外来人员及其携带大件物品、外来车辆进行询问和记录，并与相关部门取得联系，同意后方可进入。做好来访人员、车辆进出证件登记，及时通报。严禁无关人员、可疑人员和危险物品进入办公楼（区）内。准确填写各种表格、记录，《车辆出入登记表》、《人员出入登记》、《值班日志》等记录填写清楚、准确，无漏填、漏项；门卫室清洁整齐，各项文件、记录存放有序。</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（7）听从指挥，服从管理；完成好采购方交办的其他工作。</w:t>
      </w:r>
      <w:r>
        <w:rPr>
          <w:rFonts w:ascii="Times New Roman" w:hAnsi="Times New Roman" w:cs="Times New Roman"/>
          <w:color w:val="000000"/>
          <w:sz w:val="24"/>
          <w:szCs w:val="24"/>
          <w:highlight w:val="none"/>
        </w:rPr>
      </w:r>
      <w:r/>
    </w:p>
    <w:p>
      <w:pPr>
        <w:pStyle w:val="903"/>
        <w:rPr>
          <w:rFonts w:ascii="Times New Roman"/>
          <w:color w:val="000000"/>
          <w:highlight w:val="none"/>
        </w:rPr>
      </w:pPr>
      <w:r>
        <w:rPr>
          <w:rFonts w:ascii="Times New Roman"/>
          <w:color w:val="000000"/>
          <w:highlight w:val="none"/>
        </w:rPr>
        <w:t xml:space="preserve">1.3.3 保洁服务</w:t>
      </w:r>
      <w:r>
        <w:rPr>
          <w:rFonts w:ascii="Times New Roman"/>
          <w:color w:val="000000"/>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（1）建立健全环境卫生保洁管理制度，负责常规项目保洁，实行规范化的清扫保洁标准，配齐备全各种环卫保洁设备及用具，明确责任落实到人。</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（2）公共通道保持干净，保洁服务总体做到无垃圾、无杂物、无积水、无污渍、无异味、无积灰、无虫害、无污染、无破损、无践踏、无占用现象，每日至少开展1-2次清洁作业，确保保洁质量的控制标准。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（3）定期清洁江苏水文档案馆办公区、会议区、公共区、食堂及水文综合服务楼的门窗玻璃，保证玻璃无明显污迹等。配合各类卫生检查工作，按要求做好保洁工作。</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（4）对所管辖区域内公共场所和周围环境要定期进行预防性消毒杀菌除“四害”，严格控制室内外蚊虫孳生，垃圾实行袋装化并及时清运，确保环境卫生整洁。</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（5）对物业服务范围内的卫生间每日清扫1-2次，及时更换卫生用纸及擦手纸，保证卫生间无异味，无水渍，洗手台台面无尘、无水渍。</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（5）服务楼幕墙外立面保洁（每年1次），从事幕墙清洗人员必须全部经过专业技术培训，并持有国家认可的高空作业证书方可进行工作，此外工作使用的工具、保险用具也必须有相应的安全检测合格证书。</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须安排专人检查监督公共区域大厅、走廊、楼梯、扶手、会议室、电源开关插座、茶水间、地下室、天台、内外墙面、停车场、道路的保洁质量，所有公共区域不得杂物堆放，无废弃物、污渍，保持清洁，卫生间洁净无异味，应达到基本无虫蝇。</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在指定位置摆放分类垃圾桶，并在显著处张贴垃圾分类标识。分类垃圾桶和垃圾分类标识根据所在城市的要求设置。桶身表面干净无污渍，每日开展至少1次清洁作业。每个工作日内要对楼层产生的垃圾，进行清理分类，并运至垃圾集中堆放点。</w:t>
      </w:r>
      <w:r>
        <w:rPr>
          <w:rFonts w:ascii="Times New Roman" w:hAnsi="Times New Roman" w:cs="Times New Roman"/>
          <w:color w:val="000000"/>
          <w:sz w:val="24"/>
          <w:szCs w:val="24"/>
          <w:highlight w:val="none"/>
        </w:rPr>
      </w:r>
      <w:r/>
    </w:p>
    <w:p>
      <w:pPr>
        <w:pStyle w:val="903"/>
        <w:rPr>
          <w:rFonts w:ascii="Times New Roman"/>
          <w:color w:val="000000"/>
          <w:highlight w:val="none"/>
        </w:rPr>
      </w:pPr>
      <w:r>
        <w:rPr>
          <w:rFonts w:ascii="Times New Roman"/>
          <w:color w:val="000000"/>
          <w:highlight w:val="none"/>
        </w:rPr>
        <w:t xml:space="preserve">1.3.4 会议服务</w:t>
      </w:r>
      <w:r>
        <w:rPr>
          <w:rFonts w:ascii="Times New Roman"/>
          <w:color w:val="000000"/>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（1）会场内所有地面、桌面、墙面要定期保洁，确保接待室和会议室内地面干净、无尘。会前、会中、会后卫生间及过道需要及时打扫。完成采购方交办的其他保洁事务。</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（2）会前：根据会议通知调整会议室布局、座位摆放、台布摆放、席卡规范等。根据会议要求，门口摆放会议指示牌，引导牌。场地布置、设备调试检查、茶水准备。</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（3）会后：检查会场有无遗漏物品，清洁复位、设备归位、电源关闭并锁好会议室门。定期的消毒杀菌，确保会议室卫生状况达到良好状态。</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（4）服务人员在工作过程中，应做到举止端庄稳重，落落大方，优雅自然。</w:t>
      </w:r>
      <w:r>
        <w:rPr>
          <w:rFonts w:ascii="Times New Roman" w:hAnsi="Times New Roman" w:cs="Times New Roman"/>
          <w:color w:val="000000"/>
          <w:sz w:val="24"/>
          <w:szCs w:val="24"/>
          <w:highlight w:val="none"/>
        </w:rPr>
      </w:r>
      <w:r/>
    </w:p>
    <w:p>
      <w:pPr>
        <w:pStyle w:val="903"/>
        <w:rPr>
          <w:rFonts w:ascii="Times New Roman"/>
          <w:color w:val="000000"/>
          <w:highlight w:val="none"/>
        </w:rPr>
      </w:pPr>
      <w:r>
        <w:rPr>
          <w:rFonts w:ascii="Times New Roman"/>
          <w:color w:val="000000"/>
          <w:highlight w:val="none"/>
        </w:rPr>
        <w:t xml:space="preserve">1.3.5 客房服务</w:t>
      </w:r>
      <w:r>
        <w:rPr>
          <w:rFonts w:ascii="Times New Roman"/>
          <w:color w:val="000000"/>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（1）清洁标准：明确清洁流程，一客一换，清洁工具分区使用，卫生指标达标。</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（2）服务时效：客人退房2小时后及时更换床品并清洁。对客诉做到15分钟内响应，2小时内解决。</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（3）人员规范：服务人员需持健康证、仪容仪表整洁、沟通文明，无不良从业记录。</w:t>
      </w:r>
      <w:r>
        <w:rPr>
          <w:rFonts w:ascii="Times New Roman" w:hAnsi="Times New Roman" w:cs="Times New Roman"/>
          <w:color w:val="000000"/>
          <w:sz w:val="24"/>
          <w:szCs w:val="24"/>
          <w:highlight w:val="none"/>
        </w:rPr>
      </w:r>
      <w:r/>
    </w:p>
    <w:p>
      <w:pPr>
        <w:pStyle w:val="903"/>
        <w:rPr>
          <w:rFonts w:ascii="Times New Roman"/>
          <w:color w:val="000000"/>
          <w:highlight w:val="none"/>
        </w:rPr>
      </w:pPr>
      <w:r>
        <w:rPr>
          <w:rFonts w:ascii="Times New Roman"/>
          <w:color w:val="000000"/>
          <w:highlight w:val="none"/>
        </w:rPr>
        <w:t xml:space="preserve">1.3.6 设施设备的养护和管理</w:t>
      </w:r>
      <w:r>
        <w:rPr>
          <w:rFonts w:ascii="Times New Roman"/>
          <w:color w:val="000000"/>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负责对所管辖区域内所有设施设备的日常运行管理与维护（由采购方委托专业维保单位及其他承包商负责的除外），运行管理相关人员必须持有资质证书或培训证书方可持证上岗，确保工程设施、设备的正常使用、运行，协调维保工作，负责随工监理，重大节假日及恶劣天气前后，组织系统巡检1次。总体做到养护妥善、运行正常、保障供给、应急有力。 </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（2）供电系统日常管理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建立24小时运行值班监控制度</w:t>
      </w:r>
      <w:r>
        <w:rPr>
          <w:rFonts w:ascii="Times New Roman" w:hAnsi="Times New Roman" w:cs="Times New Roman"/>
          <w:color w:val="000000"/>
          <w:sz w:val="24"/>
          <w:szCs w:val="24"/>
          <w:highlight w:val="none"/>
        </w:rPr>
        <w:t xml:space="preserve">，及时排除故障，对供电范围内的电气设备定期巡视维护，做好巡查、值班记录，保证配电房常用设备完好，供电系统正常运行。建立严格的配送电运行制度、电气维修制度和配电房管理制度、供电和维修人员必须持证上岗制度。公共使用的照明、指示灯具线路、开关、接地等保持完好，确保用电安全。核心部位用电建立高可控用电保障和配备应急发电设备，定期维护应急发电设备。发生非计划性停电的，应当在事件发生后及时通知采购方，快速恢复或启用应急电源，并做好应急事件上报及处理工作。复杂故障涉及供电部门维修处置的及时与供电部门联系，并向采购方报告。</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（3）空调系统日常管理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要建立空调运行管理制度和安全操作规程，保证空调系统机泵、新风机组及盘管风机等设备安全运行和正常使用。负责中央空调系统安全运行操作及值班维护，所有机泵、阀门、新风机组、盘管风机等设施的维修养护。制冷、供暖系统温度设定及启用时间符合节能要求。空调系统出现运行故障后，及时报修。</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（4）消防系统设施维护</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建立消防安全责任制，确定各级消防安全责任人及其职责。消防控制室实行24小时值班制度，每班不少于2人。按期排查消防隐患，确保消火栓、应急照明、应急物资、消防及人员逃生通道、消防车通道可随时正常使用。易燃易爆品设专区专人管理，做好相关记录。定期组织消防安全宣传，每半年至少开展1次消防演练。定时协助和督促消防专业维保单位做好消防系统的定期常规保养，做好设备运行、日常维护、检修的登记台帐。</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（5）给排水系统日常管理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每月负责巡检供水管网、排水管网及水龙头、开关、接头等，保证供水的正常使用，及时处理突发事件，确保给排水管道、通风管道、消防设备、室外排水管道正常运行，无跑、冒、滴、漏现象。做好设备运行、日常维护、检修的登记台帐。遇供水单位限水、停水，按规定时间通知采购方。</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（6）食堂厨房设备及油烟管道等维护</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负责定期清洗厨房设备及油烟管道。清洗设备应具备较好性能，保证清洗效果。选择环保性好、腐蚀性低的清洁剂。清洗人员应具备专业技能和知识及相关培训和认证要求。作业过程中需佩戴防护装备，现场安排专人安全管理，保障人员和场所安全。厨房设备每日清洗维护，油烟管道每年2次清洗维护。</w:t>
      </w:r>
      <w:r>
        <w:rPr>
          <w:rFonts w:ascii="Times New Roman" w:hAnsi="Times New Roman" w:cs="Times New Roman"/>
          <w:color w:val="000000"/>
          <w:sz w:val="24"/>
          <w:szCs w:val="24"/>
          <w:highlight w:val="none"/>
        </w:rPr>
      </w:r>
      <w:r/>
    </w:p>
    <w:p>
      <w:pPr>
        <w:pStyle w:val="903"/>
        <w:rPr>
          <w:rFonts w:ascii="Times New Roman"/>
          <w:color w:val="000000"/>
          <w:highlight w:val="none"/>
        </w:rPr>
      </w:pPr>
      <w:r>
        <w:rPr>
          <w:rFonts w:ascii="Times New Roman"/>
          <w:color w:val="000000"/>
          <w:highlight w:val="none"/>
        </w:rPr>
        <w:t xml:space="preserve">1.3.7 公共区域绿化维护及办公环境提升服务保障</w:t>
      </w:r>
      <w:r>
        <w:rPr>
          <w:rFonts w:ascii="Times New Roman"/>
          <w:color w:val="000000"/>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负责对所管辖范围内的花卉、草坪、植物养护和蚊虫消杀。定期更新修剪公共区域树木、花卉等，灌乔木生长正常、造型美观自然、花枝新鲜，无枯叶、无病虫、无死树缺株。负责日常花卉的养护管理，及时做好花卉修枝、整型、施肥、浇水、治虫、修剪、换盆等工作；本物业管理范围内花卉的养护，定期调换；确保花卉鲜艳生长旺盛，避免花木枯萎、冻死。负责采购方交办的其它有关工作。</w:t>
      </w:r>
      <w:r>
        <w:rPr>
          <w:rFonts w:ascii="Times New Roman" w:hAnsi="Times New Roman" w:cs="Times New Roman"/>
          <w:color w:val="000000"/>
          <w:sz w:val="24"/>
          <w:szCs w:val="24"/>
          <w:highlight w:val="none"/>
        </w:rPr>
      </w:r>
      <w:r/>
    </w:p>
    <w:p>
      <w:pPr>
        <w:pStyle w:val="903"/>
        <w:rPr>
          <w:rFonts w:ascii="Times New Roman"/>
          <w:color w:val="000000"/>
          <w:highlight w:val="none"/>
        </w:rPr>
      </w:pPr>
      <w:r>
        <w:rPr>
          <w:rFonts w:ascii="Times New Roman"/>
          <w:color w:val="000000"/>
          <w:highlight w:val="none"/>
        </w:rPr>
        <w:t xml:space="preserve">1.3.8 水电维修服务</w:t>
      </w:r>
      <w:r>
        <w:rPr>
          <w:rFonts w:ascii="Times New Roman"/>
          <w:color w:val="000000"/>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负责处理各类报修事项（照明故障、管道漏水、空调异常等），做到随叫随到，半小时内能到达现场，小修当天完成，大修不得超过三天（根据采购方要求进行落实）。</w:t>
      </w:r>
      <w:r>
        <w:rPr>
          <w:rFonts w:ascii="Times New Roman" w:hAnsi="Times New Roman" w:cs="Times New Roman"/>
          <w:color w:val="000000"/>
          <w:sz w:val="24"/>
          <w:szCs w:val="24"/>
          <w:highlight w:val="none"/>
        </w:rPr>
      </w:r>
      <w:r/>
    </w:p>
    <w:p>
      <w:pPr>
        <w:pStyle w:val="901"/>
        <w:rPr>
          <w:b/>
          <w:bCs/>
          <w:color w:val="000000"/>
          <w:highlight w:val="none"/>
        </w:rPr>
      </w:pPr>
      <w:r>
        <w:rPr>
          <w:color w:val="000000"/>
          <w:highlight w:val="none"/>
        </w:rPr>
        <w:t xml:space="preserve">2.</w:t>
      </w:r>
      <w:r>
        <w:rPr>
          <w:b/>
          <w:bCs/>
          <w:color w:val="000000"/>
          <w:highlight w:val="none"/>
        </w:rPr>
        <w:t xml:space="preserve">后勤服务</w:t>
      </w:r>
      <w:r>
        <w:rPr>
          <w:b/>
          <w:bCs/>
          <w:color w:val="000000"/>
          <w:highlight w:val="none"/>
        </w:rPr>
      </w:r>
      <w:r/>
    </w:p>
    <w:p>
      <w:pPr>
        <w:pStyle w:val="902"/>
        <w:rPr>
          <w:rFonts w:cs="Times New Roman"/>
          <w:color w:val="000000"/>
          <w:highlight w:val="none"/>
        </w:rPr>
      </w:pPr>
      <w:r>
        <w:rPr>
          <w:rFonts w:cs="Times New Roman"/>
          <w:color w:val="000000"/>
          <w:highlight w:val="none"/>
        </w:rPr>
        <w:t xml:space="preserve">2.1 服务范围及内容</w:t>
      </w:r>
      <w:r>
        <w:rPr>
          <w:rFonts w:cs="Times New Roman"/>
          <w:color w:val="000000"/>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服务范围涵盖水文科普园全院落，主要包括食堂供餐服务和垃圾清运服务。一是食堂工作餐和会务接待供餐，法定工作日中午餐，每餐约70人左右，会务接待供餐每年约60次左右。安排厨师保障职工中午工作餐以及会务接待的早、中、晚餐；安排勤杂工辅助完成菜品清洗及食堂用具的清洗工作。二是对水文科普园内所有厨余垃圾、其他垃圾、有害垃圾、油污池和可回收垃圾进行收集清运。</w:t>
      </w:r>
      <w:r>
        <w:rPr>
          <w:rFonts w:ascii="Times New Roman" w:hAnsi="Times New Roman" w:cs="Times New Roman"/>
          <w:color w:val="000000"/>
          <w:sz w:val="24"/>
          <w:szCs w:val="24"/>
          <w:highlight w:val="none"/>
        </w:rPr>
      </w:r>
      <w:r/>
    </w:p>
    <w:p>
      <w:pPr>
        <w:pStyle w:val="902"/>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2.2 服务标准 </w:t>
      </w:r>
      <w:r>
        <w:rPr>
          <w:rFonts w:ascii="Times New Roman" w:hAnsi="Times New Roman" w:cs="Times New Roman"/>
          <w:color w:val="000000"/>
          <w:sz w:val="28"/>
          <w:szCs w:val="28"/>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2.2.1</w:t>
      </w:r>
      <w:r>
        <w:rPr>
          <w:rFonts w:ascii="Times New Roman"/>
          <w:color w:val="000000"/>
          <w:highlight w:val="none"/>
        </w:rPr>
        <w:t xml:space="preserve"> </w:t>
      </w:r>
      <w:r>
        <w:rPr>
          <w:rFonts w:ascii="Times New Roman" w:hAnsi="Times New Roman" w:cs="Times New Roman"/>
          <w:color w:val="000000"/>
          <w:sz w:val="24"/>
          <w:szCs w:val="28"/>
          <w:highlight w:val="none"/>
        </w:rPr>
        <w:t xml:space="preserve">食堂供餐服务</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（1）供餐时间标准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早餐、午餐、晚餐：严格按照采购方规定的开餐时间供应，不得无故延迟或提前结束。</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会务接待餐：根据采购方接待任务要求，提前沟通菜单与开餐时间，确保准时到位。</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（2）厨师工作标准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计划与准备：每周四下班前向采购方提交下一周的食谱草案，经采购方审核后执行。科学配餐，注重营养均衡与口味多样化。</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烹饪制作：严格遵守食品烹饪操作规程，确保食材烧熟煮透，色、香、味俱佳。根据就餐人数合理控制菜品总量，在保障供应的同时，最大限度减少浪费。</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安全卫生：操作前检查食材质量，不使用腐败变质、过期等不合格原料。严格遵守“生熟分开”原则，处理生、熟食品的刀具、砧板、容器必须严格区分，并有明显标识。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（3）勤杂工工作标准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食材清洗：对所有蔬菜、瓜果等进行“一拣、二洗、三浸、四切配” 的规范流程，确保无泥沙、无杂物、无虫卵、无农药残留。肉类、水产品等清洗干净，无血污、无鳞、无内脏残留。</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餐具与用具清洗</w:t>
      </w:r>
      <w:r>
        <w:rPr>
          <w:color w:val="000000"/>
          <w:sz w:val="24"/>
          <w:szCs w:val="24"/>
          <w:highlight w:val="none"/>
        </w:rPr>
        <w:t xml:space="preserve">：</w:t>
      </w:r>
      <w:r>
        <w:rPr>
          <w:rFonts w:ascii="Times New Roman" w:hAnsi="Times New Roman" w:cs="Times New Roman"/>
          <w:color w:val="000000"/>
          <w:sz w:val="24"/>
          <w:szCs w:val="24"/>
          <w:highlight w:val="none"/>
        </w:rPr>
        <w:t xml:space="preserve">执行 “一刮、二洗、三冲、四消毒、五保洁” 流程。餐具必须经有效消毒（物理或化学消毒），消毒后餐具应光洁、干爽、无油渍、无水渍。</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清洗完毕后，必须将操作台、水池、灶具、地面等清理干净，所用工具、容器摆放整齐。</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（4）供餐服务标准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窗口服务：供餐期间，工作人员应佩戴口罩、工作帽及1次性手套，态度热情，服务迅速。</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信息沟通：如遇菜单临时调整或供餐时间变更，须提前至少一日通知采购方管理部门及就餐人员。</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（5）人员配置标准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长期安排1名厨师、2名勤杂工驻场服务。</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2.2.2 垃圾清运服务</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（1）厨余垃圾及其他垃圾，包括餐厨垃圾，工作日每天清运，假期期间清运以采购方通知为准；厨余其他垃圾和其他垃圾，每周至少2次定期清运，法定假期除外。</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（2）有害垃圾，接采购方通知后1天内上门清运，全年清运约1次。</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（3）可回收垃圾，接采购方通知后1天内上门清运，全年清运约1次。</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（4）不定期清运：以采购方通知为准，接采购方通知后4小时内上门清运，单价同各类垃圾单次清运价格。</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b w:val="0"/>
          <w:bCs w:val="0"/>
          <w:color w:val="000000"/>
          <w:sz w:val="24"/>
          <w:szCs w:val="24"/>
          <w:highlight w:val="none"/>
        </w:rPr>
      </w:pPr>
      <w:r>
        <w:rPr>
          <w:rFonts w:ascii="Times New Roman" w:hAnsi="Times New Roman" w:cs="Times New Roman"/>
          <w:b w:val="0"/>
          <w:bCs w:val="0"/>
          <w:color w:val="000000"/>
          <w:sz w:val="24"/>
          <w:szCs w:val="24"/>
          <w:highlight w:val="none"/>
        </w:rPr>
        <w:t xml:space="preserve">（5）滤油池清理：一年4次。</w:t>
      </w:r>
      <w:r>
        <w:rPr>
          <w:rFonts w:ascii="Times New Roman" w:hAnsi="Times New Roman" w:cs="Times New Roman"/>
          <w:b w:val="0"/>
          <w:bCs w:val="0"/>
          <w:color w:val="000000"/>
          <w:sz w:val="24"/>
          <w:szCs w:val="24"/>
          <w:highlight w:val="none"/>
        </w:rPr>
      </w:r>
      <w:r/>
    </w:p>
    <w:p>
      <w:pPr>
        <w:pStyle w:val="898"/>
        <w:ind w:firstLine="480"/>
        <w:spacing w:line="460" w:lineRule="exact"/>
        <w:rPr>
          <w:rFonts w:ascii="Times New Roman" w:hAnsi="Times New Roman" w:cs="Times New Roman"/>
          <w:b w:val="0"/>
          <w:bCs w:val="0"/>
          <w:color w:val="000000"/>
          <w:sz w:val="24"/>
          <w:szCs w:val="24"/>
          <w:highlight w:val="none"/>
        </w:rPr>
      </w:pPr>
      <w:r>
        <w:rPr>
          <w:rFonts w:ascii="Times New Roman" w:hAnsi="Times New Roman" w:cs="Times New Roman"/>
          <w:b w:val="0"/>
          <w:bCs w:val="0"/>
          <w:color w:val="000000"/>
          <w:sz w:val="24"/>
          <w:szCs w:val="24"/>
          <w:highlight w:val="none"/>
        </w:rPr>
        <w:t xml:space="preserve">（6）垃圾清运服务主体应具备属地管理需要的相关资质，餐厨垃圾清运需具备南京市雨花台区城市管理局餐厨废弃物收运许可。</w:t>
      </w:r>
      <w:r>
        <w:rPr>
          <w:rFonts w:ascii="Times New Roman" w:hAnsi="Times New Roman" w:cs="Times New Roman"/>
          <w:b w:val="0"/>
          <w:bCs w:val="0"/>
          <w:color w:val="000000"/>
          <w:sz w:val="24"/>
          <w:szCs w:val="24"/>
          <w:highlight w:val="none"/>
        </w:rPr>
      </w:r>
      <w:r/>
    </w:p>
    <w:p>
      <w:pPr>
        <w:pStyle w:val="902"/>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t xml:space="preserve">2.3</w:t>
      </w:r>
      <w:r>
        <w:rPr>
          <w:rFonts w:cs="Times New Roman"/>
          <w:color w:val="000000"/>
          <w:highlight w:val="none"/>
        </w:rPr>
        <w:t xml:space="preserve"> </w:t>
      </w:r>
      <w:r>
        <w:rPr>
          <w:rFonts w:ascii="Times New Roman" w:hAnsi="Times New Roman" w:cs="Times New Roman"/>
          <w:b/>
          <w:bCs/>
          <w:color w:val="000000"/>
          <w:sz w:val="28"/>
          <w:szCs w:val="28"/>
          <w:highlight w:val="none"/>
        </w:rPr>
        <w:t xml:space="preserve">质量要求</w:t>
      </w:r>
      <w:r>
        <w:rPr>
          <w:rFonts w:ascii="Times New Roman" w:hAnsi="Times New Roman" w:cs="Times New Roman"/>
          <w:b/>
          <w:bCs/>
          <w:color w:val="000000"/>
          <w:sz w:val="28"/>
          <w:szCs w:val="28"/>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2.3.1</w:t>
      </w:r>
      <w:r>
        <w:rPr>
          <w:rFonts w:ascii="Times New Roman"/>
          <w:color w:val="000000"/>
          <w:highlight w:val="none"/>
        </w:rPr>
        <w:t xml:space="preserve"> </w:t>
      </w:r>
      <w:r>
        <w:rPr>
          <w:rFonts w:ascii="Times New Roman" w:hAnsi="Times New Roman" w:cs="Times New Roman"/>
          <w:color w:val="000000"/>
          <w:sz w:val="24"/>
          <w:szCs w:val="28"/>
          <w:highlight w:val="none"/>
        </w:rPr>
        <w:t xml:space="preserve">供餐服务</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（1）人员资质与仪容要求</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厨师、勤杂工均须持有有效的健康证明，并经过岗位培训。工作期间必须统一穿着洁净的工作服、戴工作帽，保持个人卫生整洁。</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（2）食品质量与安全要求</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杜绝事故：全年不得发生任何群体性食物中毒事故。</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食材溯源：建立主要食材进货台账，确保来源可追溯。</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留样制度：对所有成品菜肴按规定进行留样（每份不少于125克，保存48小时），并做好记录。</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（3）卫生与环境要求</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“三防”到位：采取有效措施，做好防鼠、防蝇、防蟑螂工作。</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环境整洁：每日餐后对厨房、餐厅进行全面清扫，每周进行1次大扫除。保持地面、墙面、灶台、储物柜等无油污、无杂物。</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垃圾处理：餐厨垃圾与其他垃圾分类存放，及时清理，垃圾桶每日清洗，保持清洁。</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（4）服务响应与满意度要求：</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对于采购方提出的临时性需求，须积极响应，全力配合完成。</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2.3.2 垃圾清运</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（1）人员与车辆要求</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清运人员须经过专业培训，熟悉垃圾分类标准，操作规范，服务态度良好，并统一穿着工装、佩戴工牌。清运车辆须保持车容整洁、车况良好，密闭运输，无吊挂、无撒漏、无污水滴漏。不同类别的垃圾应使用专用车辆进行分类运输，严禁混装混运。</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（2）现场作业要求</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清运过程中应做到“工完场清”，不得损坏园区内公共设施。清运完毕后，须将垃圾桶复位并摆放整齐，清扫作业区域内散落的垃圾。清运作业应避开园区人流高峰时段，选择对园区运营影响最小的时段进行，并尽量降低作业噪音。</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（3）响应与沟通要</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服务方须指定固定联系人，确保通讯畅通，能够及时接收和处理采购方的清运指令。对于采购方的通知（特别是4小时内响应的应急清运），须立即确认并反馈预计到达时间。</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（4）台账与合规要求</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服务方须建立规范的垃圾清运台账，准确记录每次清运的垃圾种类、数量、清运时间及去向，并按要求向采购方提供报告。所有垃圾的清运与最终处置必须符合国家及项目所在地有关环境保护和市容环境卫生的法律法规，并承担因违规处置所引发的一切法律责任。</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（5）考核与违约责任</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采购方将根据本标准对服务方的服务质量进行监督考核。如服务方出现未按时清运、混装混运、作业现场脏乱、未按要求响应通知等情况，均视为未达到服务质量要求。</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对于未达标的服务，采购方有权依据合同约定，视情节轻重采取扣减相应服务费用、要求整改直至终止合同等措施。</w:t>
      </w:r>
      <w:r>
        <w:rPr>
          <w:rFonts w:ascii="Times New Roman" w:hAnsi="Times New Roman" w:cs="Times New Roman"/>
          <w:color w:val="000000"/>
          <w:sz w:val="24"/>
          <w:szCs w:val="24"/>
          <w:highlight w:val="none"/>
        </w:rPr>
      </w:r>
      <w:r/>
    </w:p>
    <w:p>
      <w:pPr>
        <w:pStyle w:val="901"/>
        <w:rPr>
          <w:rFonts w:ascii="Times New Roman" w:hAnsi="Times New Roman" w:cs="Times New Roman"/>
          <w:b/>
          <w:bCs/>
          <w:color w:val="000000"/>
          <w:sz w:val="30"/>
          <w:szCs w:val="32"/>
          <w:highlight w:val="none"/>
        </w:rPr>
      </w:pPr>
      <w:r>
        <w:rPr>
          <w:color w:val="000000"/>
          <w:highlight w:val="none"/>
        </w:rPr>
        <w:t xml:space="preserve">3.</w:t>
      </w:r>
      <w:r>
        <w:rPr>
          <w:rFonts w:ascii="Times New Roman" w:hAnsi="Times New Roman" w:cs="Times New Roman"/>
          <w:b/>
          <w:bCs/>
          <w:color w:val="000000"/>
          <w:sz w:val="30"/>
          <w:szCs w:val="32"/>
          <w:highlight w:val="none"/>
        </w:rPr>
        <w:t xml:space="preserve">水土保持观测场运维</w:t>
      </w:r>
      <w:r>
        <w:rPr>
          <w:rFonts w:ascii="Times New Roman" w:hAnsi="Times New Roman" w:cs="Times New Roman"/>
          <w:b/>
          <w:bCs/>
          <w:color w:val="000000"/>
          <w:sz w:val="30"/>
          <w:szCs w:val="32"/>
          <w:highlight w:val="none"/>
        </w:rPr>
      </w:r>
      <w:r/>
    </w:p>
    <w:p>
      <w:pPr>
        <w:pStyle w:val="902"/>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3.1 项目基本情况</w:t>
      </w:r>
      <w:r>
        <w:rPr>
          <w:rFonts w:ascii="Times New Roman" w:hAnsi="Times New Roman" w:cs="Times New Roman"/>
          <w:color w:val="000000"/>
          <w:sz w:val="28"/>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服务区域总计约5000平方米，包括水土保持演示系统、水土保持治理措施试验场和水土保持边坡等区域。</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其中水土保持演示系统降水区域约160平方米，由一套自动降雨系统（250只喷头）、1对微波降雨探头、4只5立方米变坡钢槽，一只户外全彩P5屏（屏体面积5.53平方米，工作湿度范围 10%-90%RH）、一套集水池供水系统、一套信息控制系统、一套电力系统和全套钢架组成等组成。</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水土保持治理措施试验场，由14块不同水土保持治理板块组成，包括植物措施，工程措施和综合防护措施。植物措施包括植草护坡、土工网垫护坡、植草生态袋护坡、灌草混交护坡、爬藤植物护坡等，工程措施包括浆砌片石护坡、竹木桩护坡、钢丝网石笼护坡等，综合防护措施包括折型骨架植物护坡、框格护坡、土工格栅护坡、植草台阶护坡、砼预制块护坡、预制砼蜂巢式护坡等。另外还包括沉沙池、截水沟、观测道路和台阶等。</w:t>
      </w:r>
      <w:r>
        <w:rPr>
          <w:rFonts w:ascii="Times New Roman" w:hAnsi="Times New Roman" w:cs="Times New Roman"/>
          <w:color w:val="000000"/>
          <w:sz w:val="24"/>
          <w:szCs w:val="24"/>
          <w:highlight w:val="none"/>
        </w:rPr>
      </w:r>
      <w:r/>
    </w:p>
    <w:p>
      <w:pPr>
        <w:pStyle w:val="902"/>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3.2 服务范围及内容</w:t>
      </w:r>
      <w:r>
        <w:rPr>
          <w:rFonts w:ascii="Times New Roman" w:hAnsi="Times New Roman" w:cs="Times New Roman"/>
          <w:color w:val="000000"/>
          <w:sz w:val="28"/>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服务内容包括：一是区域生态环境维护，苗木补栽、更换、除虫、修剪、绿化垃圾清运等生态环境常年维护；二是区域安全巡检，日常设施设备维护，设备运行、人员安全保障等。</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3.2.1</w:t>
      </w:r>
      <w:r>
        <w:rPr>
          <w:rFonts w:ascii="Times New Roman"/>
          <w:color w:val="000000"/>
          <w:highlight w:val="none"/>
        </w:rPr>
        <w:t xml:space="preserve"> </w:t>
      </w:r>
      <w:r>
        <w:rPr>
          <w:rFonts w:ascii="Times New Roman" w:hAnsi="Times New Roman" w:cs="Times New Roman"/>
          <w:color w:val="000000"/>
          <w:sz w:val="24"/>
          <w:szCs w:val="28"/>
          <w:highlight w:val="none"/>
        </w:rPr>
        <w:t xml:space="preserve">区域生态环境管理与维护</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（1）植被养护</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补栽与更换：定期巡查水土保持治理措施试验场内的14个治理板块及项目区内其他绿化区域，对因自然老化、病虫害、极端天气等原因造成的苗木（包括但不限于草皮、灌木、藤本植物）死亡、缺失或长势不良情况进行及时清理、补栽和更换，确保植被覆盖度与水土保持效果，维持设计景观形态。</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病虫害防治：制定并执行年度病虫害监测与防治计划。定期检查植被健康状况，识别病虫害迹象；针对不同植物种类和病虫害类型，采取环保、高效的物理或生物化学方法进行防治，避免大规模病虫害发生。规范农药管理与使用，确保人畜及环境安全。</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整形与修剪：根据植物生长习性和景观要求，对草坪、灌木、绿篱等进行定期修剪、整形。清除枯枝、病枝、徒长枝，促进植物健康生长，保持试验区整洁美观的观赏性与示范性。</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水肥管理：结合气候条件与植物生长周期，进行科学灌溉与施肥。确保植被水分与养分需求得到满足，同时倡导节水灌溉与生态施肥理念。</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绿化垃圾处理：对养护过程中产生的杂草、修剪枝叶、枯死植株等绿化垃圾，进行及时收集、清运，并按照环保要求进行无害化处理或资源化利用，保持场地环境整洁。</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（2）场地环境维护：</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定期清理截水沟、沉沙池内的淤泥、杂物，确保其排水、沉沙功能正常。保持观测道路、台阶等通行区域的清洁与畅通，无杂物、青苔滑垢堆积。</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3.2.2</w:t>
      </w:r>
      <w:r>
        <w:rPr>
          <w:rFonts w:ascii="Times New Roman"/>
          <w:color w:val="000000"/>
          <w:highlight w:val="none"/>
        </w:rPr>
        <w:t xml:space="preserve"> </w:t>
      </w:r>
      <w:r>
        <w:rPr>
          <w:rFonts w:ascii="Times New Roman" w:hAnsi="Times New Roman" w:cs="Times New Roman"/>
          <w:color w:val="000000"/>
          <w:sz w:val="24"/>
          <w:szCs w:val="28"/>
          <w:highlight w:val="none"/>
        </w:rPr>
        <w:t xml:space="preserve">设施设备常态化巡检、维护与安全保障</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（1）水土保持演示系统专项维护：</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自动降雨系统：定期检查250只喷头的工作状态，清理堵塞物，确保喷洒均匀；检查供水管路、阀门，防止渗漏；对水泵、控制系统进行例行保养。</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变坡钢槽：检查4只5立方米变坡钢槽的外观状况、结构稳定性、密封性及坡度调节机构的灵活性。</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户外全彩P5显示屏：定期清洁屏体表面，检查结构稳固性与防水密封性；确保其工作在允许湿度范围（10%-90%RH）内；检查供电、信号连接，保障显示内容正常、稳定。</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集水池供水与信息控制系统：定期清理集水池，检查水质；维护供水泵、过滤器等设备。</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电力系统与钢架结构：检查供电线路、配电箱安全性；对全套钢架结构进行定期检查，紧固连接件，确保整体结构安全。</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（2）水土保持治理措施试验场设施维护</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定期巡查14块治理板块内的工程结构（如浆砌片石、竹木桩、钢丝网石笼、折型骨架、框格、土工格栅、植草台阶、砼预制块、蜂巢式护坡等）的完整性、稳定性。定期检查土工网垫、生态袋等材料的完好性。</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（3）公共与辅助设施维护</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维护沉沙池、截水沟等排水设施的完好与通畅。检查观测道路、台阶的路面及护栏状况，确保安全使用。</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（4）安全巡检与保障</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日常安全巡检：建立每日巡检制度，覆盖整个5000平方米服务区域。重点检查设施设备运行状态、结构安全、电气安全、水域安全等，及时发现并处置安全隐患。</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设备运行安全：确保所有电力设备、控制系统接地良好，维护安全警示标识。在设备维修保养期间，执行挂牌上锁等安全程序。</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人员安全保障：制定并执行区域安全管理制度，防止无关人员进入危险区域。</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防火安全：定期清理枯草落叶等易燃物，检查消防通道畅通，确保消防设施可用。</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以上设施设备在日常巡察中，如发现一般性问题都应立即修理到位；如不能独立维修，应及时通知采购方，并积极配合维修。</w:t>
      </w:r>
      <w:r>
        <w:rPr>
          <w:rFonts w:ascii="Times New Roman" w:hAnsi="Times New Roman" w:cs="Times New Roman"/>
          <w:color w:val="000000"/>
          <w:sz w:val="24"/>
          <w:szCs w:val="24"/>
          <w:highlight w:val="none"/>
        </w:rPr>
      </w:r>
      <w:r/>
    </w:p>
    <w:p>
      <w:pPr>
        <w:pStyle w:val="902"/>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3.3 服务标准与服务质量要求</w:t>
      </w:r>
      <w:r>
        <w:rPr>
          <w:rFonts w:ascii="Times New Roman" w:hAnsi="Times New Roman" w:cs="Times New Roman"/>
          <w:color w:val="000000"/>
          <w:sz w:val="28"/>
          <w:szCs w:val="28"/>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3.3.1 生态环境维护</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（1）绿化充分，植物配置合理，达到黄土不露天。</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（2）园林植物达到：</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生长势：好。生长超过该树种该规格的平均生长。</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叶子健壮：</w:t>
      </w:r>
      <w:r>
        <w:rPr>
          <w:rFonts w:hint="eastAsia" w:ascii="宋体" w:hAnsi="宋体" w:cs="宋体"/>
          <w:color w:val="000000"/>
          <w:sz w:val="24"/>
          <w:szCs w:val="24"/>
          <w:highlight w:val="none"/>
        </w:rPr>
        <w:t xml:space="preserve">①</w:t>
      </w:r>
      <w:r>
        <w:rPr>
          <w:rFonts w:ascii="Times New Roman" w:hAnsi="Times New Roman" w:cs="Times New Roman"/>
          <w:color w:val="000000"/>
          <w:sz w:val="24"/>
          <w:szCs w:val="24"/>
          <w:highlight w:val="none"/>
        </w:rPr>
        <w:t xml:space="preserve">叶色正常，叶大而肥厚、在正常的条件下不黄叶，不焦叶、不卷叶、不落叶，叶上无虫尿虫网灰尘；</w:t>
      </w:r>
      <w:r>
        <w:rPr>
          <w:rFonts w:hint="eastAsia" w:ascii="宋体" w:hAnsi="宋体" w:cs="宋体"/>
          <w:color w:val="000000"/>
          <w:sz w:val="24"/>
          <w:szCs w:val="24"/>
          <w:highlight w:val="none"/>
        </w:rPr>
        <w:t xml:space="preserve">②</w:t>
      </w:r>
      <w:r>
        <w:rPr>
          <w:rFonts w:ascii="Times New Roman" w:hAnsi="Times New Roman" w:cs="Times New Roman"/>
          <w:color w:val="000000"/>
          <w:sz w:val="24"/>
          <w:szCs w:val="24"/>
          <w:highlight w:val="none"/>
        </w:rPr>
        <w:t xml:space="preserve">被啃咬的叶片最严重的每株在5%以下（包括5%，以下同）。</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枝、干健壮：</w:t>
      </w:r>
      <w:r>
        <w:rPr>
          <w:rFonts w:hint="eastAsia" w:ascii="宋体" w:hAnsi="宋体" w:cs="宋体"/>
          <w:color w:val="000000"/>
          <w:sz w:val="24"/>
          <w:szCs w:val="24"/>
          <w:highlight w:val="none"/>
        </w:rPr>
        <w:t xml:space="preserve">①</w:t>
      </w:r>
      <w:r>
        <w:rPr>
          <w:rFonts w:ascii="Times New Roman" w:hAnsi="Times New Roman" w:cs="Times New Roman"/>
          <w:color w:val="000000"/>
          <w:sz w:val="24"/>
          <w:szCs w:val="24"/>
          <w:highlight w:val="none"/>
        </w:rPr>
        <w:t xml:space="preserve">无明显枯枝、死权、枝条粗壮，过冬前新梢木质化；</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hint="eastAsia" w:ascii="宋体" w:hAnsi="宋体" w:cs="宋体"/>
          <w:color w:val="000000"/>
          <w:sz w:val="24"/>
          <w:szCs w:val="24"/>
          <w:highlight w:val="none"/>
        </w:rPr>
        <w:t xml:space="preserve">②</w:t>
      </w:r>
      <w:r>
        <w:rPr>
          <w:rFonts w:ascii="Times New Roman" w:hAnsi="Times New Roman" w:cs="Times New Roman"/>
          <w:color w:val="000000"/>
          <w:sz w:val="24"/>
          <w:szCs w:val="24"/>
          <w:highlight w:val="none"/>
        </w:rPr>
        <w:t xml:space="preserve">无蛀干害虫的活卵活虫；</w:t>
      </w:r>
      <w:r>
        <w:rPr>
          <w:rFonts w:hint="eastAsia" w:ascii="宋体" w:hAnsi="宋体" w:cs="宋体"/>
          <w:color w:val="000000"/>
          <w:sz w:val="24"/>
          <w:szCs w:val="24"/>
          <w:highlight w:val="none"/>
        </w:rPr>
        <w:t xml:space="preserve">③</w:t>
      </w:r>
      <w:r>
        <w:rPr>
          <w:rFonts w:ascii="Times New Roman" w:hAnsi="Times New Roman" w:cs="Times New Roman"/>
          <w:color w:val="000000"/>
          <w:sz w:val="24"/>
          <w:szCs w:val="24"/>
          <w:highlight w:val="none"/>
        </w:rPr>
        <w:t xml:space="preserve">介壳虫最严重处主枝干上100平方厘米1头活虫以下（包括1头，以下同），较细的枝条每尺长的一段上在5头活虫以下（包括5头，以下同）；株数都在2%以下（包括2%，以下同）；</w:t>
      </w:r>
      <w:r>
        <w:rPr>
          <w:rFonts w:hint="eastAsia" w:ascii="宋体" w:hAnsi="宋体" w:cs="宋体"/>
          <w:color w:val="000000"/>
          <w:sz w:val="24"/>
          <w:szCs w:val="24"/>
          <w:highlight w:val="none"/>
        </w:rPr>
        <w:t xml:space="preserve">④</w:t>
      </w:r>
      <w:r>
        <w:rPr>
          <w:rFonts w:ascii="Times New Roman" w:hAnsi="Times New Roman" w:cs="Times New Roman"/>
          <w:color w:val="000000"/>
          <w:sz w:val="24"/>
          <w:szCs w:val="24"/>
          <w:highlight w:val="none"/>
        </w:rPr>
        <w:t xml:space="preserve">树冠完整：分支点合适，主侧枝分布均称和数量适宜、内膛不乱、通风透光。</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措施好：按一级技术措施要求认真进行养护。</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行道树：基本无缺株。行道树和绿地内无死树，树木修剪合理，树形美观，能及时很好地解决树木与电线、建筑物、交通等之间的矛盾。</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草坪：覆盖率应基本达到100%；草坪内杂草控制在10%以内；生长茂盛颜色正常，不枯黄；每年修剪暖地型6次以上，冷地型15次以上；无病虫害。</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建立健全环境卫生保洁管理制度，负责常规项目保洁，实行规范化的清扫保洁标准，配齐备全各种环卫保洁设备及用具，明确责任落实到人。绿化生产垃圾（如：树枝、树叶、草沫）等重点地区路段能做到随产随清，其它地区和路段做到日产日清；绿地整洁，无砖石瓦块、筐和塑料袋等废弃物，并做到经常保洁。在指定位置摆放分类垃圾桶，并在显著处张贴垃圾分类标识。分类垃圾桶和垃圾分类标识依规设置。桶身表面干净无污渍，每日开展至少1次清洁作业。绿化垃圾每周外运1次。</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无明显的人为损坏，绿地、草坪内无堆物堆料、搭棚或侵占等；行道树树干上无钉栓刻画的现象，树下距树干2米范围内无堆物堆料、搭棚设摊、圈栏等影响树木养护管理和生长的现象，2米以内如有，则应有保护措施。</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（6）对所管辖区域内公共场所和周围环境要定期进行预防性消毒杀菌除“四害”，严格控制室内外蚊虫孳生。</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3.3.2 设施设备的养护和管理</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负责对所管辖区域内所有设施设备的日常运行管理与维护（由采购方委托专业维保单位及其他承包商负责的除外），确保工程设施、设备的正常使用、运行；标识标牌整齐干净，字迹清晰；协调维保工作，负责随工监理；总体做到养护妥善、运行正常、保障供给、应急有力；运行管理相关人员必须持有资质证书或培训证书方可持证上岗。</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3.3.3 供电系统日常管理</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建立24小时运行值班监控制度，及时排除故障，对供电范围内的电气设备定期巡视维护，加强高低压配电柜、配电箱、控</w:t>
      </w:r>
      <w:r>
        <w:rPr>
          <w:rFonts w:ascii="Times New Roman" w:hAnsi="Times New Roman" w:cs="Times New Roman"/>
          <w:color w:val="000000"/>
          <w:sz w:val="24"/>
          <w:szCs w:val="24"/>
          <w:highlight w:val="none"/>
        </w:rPr>
        <w:t xml:space="preserve">制柜及线路等重点部位监测并负责与供电部门的业务协调，做好巡查、值班记录，保证配电房常用设备完好，供电系统正常运行。建立严格的配送电运行制度、电气维修制度和配电房管理制度、供电和维修人员必须持证上岗制度。公共使用的照明、指示灯具线路、开关、接地等保持完好，确保用电安全。核心部位用电建立高可控用电保障和配备应急发电设备，定期维护应急发电设备。发生非计划性停电的，应当在事件发生后及时通知采购方，快速恢复或启用应急电源，并做好应急事件上报及处理工作。复杂故障涉及供电部门维修处置的及时与供电部门联系，并向采购方报告。</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3.3.4 消防系统设施维护</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建立消防安全责任制，确定各级消防安全责任人及其职责。按期排查消防隐患，确保消火栓、应急照明、应急物资、消防及人员逃生通道、消防车通道可随时正常使用。定时协助和督促消防专业维保单位做好消防系统的定期常规保养，做好设备运行、日常维护、检修的登记台帐。</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3.3.5 给排水系统日常管理</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每月负责巡检供水管网、排水管网及水龙头、开关、接头等，保证供水的正常使用，及时处理突发事件，确保给排水管道、消防设备、室外排水管道正常运行。做好设备运行、日常维护、检修的登记台帐。遇供水单位限水、停水，按规定时间通知采购方。</w:t>
      </w:r>
      <w:r>
        <w:rPr>
          <w:rFonts w:ascii="Times New Roman" w:hAnsi="Times New Roman" w:cs="Times New Roman"/>
          <w:color w:val="000000"/>
          <w:sz w:val="24"/>
          <w:szCs w:val="24"/>
          <w:highlight w:val="none"/>
        </w:rPr>
      </w:r>
      <w:r/>
    </w:p>
    <w:p>
      <w:pPr>
        <w:pStyle w:val="901"/>
        <w:rPr>
          <w:rFonts w:ascii="Times New Roman" w:hAnsi="Times New Roman" w:cs="Times New Roman"/>
          <w:b/>
          <w:bCs/>
          <w:color w:val="000000"/>
          <w:sz w:val="30"/>
          <w:szCs w:val="32"/>
          <w:highlight w:val="none"/>
        </w:rPr>
      </w:pPr>
      <w:r>
        <w:rPr>
          <w:color w:val="000000"/>
          <w:highlight w:val="none"/>
        </w:rPr>
        <w:t xml:space="preserve">4.</w:t>
      </w:r>
      <w:r>
        <w:rPr>
          <w:rFonts w:ascii="Times New Roman" w:hAnsi="Times New Roman" w:cs="Times New Roman"/>
          <w:b/>
          <w:bCs/>
          <w:color w:val="000000"/>
          <w:sz w:val="30"/>
          <w:szCs w:val="32"/>
          <w:highlight w:val="none"/>
        </w:rPr>
        <w:t xml:space="preserve">水文水情教育场馆运维</w:t>
      </w:r>
      <w:r>
        <w:rPr>
          <w:rFonts w:ascii="Times New Roman" w:hAnsi="Times New Roman" w:cs="Times New Roman"/>
          <w:b/>
          <w:bCs/>
          <w:color w:val="000000"/>
          <w:sz w:val="30"/>
          <w:szCs w:val="32"/>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服务区域总计约20452.22平方米，包括江苏省水文档案馆、江苏水文展览馆、江苏省水环境监测中心实验室等室内场馆合计5452.22平方米；清风园、水文综合观测场、水质水生态监测区、水位流量监测区、节水教育长廊、地下水监测区等室外场所合计约15000平方米。</w:t>
      </w:r>
      <w:r>
        <w:rPr>
          <w:rFonts w:ascii="Times New Roman" w:hAnsi="Times New Roman" w:cs="Times New Roman"/>
          <w:color w:val="000000"/>
          <w:sz w:val="24"/>
          <w:szCs w:val="24"/>
          <w:highlight w:val="none"/>
        </w:rPr>
      </w:r>
      <w:r/>
    </w:p>
    <w:p>
      <w:pPr>
        <w:pStyle w:val="902"/>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4.1 项目基本情况</w:t>
      </w:r>
      <w:r>
        <w:rPr>
          <w:rFonts w:ascii="Times New Roman" w:hAnsi="Times New Roman" w:cs="Times New Roman"/>
          <w:color w:val="000000"/>
          <w:sz w:val="28"/>
          <w:szCs w:val="28"/>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4.1.1 江苏省水文档案馆</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江苏水文档案馆总面积2909.71平方米。本项目维护面积为2199.62平方米，包括水文展览馆和水文资料库房、业务用房等。</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门窗：玻璃门窗总数约98樘，合计400平方米；玻璃幕墙55平方米；普通门10樘，防火门10樘。</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地面：地胶约550平方米，石材81.21平方米，其余均为地砖地面。</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内墙饰面：石材墙面约130平方米，墙砖约300平方米，其余均为乳胶漆墙面。</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顶面：均为石膏板，乳胶漆顶面。</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外墙：铝塑板约480平方米，其余均为外墙砖。</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卫生间：2套，总面积67.2平方米。</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垃圾存放点：每层楼2个。</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电梯系统：永大电梯，6.6kW，有专业维保单位。</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空调系统：中央空调、分体空调共125.5P，有专业维保单位。精密空调3组，在质保期内。</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另配有完整的给排水系统、消防系统、安防系统和照明系统。消防系统主要有七氟丙烷、室内消火栓、通风管道和火灾报警系统等组成。</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主要设备：江苏水文展览馆包含各式布展约800平方米，展柜展套34米，液晶屏5处，投影1组，浮雕背景墙60平方米。水文档案库房主要有档案密集架约500立方米，钢质档案柜若干。</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4.1.2 江苏省水环境监测中心实验室</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位于江苏省水文实验楼2-5层，建筑面积3252.6平方米。实验室为真实漆外墙，约1900平方米，地面地砖和地砖各一半。</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电梯系统：西继迅达，9.8kw。</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空调系统：中央空调约132P，有专业维保单位。</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另配有完整的给排水系统、消防系统、安防系统和照明系统。消防系统主要有室内消火栓、喷淋系统和火灾报警系统等组成，均在质保范围内。</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4.1.3 水情教育室外场所</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清风园、水文综合观测场、水质水生态监测区、水位流量监测区、节水教育长廊、地下水监测区等室外场所合计约15000平方米。</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清风园主要有文化墙、石碑、雕塑、小品和展板等组成。</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水文综合观测场，由降雨观测演示系统，蒸发观测演示系统，墒情观测演示系统，气象观测演示系统等4个系统组成。降雨观测演示系统主要由雨量器、翻斗式雨量计、遥测雨量计、称重式雨（雪）量计等4种雨量计组成。蒸发观测演示系统主要由E601B蒸发皿、高精度蒸发量传感装置、高精度雨量计、测控装置、可控制补水装置组成。墒情观测演示系统主要由土壤墒情传感器、遥测终端机和供电设备构成。气象观测演示系统主要由集成一体化的高精度数据采集器（含智能GPRS\CMDA\SMS模块）太阳能充电控制、蓄电池等和相关传感器组成。</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水质水生态监测区，水质水生态实验水塘面积约3000平方米，塘体最深处约4米，种植有德国鸢尾、菖蒲、金鱼藻等10多种湿生和沉水植物，投放有螺狮、无齿蚌、鲢鱼、草鱼等多种净化生物；水体净化收集平台，面积约180平方米，长约50米。</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水位流量监测区，由日记式自记水位计、薄壁三角堰测流设施、人工水尺和雷达水位计和国家三等基本水准点等设施设备组成。</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节水教育长廊，主要由木质廊架、节水宣传展板和钢质节水互动牌组成。</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地下水监测区，由一口浅层井，内径200mm，外径400mm，井深34.00m，和一套WDY-1S型系列遥测水位计组成。</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bookmarkStart w:id="179" w:name="OLE_LINK2"/>
      <w:r/>
      <w:bookmarkStart w:id="180" w:name="OLE_LINK3"/>
      <w:r>
        <w:rPr>
          <w:rFonts w:ascii="Times New Roman" w:hAnsi="Times New Roman" w:cs="Times New Roman"/>
          <w:color w:val="000000"/>
          <w:sz w:val="24"/>
          <w:szCs w:val="24"/>
          <w:highlight w:val="none"/>
        </w:rPr>
        <w:t xml:space="preserve">车位，植草砖车位约650平方米，普通停车位38个，电动汽车停车位3个；电动自行车集中充电场所一处，充电点29个。</w:t>
      </w:r>
      <w:r>
        <w:rPr>
          <w:rFonts w:ascii="Times New Roman" w:hAnsi="Times New Roman" w:cs="Times New Roman"/>
          <w:color w:val="000000"/>
          <w:sz w:val="24"/>
          <w:szCs w:val="24"/>
          <w:highlight w:val="none"/>
        </w:rPr>
      </w:r>
      <w:r/>
    </w:p>
    <w:p>
      <w:pPr>
        <w:pStyle w:val="902"/>
        <w:rPr>
          <w:rFonts w:ascii="Times New Roman" w:hAnsi="Times New Roman" w:cs="Times New Roman"/>
          <w:color w:val="000000"/>
          <w:sz w:val="28"/>
          <w:szCs w:val="28"/>
          <w:highlight w:val="none"/>
        </w:rPr>
      </w:pPr>
      <w:r/>
      <w:bookmarkEnd w:id="179"/>
      <w:r/>
      <w:bookmarkEnd w:id="180"/>
      <w:r>
        <w:rPr>
          <w:rFonts w:ascii="Times New Roman" w:hAnsi="Times New Roman" w:cs="Times New Roman"/>
          <w:color w:val="000000"/>
          <w:sz w:val="28"/>
          <w:szCs w:val="28"/>
          <w:highlight w:val="none"/>
        </w:rPr>
        <w:t xml:space="preserve">4.2 服务范围及内容</w:t>
      </w:r>
      <w:r>
        <w:rPr>
          <w:rFonts w:ascii="Times New Roman" w:hAnsi="Times New Roman" w:cs="Times New Roman"/>
          <w:color w:val="000000"/>
          <w:sz w:val="28"/>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服务内容包括：一是室外教育场所生态环境维护，苗木补栽、更换、除虫、修剪、绿化垃圾清运等生态环境常年维护；二是室内场馆综合管理、水情教育接待、房屋及附属设施日常运行管理、设备日常运维管理、秩序维护和保洁等。</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4.2.1 室外教育场所维护</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（1）生态环境维护</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常养护，对区域内约15000平方米的苗木、草坪进行定期浇水、施肥、除草。整形修剪，对乔木、灌木、绿篱进行定期整形修剪，保持良好观赏形态。病虫害防治，制定并执行全年病虫害防治计划，采取综合防治措施，确保植物健康生长。补栽更换，对枯死、老化的苗木和草坪进行及时补栽和更换，保持绿化完整性和景观效果。</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绿化垃圾处理：对养护过程中产生的杂草、修剪枝叶、枯死植株等绿化垃圾，进行及时收集、清运，并按照环保要求进行无害化处理或资源化利用，保持场地环境整洁。</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水景与水生态维护：水质水生态实验水塘维护：定期打捞漂浮物，保持水面清洁；监测水生植物（德国鸢尾、菖蒲、金鱼藻等）和净化生物（螺狮、无齿蚌、鲢鱼等）的生长情况，并进行适度干预和管理。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水体净化平台维护：保持平台清洁，无垃圾、青苔，确保其教育展示功能。</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（2）设施与场地维护：</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保持区域的雕塑、小品、展板、互动牌、标识标牌等设施的清洁完好，定期进行表面清洗和简单维护。确保观测场、监测区等所有室外设施周边环境整洁，无杂物堆放。</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停车位综合管理，定时巡查停车场，确保车辆按线、有序停放，无占用消</w:t>
      </w:r>
      <w:r>
        <w:rPr>
          <w:rFonts w:ascii="Times New Roman" w:hAnsi="Times New Roman" w:cs="Times New Roman"/>
          <w:color w:val="000000"/>
          <w:sz w:val="24"/>
          <w:szCs w:val="24"/>
          <w:highlight w:val="none"/>
        </w:rPr>
        <w:t xml:space="preserve">防通道、堵塞出入口等现象。设施维护，确保停车位标线清晰，车位锁、防撞杆等设施完好有效。确保电动汽车车位不被燃油车占用，保障电动汽车正常充电权益。对充电桩外观、线路外壳进行日常巡视，发现明显物理损坏、异常情况（如冒烟、异味）及时上报并设置警示。保持充电桩及周边环境整洁、无杂物堆放。引导车辆正确使用充电设施，避免违规操作。对电动车集中充电点进行高频次安全巡查，严禁私拉乱接电线、 “飞线”充电等危险行为。检查充电设备外观是否完好，发现故障或异常及时通知运营方或相关责任单位处理。引导用户有序停放车辆，确保通道畅通。</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4.2.2 室内场馆综合管理与日常运行</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（1）房屋及附属设施日常管理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日常巡检：每日对管理区域内的建筑结构、门窗、墙面、顶棚、地面进行巡检，发现问题（如破损、渗漏、脱落）及时记录并报修。</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常规维护：负责门窗合页润滑、小五金更换、地砖空鼓/破损报修等日常小修小补。</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空间管理：协助管理方对业务用房、库房、展厅等空间的使用秩序。</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（2）设备日常运维管理：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电梯系统：配合专业维保单位（永大、西继迅达）进行电梯的定期维保，负责日常运行状态的监视，处理简单的困人故障前期安抚与联络工作。</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空调系统：配合中央空调、分体空调及精密空调的专业维保工作。负责空调出风口、回风口的日常清洁。对在质保期内的设备，负责与维保单位的对接和问题上报。</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给排水系统：定期检查水管、阀门、地漏，防止跑冒滴漏；疏通堵塞和日常小修小补。</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照明系统：负责日常照明灯具的更换（如灯泡、灯管、镇流器），保持区域照明完好率。</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（3）秩序维护与安全管理：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门岗值守与巡逻：设立固定岗和巡逻岗，对出入口进行管理，对重点区域（档案馆、实验室、库房、展厅）进行定时巡逻，并做好记录。</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安防监控：熟悉安防系统布局，协助监控室的值守，发现异常情况及时上报。</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消防管理：每日进行防火巡查，确保消防通道畅通，消防设备（消火栓、灭火器、报警按钮）完好无损。熟悉七氟丙烷、喷淋等系统的紧急处置流程。协助进行定期消防演练和培训。</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参观秩序维护：在采购方有接待服务任务时，负责引导人流、维持秩序，确保活动有序进行。</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（4）环境保洁服务：</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公共区域保洁：每日对大厅、走廊、楼梯、卫生间等公共区域进行全面清扫、拖洗、垃圾收集。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专项保洁：高空作业：定期对石膏板吊顶、高窗、玻璃幕墙进行清洁。</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卫生间清洁：每日多次清洁，定期消毒除臭。</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特殊区域保洁：对实验室、档案库房、展厅等区域，根据其特点使用专用工具和方法进行清洁，避免造成设备损坏或环境污染。</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实验室化验器皿清洗：对实验用玻璃器皿按要求每日清洗。</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垃圾管理：负责楼层垃圾存放点的垃圾清运，做到分类收集、日产日清。</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4.2.3水情教育接待支持服务</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前台与导览服务：在指定区域设置服务台，提供问询、引导、简单的讲解服务。</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参观前准备：协助布展方进行开展前的环境整理，检查展厅设施设备（如液晶屏、投影仪）是否可正常开启。</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参观期间保障：保障参观动线的整洁、畅通和安全，及时处理参观过程中出现的临时性问题。</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接待用品管理：协助管理休息区的桌椅、卫生和饮用水等。</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车辆保障：提供驾驶员，保障水情教育服务用车。</w:t>
      </w:r>
      <w:r>
        <w:rPr>
          <w:rFonts w:ascii="Times New Roman" w:hAnsi="Times New Roman" w:cs="Times New Roman"/>
          <w:color w:val="000000"/>
          <w:sz w:val="24"/>
          <w:szCs w:val="24"/>
          <w:highlight w:val="none"/>
        </w:rPr>
      </w:r>
      <w:r/>
    </w:p>
    <w:p>
      <w:pPr>
        <w:pStyle w:val="902"/>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4.3 服务标准与服务质量要求</w:t>
      </w:r>
      <w:r>
        <w:rPr>
          <w:rFonts w:ascii="Times New Roman" w:hAnsi="Times New Roman" w:cs="Times New Roman"/>
          <w:color w:val="000000"/>
          <w:sz w:val="28"/>
          <w:szCs w:val="28"/>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4.3.1 室外教育场所维护</w:t>
      </w:r>
      <w:r>
        <w:rPr>
          <w:rFonts w:ascii="Times New Roman" w:hAnsi="Times New Roman" w:cs="Times New Roman"/>
          <w:color w:val="000000"/>
          <w:sz w:val="24"/>
          <w:szCs w:val="28"/>
          <w:highlight w:val="none"/>
        </w:rPr>
      </w:r>
      <w:r/>
    </w:p>
    <w:p>
      <w:pPr>
        <w:pStyle w:val="904"/>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4.3.1.1 生态环境维护</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（1）绿化充分，植物配置合理，达到黄土不露天。</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（2）园林植物达到：</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生长势：好。生长超过该树种该规格的平均生长。</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叶子健壮：</w:t>
      </w:r>
      <w:r>
        <w:rPr>
          <w:rFonts w:hint="eastAsia" w:ascii="宋体" w:hAnsi="宋体" w:cs="宋体"/>
          <w:color w:val="000000"/>
          <w:sz w:val="24"/>
          <w:szCs w:val="24"/>
          <w:highlight w:val="none"/>
        </w:rPr>
        <w:t xml:space="preserve">①</w:t>
      </w:r>
      <w:r>
        <w:rPr>
          <w:rFonts w:ascii="Times New Roman" w:hAnsi="Times New Roman" w:cs="Times New Roman"/>
          <w:color w:val="000000"/>
          <w:sz w:val="24"/>
          <w:szCs w:val="24"/>
          <w:highlight w:val="none"/>
        </w:rPr>
        <w:t xml:space="preserve">叶色正常，叶大而肥厚、在正常的条件下不黄叶，不焦叶、不卷叶、不落叶，叶上无虫尿虫网灰尘；</w:t>
      </w:r>
      <w:r>
        <w:rPr>
          <w:rFonts w:hint="eastAsia" w:ascii="宋体" w:hAnsi="宋体" w:cs="宋体"/>
          <w:color w:val="000000"/>
          <w:sz w:val="24"/>
          <w:szCs w:val="24"/>
          <w:highlight w:val="none"/>
        </w:rPr>
        <w:t xml:space="preserve">②</w:t>
      </w:r>
      <w:r>
        <w:rPr>
          <w:rFonts w:ascii="Times New Roman" w:hAnsi="Times New Roman" w:cs="Times New Roman"/>
          <w:color w:val="000000"/>
          <w:sz w:val="24"/>
          <w:szCs w:val="24"/>
          <w:highlight w:val="none"/>
        </w:rPr>
        <w:t xml:space="preserve">被啃咬的叶片最严重的每株在5%以下（包括5%，以下同）。</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枝、干健壮：</w:t>
      </w:r>
      <w:r>
        <w:rPr>
          <w:rFonts w:hint="eastAsia" w:ascii="宋体" w:hAnsi="宋体" w:cs="宋体"/>
          <w:color w:val="000000"/>
          <w:sz w:val="24"/>
          <w:szCs w:val="24"/>
          <w:highlight w:val="none"/>
        </w:rPr>
        <w:t xml:space="preserve">①</w:t>
      </w:r>
      <w:r>
        <w:rPr>
          <w:rFonts w:ascii="Times New Roman" w:hAnsi="Times New Roman" w:cs="Times New Roman"/>
          <w:color w:val="000000"/>
          <w:sz w:val="24"/>
          <w:szCs w:val="24"/>
          <w:highlight w:val="none"/>
        </w:rPr>
        <w:t xml:space="preserve">无明显枯枝、死权、枝条粗壮，过冬前新梢木质化；</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hint="eastAsia" w:ascii="宋体" w:hAnsi="宋体" w:cs="宋体"/>
          <w:color w:val="000000"/>
          <w:sz w:val="24"/>
          <w:szCs w:val="24"/>
          <w:highlight w:val="none"/>
        </w:rPr>
        <w:t xml:space="preserve">②</w:t>
      </w:r>
      <w:r>
        <w:rPr>
          <w:rFonts w:ascii="Times New Roman" w:hAnsi="Times New Roman" w:cs="Times New Roman"/>
          <w:color w:val="000000"/>
          <w:sz w:val="24"/>
          <w:szCs w:val="24"/>
          <w:highlight w:val="none"/>
        </w:rPr>
        <w:t xml:space="preserve">无蛀干害虫的活卵活虫；</w:t>
      </w:r>
      <w:r>
        <w:rPr>
          <w:rFonts w:hint="eastAsia" w:ascii="宋体" w:hAnsi="宋体" w:cs="宋体"/>
          <w:color w:val="000000"/>
          <w:sz w:val="24"/>
          <w:szCs w:val="24"/>
          <w:highlight w:val="none"/>
        </w:rPr>
        <w:t xml:space="preserve">③</w:t>
      </w:r>
      <w:r>
        <w:rPr>
          <w:rFonts w:ascii="Times New Roman" w:hAnsi="Times New Roman" w:cs="Times New Roman"/>
          <w:color w:val="000000"/>
          <w:sz w:val="24"/>
          <w:szCs w:val="24"/>
          <w:highlight w:val="none"/>
        </w:rPr>
        <w:t xml:space="preserve">介壳虫最严重处主枝干上100平方厘米1头活虫以下（包括1头，以下同），较细的枝条每尺长的一段上在5头活虫以下（包括5头，以下同）；株数都在2%以下（包括2%，以下同）；</w:t>
      </w:r>
      <w:r>
        <w:rPr>
          <w:rFonts w:hint="eastAsia" w:ascii="宋体" w:hAnsi="宋体" w:cs="宋体"/>
          <w:color w:val="000000"/>
          <w:sz w:val="24"/>
          <w:szCs w:val="24"/>
          <w:highlight w:val="none"/>
        </w:rPr>
        <w:t xml:space="preserve">④</w:t>
      </w:r>
      <w:r>
        <w:rPr>
          <w:rFonts w:ascii="Times New Roman" w:hAnsi="Times New Roman" w:cs="Times New Roman"/>
          <w:color w:val="000000"/>
          <w:sz w:val="24"/>
          <w:szCs w:val="24"/>
          <w:highlight w:val="none"/>
        </w:rPr>
        <w:t xml:space="preserve">树冠完整：分支点合适，主侧枝分布均称和数量适宜、内膛不乱、通风透光。</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措施好：按一级技术措施要求认真进行养护。</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行道树：基本无缺株。行道树和绿地内无死树，树木修剪合理，树形美观，能及时很好地解决树木与电线、建筑物、交通等之间的矛盾。</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草坪：覆盖率应基本达到100%；草坪内杂草控制在10%以内；生长茂盛颜色正常，不枯黄；每年修剪暖地型6次以上，冷地型15次以上；无病虫害。</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建立健全环境卫生保洁管理制度，负责常规项目保洁，实行规范化的清扫保洁标准，配齐备全各种环卫保洁设备及用具，明确责任落实到人。绿化生产垃圾（如：树枝、树叶、草沫）等重点地区路段能做到随产随清，其它地区和路段做到日产日清；绿地整洁，无砖石瓦块、筐和塑料袋等废弃物，并做到经常保洁。在指定位置摆放分类垃圾桶，并在显著处张贴垃圾分类标识。分类垃圾桶和垃圾分类标识依规设置。桶身表面干净无污渍，每日开展至少1次清洁作业。绿化垃圾每周外运1次。</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无明显的人为损坏，绿地、草坪内无堆物堆料、搭棚或侵占等；行道树树干上无钉栓刻画的现象，树下距树干2米范围内无堆物堆料、搭棚设摊、圈栏等影响树木养护管理和生长的现象，2米以内如有，则应有保护措施。</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（6）对所管辖区域内公共场所和周围环境要定期进行预防性消毒杀菌除“四害”，严格控制室内外蚊虫孳生。</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（7）水景与水生态维护：</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实验水塘：水面无明显漂浮物、垃圾，每日巡检打捞；定期观察净化生物活动情况，发现异常死亡及时报告。</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水体净化收集平台：平台表面清洁，无垃圾、污泥、明显青苔淤积，每周至少冲洗1次。</w:t>
      </w:r>
      <w:r>
        <w:rPr>
          <w:rFonts w:ascii="Times New Roman" w:hAnsi="Times New Roman" w:cs="Times New Roman"/>
          <w:color w:val="000000"/>
          <w:sz w:val="24"/>
          <w:szCs w:val="24"/>
          <w:highlight w:val="none"/>
        </w:rPr>
      </w:r>
      <w:r/>
    </w:p>
    <w:p>
      <w:pPr>
        <w:pStyle w:val="904"/>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4.3.1.2 设施与场地维护</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（1）场地清理与保洁</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雕塑、小品、展板、标识标牌等设施每月全面清洁不少于2次，重大接待活动前全面清洁，保持表面洁净、无污渍、无小广告。观测场、监测区等设施周边无杂物、垃圾堆放，场地整洁，排水通畅。</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（2）安全巡检与保障</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常安全巡检：建立每日巡检制度，覆盖整个15000平方米服务区域。重点检查设施设备运行状态、结构安全、电气安全、水域安全等，及时发现并处置安全隐患。对电动自行车充电场所每日安全巡查不少于3次，并在用电高峰时段加强巡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设备运行安全：确保所有电力设备、控制系统接地良好，维护安全警示标识。在设备维修保养期间，执行挂牌上锁等安全程序。确保充电设备无肉眼可见的损坏，发现故障应在发现后2小时内通知相关维保单位。</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人员安全保障：制定并执行区域安全管理制度，防止无关人员进入危险区域。在必要时，为维护人员配备必要的安全防护装备。</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防火安全：定期清理枯草落叶等易燃物，检查消防通道畅通，确保消防设施可用。发现安全隐患（如违规充电、堆放杂物）应立即劝阻和处置，并在30分钟内完成现场初步处理，记录并上报。电动车充电区域消防器材配备齐全且在有效期内，前方无遮挡。</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以上设施设备在日常巡察中，如发现一般性问题都应立即修理到位；如不能独立维修，应及时通知采购方，并积极配合维修。所有巡查、维护、报修及事件处理均应有详实记录，形成台账，保存期限不少于一年。</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4.3.2 室内场馆综合管理与日常运行服务标准</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（1）房屋及附属设施日常管理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巡检：每日巡检覆盖所有公共区域，并形成巡检记录。发现问题后，简单报修应在30分钟内完成，紧急报修（如漏水、漏电）须在10分钟内上报并采取临时措施。</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常规维护：门窗开启灵活，五金件无松动；报修后的小型维修（如更换灯泡、锁具）响应时间不超过2小时，修复时间不超过4小时。</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空间管理：无未经批准的占用、挪用现象，钥匙管理规范，存取记录完整。</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（2）设备日常运维管理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电梯系统：配合维保单位完成法定年检，监督月度、季度维保工作并留存记录。电梯困人时，及时须在5分钟内抵达现场进行安抚并联系救援。</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空调系统：配合专业维保，确保夏季/冬季供冷/供热启动前完成系统检查。发现设备问题，及时向采购方报告并联系维保单位。</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给排水系统：无跑冒滴漏现象，小堵塞接报后2小时内疏通。</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照明系统：公共区域照明完好率不低于98%。一般故障（如灯管损坏）报修后4小时内修复。</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（3）秩序维护与安全管理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门岗与巡逻：主出入口24小时值守，对进出人员与车辆进行询问登记。重点区域白天每2小时巡逻1次，夜间每2小时巡逻1次，记录完整清晰。</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安防监控：监控室专人值守或定时查看，发现异常画面或报警，3分钟内确认并上报。</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消防管理：消防设施每日巡检，完好率100%。消防通道无任何占用堵塞。员工每年参加消防演练不少于2次，熟悉应急流程。</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参观秩序：接待期间，人流密集点有专人疏导，无拥堵、踩踏风险，处理突发事件反应时间不超过3分钟。</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（4）环境保洁服务</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公共区域：地面无垃圾、无水迹、无污渍；垃圾篓垃圾不超过2/3，每日清倒不少于2次。</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专项保洁：</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高空作业：石膏板吊顶、高窗、玻璃幕墙每年全面清洁1次，无蛛网、明显积尘。</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卫生间：无异味、无污垢、无水迹，洁具光亮；每日全面清洁不少于3次，每小时巡检1次。</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特殊区域：实验室保洁使用专用中性清洁剂，不触碰实验设备；档案库房使用防静电工具，轻扫轻拖；展厅展柜玻璃每日擦拭，手印留存时间不超过2小时。</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实验室化验器皿：按要求清洗。</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垃圾管理：垃圾分类收集，垃圾存放点每日清运，无满溢、无异味、无蚊蝇滋生。</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4.3.3 水情教育接待支持服务标准</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前台与导览服务：服务台在开放时段始终有人值守，用语文明、热情周到。能准确回答关于开放时间、区域布局等基本问询。</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参观前准备：在开展前1小时完成展厅环境整理，确保设备通电待机，发现问题提前1小时报修。</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参观期间保障：参观动线畅通无阻，地面清洁干燥，无安全隐患。对老人、儿童等特殊群体给予必要协助。</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接待用品管理：休息区桌椅摆放整齐，桌面清洁，饮用水供应充足。</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车辆保障：驾驶员提前10分钟抵达发车点，车辆内外整洁，车况良好，安全驾驶，礼貌服务。</w:t>
      </w:r>
      <w:r>
        <w:rPr>
          <w:rFonts w:ascii="Times New Roman" w:hAnsi="Times New Roman" w:cs="Times New Roman"/>
          <w:color w:val="000000"/>
          <w:sz w:val="24"/>
          <w:szCs w:val="24"/>
          <w:highlight w:val="none"/>
        </w:rPr>
      </w:r>
      <w:r/>
    </w:p>
    <w:p>
      <w:pPr>
        <w:pStyle w:val="901"/>
        <w:rPr>
          <w:rFonts w:ascii="Times New Roman" w:hAnsi="Times New Roman" w:cs="Times New Roman"/>
          <w:b/>
          <w:bCs/>
          <w:color w:val="000000"/>
          <w:sz w:val="30"/>
          <w:szCs w:val="32"/>
          <w:highlight w:val="none"/>
        </w:rPr>
      </w:pPr>
      <w:r>
        <w:rPr>
          <w:color w:val="000000"/>
          <w:highlight w:val="none"/>
        </w:rPr>
        <w:t xml:space="preserve">5.</w:t>
      </w:r>
      <w:r>
        <w:rPr>
          <w:rFonts w:ascii="Times New Roman" w:hAnsi="Times New Roman" w:cs="Times New Roman"/>
          <w:b/>
          <w:bCs/>
          <w:color w:val="000000"/>
          <w:sz w:val="30"/>
          <w:szCs w:val="32"/>
          <w:highlight w:val="none"/>
        </w:rPr>
        <w:t xml:space="preserve">灾备机房运维</w:t>
      </w:r>
      <w:r>
        <w:rPr>
          <w:rFonts w:ascii="Times New Roman" w:hAnsi="Times New Roman" w:cs="Times New Roman"/>
          <w:b/>
          <w:bCs/>
          <w:color w:val="000000"/>
          <w:sz w:val="30"/>
          <w:szCs w:val="32"/>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灾备机房面积约1637平方米，位于江苏省水文综合实验楼负一楼至一楼。</w:t>
      </w:r>
      <w:r>
        <w:rPr>
          <w:rFonts w:ascii="Times New Roman" w:hAnsi="Times New Roman" w:cs="Times New Roman"/>
          <w:color w:val="000000"/>
          <w:sz w:val="24"/>
          <w:szCs w:val="24"/>
          <w:highlight w:val="none"/>
        </w:rPr>
      </w:r>
      <w:r/>
    </w:p>
    <w:p>
      <w:pPr>
        <w:pStyle w:val="902"/>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5.1 项目基本情况</w:t>
      </w:r>
      <w:r>
        <w:rPr>
          <w:rFonts w:ascii="Times New Roman" w:hAnsi="Times New Roman" w:cs="Times New Roman"/>
          <w:color w:val="000000"/>
          <w:sz w:val="28"/>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水利厅灾备机房位于江苏省水文综合实验楼负一层至一层，总面积1637平方米，分为机房、控制室、电力室、配电房、消防控制室等区域。机房安全等级达到信息系统安全等级保护三级规范要求，灾难恢复能力达到信息系统灾难恢复第四级规范要求，主要承担水利云平台、水利地理平台、水利核心数据库等的备份。</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（1）机房基础环境及配套建设</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机房目前拥有标准机柜20个（采取封闭冷通道设计），地面采用防静电活动地板，墙面及顶面铺设防屏蔽网，另外还配有2台78KW风冷式空调、1套250KVA模块化UPS系统及机房专用气体消防系统，加入ATS自动开关可实现两路市电的无感知切换。</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（2）机房主要设备、通信网络及功能</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灾备机房目前配置有2台波分服用设备、1台核心交换机、2台小型机、2套刀片服务器、1台通用存储、1台虚拟化专用存储、1套虚拟带库系统。</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（3）控制室</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控制室与机房采用统一装修标准，后期可作为机房的扩充。通过动环系统的开发部署，监控范围涵盖了门禁控制、漏水报警、火灾报警、新风控制、视频监控等。</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（4）配电房</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双回路供电，主供电系统包括1000KVA变压器1台、高压柜3台、低压柜7台。备用供电系统包括500KVA变压器1台、高压柜3台、低压柜7台。</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（5）其他</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门窗：玻璃门窗总数约77樘，合计288平方米；玻璃幕墙130平方米；普通门5樘，防火门22樘。</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地面：防静电地板约300平方米，其余均为地砖地面。</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内墙饰面：均为乳胶漆墙面。</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顶面：均为石膏板，乳胶漆顶面。</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外墙：真石漆约1000平方米。</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卫生间：2套，总面积87平方米。</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垃圾存放点：每层楼2个。</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空调系统：中央空调、分体空调，机房精密空调有专业维保单位。</w:t>
      </w:r>
      <w:r>
        <w:rPr>
          <w:rFonts w:ascii="Times New Roman" w:hAnsi="Times New Roman" w:cs="Times New Roman"/>
          <w:color w:val="000000"/>
          <w:sz w:val="24"/>
          <w:szCs w:val="24"/>
          <w:highlight w:val="none"/>
        </w:rPr>
      </w:r>
      <w:r/>
    </w:p>
    <w:p>
      <w:pPr>
        <w:pStyle w:val="902"/>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5.2 服务范围及内容</w:t>
      </w:r>
      <w:r>
        <w:rPr>
          <w:rFonts w:ascii="Times New Roman" w:hAnsi="Times New Roman" w:cs="Times New Roman"/>
          <w:color w:val="000000"/>
          <w:sz w:val="28"/>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项目的物业服务旨在为水利厅灾备机房提供一个安全、稳定、洁净、高效的7x24小时不间断运行环境。服务内容在涵盖常规物业运维的基础上，重点突出机房特有的专业性、安全性和应急保障要求。服务内容包括：主要服务内容包括：一是综合管理、房屋及附属设施日常运行管理、设备日常运维管理等；二是机房日常值守、高压配电值班。</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5.2.1 综合管理及日常运行维护</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（1）房屋及附属设施日常管理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日常巡检：每日对负一层至一层管理区域内的建筑结构、门窗、墙面、地面、吊顶进行巡检，重点关注机房区域的密闭性、防水防潮情况，发现问题及时记录并报修。</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常规维护：负责普通区域门窗润滑、小五金更换、地砖破损报修、公共照明维护等。对机房区域的防火门、密闭门等特殊设施进行功能性检查。</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空间管理：协助管理方对控制室、电力室、配电房等核心区域的使用秩序进行管理，确保无关人员不得进入。</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（2）设备日常运维管理（非核心IT及电力设备）：</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空调系统：配合维保单位进行维修工作。</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给排水系统：定期检查水管、阀门、地漏，特别是机房周边区域，严防跑冒滴漏风险。协助疏通堵塞。</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照明系统：负责公共区域日常照明灯具的更换，确保应急照明系统完好有效。</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5.2.2 机房专业运维支持与服务</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（1）机房环境监控与值守</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7x24小时值守：在消防控制室或指定位置设立专职值守岗，对动环监控系统进行全天候监视，每2小时记录机房温湿度参数，确保其常年稳定运行，为机房提供恒温恒湿环境。</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监控内容：实时监控门禁状态、漏水报警、火灾报警、温湿度、新风系统运行状态、视频监控画面等。</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事件响应：对监控系统发出的任何报警信息，须在1分钟内确认，并按照应急预案流程进行初步判断和通报。</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（2）高压配电值班与电力保障</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持证值班：安排持有高压电工操作证的人员进行值班，严格执行配电房操作规程。</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运行监视：监视两路市电切换状态、UPS系统运行状态、蓄电池组参数，并按规定进行抄表记录。</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协同保障：配合专业维保单位对250KVA模块化UPS系统、288节蓄电池组及ATS自动切换开关进行定期检查和维护，确保断电后机房持续运行能力。</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5.2.3 安全管理服务</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（1）物理安全与门禁管理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出入控制：严格执行人员出入管理制度，对进入机房、电力室、配电房等核心区域的人员进行身份核实和登记，严禁无关人员进入。</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巡逻检查：对机房外围、出入口、走廊等区域进行定时巡逻，重点检查门禁状态和周边环境安全，并做好记录。</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（2）消防安防管理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消防系统：每日巡查机房专用气体消防系统、火灾报警系统的状态指示，确保其处于自动待命状态。熟悉气体灭火系统的紧急启动流程和注意事项。</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视频监控：协助安防监控系统的值守，发现异常情况及时上报。</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应急演练：定期参与针对机房环境的专项消防和电力应急演练。</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5.2.4 环境保洁服务</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机房区域保洁：制定并执行严格的机房保洁规程。使用专用防静电工具，对防静电地板、机柜表面进行清洁，确保无积尘。</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控制室及办公区保洁：每日对控制室、消防控制室等区域进行清洁，保持环境整洁。</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公共区域保洁：对走廊、楼梯、卫生间等公共区域进行日常清扫、垃圾收集。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垃圾管理：对产生的垃圾，特别是机房区域可能产生的包装废弃物，做到分类收集、及时清运。</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5.2.5 应急响应与协同保障</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应急预案：熟悉并能够执行针对机房环境的各类应急预案，包括但不限于市电中断、UPS故障、精密空调故障、漏水、火警等。</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协同操作：在发生紧急情况时，作为第一响应人，负责执行初步应急操作（如人员疏散、通报），并协助、配合采购方及专业技术人员进行故障排查和恢复工作。</w:t>
      </w:r>
      <w:r>
        <w:rPr>
          <w:rFonts w:ascii="Times New Roman" w:hAnsi="Times New Roman" w:cs="Times New Roman"/>
          <w:color w:val="000000"/>
          <w:sz w:val="24"/>
          <w:szCs w:val="24"/>
          <w:highlight w:val="none"/>
        </w:rPr>
      </w:r>
      <w:r/>
    </w:p>
    <w:p>
      <w:pPr>
        <w:pStyle w:val="902"/>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5.3 服务标准与服务质量要求</w:t>
      </w:r>
      <w:r>
        <w:rPr>
          <w:rFonts w:ascii="Times New Roman" w:hAnsi="Times New Roman" w:cs="Times New Roman"/>
          <w:color w:val="000000"/>
          <w:sz w:val="28"/>
          <w:szCs w:val="28"/>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5.3.1 综合管理及日常运行维护标准</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（1）房屋及附属设施日常管理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巡检标准：每日按要求开展巡检工作，巡检无死角。发现任何安全隐患，须在15分钟内完成上报并采取临时防护措施。</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维护标准：普通区域报修响应时间不超过30分钟。机房区域门窗、密闭件密闭性完好，达到设计要求的屏蔽和防尘标准。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空间管理标准：核心区域（机房、配电房等）钥匙及门禁卡管理零差错，领用登记率100%。</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（2）设备日常运维管理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给排水系统标准：机房及相关区域零漏水、零渗水。巡检发现管道结露等潜在风险须立即处理。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照明系统标准：区域照明保持完好，故障报修后2小时内修复。应急照明系统每月进行1次功能性测试。</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5.3.2 机房专业运维支持与服务标准</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（1）机房环境监控与值守</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值守标准：实行7x24小时双人值守制，值守人员不得脱岗、睡岗。监控台面整洁，工作记录完整清晰。</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监控与响应标准：动环监控系统报警音响应时间不超过30秒，报警事件确认与初步通报时间不超过1分钟。所有报警及处置过程须有详细电子日志记录，可追溯。</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（2）高压配电值班与电力保障</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值班标准：高压值班人员需持有效操作证上岗，严格执行相关规范。</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电力保障标准：确保UPS系统输出电压、频率稳定在额定范围内。</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5.3.3 安全管理服务标准</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（1）物理安全与门禁管理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出入控制标准：对进入核心区域的人员，做到“一人一证、人证相符、登记无误”。</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巡逻检查标准：对机房外围及重点区域每2小时巡逻1次，夜间每2小时1次。</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（2）消防安防管理</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消防系统标准：每日对气体灭火系统压力指示灯、手自动状态进行确认，系统完好率100%。</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应急演练标准：值守与安保人员每年参与专项应急演练不少于2次。相关人员熟练掌握气体灭火系统启动前的疏散和确认程序。</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5.3.4 环境保洁服务标准</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控制室及办公区：地面光洁无污迹，桌面、台面、设备表面无灰尘。每日清洁不少于2次。</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公共区域：地面无垃圾、无水迹，卫生间无异味、无污垢。垃圾篓清倒及时，无满溢。</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垃圾管理标准：垃圾日产日清。</w:t>
      </w:r>
      <w:r>
        <w:rPr>
          <w:rFonts w:ascii="Times New Roman" w:hAnsi="Times New Roman" w:cs="Times New Roman"/>
          <w:color w:val="000000"/>
          <w:sz w:val="24"/>
          <w:szCs w:val="24"/>
          <w:highlight w:val="none"/>
        </w:rPr>
      </w:r>
      <w:r/>
    </w:p>
    <w:p>
      <w:pPr>
        <w:pStyle w:val="903"/>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5.3.5 应急响应与协同保障标准</w:t>
      </w:r>
      <w:r>
        <w:rPr>
          <w:rFonts w:ascii="Times New Roman" w:hAnsi="Times New Roman" w:cs="Times New Roman"/>
          <w:color w:val="000000"/>
          <w:sz w:val="24"/>
          <w:szCs w:val="28"/>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应急预案标准：关键岗位人员对应急预案内容知晓率100%，每人每年至少参与1次应急预案培训。</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应急响应标准：任何紧急事件，第一响应人必须在3分钟内抵达现场，5分钟内完成初步判断并按流程启动通报程序。与采购方的协同处置配合度100%，指令执行无差错。</w:t>
      </w:r>
      <w:r>
        <w:rPr>
          <w:rFonts w:ascii="Times New Roman" w:hAnsi="Times New Roman" w:cs="Times New Roman"/>
          <w:color w:val="000000"/>
          <w:sz w:val="24"/>
          <w:szCs w:val="24"/>
          <w:highlight w:val="none"/>
        </w:rPr>
      </w:r>
      <w:r/>
    </w:p>
    <w:p>
      <w:pPr>
        <w:pStyle w:val="901"/>
        <w:rPr>
          <w:rFonts w:ascii="Times New Roman" w:hAnsi="Times New Roman" w:cs="Times New Roman"/>
          <w:color w:val="000000"/>
          <w:sz w:val="30"/>
          <w:szCs w:val="32"/>
          <w:highlight w:val="none"/>
        </w:rPr>
      </w:pPr>
      <w:r>
        <w:rPr>
          <w:color w:val="000000"/>
          <w:highlight w:val="none"/>
        </w:rPr>
        <w:t xml:space="preserve">6.</w:t>
      </w:r>
      <w:r>
        <w:rPr>
          <w:rFonts w:ascii="Times New Roman" w:hAnsi="Times New Roman" w:cs="Times New Roman"/>
          <w:color w:val="000000"/>
          <w:sz w:val="30"/>
          <w:szCs w:val="32"/>
          <w:highlight w:val="none"/>
        </w:rPr>
        <w:t xml:space="preserve">供应商履行合同所需的设备</w:t>
      </w:r>
      <w:r>
        <w:rPr>
          <w:rFonts w:ascii="Times New Roman" w:hAnsi="Times New Roman" w:cs="Times New Roman"/>
          <w:color w:val="000000"/>
          <w:sz w:val="30"/>
          <w:szCs w:val="32"/>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采购方根据项目实际需求，需要供应商提供作业设备（自有或租赁）用于物业管理服务的，可在下表中列出：</w:t>
      </w:r>
      <w:r>
        <w:rPr>
          <w:rFonts w:ascii="Times New Roman" w:hAnsi="Times New Roman" w:cs="Times New Roman"/>
          <w:color w:val="000000"/>
          <w:sz w:val="24"/>
          <w:szCs w:val="24"/>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240" w:type="dxa"/>
          <w:top w:w="150" w:type="dxa"/>
          <w:right w:w="240" w:type="dxa"/>
          <w:bottom w:w="150" w:type="dxa"/>
        </w:tblCellMar>
        <w:tblLook w:val="04A0" w:firstRow="1" w:lastRow="0" w:firstColumn="1" w:lastColumn="0" w:noHBand="0" w:noVBand="1"/>
      </w:tblPr>
      <w:tblGrid>
        <w:gridCol w:w="1021"/>
        <w:gridCol w:w="1241"/>
        <w:gridCol w:w="2436"/>
        <w:gridCol w:w="1147"/>
        <w:gridCol w:w="985"/>
        <w:gridCol w:w="1721"/>
      </w:tblGrid>
      <w:tr>
        <w:trPr>
          <w:trHeight w:val="950" w:hRule="exact"/>
          <w:tblHeader/>
        </w:trPr>
        <w:tc>
          <w:tcPr>
            <w:shd w:val="clear" w:color="auto" w:fill="ffffff"/>
            <w:tcMar>
              <w:left w:w="0" w:type="dxa"/>
              <w:top w:w="150" w:type="dxa"/>
              <w:right w:w="240" w:type="dxa"/>
              <w:bottom w:w="150" w:type="dxa"/>
            </w:tcMar>
            <w:tcW w:w="1063" w:type="dxa"/>
            <w:vAlign w:val="center"/>
            <w:textDirection w:val="lrTb"/>
            <w:noWrap w:val="false"/>
          </w:tcPr>
          <w:p>
            <w:pPr>
              <w:pStyle w:val="898"/>
              <w:jc w:val="center"/>
              <w:spacing w:line="300" w:lineRule="exact"/>
              <w:widowControl/>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序号</w:t>
            </w:r>
            <w:r>
              <w:rPr>
                <w:rFonts w:ascii="Times New Roman" w:hAnsi="Times New Roman" w:cs="Times New Roman"/>
                <w:b/>
                <w:color w:val="000000"/>
                <w:sz w:val="24"/>
                <w:szCs w:val="24"/>
                <w:highlight w:val="none"/>
              </w:rPr>
            </w:r>
            <w:r/>
          </w:p>
        </w:tc>
        <w:tc>
          <w:tcPr>
            <w:shd w:val="clear" w:color="auto" w:fill="ffffff"/>
            <w:tcMar>
              <w:left w:w="240" w:type="dxa"/>
              <w:top w:w="150" w:type="dxa"/>
              <w:right w:w="240" w:type="dxa"/>
              <w:bottom w:w="150" w:type="dxa"/>
            </w:tcMar>
            <w:tcW w:w="1282" w:type="dxa"/>
            <w:vAlign w:val="center"/>
            <w:textDirection w:val="lrTb"/>
            <w:noWrap w:val="false"/>
          </w:tcPr>
          <w:p>
            <w:pPr>
              <w:pStyle w:val="898"/>
              <w:jc w:val="center"/>
              <w:spacing w:line="300" w:lineRule="exact"/>
              <w:widowControl/>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用途</w:t>
            </w:r>
            <w:r>
              <w:rPr>
                <w:rFonts w:ascii="Times New Roman" w:hAnsi="Times New Roman" w:cs="Times New Roman"/>
                <w:b/>
                <w:color w:val="000000"/>
                <w:sz w:val="24"/>
                <w:szCs w:val="24"/>
                <w:highlight w:val="none"/>
              </w:rPr>
            </w:r>
            <w:r/>
          </w:p>
        </w:tc>
        <w:tc>
          <w:tcPr>
            <w:shd w:val="clear" w:color="auto" w:fill="ffffff"/>
            <w:tcMar>
              <w:left w:w="240" w:type="dxa"/>
              <w:top w:w="150" w:type="dxa"/>
              <w:right w:w="240" w:type="dxa"/>
              <w:bottom w:w="150" w:type="dxa"/>
            </w:tcMar>
            <w:tcW w:w="2553" w:type="dxa"/>
            <w:vAlign w:val="center"/>
            <w:textDirection w:val="lrTb"/>
            <w:noWrap w:val="false"/>
          </w:tcPr>
          <w:p>
            <w:pPr>
              <w:pStyle w:val="898"/>
              <w:jc w:val="center"/>
              <w:spacing w:line="300" w:lineRule="exact"/>
              <w:widowControl/>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作业设备名称</w:t>
            </w:r>
            <w:r>
              <w:rPr>
                <w:rFonts w:ascii="Times New Roman" w:hAnsi="Times New Roman" w:cs="Times New Roman"/>
                <w:b/>
                <w:color w:val="000000"/>
                <w:sz w:val="24"/>
                <w:szCs w:val="24"/>
                <w:highlight w:val="none"/>
              </w:rPr>
            </w:r>
            <w:r/>
          </w:p>
        </w:tc>
        <w:tc>
          <w:tcPr>
            <w:shd w:val="clear" w:color="auto" w:fill="ffffff"/>
            <w:tcMar>
              <w:left w:w="240" w:type="dxa"/>
              <w:top w:w="150" w:type="dxa"/>
              <w:right w:w="240" w:type="dxa"/>
              <w:bottom w:w="150" w:type="dxa"/>
            </w:tcMar>
            <w:tcW w:w="1181" w:type="dxa"/>
            <w:vAlign w:val="center"/>
            <w:textDirection w:val="lrTb"/>
            <w:noWrap w:val="false"/>
          </w:tcPr>
          <w:p>
            <w:pPr>
              <w:pStyle w:val="898"/>
              <w:jc w:val="center"/>
              <w:spacing w:line="300" w:lineRule="exact"/>
              <w:widowControl/>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推荐数量</w:t>
            </w:r>
            <w:r>
              <w:rPr>
                <w:rFonts w:ascii="Times New Roman" w:hAnsi="Times New Roman" w:cs="Times New Roman"/>
                <w:b/>
                <w:color w:val="000000"/>
                <w:sz w:val="24"/>
                <w:szCs w:val="24"/>
                <w:highlight w:val="none"/>
              </w:rPr>
            </w:r>
            <w:r/>
          </w:p>
        </w:tc>
        <w:tc>
          <w:tcPr>
            <w:shd w:val="clear" w:color="auto" w:fill="ffffff"/>
            <w:tcMar>
              <w:left w:w="240" w:type="dxa"/>
              <w:top w:w="150" w:type="dxa"/>
              <w:right w:w="240" w:type="dxa"/>
              <w:bottom w:w="150" w:type="dxa"/>
            </w:tcMar>
            <w:tcW w:w="1006" w:type="dxa"/>
            <w:vAlign w:val="center"/>
            <w:textDirection w:val="lrTb"/>
            <w:noWrap w:val="false"/>
          </w:tcPr>
          <w:p>
            <w:pPr>
              <w:pStyle w:val="898"/>
              <w:jc w:val="center"/>
              <w:spacing w:line="300" w:lineRule="exact"/>
              <w:widowControl/>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单位</w:t>
            </w:r>
            <w:r>
              <w:rPr>
                <w:rFonts w:ascii="Times New Roman" w:hAnsi="Times New Roman" w:cs="Times New Roman"/>
                <w:b/>
                <w:color w:val="000000"/>
                <w:sz w:val="24"/>
                <w:szCs w:val="24"/>
                <w:highlight w:val="none"/>
              </w:rPr>
            </w:r>
            <w:r/>
          </w:p>
        </w:tc>
        <w:tc>
          <w:tcPr>
            <w:shd w:val="clear" w:color="auto" w:fill="ffffff"/>
            <w:tcMar>
              <w:left w:w="240" w:type="dxa"/>
              <w:top w:w="150" w:type="dxa"/>
              <w:right w:w="240" w:type="dxa"/>
              <w:bottom w:w="150" w:type="dxa"/>
            </w:tcMar>
            <w:tcW w:w="1800" w:type="dxa"/>
            <w:vAlign w:val="center"/>
            <w:textDirection w:val="lrTb"/>
            <w:noWrap w:val="false"/>
          </w:tcPr>
          <w:p>
            <w:pPr>
              <w:pStyle w:val="898"/>
              <w:jc w:val="center"/>
              <w:spacing w:line="300" w:lineRule="exact"/>
              <w:widowControl/>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备注说明</w:t>
            </w:r>
            <w:r>
              <w:rPr>
                <w:rFonts w:ascii="Times New Roman" w:hAnsi="Times New Roman" w:cs="Times New Roman"/>
                <w:b/>
                <w:color w:val="000000"/>
                <w:sz w:val="24"/>
                <w:szCs w:val="24"/>
                <w:highlight w:val="none"/>
              </w:rPr>
            </w:r>
            <w:r/>
          </w:p>
        </w:tc>
      </w:tr>
      <w:tr>
        <w:trPr>
          <w:trHeight w:val="1251" w:hRule="exact"/>
        </w:trPr>
        <w:tc>
          <w:tcPr>
            <w:shd w:val="clear" w:color="auto" w:fill="ffffff"/>
            <w:tcMar>
              <w:left w:w="0" w:type="dxa"/>
              <w:top w:w="150" w:type="dxa"/>
              <w:right w:w="240" w:type="dxa"/>
              <w:bottom w:w="150" w:type="dxa"/>
            </w:tcMar>
            <w:tcW w:w="1063" w:type="dxa"/>
            <w:vAlign w:val="center"/>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282" w:type="dxa"/>
            <w:vAlign w:val="center"/>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基本服务与应急保障</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2553"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多功能手电筒（强光、防爆）</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181"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006"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把</w:t>
            </w:r>
            <w:r>
              <w:rPr>
                <w:rFonts w:ascii="Times New Roman" w:hAnsi="Times New Roman" w:cs="Times New Roman"/>
                <w:color w:val="000000"/>
                <w:sz w:val="24"/>
                <w:szCs w:val="24"/>
                <w:highlight w:val="none"/>
              </w:rPr>
            </w:r>
            <w:r/>
          </w:p>
        </w:tc>
        <w:tc>
          <w:tcPr>
            <w:shd w:val="clear" w:color="auto" w:fill="ffffff"/>
            <w:tcMar>
              <w:left w:w="240" w:type="dxa"/>
              <w:top w:w="150" w:type="dxa"/>
              <w:right w:w="0" w:type="dxa"/>
              <w:bottom w:w="150" w:type="dxa"/>
            </w:tcMar>
            <w:tcW w:w="1800"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值班、巡逻及应急抢修使用。</w:t>
            </w:r>
            <w:r>
              <w:rPr>
                <w:rFonts w:ascii="Times New Roman" w:hAnsi="Times New Roman" w:cs="Times New Roman"/>
                <w:color w:val="000000"/>
                <w:sz w:val="24"/>
                <w:szCs w:val="24"/>
                <w:highlight w:val="none"/>
              </w:rPr>
            </w:r>
            <w:r/>
          </w:p>
        </w:tc>
      </w:tr>
      <w:tr>
        <w:trPr>
          <w:trHeight w:val="1108" w:hRule="exact"/>
        </w:trPr>
        <w:tc>
          <w:tcPr>
            <w:shd w:val="clear" w:color="auto" w:fill="ffffff"/>
            <w:tcMar>
              <w:left w:w="0" w:type="dxa"/>
              <w:top w:w="150" w:type="dxa"/>
              <w:right w:w="240" w:type="dxa"/>
              <w:bottom w:w="150" w:type="dxa"/>
            </w:tcMar>
            <w:tcW w:w="1063" w:type="dxa"/>
            <w:vAlign w:val="center"/>
            <w:vMerge w:val="restart"/>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2</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282" w:type="dxa"/>
            <w:vAlign w:val="center"/>
            <w:vMerge w:val="restart"/>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房屋及设施维修服务</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2553"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移动登高车（或铝合金人字梯）</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181"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006"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台</w:t>
            </w:r>
            <w:r>
              <w:rPr>
                <w:rFonts w:ascii="Times New Roman" w:hAnsi="Times New Roman" w:cs="Times New Roman"/>
                <w:color w:val="000000"/>
                <w:sz w:val="24"/>
                <w:szCs w:val="24"/>
                <w:highlight w:val="none"/>
              </w:rPr>
            </w:r>
            <w:r/>
          </w:p>
        </w:tc>
        <w:tc>
          <w:tcPr>
            <w:shd w:val="clear" w:color="auto" w:fill="ffffff"/>
            <w:tcMar>
              <w:left w:w="240" w:type="dxa"/>
              <w:top w:w="150" w:type="dxa"/>
              <w:right w:w="0" w:type="dxa"/>
              <w:bottom w:w="150" w:type="dxa"/>
            </w:tcMar>
            <w:tcW w:w="1800"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用于高空维修、换灯、保洁等作业。</w:t>
            </w:r>
            <w:r>
              <w:rPr>
                <w:rFonts w:ascii="Times New Roman" w:hAnsi="Times New Roman" w:cs="Times New Roman"/>
                <w:color w:val="000000"/>
                <w:sz w:val="24"/>
                <w:szCs w:val="24"/>
                <w:highlight w:val="none"/>
              </w:rPr>
            </w:r>
            <w:r/>
          </w:p>
        </w:tc>
      </w:tr>
      <w:tr>
        <w:trPr>
          <w:trHeight w:val="786" w:hRule="exact"/>
        </w:trPr>
        <w:tc>
          <w:tcPr>
            <w:shd w:val="clear" w:color="auto" w:fill="ffffff"/>
            <w:tcMar>
              <w:left w:w="0" w:type="dxa"/>
              <w:top w:w="150" w:type="dxa"/>
              <w:right w:w="240" w:type="dxa"/>
              <w:bottom w:w="150" w:type="dxa"/>
            </w:tcMar>
            <w:tcW w:w="1063"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282"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2553"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手电钻、冲击钻套装</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181"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006"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套</w:t>
            </w:r>
            <w:r>
              <w:rPr>
                <w:rFonts w:ascii="Times New Roman" w:hAnsi="Times New Roman" w:cs="Times New Roman"/>
                <w:color w:val="000000"/>
                <w:sz w:val="24"/>
                <w:szCs w:val="24"/>
                <w:highlight w:val="none"/>
              </w:rPr>
            </w:r>
            <w:r/>
          </w:p>
        </w:tc>
        <w:tc>
          <w:tcPr>
            <w:shd w:val="clear" w:color="auto" w:fill="ffffff"/>
            <w:tcMar>
              <w:left w:w="240" w:type="dxa"/>
              <w:top w:w="150" w:type="dxa"/>
              <w:right w:w="0" w:type="dxa"/>
              <w:bottom w:w="150" w:type="dxa"/>
            </w:tcMar>
            <w:tcW w:w="1800"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日常安装、维修作业。</w:t>
            </w:r>
            <w:r>
              <w:rPr>
                <w:rFonts w:ascii="Times New Roman" w:hAnsi="Times New Roman" w:cs="Times New Roman"/>
                <w:color w:val="000000"/>
                <w:sz w:val="24"/>
                <w:szCs w:val="24"/>
                <w:highlight w:val="none"/>
              </w:rPr>
            </w:r>
            <w:r/>
          </w:p>
        </w:tc>
      </w:tr>
      <w:tr>
        <w:trPr>
          <w:trHeight w:val="1134" w:hRule="exact"/>
        </w:trPr>
        <w:tc>
          <w:tcPr>
            <w:shd w:val="clear" w:color="auto" w:fill="ffffff"/>
            <w:tcMar>
              <w:left w:w="0" w:type="dxa"/>
              <w:top w:w="150" w:type="dxa"/>
              <w:right w:w="240" w:type="dxa"/>
              <w:bottom w:w="150" w:type="dxa"/>
            </w:tcMar>
            <w:tcW w:w="1063"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282"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2553"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多功能五金工具箱（含常用批头、套筒）</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181"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006"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套</w:t>
            </w:r>
            <w:r>
              <w:rPr>
                <w:rFonts w:ascii="Times New Roman" w:hAnsi="Times New Roman" w:cs="Times New Roman"/>
                <w:color w:val="000000"/>
                <w:sz w:val="24"/>
                <w:szCs w:val="24"/>
                <w:highlight w:val="none"/>
              </w:rPr>
            </w:r>
            <w:r/>
          </w:p>
        </w:tc>
        <w:tc>
          <w:tcPr>
            <w:shd w:val="clear" w:color="auto" w:fill="ffffff"/>
            <w:tcMar>
              <w:left w:w="240" w:type="dxa"/>
              <w:top w:w="150" w:type="dxa"/>
              <w:right w:w="0" w:type="dxa"/>
              <w:bottom w:w="150" w:type="dxa"/>
            </w:tcMar>
            <w:tcW w:w="1800"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日常维修必备。</w:t>
            </w:r>
            <w:r>
              <w:rPr>
                <w:rFonts w:ascii="Times New Roman" w:hAnsi="Times New Roman" w:cs="Times New Roman"/>
                <w:color w:val="000000"/>
                <w:sz w:val="24"/>
                <w:szCs w:val="24"/>
                <w:highlight w:val="none"/>
              </w:rPr>
            </w:r>
            <w:r/>
          </w:p>
        </w:tc>
      </w:tr>
      <w:tr>
        <w:trPr>
          <w:trHeight w:val="1134" w:hRule="exact"/>
        </w:trPr>
        <w:tc>
          <w:tcPr>
            <w:shd w:val="clear" w:color="auto" w:fill="ffffff"/>
            <w:tcMar>
              <w:left w:w="0" w:type="dxa"/>
              <w:top w:w="150" w:type="dxa"/>
              <w:right w:w="240" w:type="dxa"/>
              <w:bottom w:w="150" w:type="dxa"/>
            </w:tcMar>
            <w:tcW w:w="1063" w:type="dxa"/>
            <w:vAlign w:val="center"/>
            <w:vMerge w:val="restart"/>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3</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282" w:type="dxa"/>
            <w:vAlign w:val="center"/>
            <w:vMerge w:val="restart"/>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公用设施设备维护服务</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2553"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管道疏通机（手摇/电动）</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181"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006"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台</w:t>
            </w:r>
            <w:r>
              <w:rPr>
                <w:rFonts w:ascii="Times New Roman" w:hAnsi="Times New Roman" w:cs="Times New Roman"/>
                <w:color w:val="000000"/>
                <w:sz w:val="24"/>
                <w:szCs w:val="24"/>
                <w:highlight w:val="none"/>
              </w:rPr>
            </w:r>
            <w:r/>
          </w:p>
        </w:tc>
        <w:tc>
          <w:tcPr>
            <w:shd w:val="clear" w:color="auto" w:fill="ffffff"/>
            <w:tcMar>
              <w:left w:w="240" w:type="dxa"/>
              <w:top w:w="150" w:type="dxa"/>
              <w:right w:w="0" w:type="dxa"/>
              <w:bottom w:w="150" w:type="dxa"/>
            </w:tcMar>
            <w:tcW w:w="1800"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用于不同管径的疏通作业。</w:t>
            </w:r>
            <w:r>
              <w:rPr>
                <w:rFonts w:ascii="Times New Roman" w:hAnsi="Times New Roman" w:cs="Times New Roman"/>
                <w:color w:val="000000"/>
                <w:sz w:val="24"/>
                <w:szCs w:val="24"/>
                <w:highlight w:val="none"/>
              </w:rPr>
            </w:r>
            <w:r/>
          </w:p>
        </w:tc>
      </w:tr>
      <w:tr>
        <w:trPr>
          <w:trHeight w:val="732" w:hRule="exact"/>
        </w:trPr>
        <w:tc>
          <w:tcPr>
            <w:shd w:val="clear" w:color="auto" w:fill="ffffff"/>
            <w:tcMar>
              <w:left w:w="0" w:type="dxa"/>
              <w:top w:w="150" w:type="dxa"/>
              <w:right w:w="240" w:type="dxa"/>
              <w:bottom w:w="150" w:type="dxa"/>
            </w:tcMar>
            <w:tcW w:w="1063"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282"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2553"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数字式万用表、钳形电流表</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181"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006"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套</w:t>
            </w:r>
            <w:r>
              <w:rPr>
                <w:rFonts w:ascii="Times New Roman" w:hAnsi="Times New Roman" w:cs="Times New Roman"/>
                <w:color w:val="000000"/>
                <w:sz w:val="24"/>
                <w:szCs w:val="24"/>
                <w:highlight w:val="none"/>
              </w:rPr>
            </w:r>
            <w:r/>
          </w:p>
        </w:tc>
        <w:tc>
          <w:tcPr>
            <w:shd w:val="clear" w:color="auto" w:fill="ffffff"/>
            <w:tcMar>
              <w:left w:w="240" w:type="dxa"/>
              <w:top w:w="150" w:type="dxa"/>
              <w:right w:w="0" w:type="dxa"/>
              <w:bottom w:w="150" w:type="dxa"/>
            </w:tcMar>
            <w:tcW w:w="1800"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用于日常电路检测、排查。</w:t>
            </w:r>
            <w:r>
              <w:rPr>
                <w:rFonts w:ascii="Times New Roman" w:hAnsi="Times New Roman" w:cs="Times New Roman"/>
                <w:color w:val="000000"/>
                <w:sz w:val="24"/>
                <w:szCs w:val="24"/>
                <w:highlight w:val="none"/>
              </w:rPr>
            </w:r>
            <w:r/>
          </w:p>
        </w:tc>
      </w:tr>
      <w:tr>
        <w:trPr>
          <w:trHeight w:val="1496" w:hRule="exact"/>
        </w:trPr>
        <w:tc>
          <w:tcPr>
            <w:shd w:val="clear" w:color="auto" w:fill="ffffff"/>
            <w:tcMar>
              <w:left w:w="0" w:type="dxa"/>
              <w:top w:w="150" w:type="dxa"/>
              <w:right w:w="240" w:type="dxa"/>
              <w:bottom w:w="150" w:type="dxa"/>
            </w:tcMar>
            <w:tcW w:w="1063" w:type="dxa"/>
            <w:vAlign w:val="center"/>
            <w:vMerge w:val="restart"/>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4</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282" w:type="dxa"/>
            <w:vAlign w:val="center"/>
            <w:vMerge w:val="restart"/>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保洁服务</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2553"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商用洗地机</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181"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006"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台</w:t>
            </w:r>
            <w:r>
              <w:rPr>
                <w:rFonts w:ascii="Times New Roman" w:hAnsi="Times New Roman" w:cs="Times New Roman"/>
                <w:color w:val="000000"/>
                <w:sz w:val="24"/>
                <w:szCs w:val="24"/>
                <w:highlight w:val="none"/>
              </w:rPr>
            </w:r>
            <w:r/>
          </w:p>
        </w:tc>
        <w:tc>
          <w:tcPr>
            <w:shd w:val="clear" w:color="auto" w:fill="ffffff"/>
            <w:tcMar>
              <w:left w:w="240" w:type="dxa"/>
              <w:top w:w="150" w:type="dxa"/>
              <w:right w:w="0" w:type="dxa"/>
              <w:bottom w:w="150" w:type="dxa"/>
            </w:tcMar>
            <w:tcW w:w="1800"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用于大厅、走廊等大面积地砖/地胶区域高效清洁。</w:t>
            </w:r>
            <w:r>
              <w:rPr>
                <w:rFonts w:ascii="Times New Roman" w:hAnsi="Times New Roman" w:cs="Times New Roman"/>
                <w:color w:val="000000"/>
                <w:sz w:val="24"/>
                <w:szCs w:val="24"/>
                <w:highlight w:val="none"/>
              </w:rPr>
            </w:r>
            <w:r/>
          </w:p>
        </w:tc>
      </w:tr>
      <w:tr>
        <w:trPr>
          <w:trHeight w:val="1032" w:hRule="exact"/>
        </w:trPr>
        <w:tc>
          <w:tcPr>
            <w:shd w:val="clear" w:color="auto" w:fill="ffffff"/>
            <w:tcMar>
              <w:left w:w="0" w:type="dxa"/>
              <w:top w:w="150" w:type="dxa"/>
              <w:right w:w="240" w:type="dxa"/>
              <w:bottom w:w="150" w:type="dxa"/>
            </w:tcMar>
            <w:tcW w:w="1063"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282"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2553"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多功能手推式扫地机</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181"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006"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台</w:t>
            </w:r>
            <w:r>
              <w:rPr>
                <w:rFonts w:ascii="Times New Roman" w:hAnsi="Times New Roman" w:cs="Times New Roman"/>
                <w:color w:val="000000"/>
                <w:sz w:val="24"/>
                <w:szCs w:val="24"/>
                <w:highlight w:val="none"/>
              </w:rPr>
            </w:r>
            <w:r/>
          </w:p>
        </w:tc>
        <w:tc>
          <w:tcPr>
            <w:shd w:val="clear" w:color="auto" w:fill="ffffff"/>
            <w:tcMar>
              <w:left w:w="240" w:type="dxa"/>
              <w:top w:w="150" w:type="dxa"/>
              <w:right w:w="0" w:type="dxa"/>
              <w:bottom w:w="150" w:type="dxa"/>
            </w:tcMar>
            <w:tcW w:w="1800"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用于室外广场、地下室等大区域清扫。</w:t>
            </w:r>
            <w:r>
              <w:rPr>
                <w:rFonts w:ascii="Times New Roman" w:hAnsi="Times New Roman" w:cs="Times New Roman"/>
                <w:color w:val="000000"/>
                <w:sz w:val="24"/>
                <w:szCs w:val="24"/>
                <w:highlight w:val="none"/>
              </w:rPr>
            </w:r>
            <w:r/>
          </w:p>
        </w:tc>
      </w:tr>
      <w:tr>
        <w:trPr>
          <w:trHeight w:val="923" w:hRule="exact"/>
        </w:trPr>
        <w:tc>
          <w:tcPr>
            <w:shd w:val="clear" w:color="auto" w:fill="ffffff"/>
            <w:tcMar>
              <w:left w:w="0" w:type="dxa"/>
              <w:top w:w="150" w:type="dxa"/>
              <w:right w:w="240" w:type="dxa"/>
              <w:bottom w:w="150" w:type="dxa"/>
            </w:tcMar>
            <w:tcW w:w="1063"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282"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2553"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大功率工业吸尘器（干湿两用）</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181"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006"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台</w:t>
            </w:r>
            <w:r>
              <w:rPr>
                <w:rFonts w:ascii="Times New Roman" w:hAnsi="Times New Roman" w:cs="Times New Roman"/>
                <w:color w:val="000000"/>
                <w:sz w:val="24"/>
                <w:szCs w:val="24"/>
                <w:highlight w:val="none"/>
              </w:rPr>
            </w:r>
            <w:r/>
          </w:p>
        </w:tc>
        <w:tc>
          <w:tcPr>
            <w:shd w:val="clear" w:color="auto" w:fill="ffffff"/>
            <w:tcMar>
              <w:left w:w="240" w:type="dxa"/>
              <w:top w:w="150" w:type="dxa"/>
              <w:right w:w="0" w:type="dxa"/>
              <w:bottom w:w="150" w:type="dxa"/>
            </w:tcMar>
            <w:tcW w:w="1800"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用于机房、库房、日常保洁。</w:t>
            </w:r>
            <w:r>
              <w:rPr>
                <w:rFonts w:ascii="Times New Roman" w:hAnsi="Times New Roman" w:cs="Times New Roman"/>
                <w:color w:val="000000"/>
                <w:sz w:val="24"/>
                <w:szCs w:val="24"/>
                <w:highlight w:val="none"/>
              </w:rPr>
            </w:r>
            <w:r/>
          </w:p>
        </w:tc>
      </w:tr>
      <w:tr>
        <w:trPr>
          <w:trHeight w:val="896" w:hRule="exact"/>
        </w:trPr>
        <w:tc>
          <w:tcPr>
            <w:shd w:val="clear" w:color="auto" w:fill="ffffff"/>
            <w:tcMar>
              <w:left w:w="0" w:type="dxa"/>
              <w:top w:w="150" w:type="dxa"/>
              <w:right w:w="240" w:type="dxa"/>
              <w:bottom w:w="150" w:type="dxa"/>
            </w:tcMar>
            <w:tcW w:w="1063"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282"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2553"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高压水枪</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181"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006"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台</w:t>
            </w:r>
            <w:r>
              <w:rPr>
                <w:rFonts w:ascii="Times New Roman" w:hAnsi="Times New Roman" w:cs="Times New Roman"/>
                <w:color w:val="000000"/>
                <w:sz w:val="24"/>
                <w:szCs w:val="24"/>
                <w:highlight w:val="none"/>
              </w:rPr>
            </w:r>
            <w:r/>
          </w:p>
        </w:tc>
        <w:tc>
          <w:tcPr>
            <w:shd w:val="clear" w:color="auto" w:fill="ffffff"/>
            <w:tcMar>
              <w:left w:w="240" w:type="dxa"/>
              <w:top w:w="150" w:type="dxa"/>
              <w:right w:w="0" w:type="dxa"/>
              <w:bottom w:w="150" w:type="dxa"/>
            </w:tcMar>
            <w:tcW w:w="1800"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用于室外地面、垃圾点冲洗。</w:t>
            </w:r>
            <w:r>
              <w:rPr>
                <w:rFonts w:ascii="Times New Roman" w:hAnsi="Times New Roman" w:cs="Times New Roman"/>
                <w:color w:val="000000"/>
                <w:sz w:val="24"/>
                <w:szCs w:val="24"/>
                <w:highlight w:val="none"/>
              </w:rPr>
            </w:r>
            <w:r/>
          </w:p>
        </w:tc>
      </w:tr>
      <w:tr>
        <w:trPr>
          <w:trHeight w:val="1032" w:hRule="exact"/>
        </w:trPr>
        <w:tc>
          <w:tcPr>
            <w:shd w:val="clear" w:color="auto" w:fill="ffffff"/>
            <w:tcMar>
              <w:left w:w="0" w:type="dxa"/>
              <w:top w:w="150" w:type="dxa"/>
              <w:right w:w="240" w:type="dxa"/>
              <w:bottom w:w="150" w:type="dxa"/>
            </w:tcMar>
            <w:tcW w:w="1063"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282"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2553"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高空作业保洁套装（伸缩杆、玻璃刮、涂水器等）</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181"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006"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套</w:t>
            </w:r>
            <w:r>
              <w:rPr>
                <w:rFonts w:ascii="Times New Roman" w:hAnsi="Times New Roman" w:cs="Times New Roman"/>
                <w:color w:val="000000"/>
                <w:sz w:val="24"/>
                <w:szCs w:val="24"/>
                <w:highlight w:val="none"/>
              </w:rPr>
            </w:r>
            <w:r/>
          </w:p>
        </w:tc>
        <w:tc>
          <w:tcPr>
            <w:shd w:val="clear" w:color="auto" w:fill="ffffff"/>
            <w:tcMar>
              <w:left w:w="240" w:type="dxa"/>
              <w:top w:w="150" w:type="dxa"/>
              <w:right w:w="0" w:type="dxa"/>
              <w:bottom w:w="150" w:type="dxa"/>
            </w:tcMar>
            <w:tcW w:w="1800"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用于玻璃幕墙、高窗的日常清洁。</w:t>
            </w:r>
            <w:r>
              <w:rPr>
                <w:rFonts w:ascii="Times New Roman" w:hAnsi="Times New Roman" w:cs="Times New Roman"/>
                <w:color w:val="000000"/>
                <w:sz w:val="24"/>
                <w:szCs w:val="24"/>
                <w:highlight w:val="none"/>
              </w:rPr>
            </w:r>
            <w:r/>
          </w:p>
        </w:tc>
      </w:tr>
      <w:tr>
        <w:trPr>
          <w:trHeight w:val="937" w:hRule="exact"/>
        </w:trPr>
        <w:tc>
          <w:tcPr>
            <w:shd w:val="clear" w:color="auto" w:fill="ffffff"/>
            <w:tcMar>
              <w:left w:w="0" w:type="dxa"/>
              <w:top w:w="150" w:type="dxa"/>
              <w:right w:w="240" w:type="dxa"/>
              <w:bottom w:w="150" w:type="dxa"/>
            </w:tcMar>
            <w:tcW w:w="1063" w:type="dxa"/>
            <w:vAlign w:val="center"/>
            <w:vMerge w:val="restart"/>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5</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282" w:type="dxa"/>
            <w:vAlign w:val="center"/>
            <w:vMerge w:val="restart"/>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绿化服务</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2553"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绿篱机</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181"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006"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台</w:t>
            </w:r>
            <w:r>
              <w:rPr>
                <w:rFonts w:ascii="Times New Roman" w:hAnsi="Times New Roman" w:cs="Times New Roman"/>
                <w:color w:val="000000"/>
                <w:sz w:val="24"/>
                <w:szCs w:val="24"/>
                <w:highlight w:val="none"/>
              </w:rPr>
            </w:r>
            <w:r/>
          </w:p>
        </w:tc>
        <w:tc>
          <w:tcPr>
            <w:shd w:val="clear" w:color="auto" w:fill="ffffff"/>
            <w:tcMar>
              <w:left w:w="240" w:type="dxa"/>
              <w:top w:w="150" w:type="dxa"/>
              <w:right w:w="0" w:type="dxa"/>
              <w:bottom w:w="150" w:type="dxa"/>
            </w:tcMar>
            <w:tcW w:w="1800"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用于灌木、绿篱的整形修剪。</w:t>
            </w:r>
            <w:r>
              <w:rPr>
                <w:rFonts w:ascii="Times New Roman" w:hAnsi="Times New Roman" w:cs="Times New Roman"/>
                <w:color w:val="000000"/>
                <w:sz w:val="24"/>
                <w:szCs w:val="24"/>
                <w:highlight w:val="none"/>
              </w:rPr>
            </w:r>
            <w:r/>
          </w:p>
        </w:tc>
      </w:tr>
      <w:tr>
        <w:trPr>
          <w:trHeight w:val="910" w:hRule="exact"/>
        </w:trPr>
        <w:tc>
          <w:tcPr>
            <w:shd w:val="clear" w:color="auto" w:fill="ffffff"/>
            <w:tcMar>
              <w:left w:w="0" w:type="dxa"/>
              <w:top w:w="150" w:type="dxa"/>
              <w:right w:w="240" w:type="dxa"/>
              <w:bottom w:w="150" w:type="dxa"/>
            </w:tcMar>
            <w:tcW w:w="1063"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282"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2553"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割草机（手推式/自走式）</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181"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006"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台</w:t>
            </w:r>
            <w:r>
              <w:rPr>
                <w:rFonts w:ascii="Times New Roman" w:hAnsi="Times New Roman" w:cs="Times New Roman"/>
                <w:color w:val="000000"/>
                <w:sz w:val="24"/>
                <w:szCs w:val="24"/>
                <w:highlight w:val="none"/>
              </w:rPr>
            </w:r>
            <w:r/>
          </w:p>
        </w:tc>
        <w:tc>
          <w:tcPr>
            <w:shd w:val="clear" w:color="auto" w:fill="ffffff"/>
            <w:tcMar>
              <w:left w:w="240" w:type="dxa"/>
              <w:top w:w="150" w:type="dxa"/>
              <w:right w:w="0" w:type="dxa"/>
              <w:bottom w:w="150" w:type="dxa"/>
            </w:tcMar>
            <w:tcW w:w="1800"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用于草坪的定期修剪。</w:t>
            </w:r>
            <w:r>
              <w:rPr>
                <w:rFonts w:ascii="Times New Roman" w:hAnsi="Times New Roman" w:cs="Times New Roman"/>
                <w:color w:val="000000"/>
                <w:sz w:val="24"/>
                <w:szCs w:val="24"/>
                <w:highlight w:val="none"/>
              </w:rPr>
            </w:r>
            <w:r/>
          </w:p>
        </w:tc>
      </w:tr>
      <w:tr>
        <w:trPr>
          <w:trHeight w:val="1134" w:hRule="exact"/>
        </w:trPr>
        <w:tc>
          <w:tcPr>
            <w:shd w:val="clear" w:color="auto" w:fill="ffffff"/>
            <w:tcMar>
              <w:left w:w="0" w:type="dxa"/>
              <w:top w:w="150" w:type="dxa"/>
              <w:right w:w="240" w:type="dxa"/>
              <w:bottom w:w="150" w:type="dxa"/>
            </w:tcMar>
            <w:tcW w:w="1063"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282"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2553"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草坪修剪车</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181"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006"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台</w:t>
            </w:r>
            <w:r>
              <w:rPr>
                <w:rFonts w:ascii="Times New Roman" w:hAnsi="Times New Roman" w:cs="Times New Roman"/>
                <w:color w:val="000000"/>
                <w:sz w:val="24"/>
                <w:szCs w:val="24"/>
                <w:highlight w:val="none"/>
              </w:rPr>
            </w:r>
            <w:r/>
          </w:p>
        </w:tc>
        <w:tc>
          <w:tcPr>
            <w:shd w:val="clear" w:color="auto" w:fill="ffffff"/>
            <w:tcMar>
              <w:left w:w="240" w:type="dxa"/>
              <w:top w:w="150" w:type="dxa"/>
              <w:right w:w="0" w:type="dxa"/>
              <w:bottom w:w="150" w:type="dxa"/>
            </w:tcMar>
            <w:tcW w:w="1800"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适用于大面积草坪，提升效率。</w:t>
            </w:r>
            <w:r>
              <w:rPr>
                <w:rFonts w:ascii="Times New Roman" w:hAnsi="Times New Roman" w:cs="Times New Roman"/>
                <w:color w:val="000000"/>
                <w:sz w:val="24"/>
                <w:szCs w:val="24"/>
                <w:highlight w:val="none"/>
              </w:rPr>
            </w:r>
            <w:r/>
          </w:p>
        </w:tc>
      </w:tr>
      <w:tr>
        <w:trPr>
          <w:trHeight w:val="1114" w:hRule="exact"/>
        </w:trPr>
        <w:tc>
          <w:tcPr>
            <w:shd w:val="clear" w:color="auto" w:fill="ffffff"/>
            <w:tcMar>
              <w:left w:w="0" w:type="dxa"/>
              <w:top w:w="150" w:type="dxa"/>
              <w:right w:w="240" w:type="dxa"/>
              <w:bottom w:w="150" w:type="dxa"/>
            </w:tcMar>
            <w:tcW w:w="1063"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282"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2553"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背负式喷雾打药机</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181"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006"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台</w:t>
            </w:r>
            <w:r>
              <w:rPr>
                <w:rFonts w:ascii="Times New Roman" w:hAnsi="Times New Roman" w:cs="Times New Roman"/>
                <w:color w:val="000000"/>
                <w:sz w:val="24"/>
                <w:szCs w:val="24"/>
                <w:highlight w:val="none"/>
              </w:rPr>
            </w:r>
            <w:r/>
          </w:p>
        </w:tc>
        <w:tc>
          <w:tcPr>
            <w:shd w:val="clear" w:color="auto" w:fill="ffffff"/>
            <w:tcMar>
              <w:left w:w="240" w:type="dxa"/>
              <w:top w:w="150" w:type="dxa"/>
              <w:right w:w="0" w:type="dxa"/>
              <w:bottom w:w="150" w:type="dxa"/>
            </w:tcMar>
            <w:tcW w:w="1800"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用于病虫害防治和叶面施肥。</w:t>
            </w:r>
            <w:r>
              <w:rPr>
                <w:rFonts w:ascii="Times New Roman" w:hAnsi="Times New Roman" w:cs="Times New Roman"/>
                <w:color w:val="000000"/>
                <w:sz w:val="24"/>
                <w:szCs w:val="24"/>
                <w:highlight w:val="none"/>
              </w:rPr>
            </w:r>
            <w:r/>
          </w:p>
        </w:tc>
      </w:tr>
      <w:tr>
        <w:trPr>
          <w:trHeight w:val="759" w:hRule="exact"/>
        </w:trPr>
        <w:tc>
          <w:tcPr>
            <w:shd w:val="clear" w:color="auto" w:fill="ffffff"/>
            <w:tcMar>
              <w:left w:w="0" w:type="dxa"/>
              <w:top w:w="150" w:type="dxa"/>
              <w:right w:w="240" w:type="dxa"/>
              <w:bottom w:w="150" w:type="dxa"/>
            </w:tcMar>
            <w:tcW w:w="1063"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282"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2553"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高枝锯/高枝剪</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181"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006"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把</w:t>
            </w:r>
            <w:r>
              <w:rPr>
                <w:rFonts w:ascii="Times New Roman" w:hAnsi="Times New Roman" w:cs="Times New Roman"/>
                <w:color w:val="000000"/>
                <w:sz w:val="24"/>
                <w:szCs w:val="24"/>
                <w:highlight w:val="none"/>
              </w:rPr>
            </w:r>
            <w:r/>
          </w:p>
        </w:tc>
        <w:tc>
          <w:tcPr>
            <w:shd w:val="clear" w:color="auto" w:fill="ffffff"/>
            <w:tcMar>
              <w:left w:w="240" w:type="dxa"/>
              <w:top w:w="150" w:type="dxa"/>
              <w:right w:w="0" w:type="dxa"/>
              <w:bottom w:w="150" w:type="dxa"/>
            </w:tcMar>
            <w:tcW w:w="1800"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用于乔木的枯枝修剪。</w:t>
            </w:r>
            <w:r>
              <w:rPr>
                <w:rFonts w:ascii="Times New Roman" w:hAnsi="Times New Roman" w:cs="Times New Roman"/>
                <w:color w:val="000000"/>
                <w:sz w:val="24"/>
                <w:szCs w:val="24"/>
                <w:highlight w:val="none"/>
              </w:rPr>
            </w:r>
            <w:r/>
          </w:p>
        </w:tc>
      </w:tr>
      <w:tr>
        <w:trPr>
          <w:trHeight w:val="1134" w:hRule="exact"/>
        </w:trPr>
        <w:tc>
          <w:tcPr>
            <w:shd w:val="clear" w:color="auto" w:fill="ffffff"/>
            <w:tcMar>
              <w:left w:w="0" w:type="dxa"/>
              <w:top w:w="150" w:type="dxa"/>
              <w:right w:w="240" w:type="dxa"/>
              <w:bottom w:w="150" w:type="dxa"/>
            </w:tcMar>
            <w:tcW w:w="1063"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282"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2553"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绿化垃圾收集器（如吹风机、粉碎机）</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181"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006"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台</w:t>
            </w:r>
            <w:r>
              <w:rPr>
                <w:rFonts w:ascii="Times New Roman" w:hAnsi="Times New Roman" w:cs="Times New Roman"/>
                <w:color w:val="000000"/>
                <w:sz w:val="24"/>
                <w:szCs w:val="24"/>
                <w:highlight w:val="none"/>
              </w:rPr>
            </w:r>
            <w:r/>
          </w:p>
        </w:tc>
        <w:tc>
          <w:tcPr>
            <w:shd w:val="clear" w:color="auto" w:fill="ffffff"/>
            <w:tcMar>
              <w:left w:w="240" w:type="dxa"/>
              <w:top w:w="150" w:type="dxa"/>
              <w:right w:w="0" w:type="dxa"/>
              <w:bottom w:w="150" w:type="dxa"/>
            </w:tcMar>
            <w:tcW w:w="1800"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用于高效收集和处理绿化垃圾。</w:t>
            </w:r>
            <w:r>
              <w:rPr>
                <w:rFonts w:ascii="Times New Roman" w:hAnsi="Times New Roman" w:cs="Times New Roman"/>
                <w:color w:val="000000"/>
                <w:sz w:val="24"/>
                <w:szCs w:val="24"/>
                <w:highlight w:val="none"/>
              </w:rPr>
            </w:r>
            <w:r/>
          </w:p>
        </w:tc>
      </w:tr>
      <w:tr>
        <w:trPr>
          <w:trHeight w:val="1040" w:hRule="exact"/>
        </w:trPr>
        <w:tc>
          <w:tcPr>
            <w:shd w:val="clear" w:color="auto" w:fill="ffffff"/>
            <w:tcMar>
              <w:left w:w="0" w:type="dxa"/>
              <w:top w:w="150" w:type="dxa"/>
              <w:right w:w="240" w:type="dxa"/>
              <w:bottom w:w="150" w:type="dxa"/>
            </w:tcMar>
            <w:tcW w:w="1063" w:type="dxa"/>
            <w:vAlign w:val="center"/>
            <w:vMerge w:val="restart"/>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6</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282" w:type="dxa"/>
            <w:vAlign w:val="center"/>
            <w:vMerge w:val="restart"/>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秩序维护与保安服务</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2553"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数字对讲机</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181"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10</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006"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套</w:t>
            </w:r>
            <w:r>
              <w:rPr>
                <w:rFonts w:ascii="Times New Roman" w:hAnsi="Times New Roman" w:cs="Times New Roman"/>
                <w:color w:val="000000"/>
                <w:sz w:val="24"/>
                <w:szCs w:val="24"/>
                <w:highlight w:val="none"/>
              </w:rPr>
            </w:r>
            <w:r/>
          </w:p>
        </w:tc>
        <w:tc>
          <w:tcPr>
            <w:shd w:val="clear" w:color="auto" w:fill="ffffff"/>
            <w:tcMar>
              <w:left w:w="240" w:type="dxa"/>
              <w:top w:w="150" w:type="dxa"/>
              <w:right w:w="0" w:type="dxa"/>
              <w:bottom w:w="150" w:type="dxa"/>
            </w:tcMar>
            <w:tcW w:w="1800"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确保各岗位通讯畅通，信号覆盖全区域。</w:t>
            </w:r>
            <w:r>
              <w:rPr>
                <w:rFonts w:ascii="Times New Roman" w:hAnsi="Times New Roman" w:cs="Times New Roman"/>
                <w:color w:val="000000"/>
                <w:sz w:val="24"/>
                <w:szCs w:val="24"/>
                <w:highlight w:val="none"/>
              </w:rPr>
            </w:r>
            <w:r/>
          </w:p>
        </w:tc>
      </w:tr>
      <w:tr>
        <w:trPr>
          <w:trHeight w:val="842" w:hRule="exact"/>
        </w:trPr>
        <w:tc>
          <w:tcPr>
            <w:shd w:val="clear" w:color="auto" w:fill="ffffff"/>
            <w:tcMar>
              <w:left w:w="0" w:type="dxa"/>
              <w:top w:w="150" w:type="dxa"/>
              <w:right w:w="240" w:type="dxa"/>
              <w:bottom w:w="150" w:type="dxa"/>
            </w:tcMar>
            <w:tcW w:w="1063"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282" w:type="dxa"/>
            <w:vAlign w:val="center"/>
            <w:vMerge w:val="continue"/>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2553"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防暴盾牌、防暴钢叉、橡胶警棍套装</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181"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006"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套</w:t>
            </w:r>
            <w:r>
              <w:rPr>
                <w:rFonts w:ascii="Times New Roman" w:hAnsi="Times New Roman" w:cs="Times New Roman"/>
                <w:color w:val="000000"/>
                <w:sz w:val="24"/>
                <w:szCs w:val="24"/>
                <w:highlight w:val="none"/>
              </w:rPr>
            </w:r>
            <w:r/>
          </w:p>
        </w:tc>
        <w:tc>
          <w:tcPr>
            <w:shd w:val="clear" w:color="auto" w:fill="ffffff"/>
            <w:tcMar>
              <w:left w:w="240" w:type="dxa"/>
              <w:top w:w="150" w:type="dxa"/>
              <w:right w:w="0" w:type="dxa"/>
              <w:bottom w:w="150" w:type="dxa"/>
            </w:tcMar>
            <w:tcW w:w="1800"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应对突发安全事件。</w:t>
            </w:r>
            <w:r>
              <w:rPr>
                <w:rFonts w:ascii="Times New Roman" w:hAnsi="Times New Roman" w:cs="Times New Roman"/>
                <w:color w:val="000000"/>
                <w:sz w:val="24"/>
                <w:szCs w:val="24"/>
                <w:highlight w:val="none"/>
              </w:rPr>
            </w:r>
            <w:r/>
          </w:p>
        </w:tc>
      </w:tr>
      <w:tr>
        <w:trPr>
          <w:trHeight w:val="704" w:hRule="exact"/>
        </w:trPr>
        <w:tc>
          <w:tcPr>
            <w:shd w:val="clear" w:color="auto" w:fill="ffffff"/>
            <w:tcMar>
              <w:left w:w="0" w:type="dxa"/>
              <w:top w:w="150" w:type="dxa"/>
              <w:right w:w="240" w:type="dxa"/>
              <w:bottom w:w="150" w:type="dxa"/>
            </w:tcMar>
            <w:tcW w:w="1063" w:type="dxa"/>
            <w:vAlign w:val="center"/>
            <w:vMerge w:val="continue"/>
            <w:textDirection w:val="lrTb"/>
            <w:noWrap w:val="false"/>
          </w:tcPr>
          <w:p>
            <w:pPr>
              <w:pStyle w:val="898"/>
              <w:jc w:val="center"/>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282" w:type="dxa"/>
            <w:vAlign w:val="center"/>
            <w:vMerge w:val="continue"/>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2553"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强光手电筒</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181"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w:t>
            </w:r>
            <w:r>
              <w:rPr>
                <w:rFonts w:ascii="Times New Roman" w:hAnsi="Times New Roman" w:cs="Times New Roman"/>
                <w:color w:val="000000"/>
                <w:sz w:val="24"/>
                <w:szCs w:val="24"/>
                <w:highlight w:val="none"/>
              </w:rPr>
            </w:r>
            <w:r/>
          </w:p>
        </w:tc>
        <w:tc>
          <w:tcPr>
            <w:shd w:val="clear" w:color="auto" w:fill="ffffff"/>
            <w:tcMar>
              <w:left w:w="240" w:type="dxa"/>
              <w:top w:w="150" w:type="dxa"/>
              <w:right w:w="240" w:type="dxa"/>
              <w:bottom w:w="150" w:type="dxa"/>
            </w:tcMar>
            <w:tcW w:w="1006"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把</w:t>
            </w:r>
            <w:r>
              <w:rPr>
                <w:rFonts w:ascii="Times New Roman" w:hAnsi="Times New Roman" w:cs="Times New Roman"/>
                <w:color w:val="000000"/>
                <w:sz w:val="24"/>
                <w:szCs w:val="24"/>
                <w:highlight w:val="none"/>
              </w:rPr>
            </w:r>
            <w:r/>
          </w:p>
        </w:tc>
        <w:tc>
          <w:tcPr>
            <w:shd w:val="clear" w:color="auto" w:fill="ffffff"/>
            <w:tcMar>
              <w:left w:w="240" w:type="dxa"/>
              <w:top w:w="150" w:type="dxa"/>
              <w:right w:w="0" w:type="dxa"/>
              <w:bottom w:w="150" w:type="dxa"/>
            </w:tcMar>
            <w:tcW w:w="1800" w:type="dxa"/>
            <w:vAlign w:val="center"/>
            <w:textDirection w:val="lrTb"/>
            <w:noWrap w:val="false"/>
          </w:tcPr>
          <w:p>
            <w:pPr>
              <w:pStyle w:val="898"/>
              <w:jc w:val="left"/>
              <w:spacing w:line="3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夜间巡逻使用。</w:t>
            </w:r>
            <w:r>
              <w:rPr>
                <w:rFonts w:ascii="Times New Roman" w:hAnsi="Times New Roman" w:cs="Times New Roman"/>
                <w:color w:val="000000"/>
                <w:sz w:val="24"/>
                <w:szCs w:val="24"/>
                <w:highlight w:val="none"/>
              </w:rPr>
            </w:r>
            <w:r/>
          </w:p>
        </w:tc>
      </w:tr>
    </w:tbl>
    <w:p>
      <w:pPr>
        <w:pStyle w:val="925"/>
        <w:ind w:firstLine="480"/>
        <w:spacing w:line="460" w:lineRule="exact"/>
        <w:rPr>
          <w:b/>
          <w:bCs/>
          <w:color w:val="000000"/>
          <w:highlight w:val="none"/>
        </w:rPr>
      </w:pPr>
      <w:r>
        <w:rPr>
          <w:rFonts w:ascii="Times New Roman" w:hAnsi="Times New Roman" w:eastAsia="楷体" w:cs="Times New Roman"/>
          <w:b/>
          <w:bCs/>
          <w:color w:val="000000"/>
          <w:highlight w:val="none"/>
        </w:rPr>
        <w:t xml:space="preserve">注：采购方已无偿提供的作业设备，不在此重复要求。</w:t>
      </w:r>
      <w:r>
        <w:rPr>
          <w:b/>
          <w:bCs/>
          <w:color w:val="000000"/>
          <w:highlight w:val="none"/>
        </w:rPr>
      </w:r>
      <w:r/>
    </w:p>
    <w:p>
      <w:pPr>
        <w:pStyle w:val="901"/>
        <w:rPr>
          <w:rFonts w:ascii="Times New Roman" w:hAnsi="Times New Roman" w:cs="Times New Roman"/>
          <w:b/>
          <w:bCs/>
          <w:color w:val="000000"/>
          <w:sz w:val="30"/>
          <w:szCs w:val="32"/>
          <w:highlight w:val="none"/>
        </w:rPr>
      </w:pPr>
      <w:r>
        <w:rPr>
          <w:rFonts w:ascii="Times New Roman" w:hAnsi="Times New Roman" w:cs="Times New Roman"/>
          <w:b/>
          <w:bCs/>
          <w:color w:val="000000"/>
          <w:sz w:val="30"/>
          <w:szCs w:val="32"/>
          <w:highlight w:val="none"/>
        </w:rPr>
        <w:br w:type="page" w:clear="all"/>
      </w:r>
      <w:r>
        <w:rPr>
          <w:color w:val="000000"/>
          <w:highlight w:val="none"/>
        </w:rPr>
        <w:t xml:space="preserve">7.</w:t>
      </w:r>
      <w:r>
        <w:rPr>
          <w:rFonts w:ascii="Times New Roman" w:hAnsi="Times New Roman" w:cs="Times New Roman"/>
          <w:b/>
          <w:bCs/>
          <w:color w:val="000000"/>
          <w:sz w:val="30"/>
          <w:szCs w:val="32"/>
          <w:highlight w:val="none"/>
        </w:rPr>
        <w:t xml:space="preserve">项目服务人员需求</w:t>
      </w:r>
      <w:r>
        <w:rPr>
          <w:rFonts w:ascii="Times New Roman" w:hAnsi="Times New Roman" w:cs="Times New Roman"/>
          <w:b/>
          <w:bCs/>
          <w:color w:val="000000"/>
          <w:sz w:val="30"/>
          <w:szCs w:val="32"/>
          <w:highlight w:val="none"/>
        </w:rPr>
      </w:r>
      <w:r/>
    </w:p>
    <w:tbl>
      <w:tblPr>
        <w:tblW w:w="878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38"/>
        <w:gridCol w:w="1104"/>
        <w:gridCol w:w="1923"/>
        <w:gridCol w:w="3515"/>
      </w:tblGrid>
      <w:tr>
        <w:trPr>
          <w:trHeight w:val="90"/>
        </w:trPr>
        <w:tc>
          <w:tcPr>
            <w:tcW w:w="709" w:type="dxa"/>
            <w:vAlign w:val="center"/>
            <w:textDirection w:val="lrTb"/>
            <w:noWrap w:val="false"/>
          </w:tcPr>
          <w:p>
            <w:pPr>
              <w:pStyle w:val="898"/>
              <w:jc w:val="center"/>
              <w:spacing w:line="300" w:lineRule="exact"/>
              <w:widowControl/>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序号</w:t>
            </w:r>
            <w:r>
              <w:rPr>
                <w:rFonts w:ascii="Times New Roman" w:hAnsi="Times New Roman" w:cs="Times New Roman"/>
                <w:b/>
                <w:color w:val="000000"/>
                <w:sz w:val="24"/>
                <w:szCs w:val="24"/>
                <w:highlight w:val="none"/>
              </w:rPr>
            </w:r>
            <w:r/>
          </w:p>
        </w:tc>
        <w:tc>
          <w:tcPr>
            <w:tcW w:w="1538" w:type="dxa"/>
            <w:vAlign w:val="center"/>
            <w:textDirection w:val="lrTb"/>
            <w:noWrap w:val="false"/>
          </w:tcPr>
          <w:p>
            <w:pPr>
              <w:pStyle w:val="898"/>
              <w:jc w:val="center"/>
              <w:spacing w:line="300" w:lineRule="exact"/>
              <w:widowControl/>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岗位</w:t>
            </w:r>
            <w:r>
              <w:rPr>
                <w:rFonts w:ascii="Times New Roman" w:hAnsi="Times New Roman" w:cs="Times New Roman"/>
                <w:b/>
                <w:color w:val="000000"/>
                <w:sz w:val="24"/>
                <w:szCs w:val="24"/>
                <w:highlight w:val="none"/>
              </w:rPr>
            </w:r>
            <w:r/>
          </w:p>
        </w:tc>
        <w:tc>
          <w:tcPr>
            <w:tcW w:w="1104" w:type="dxa"/>
            <w:vAlign w:val="center"/>
            <w:textDirection w:val="lrTb"/>
            <w:noWrap w:val="false"/>
          </w:tcPr>
          <w:p>
            <w:pPr>
              <w:pStyle w:val="898"/>
              <w:jc w:val="center"/>
              <w:spacing w:line="300" w:lineRule="exact"/>
              <w:widowControl/>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同时在岗人数</w:t>
            </w:r>
            <w:r>
              <w:rPr>
                <w:rFonts w:ascii="Times New Roman" w:hAnsi="Times New Roman" w:cs="Times New Roman"/>
                <w:b/>
                <w:color w:val="000000"/>
                <w:sz w:val="24"/>
                <w:szCs w:val="24"/>
                <w:highlight w:val="none"/>
              </w:rPr>
            </w:r>
            <w:r/>
          </w:p>
        </w:tc>
        <w:tc>
          <w:tcPr>
            <w:tcW w:w="1923" w:type="dxa"/>
            <w:vAlign w:val="center"/>
            <w:textDirection w:val="lrTb"/>
            <w:noWrap w:val="false"/>
          </w:tcPr>
          <w:p>
            <w:pPr>
              <w:pStyle w:val="898"/>
              <w:jc w:val="center"/>
              <w:spacing w:line="300" w:lineRule="exact"/>
              <w:widowControl/>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岗位所需总人数</w:t>
            </w:r>
            <w:r>
              <w:rPr>
                <w:rFonts w:ascii="Times New Roman" w:hAnsi="Times New Roman" w:cs="Times New Roman"/>
                <w:b/>
                <w:color w:val="000000"/>
                <w:sz w:val="24"/>
                <w:szCs w:val="24"/>
                <w:highlight w:val="none"/>
              </w:rPr>
            </w:r>
            <w:r/>
          </w:p>
        </w:tc>
        <w:tc>
          <w:tcPr>
            <w:tcW w:w="3515" w:type="dxa"/>
            <w:vAlign w:val="center"/>
            <w:textDirection w:val="lrTb"/>
            <w:noWrap w:val="false"/>
          </w:tcPr>
          <w:p>
            <w:pPr>
              <w:pStyle w:val="898"/>
              <w:jc w:val="center"/>
              <w:spacing w:line="300" w:lineRule="exact"/>
              <w:widowControl/>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备注（岗位所需服务时长或时段、需具备的上岗资格证、人员学历、工作经验等要求）</w:t>
            </w:r>
            <w:r>
              <w:rPr>
                <w:rFonts w:ascii="Times New Roman" w:hAnsi="Times New Roman" w:cs="Times New Roman"/>
                <w:b/>
                <w:color w:val="000000"/>
                <w:sz w:val="24"/>
                <w:szCs w:val="24"/>
                <w:highlight w:val="none"/>
              </w:rPr>
            </w:r>
            <w:r/>
          </w:p>
        </w:tc>
      </w:tr>
      <w:tr>
        <w:trPr>
          <w:trHeight w:val="454"/>
        </w:trPr>
        <w:tc>
          <w:tcPr>
            <w:tcW w:w="709"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w:t>
            </w:r>
            <w:r>
              <w:rPr>
                <w:rFonts w:ascii="Times New Roman" w:hAnsi="Times New Roman" w:cs="Times New Roman"/>
                <w:bCs/>
                <w:color w:val="000000"/>
                <w:sz w:val="24"/>
                <w:szCs w:val="24"/>
                <w:highlight w:val="none"/>
              </w:rPr>
            </w:r>
            <w:r/>
          </w:p>
        </w:tc>
        <w:tc>
          <w:tcPr>
            <w:tcW w:w="1538"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项目经理</w:t>
            </w:r>
            <w:r>
              <w:rPr>
                <w:rFonts w:ascii="Times New Roman" w:hAnsi="Times New Roman" w:cs="Times New Roman"/>
                <w:bCs/>
                <w:color w:val="000000"/>
                <w:sz w:val="24"/>
                <w:szCs w:val="24"/>
                <w:highlight w:val="none"/>
              </w:rPr>
            </w:r>
            <w:r/>
          </w:p>
        </w:tc>
        <w:tc>
          <w:tcPr>
            <w:tcW w:w="1104"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w:t>
            </w:r>
            <w:r>
              <w:rPr>
                <w:rFonts w:ascii="Times New Roman" w:hAnsi="Times New Roman" w:cs="Times New Roman"/>
                <w:bCs/>
                <w:color w:val="000000"/>
                <w:sz w:val="24"/>
                <w:szCs w:val="24"/>
                <w:highlight w:val="none"/>
              </w:rPr>
            </w:r>
            <w:r/>
          </w:p>
        </w:tc>
        <w:tc>
          <w:tcPr>
            <w:tcW w:w="1923"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w:t>
            </w:r>
            <w:r>
              <w:rPr>
                <w:rFonts w:ascii="Times New Roman" w:hAnsi="Times New Roman" w:cs="Times New Roman"/>
                <w:bCs/>
                <w:color w:val="000000"/>
                <w:sz w:val="24"/>
                <w:szCs w:val="24"/>
                <w:highlight w:val="none"/>
              </w:rPr>
            </w:r>
            <w:r/>
          </w:p>
        </w:tc>
        <w:tc>
          <w:tcPr>
            <w:tcW w:w="3515"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r>
            <w:r/>
          </w:p>
        </w:tc>
      </w:tr>
      <w:tr>
        <w:trPr>
          <w:trHeight w:val="454"/>
        </w:trPr>
        <w:tc>
          <w:tcPr>
            <w:tcW w:w="709"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2</w:t>
            </w:r>
            <w:r>
              <w:rPr>
                <w:rFonts w:ascii="Times New Roman" w:hAnsi="Times New Roman" w:cs="Times New Roman"/>
                <w:bCs/>
                <w:color w:val="000000"/>
                <w:sz w:val="24"/>
                <w:szCs w:val="24"/>
                <w:highlight w:val="none"/>
              </w:rPr>
            </w:r>
            <w:r/>
          </w:p>
        </w:tc>
        <w:tc>
          <w:tcPr>
            <w:tcW w:w="1538"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客服</w:t>
            </w:r>
            <w:r>
              <w:rPr>
                <w:rFonts w:ascii="Times New Roman" w:hAnsi="Times New Roman" w:cs="Times New Roman"/>
                <w:bCs/>
                <w:color w:val="000000"/>
                <w:sz w:val="24"/>
                <w:szCs w:val="24"/>
                <w:highlight w:val="none"/>
              </w:rPr>
            </w:r>
            <w:r/>
          </w:p>
        </w:tc>
        <w:tc>
          <w:tcPr>
            <w:tcW w:w="1104"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w:t>
            </w:r>
            <w:r>
              <w:rPr>
                <w:rFonts w:ascii="Times New Roman" w:hAnsi="Times New Roman" w:cs="Times New Roman"/>
                <w:bCs/>
                <w:color w:val="000000"/>
                <w:sz w:val="24"/>
                <w:szCs w:val="24"/>
                <w:highlight w:val="none"/>
              </w:rPr>
            </w:r>
            <w:r/>
          </w:p>
        </w:tc>
        <w:tc>
          <w:tcPr>
            <w:tcW w:w="1923"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w:t>
            </w:r>
            <w:r>
              <w:rPr>
                <w:rFonts w:ascii="Times New Roman" w:hAnsi="Times New Roman" w:cs="Times New Roman"/>
                <w:bCs/>
                <w:color w:val="000000"/>
                <w:sz w:val="24"/>
                <w:szCs w:val="24"/>
                <w:highlight w:val="none"/>
              </w:rPr>
            </w:r>
            <w:r/>
          </w:p>
        </w:tc>
        <w:tc>
          <w:tcPr>
            <w:tcW w:w="3515"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r>
            <w:r/>
          </w:p>
        </w:tc>
      </w:tr>
      <w:tr>
        <w:trPr>
          <w:trHeight w:val="454"/>
        </w:trPr>
        <w:tc>
          <w:tcPr>
            <w:tcW w:w="709"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3</w:t>
            </w:r>
            <w:r>
              <w:rPr>
                <w:rFonts w:ascii="Times New Roman" w:hAnsi="Times New Roman" w:cs="Times New Roman"/>
                <w:bCs/>
                <w:color w:val="000000"/>
                <w:sz w:val="24"/>
                <w:szCs w:val="24"/>
                <w:highlight w:val="none"/>
              </w:rPr>
            </w:r>
            <w:r/>
          </w:p>
        </w:tc>
        <w:tc>
          <w:tcPr>
            <w:tcW w:w="1538"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综合维修</w:t>
            </w:r>
            <w:r>
              <w:rPr>
                <w:rFonts w:ascii="Times New Roman" w:hAnsi="Times New Roman" w:cs="Times New Roman"/>
                <w:bCs/>
                <w:color w:val="000000"/>
                <w:sz w:val="24"/>
                <w:szCs w:val="24"/>
                <w:highlight w:val="none"/>
              </w:rPr>
            </w:r>
            <w:r/>
          </w:p>
        </w:tc>
        <w:tc>
          <w:tcPr>
            <w:tcW w:w="1104"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w:t>
            </w:r>
            <w:r>
              <w:rPr>
                <w:rFonts w:ascii="Times New Roman" w:hAnsi="Times New Roman" w:cs="Times New Roman"/>
                <w:bCs/>
                <w:color w:val="000000"/>
                <w:sz w:val="24"/>
                <w:szCs w:val="24"/>
                <w:highlight w:val="none"/>
              </w:rPr>
            </w:r>
            <w:r/>
          </w:p>
        </w:tc>
        <w:tc>
          <w:tcPr>
            <w:tcW w:w="1923"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w:t>
            </w:r>
            <w:r>
              <w:rPr>
                <w:rFonts w:ascii="Times New Roman" w:hAnsi="Times New Roman" w:cs="Times New Roman"/>
                <w:bCs/>
                <w:color w:val="000000"/>
                <w:sz w:val="24"/>
                <w:szCs w:val="24"/>
                <w:highlight w:val="none"/>
              </w:rPr>
            </w:r>
            <w:r/>
          </w:p>
        </w:tc>
        <w:tc>
          <w:tcPr>
            <w:tcW w:w="3515"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r>
            <w:r/>
          </w:p>
        </w:tc>
      </w:tr>
      <w:tr>
        <w:trPr>
          <w:trHeight w:val="454"/>
        </w:trPr>
        <w:tc>
          <w:tcPr>
            <w:tcW w:w="709"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4</w:t>
            </w:r>
            <w:r>
              <w:rPr>
                <w:rFonts w:ascii="Times New Roman" w:hAnsi="Times New Roman" w:cs="Times New Roman"/>
                <w:bCs/>
                <w:color w:val="000000"/>
                <w:sz w:val="24"/>
                <w:szCs w:val="24"/>
                <w:highlight w:val="none"/>
              </w:rPr>
            </w:r>
            <w:r/>
          </w:p>
        </w:tc>
        <w:tc>
          <w:tcPr>
            <w:tcW w:w="1538"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高配工</w:t>
            </w:r>
            <w:r>
              <w:rPr>
                <w:rFonts w:ascii="Times New Roman" w:hAnsi="Times New Roman" w:cs="Times New Roman"/>
                <w:bCs/>
                <w:color w:val="000000"/>
                <w:sz w:val="24"/>
                <w:szCs w:val="24"/>
                <w:highlight w:val="none"/>
              </w:rPr>
            </w:r>
            <w:r/>
          </w:p>
        </w:tc>
        <w:tc>
          <w:tcPr>
            <w:tcW w:w="1104"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w:t>
            </w:r>
            <w:r>
              <w:rPr>
                <w:rFonts w:ascii="Times New Roman" w:hAnsi="Times New Roman" w:cs="Times New Roman"/>
                <w:bCs/>
                <w:color w:val="000000"/>
                <w:sz w:val="24"/>
                <w:szCs w:val="24"/>
                <w:highlight w:val="none"/>
              </w:rPr>
            </w:r>
            <w:r/>
          </w:p>
        </w:tc>
        <w:tc>
          <w:tcPr>
            <w:tcW w:w="1923"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w:t>
            </w:r>
            <w:r>
              <w:rPr>
                <w:rFonts w:ascii="Times New Roman" w:hAnsi="Times New Roman" w:cs="Times New Roman"/>
                <w:bCs/>
                <w:color w:val="000000"/>
                <w:sz w:val="24"/>
                <w:szCs w:val="24"/>
                <w:highlight w:val="none"/>
              </w:rPr>
            </w:r>
            <w:r/>
          </w:p>
        </w:tc>
        <w:tc>
          <w:tcPr>
            <w:tcW w:w="3515"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特种作业操作证（高压电工作业）</w:t>
            </w:r>
            <w:r>
              <w:rPr>
                <w:rFonts w:ascii="Times New Roman" w:hAnsi="Times New Roman" w:cs="Times New Roman"/>
                <w:bCs/>
                <w:color w:val="000000"/>
                <w:sz w:val="24"/>
                <w:szCs w:val="24"/>
                <w:highlight w:val="none"/>
              </w:rPr>
            </w:r>
            <w:r/>
          </w:p>
        </w:tc>
      </w:tr>
      <w:tr>
        <w:trPr>
          <w:trHeight w:val="454"/>
        </w:trPr>
        <w:tc>
          <w:tcPr>
            <w:tcW w:w="709"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5</w:t>
            </w:r>
            <w:r>
              <w:rPr>
                <w:rFonts w:ascii="Times New Roman" w:hAnsi="Times New Roman" w:cs="Times New Roman"/>
                <w:bCs/>
                <w:color w:val="000000"/>
                <w:sz w:val="24"/>
                <w:szCs w:val="24"/>
                <w:highlight w:val="none"/>
              </w:rPr>
            </w:r>
            <w:r/>
          </w:p>
        </w:tc>
        <w:tc>
          <w:tcPr>
            <w:tcW w:w="1538"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水电工</w:t>
            </w:r>
            <w:r>
              <w:rPr>
                <w:rFonts w:ascii="Times New Roman" w:hAnsi="Times New Roman" w:cs="Times New Roman"/>
                <w:bCs/>
                <w:color w:val="000000"/>
                <w:sz w:val="24"/>
                <w:szCs w:val="24"/>
                <w:highlight w:val="none"/>
              </w:rPr>
            </w:r>
            <w:r/>
          </w:p>
        </w:tc>
        <w:tc>
          <w:tcPr>
            <w:tcW w:w="1104"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w:t>
            </w:r>
            <w:r>
              <w:rPr>
                <w:rFonts w:ascii="Times New Roman" w:hAnsi="Times New Roman" w:cs="Times New Roman"/>
                <w:bCs/>
                <w:color w:val="000000"/>
                <w:sz w:val="24"/>
                <w:szCs w:val="24"/>
                <w:highlight w:val="none"/>
              </w:rPr>
            </w:r>
            <w:r/>
          </w:p>
        </w:tc>
        <w:tc>
          <w:tcPr>
            <w:tcW w:w="1923"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w:t>
            </w:r>
            <w:r>
              <w:rPr>
                <w:rFonts w:ascii="Times New Roman" w:hAnsi="Times New Roman" w:cs="Times New Roman"/>
                <w:bCs/>
                <w:color w:val="000000"/>
                <w:sz w:val="24"/>
                <w:szCs w:val="24"/>
                <w:highlight w:val="none"/>
              </w:rPr>
            </w:r>
            <w:r/>
          </w:p>
        </w:tc>
        <w:tc>
          <w:tcPr>
            <w:tcW w:w="3515"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特种作业操作证（低压电工作业）</w:t>
            </w:r>
            <w:r>
              <w:rPr>
                <w:rFonts w:ascii="Times New Roman" w:hAnsi="Times New Roman" w:cs="Times New Roman"/>
                <w:bCs/>
                <w:color w:val="000000"/>
                <w:sz w:val="24"/>
                <w:szCs w:val="24"/>
                <w:highlight w:val="none"/>
              </w:rPr>
            </w:r>
            <w:r/>
          </w:p>
        </w:tc>
      </w:tr>
      <w:tr>
        <w:trPr>
          <w:trHeight w:val="454"/>
        </w:trPr>
        <w:tc>
          <w:tcPr>
            <w:tcW w:w="709"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6</w:t>
            </w:r>
            <w:r>
              <w:rPr>
                <w:rFonts w:ascii="Times New Roman" w:hAnsi="Times New Roman" w:cs="Times New Roman"/>
                <w:bCs/>
                <w:color w:val="000000"/>
                <w:sz w:val="24"/>
                <w:szCs w:val="24"/>
                <w:highlight w:val="none"/>
              </w:rPr>
            </w:r>
            <w:r/>
          </w:p>
        </w:tc>
        <w:tc>
          <w:tcPr>
            <w:tcW w:w="1538"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保洁员</w:t>
            </w:r>
            <w:r>
              <w:rPr>
                <w:rFonts w:ascii="Times New Roman" w:hAnsi="Times New Roman" w:cs="Times New Roman"/>
                <w:bCs/>
                <w:color w:val="000000"/>
                <w:sz w:val="24"/>
                <w:szCs w:val="24"/>
                <w:highlight w:val="none"/>
              </w:rPr>
            </w:r>
            <w:r/>
          </w:p>
        </w:tc>
        <w:tc>
          <w:tcPr>
            <w:tcW w:w="1104"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4</w:t>
            </w:r>
            <w:r>
              <w:rPr>
                <w:rFonts w:ascii="Times New Roman" w:hAnsi="Times New Roman" w:cs="Times New Roman"/>
                <w:bCs/>
                <w:color w:val="000000"/>
                <w:sz w:val="24"/>
                <w:szCs w:val="24"/>
                <w:highlight w:val="none"/>
              </w:rPr>
            </w:r>
            <w:r/>
          </w:p>
        </w:tc>
        <w:tc>
          <w:tcPr>
            <w:tcW w:w="1923"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4</w:t>
            </w:r>
            <w:r>
              <w:rPr>
                <w:rFonts w:ascii="Times New Roman" w:hAnsi="Times New Roman" w:cs="Times New Roman"/>
                <w:bCs/>
                <w:color w:val="000000"/>
                <w:sz w:val="24"/>
                <w:szCs w:val="24"/>
                <w:highlight w:val="none"/>
              </w:rPr>
            </w:r>
            <w:r/>
          </w:p>
        </w:tc>
        <w:tc>
          <w:tcPr>
            <w:tcW w:w="3515"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r>
            <w:r/>
          </w:p>
        </w:tc>
      </w:tr>
      <w:tr>
        <w:trPr>
          <w:trHeight w:val="454"/>
        </w:trPr>
        <w:tc>
          <w:tcPr>
            <w:tcW w:w="709"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7</w:t>
            </w:r>
            <w:r>
              <w:rPr>
                <w:rFonts w:ascii="Times New Roman" w:hAnsi="Times New Roman" w:cs="Times New Roman"/>
                <w:bCs/>
                <w:color w:val="000000"/>
                <w:sz w:val="24"/>
                <w:szCs w:val="24"/>
                <w:highlight w:val="none"/>
              </w:rPr>
            </w:r>
            <w:r/>
          </w:p>
        </w:tc>
        <w:tc>
          <w:tcPr>
            <w:tcW w:w="1538"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垃圾清运工</w:t>
            </w:r>
            <w:r>
              <w:rPr>
                <w:rFonts w:ascii="Times New Roman" w:hAnsi="Times New Roman" w:cs="Times New Roman"/>
                <w:bCs/>
                <w:color w:val="000000"/>
                <w:sz w:val="24"/>
                <w:szCs w:val="24"/>
                <w:highlight w:val="none"/>
              </w:rPr>
            </w:r>
            <w:r/>
          </w:p>
        </w:tc>
        <w:tc>
          <w:tcPr>
            <w:tcW w:w="1104"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w:t>
            </w:r>
            <w:r>
              <w:rPr>
                <w:rFonts w:ascii="Times New Roman" w:hAnsi="Times New Roman" w:cs="Times New Roman"/>
                <w:bCs/>
                <w:color w:val="000000"/>
                <w:sz w:val="24"/>
                <w:szCs w:val="24"/>
                <w:highlight w:val="none"/>
              </w:rPr>
            </w:r>
            <w:r/>
          </w:p>
        </w:tc>
        <w:tc>
          <w:tcPr>
            <w:tcW w:w="1923"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w:t>
            </w:r>
            <w:r>
              <w:rPr>
                <w:rFonts w:ascii="Times New Roman" w:hAnsi="Times New Roman" w:cs="Times New Roman"/>
                <w:bCs/>
                <w:color w:val="000000"/>
                <w:sz w:val="24"/>
                <w:szCs w:val="24"/>
                <w:highlight w:val="none"/>
              </w:rPr>
            </w:r>
            <w:r/>
          </w:p>
        </w:tc>
        <w:tc>
          <w:tcPr>
            <w:tcW w:w="3515"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r>
            <w:r/>
          </w:p>
        </w:tc>
      </w:tr>
      <w:tr>
        <w:trPr>
          <w:trHeight w:val="454"/>
        </w:trPr>
        <w:tc>
          <w:tcPr>
            <w:tcW w:w="709"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8</w:t>
            </w:r>
            <w:r>
              <w:rPr>
                <w:rFonts w:ascii="Times New Roman" w:hAnsi="Times New Roman" w:cs="Times New Roman"/>
                <w:bCs/>
                <w:color w:val="000000"/>
                <w:sz w:val="24"/>
                <w:szCs w:val="24"/>
                <w:highlight w:val="none"/>
              </w:rPr>
            </w:r>
            <w:r/>
          </w:p>
        </w:tc>
        <w:tc>
          <w:tcPr>
            <w:tcW w:w="1538"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绿化工</w:t>
            </w:r>
            <w:r>
              <w:rPr>
                <w:rFonts w:ascii="Times New Roman" w:hAnsi="Times New Roman" w:cs="Times New Roman"/>
                <w:bCs/>
                <w:color w:val="000000"/>
                <w:sz w:val="24"/>
                <w:szCs w:val="24"/>
                <w:highlight w:val="none"/>
              </w:rPr>
            </w:r>
            <w:r/>
          </w:p>
        </w:tc>
        <w:tc>
          <w:tcPr>
            <w:tcW w:w="1104"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2</w:t>
            </w:r>
            <w:r>
              <w:rPr>
                <w:rFonts w:ascii="Times New Roman" w:hAnsi="Times New Roman" w:cs="Times New Roman"/>
                <w:bCs/>
                <w:color w:val="000000"/>
                <w:sz w:val="24"/>
                <w:szCs w:val="24"/>
                <w:highlight w:val="none"/>
              </w:rPr>
            </w:r>
            <w:r/>
          </w:p>
        </w:tc>
        <w:tc>
          <w:tcPr>
            <w:tcW w:w="1923"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2</w:t>
            </w:r>
            <w:r>
              <w:rPr>
                <w:rFonts w:ascii="Times New Roman" w:hAnsi="Times New Roman" w:cs="Times New Roman"/>
                <w:bCs/>
                <w:color w:val="000000"/>
                <w:sz w:val="24"/>
                <w:szCs w:val="24"/>
                <w:highlight w:val="none"/>
              </w:rPr>
            </w:r>
            <w:r/>
          </w:p>
        </w:tc>
        <w:tc>
          <w:tcPr>
            <w:tcW w:w="3515"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r>
            <w:r/>
          </w:p>
        </w:tc>
      </w:tr>
      <w:tr>
        <w:trPr>
          <w:trHeight w:val="454"/>
        </w:trPr>
        <w:tc>
          <w:tcPr>
            <w:tcW w:w="709"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9</w:t>
            </w:r>
            <w:r>
              <w:rPr>
                <w:rFonts w:ascii="Times New Roman" w:hAnsi="Times New Roman" w:cs="Times New Roman"/>
                <w:bCs/>
                <w:color w:val="000000"/>
                <w:sz w:val="24"/>
                <w:szCs w:val="24"/>
                <w:highlight w:val="none"/>
              </w:rPr>
            </w:r>
            <w:r/>
          </w:p>
        </w:tc>
        <w:tc>
          <w:tcPr>
            <w:tcW w:w="1538"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门岗（安保人员）</w:t>
            </w:r>
            <w:r>
              <w:rPr>
                <w:rFonts w:ascii="Times New Roman" w:hAnsi="Times New Roman" w:cs="Times New Roman"/>
                <w:bCs/>
                <w:color w:val="000000"/>
                <w:sz w:val="24"/>
                <w:szCs w:val="24"/>
                <w:highlight w:val="none"/>
              </w:rPr>
            </w:r>
            <w:r/>
          </w:p>
        </w:tc>
        <w:tc>
          <w:tcPr>
            <w:tcW w:w="1104"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6</w:t>
            </w:r>
            <w:r>
              <w:rPr>
                <w:rFonts w:ascii="Times New Roman" w:hAnsi="Times New Roman" w:cs="Times New Roman"/>
                <w:bCs/>
                <w:color w:val="000000"/>
                <w:sz w:val="24"/>
                <w:szCs w:val="24"/>
                <w:highlight w:val="none"/>
              </w:rPr>
            </w:r>
            <w:r/>
          </w:p>
        </w:tc>
        <w:tc>
          <w:tcPr>
            <w:tcW w:w="1923"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6</w:t>
            </w:r>
            <w:r>
              <w:rPr>
                <w:rFonts w:ascii="Times New Roman" w:hAnsi="Times New Roman" w:cs="Times New Roman"/>
                <w:bCs/>
                <w:color w:val="000000"/>
                <w:sz w:val="24"/>
                <w:szCs w:val="24"/>
                <w:highlight w:val="none"/>
              </w:rPr>
            </w:r>
            <w:r/>
          </w:p>
        </w:tc>
        <w:tc>
          <w:tcPr>
            <w:tcW w:w="3515"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包括但不限于保安员证，由供应商出具承诺书</w:t>
            </w:r>
            <w:r>
              <w:rPr>
                <w:rFonts w:ascii="Times New Roman" w:hAnsi="Times New Roman" w:cs="Times New Roman"/>
                <w:bCs/>
                <w:color w:val="000000"/>
                <w:sz w:val="24"/>
                <w:szCs w:val="24"/>
                <w:highlight w:val="none"/>
              </w:rPr>
            </w:r>
            <w:r/>
          </w:p>
        </w:tc>
      </w:tr>
      <w:tr>
        <w:trPr>
          <w:trHeight w:val="630"/>
        </w:trPr>
        <w:tc>
          <w:tcPr>
            <w:tcW w:w="709"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10</w:t>
            </w:r>
            <w:r>
              <w:rPr>
                <w:rFonts w:ascii="Times New Roman" w:hAnsi="Times New Roman" w:cs="Times New Roman"/>
                <w:bCs/>
                <w:color w:val="000000"/>
                <w:sz w:val="24"/>
                <w:szCs w:val="24"/>
                <w:highlight w:val="none"/>
              </w:rPr>
            </w:r>
            <w:r/>
          </w:p>
        </w:tc>
        <w:tc>
          <w:tcPr>
            <w:tcW w:w="1538"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厨师</w:t>
            </w:r>
            <w:r>
              <w:rPr>
                <w:rFonts w:ascii="Times New Roman" w:hAnsi="Times New Roman" w:cs="Times New Roman"/>
                <w:bCs/>
                <w:color w:val="000000"/>
                <w:sz w:val="24"/>
                <w:szCs w:val="24"/>
                <w:highlight w:val="none"/>
              </w:rPr>
            </w:r>
            <w:r/>
          </w:p>
        </w:tc>
        <w:tc>
          <w:tcPr>
            <w:tcW w:w="1104"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w:t>
            </w:r>
            <w:r>
              <w:rPr>
                <w:rFonts w:ascii="Times New Roman" w:hAnsi="Times New Roman" w:cs="Times New Roman"/>
                <w:bCs/>
                <w:color w:val="000000"/>
                <w:sz w:val="24"/>
                <w:szCs w:val="24"/>
                <w:highlight w:val="none"/>
              </w:rPr>
            </w:r>
            <w:r/>
          </w:p>
        </w:tc>
        <w:tc>
          <w:tcPr>
            <w:tcW w:w="1923"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w:t>
            </w:r>
            <w:r>
              <w:rPr>
                <w:rFonts w:ascii="Times New Roman" w:hAnsi="Times New Roman" w:cs="Times New Roman"/>
                <w:bCs/>
                <w:color w:val="000000"/>
                <w:sz w:val="24"/>
                <w:szCs w:val="24"/>
                <w:highlight w:val="none"/>
              </w:rPr>
            </w:r>
            <w:r/>
          </w:p>
        </w:tc>
        <w:tc>
          <w:tcPr>
            <w:tcW w:w="3515"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厨师证、健康证</w:t>
            </w:r>
            <w:r>
              <w:rPr>
                <w:rFonts w:ascii="Times New Roman" w:hAnsi="Times New Roman" w:cs="Times New Roman"/>
                <w:bCs/>
                <w:color w:val="000000"/>
                <w:sz w:val="24"/>
                <w:szCs w:val="24"/>
                <w:highlight w:val="none"/>
              </w:rPr>
            </w:r>
            <w:r/>
          </w:p>
        </w:tc>
      </w:tr>
      <w:tr>
        <w:trPr>
          <w:trHeight w:val="454"/>
        </w:trPr>
        <w:tc>
          <w:tcPr>
            <w:tcW w:w="709"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11</w:t>
            </w:r>
            <w:r>
              <w:rPr>
                <w:rFonts w:ascii="Times New Roman" w:hAnsi="Times New Roman" w:cs="Times New Roman"/>
                <w:bCs/>
                <w:color w:val="000000"/>
                <w:sz w:val="24"/>
                <w:szCs w:val="24"/>
                <w:highlight w:val="none"/>
              </w:rPr>
            </w:r>
            <w:r/>
          </w:p>
        </w:tc>
        <w:tc>
          <w:tcPr>
            <w:tcW w:w="1538"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帮厨</w:t>
            </w:r>
            <w:r>
              <w:rPr>
                <w:rFonts w:ascii="Times New Roman" w:hAnsi="Times New Roman" w:cs="Times New Roman"/>
                <w:bCs/>
                <w:color w:val="000000"/>
                <w:sz w:val="24"/>
                <w:szCs w:val="24"/>
                <w:highlight w:val="none"/>
              </w:rPr>
            </w:r>
            <w:r/>
          </w:p>
        </w:tc>
        <w:tc>
          <w:tcPr>
            <w:tcW w:w="1104"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2</w:t>
            </w:r>
            <w:r>
              <w:rPr>
                <w:rFonts w:ascii="Times New Roman" w:hAnsi="Times New Roman" w:cs="Times New Roman"/>
                <w:bCs/>
                <w:color w:val="000000"/>
                <w:sz w:val="24"/>
                <w:szCs w:val="24"/>
                <w:highlight w:val="none"/>
              </w:rPr>
            </w:r>
            <w:r/>
          </w:p>
        </w:tc>
        <w:tc>
          <w:tcPr>
            <w:tcW w:w="1923"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2</w:t>
            </w:r>
            <w:r>
              <w:rPr>
                <w:rFonts w:ascii="Times New Roman" w:hAnsi="Times New Roman" w:cs="Times New Roman"/>
                <w:bCs/>
                <w:color w:val="000000"/>
                <w:sz w:val="24"/>
                <w:szCs w:val="24"/>
                <w:highlight w:val="none"/>
              </w:rPr>
            </w:r>
            <w:r/>
          </w:p>
        </w:tc>
        <w:tc>
          <w:tcPr>
            <w:tcW w:w="3515"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健康证</w:t>
            </w:r>
            <w:r>
              <w:rPr>
                <w:rFonts w:ascii="Times New Roman" w:hAnsi="Times New Roman" w:cs="Times New Roman"/>
                <w:bCs/>
                <w:color w:val="000000"/>
                <w:sz w:val="24"/>
                <w:szCs w:val="24"/>
                <w:highlight w:val="none"/>
              </w:rPr>
            </w:r>
            <w:r/>
          </w:p>
        </w:tc>
      </w:tr>
      <w:tr>
        <w:trPr>
          <w:trHeight w:val="454"/>
        </w:trPr>
        <w:tc>
          <w:tcPr>
            <w:tcW w:w="709"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12</w:t>
            </w:r>
            <w:r>
              <w:rPr>
                <w:rFonts w:ascii="Times New Roman" w:hAnsi="Times New Roman" w:cs="Times New Roman"/>
                <w:bCs/>
                <w:color w:val="000000"/>
                <w:sz w:val="24"/>
                <w:szCs w:val="24"/>
                <w:highlight w:val="none"/>
              </w:rPr>
            </w:r>
            <w:r/>
          </w:p>
        </w:tc>
        <w:tc>
          <w:tcPr>
            <w:tcW w:w="1538"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驾驶员</w:t>
            </w:r>
            <w:r>
              <w:rPr>
                <w:rFonts w:ascii="Times New Roman" w:hAnsi="Times New Roman" w:cs="Times New Roman"/>
                <w:bCs/>
                <w:color w:val="000000"/>
                <w:sz w:val="24"/>
                <w:szCs w:val="24"/>
                <w:highlight w:val="none"/>
              </w:rPr>
            </w:r>
            <w:r/>
          </w:p>
        </w:tc>
        <w:tc>
          <w:tcPr>
            <w:tcW w:w="1104"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w:t>
            </w:r>
            <w:r>
              <w:rPr>
                <w:rFonts w:ascii="Times New Roman" w:hAnsi="Times New Roman" w:cs="Times New Roman"/>
                <w:bCs/>
                <w:color w:val="000000"/>
                <w:sz w:val="24"/>
                <w:szCs w:val="24"/>
                <w:highlight w:val="none"/>
              </w:rPr>
            </w:r>
            <w:r/>
          </w:p>
        </w:tc>
        <w:tc>
          <w:tcPr>
            <w:tcW w:w="1923"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w:t>
            </w:r>
            <w:r>
              <w:rPr>
                <w:rFonts w:ascii="Times New Roman" w:hAnsi="Times New Roman" w:cs="Times New Roman"/>
                <w:bCs/>
                <w:color w:val="000000"/>
                <w:sz w:val="24"/>
                <w:szCs w:val="24"/>
                <w:highlight w:val="none"/>
              </w:rPr>
            </w:r>
            <w:r/>
          </w:p>
        </w:tc>
        <w:tc>
          <w:tcPr>
            <w:tcW w:w="3515"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A2驾照及以上</w:t>
            </w:r>
            <w:r>
              <w:rPr>
                <w:rFonts w:ascii="Times New Roman" w:hAnsi="Times New Roman" w:cs="Times New Roman"/>
                <w:bCs/>
                <w:color w:val="000000"/>
                <w:sz w:val="24"/>
                <w:szCs w:val="24"/>
                <w:highlight w:val="none"/>
              </w:rPr>
            </w:r>
            <w:r/>
          </w:p>
        </w:tc>
      </w:tr>
      <w:tr>
        <w:trPr>
          <w:trHeight w:val="454"/>
        </w:trPr>
        <w:tc>
          <w:tcPr>
            <w:gridSpan w:val="2"/>
            <w:tcW w:w="2247"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合  计</w:t>
            </w:r>
            <w:r>
              <w:rPr>
                <w:rFonts w:ascii="Times New Roman" w:hAnsi="Times New Roman" w:cs="Times New Roman"/>
                <w:bCs/>
                <w:color w:val="000000"/>
                <w:sz w:val="24"/>
                <w:szCs w:val="24"/>
                <w:highlight w:val="none"/>
              </w:rPr>
            </w:r>
            <w:r/>
          </w:p>
        </w:tc>
        <w:tc>
          <w:tcPr>
            <w:tcW w:w="1104"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22</w:t>
            </w:r>
            <w:r>
              <w:rPr>
                <w:rFonts w:ascii="Times New Roman" w:hAnsi="Times New Roman" w:cs="Times New Roman"/>
                <w:bCs/>
                <w:color w:val="000000"/>
                <w:sz w:val="24"/>
                <w:szCs w:val="24"/>
                <w:highlight w:val="none"/>
              </w:rPr>
            </w:r>
            <w:r/>
          </w:p>
        </w:tc>
        <w:tc>
          <w:tcPr>
            <w:tcW w:w="1923" w:type="dxa"/>
            <w:vAlign w:val="center"/>
            <w:textDirection w:val="lrTb"/>
            <w:noWrap w:val="false"/>
          </w:tcPr>
          <w:p>
            <w:pPr>
              <w:pStyle w:val="898"/>
              <w:jc w:val="center"/>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22</w:t>
            </w:r>
            <w:r>
              <w:rPr>
                <w:rFonts w:ascii="Times New Roman" w:hAnsi="Times New Roman" w:cs="Times New Roman"/>
                <w:bCs/>
                <w:color w:val="000000"/>
                <w:sz w:val="24"/>
                <w:szCs w:val="24"/>
                <w:highlight w:val="none"/>
              </w:rPr>
            </w:r>
            <w:r/>
          </w:p>
        </w:tc>
        <w:tc>
          <w:tcPr>
            <w:tcW w:w="3515" w:type="dxa"/>
            <w:vAlign w:val="center"/>
            <w:textDirection w:val="lrTb"/>
            <w:noWrap w:val="false"/>
          </w:tcPr>
          <w:p>
            <w:pPr>
              <w:pStyle w:val="898"/>
              <w:spacing w:line="300" w:lineRule="exact"/>
              <w:widowControl/>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r>
            <w:r/>
          </w:p>
        </w:tc>
      </w:tr>
    </w:tbl>
    <w:p>
      <w:pPr>
        <w:pStyle w:val="936"/>
        <w:rPr>
          <w:rFonts w:ascii="Times New Roman" w:hAnsi="Times New Roman" w:cs="Times New Roman"/>
          <w:color w:val="000000"/>
          <w:sz w:val="22"/>
          <w:highlight w:val="none"/>
        </w:rPr>
      </w:pPr>
      <w:r>
        <w:rPr>
          <w:rFonts w:ascii="Times New Roman" w:hAnsi="Times New Roman" w:cs="Times New Roman"/>
          <w:b/>
          <w:bCs w:val="0"/>
          <w:color w:val="000000"/>
          <w:sz w:val="22"/>
          <w:szCs w:val="21"/>
          <w:highlight w:val="none"/>
        </w:rPr>
        <w:t xml:space="preserve">注：</w:t>
      </w:r>
      <w:r>
        <w:rPr>
          <w:rFonts w:ascii="Times New Roman" w:hAnsi="Times New Roman" w:cs="Times New Roman"/>
          <w:color w:val="000000"/>
          <w:sz w:val="22"/>
          <w:szCs w:val="21"/>
          <w:highlight w:val="none"/>
        </w:rPr>
        <w:t xml:space="preserve">1.供应商应当按国家相关法律法规，合理确定服务人员工资标准、工作时间等。</w:t>
      </w:r>
      <w:r>
        <w:rPr>
          <w:rFonts w:ascii="Times New Roman" w:hAnsi="Times New Roman" w:cs="Times New Roman"/>
          <w:color w:val="000000"/>
          <w:sz w:val="22"/>
          <w:highlight w:val="none"/>
        </w:rPr>
      </w:r>
      <w:r/>
    </w:p>
    <w:p>
      <w:pPr>
        <w:pStyle w:val="936"/>
        <w:ind w:firstLine="440"/>
        <w:rPr>
          <w:rFonts w:ascii="Times New Roman" w:hAnsi="Times New Roman" w:cs="Times New Roman"/>
          <w:color w:val="000000"/>
          <w:sz w:val="22"/>
          <w:szCs w:val="21"/>
          <w:highlight w:val="none"/>
        </w:rPr>
      </w:pPr>
      <w:r>
        <w:rPr>
          <w:rFonts w:ascii="Times New Roman" w:hAnsi="Times New Roman" w:cs="Times New Roman"/>
          <w:color w:val="000000"/>
          <w:sz w:val="22"/>
          <w:szCs w:val="21"/>
          <w:highlight w:val="none"/>
        </w:rPr>
        <w:t xml:space="preserve">2.供应商应当自行为服务人员办理必需的保险，有关人员伤亡及第三者责任险均应当考虑在报价因素中。</w:t>
      </w:r>
      <w:r>
        <w:rPr>
          <w:rFonts w:ascii="Times New Roman" w:hAnsi="Times New Roman" w:cs="Times New Roman"/>
          <w:color w:val="000000"/>
          <w:sz w:val="22"/>
          <w:szCs w:val="21"/>
          <w:highlight w:val="none"/>
        </w:rPr>
      </w:r>
      <w:r/>
    </w:p>
    <w:p>
      <w:pPr>
        <w:pStyle w:val="936"/>
        <w:ind w:firstLine="440"/>
        <w:rPr>
          <w:rFonts w:ascii="Times New Roman" w:hAnsi="Times New Roman" w:cs="Times New Roman"/>
          <w:color w:val="000000"/>
          <w:sz w:val="22"/>
          <w:szCs w:val="21"/>
          <w:highlight w:val="none"/>
        </w:rPr>
      </w:pPr>
      <w:r>
        <w:rPr>
          <w:rFonts w:ascii="Times New Roman" w:hAnsi="Times New Roman" w:cs="Times New Roman"/>
          <w:color w:val="000000"/>
          <w:sz w:val="22"/>
          <w:szCs w:val="21"/>
          <w:highlight w:val="none"/>
        </w:rPr>
        <w:t xml:space="preserve">3.</w:t>
      </w:r>
      <w:r>
        <w:rPr>
          <w:rFonts w:ascii="Times New Roman" w:hAnsi="Times New Roman" w:cs="Times New Roman"/>
          <w:color w:val="000000"/>
          <w:sz w:val="22"/>
          <w:szCs w:val="21"/>
          <w:highlight w:val="none"/>
        </w:rPr>
        <w:t xml:space="preserve">供应商用工人员需经采购方审核通过方可上岗。</w:t>
      </w:r>
      <w:r>
        <w:rPr>
          <w:rFonts w:ascii="Times New Roman" w:hAnsi="Times New Roman" w:cs="Times New Roman"/>
          <w:color w:val="000000"/>
          <w:sz w:val="22"/>
          <w:szCs w:val="21"/>
          <w:highlight w:val="none"/>
        </w:rPr>
      </w:r>
      <w:r/>
    </w:p>
    <w:p>
      <w:pPr>
        <w:pStyle w:val="936"/>
        <w:ind w:firstLine="440"/>
        <w:rPr>
          <w:rFonts w:ascii="Times New Roman" w:hAnsi="Times New Roman" w:cs="Times New Roman"/>
          <w:color w:val="000000"/>
          <w:sz w:val="22"/>
          <w:szCs w:val="21"/>
          <w:highlight w:val="none"/>
        </w:rPr>
      </w:pPr>
      <w:r>
        <w:rPr>
          <w:rFonts w:ascii="Times New Roman" w:hAnsi="Times New Roman" w:cs="Times New Roman"/>
          <w:color w:val="000000"/>
          <w:sz w:val="22"/>
          <w:szCs w:val="21"/>
          <w:highlight w:val="none"/>
        </w:rPr>
        <w:t xml:space="preserve">4.供应商用工人员不满足采购方要求的，采购方有权要求更换。</w:t>
      </w:r>
      <w:r>
        <w:rPr>
          <w:rFonts w:ascii="Times New Roman" w:hAnsi="Times New Roman" w:cs="Times New Roman"/>
          <w:color w:val="000000"/>
          <w:sz w:val="22"/>
          <w:szCs w:val="21"/>
          <w:highlight w:val="none"/>
        </w:rPr>
      </w:r>
      <w:r/>
    </w:p>
    <w:p>
      <w:pPr>
        <w:pStyle w:val="936"/>
        <w:ind w:firstLine="442"/>
        <w:rPr>
          <w:rFonts w:ascii="Times New Roman" w:hAnsi="Times New Roman" w:cs="Times New Roman"/>
          <w:b/>
          <w:bCs/>
          <w:i/>
          <w:iCs/>
          <w:color w:val="000000"/>
          <w:sz w:val="22"/>
          <w:szCs w:val="21"/>
          <w:highlight w:val="none"/>
          <w:u w:val="single"/>
        </w:rPr>
      </w:pPr>
      <w:r>
        <w:rPr>
          <w:rFonts w:ascii="Times New Roman" w:hAnsi="Times New Roman" w:cs="Times New Roman"/>
          <w:b/>
          <w:bCs/>
          <w:i/>
          <w:iCs/>
          <w:color w:val="000000"/>
          <w:sz w:val="22"/>
          <w:szCs w:val="21"/>
          <w:highlight w:val="none"/>
          <w:u w:val="single"/>
        </w:rPr>
        <w:t xml:space="preserve">5.本项目服务期为1年，投标人为本项目建立的驻场服务团队不得少于22人，否则为无效投标。</w:t>
      </w:r>
      <w:r>
        <w:rPr>
          <w:rFonts w:ascii="Times New Roman" w:hAnsi="Times New Roman" w:cs="Times New Roman"/>
          <w:b/>
          <w:bCs/>
          <w:i/>
          <w:iCs/>
          <w:color w:val="000000"/>
          <w:sz w:val="22"/>
          <w:szCs w:val="21"/>
          <w:highlight w:val="none"/>
          <w:u w:val="single"/>
        </w:rPr>
      </w:r>
      <w:r/>
    </w:p>
    <w:p>
      <w:pPr>
        <w:pStyle w:val="901"/>
        <w:rPr>
          <w:rFonts w:ascii="Times New Roman" w:hAnsi="Times New Roman" w:cs="Times New Roman"/>
          <w:b/>
          <w:bCs/>
          <w:color w:val="000000"/>
          <w:sz w:val="30"/>
          <w:szCs w:val="32"/>
          <w:highlight w:val="none"/>
        </w:rPr>
      </w:pPr>
      <w:r>
        <w:rPr>
          <w:color w:val="000000"/>
          <w:highlight w:val="none"/>
        </w:rPr>
        <w:t xml:space="preserve">8.</w:t>
      </w:r>
      <w:r>
        <w:rPr>
          <w:rFonts w:ascii="Times New Roman" w:hAnsi="Times New Roman" w:cs="Times New Roman"/>
          <w:b/>
          <w:bCs/>
          <w:color w:val="000000"/>
          <w:sz w:val="30"/>
          <w:szCs w:val="32"/>
          <w:highlight w:val="none"/>
        </w:rPr>
        <w:t xml:space="preserve">项目技术方案</w:t>
      </w:r>
      <w:r>
        <w:rPr>
          <w:rFonts w:ascii="Times New Roman" w:hAnsi="Times New Roman" w:cs="Times New Roman"/>
          <w:b/>
          <w:bCs/>
          <w:color w:val="000000"/>
          <w:sz w:val="30"/>
          <w:szCs w:val="32"/>
          <w:highlight w:val="none"/>
        </w:rPr>
      </w:r>
      <w:r/>
    </w:p>
    <w:p>
      <w:pPr>
        <w:pStyle w:val="902"/>
        <w:rPr>
          <w:rFonts w:ascii="Times New Roman" w:hAnsi="Times New Roman" w:cs="Times New Roman"/>
          <w:b/>
          <w:bCs/>
          <w:color w:val="000000"/>
          <w:sz w:val="28"/>
          <w:szCs w:val="28"/>
          <w:highlight w:val="none"/>
        </w:rPr>
      </w:pPr>
      <w:r>
        <w:rPr>
          <w:rFonts w:cs="Times New Roman"/>
          <w:color w:val="000000"/>
          <w:highlight w:val="none"/>
        </w:rPr>
        <w:t xml:space="preserve">8.</w:t>
      </w:r>
      <w:r>
        <w:rPr>
          <w:rFonts w:ascii="Times New Roman" w:hAnsi="Times New Roman" w:cs="Times New Roman"/>
          <w:b/>
          <w:bCs/>
          <w:color w:val="000000"/>
          <w:sz w:val="28"/>
          <w:szCs w:val="28"/>
          <w:highlight w:val="none"/>
        </w:rPr>
        <w:t xml:space="preserve">1</w:t>
      </w:r>
      <w:r>
        <w:rPr>
          <w:rFonts w:cs="Times New Roman"/>
          <w:color w:val="000000"/>
          <w:highlight w:val="none"/>
        </w:rPr>
        <w:t xml:space="preserve"> </w:t>
      </w:r>
      <w:r>
        <w:rPr>
          <w:rFonts w:ascii="Times New Roman" w:hAnsi="Times New Roman" w:cs="Times New Roman"/>
          <w:b/>
          <w:bCs/>
          <w:color w:val="000000"/>
          <w:sz w:val="28"/>
          <w:szCs w:val="28"/>
          <w:highlight w:val="none"/>
        </w:rPr>
        <w:t xml:space="preserve">物业管理总体实施方案</w:t>
      </w:r>
      <w:r>
        <w:rPr>
          <w:rFonts w:ascii="Times New Roman" w:hAnsi="Times New Roman" w:cs="Times New Roman"/>
          <w:b/>
          <w:bCs/>
          <w:color w:val="000000"/>
          <w:sz w:val="28"/>
          <w:szCs w:val="28"/>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（1）负责本物业管理范围内24小时消防通道畅通管理，公共秩序维护，机动车和非机动车引导停放及调度管理。</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（2）负责本物业管理范围内（含室内非机电设备设施、给排水系统、楼层配电系统、室内外照明、通风设备系统、空调主机、消防系统、监控系统等）的日常运行管理和维护保养。</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（3）负责本物业管理范围内24小时门卫、守护和巡逻，治安和突发事件处理，防盗和安全保安维护以及公共秩序管理。</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4）负责江苏水文档案馆2-3楼的办公区、会议区、公共区域，食堂1楼的大厅、前台、厨房、办公室、仓库、卫生间，食堂2楼的配餐室、包间、卫生间，水文综合服务楼的单间、标准间、值班室、会议室、卫生间及所有公共场所和楼宇外墙的日常保洁、除异味；废弃物清理；垃圾分类处理；除“四害”消毒杀菌等卫生管理。</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5）负责本物业管理范围内所配套的服务设备设施（除上述所涵盖内容之外）的日常管理、维护保养、故障维修和定期检查。协助和配合好专业设备维保单位的工作，接受相关行业主管单位的指导、监督等工作的联系和管理。</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（6）负责食堂油烟管道的定期清洗。</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（7）负责本物业服务范围内的蚊虫定期消杀。</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（8）负责本物业管理范围内的会议室会务服务。</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9）负责水文综合服务楼的客房服务。对每个房间进行日常清扫、床品更换、卫生间清洁消毒。定期清运垃圾，清洁客房楼层走廊，清洗窗帘、地毯，处理客房异味，特殊区域消毒。及时进行物品配置（如饮用水、洗漱用品）。</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（10）负责本物业管理范围内相关活动的迎宾、展板和悬挂条幅的管理，花草、树木、绿地的日常养护和管理。</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（11）负责本物业管理范围内的物业档案资料的收集保存管理（如各岗位值班、设备维修、保养记录及配电、消防台账、节能减排台账、垃圾分类台账等）。</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（12）负责本物业管理范围内的治安保安、防火防盗、灭火救援、清扫雨雪等工作及严格规范的应急、应对各类突发事件的保障体系管理。</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（13）负责本物业管理范围内的各类下水道、污水井管的通畅保障，“门前三包”和垃圾清运工作。</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（14）按时抄取院落内水、电表读数并核查有无异常，同时将《水电抄表记录》和《水电消耗月报表》提交给采购方。</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（15）采购方因工作需要，除完成常规工作以外需要额外人员加班或值班的，采购方根据内部管理规定进行费用补贴并结算。</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（16）负责本物业管理范围内未尽注明的其他工作事项。</w:t>
      </w:r>
      <w:r>
        <w:rPr>
          <w:rFonts w:ascii="Times New Roman" w:hAnsi="Times New Roman" w:cs="Times New Roman"/>
          <w:color w:val="000000"/>
          <w:highlight w:val="none"/>
        </w:rPr>
      </w:r>
      <w:r/>
    </w:p>
    <w:p>
      <w:pPr>
        <w:pStyle w:val="902"/>
        <w:rPr>
          <w:rFonts w:ascii="Times New Roman" w:hAnsi="Times New Roman" w:cs="Times New Roman"/>
          <w:b/>
          <w:bCs/>
          <w:color w:val="000000"/>
          <w:sz w:val="28"/>
          <w:szCs w:val="28"/>
          <w:highlight w:val="none"/>
        </w:rPr>
      </w:pPr>
      <w:r>
        <w:rPr>
          <w:rFonts w:cs="Times New Roman"/>
          <w:color w:val="000000"/>
          <w:highlight w:val="none"/>
        </w:rPr>
        <w:t xml:space="preserve">8.2 </w:t>
      </w:r>
      <w:r>
        <w:rPr>
          <w:rFonts w:ascii="Times New Roman" w:hAnsi="Times New Roman" w:cs="Times New Roman"/>
          <w:b/>
          <w:bCs/>
          <w:color w:val="000000"/>
          <w:sz w:val="28"/>
          <w:szCs w:val="28"/>
          <w:highlight w:val="none"/>
        </w:rPr>
        <w:t xml:space="preserve">后勤服务管理方案</w:t>
      </w:r>
      <w:r>
        <w:rPr>
          <w:rFonts w:ascii="Times New Roman" w:hAnsi="Times New Roman" w:cs="Times New Roman"/>
          <w:b/>
          <w:bCs/>
          <w:color w:val="000000"/>
          <w:sz w:val="28"/>
          <w:szCs w:val="28"/>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服务范围涵盖水文科普园全院落，主要包括食堂供餐服务和垃圾清运服务。一是食堂工作餐和会务接待供餐，法定工作日中午餐，每餐约70人左右，会务接待供餐每年约60次左右。安排厨师保障职工中午工作餐以及会务接待的早、中、晚餐；安排勤杂工辅助完成菜品清洗及食堂用具的清洗工作。二是对水文科普园内所有厨余垃圾、其他垃圾、有害垃圾、油污池和可回收垃圾进行收集清运。</w:t>
      </w:r>
      <w:r>
        <w:rPr>
          <w:rFonts w:ascii="Times New Roman" w:hAnsi="Times New Roman" w:cs="Times New Roman"/>
          <w:color w:val="000000"/>
          <w:highlight w:val="none"/>
        </w:rPr>
      </w:r>
      <w:r/>
    </w:p>
    <w:p>
      <w:pPr>
        <w:pStyle w:val="902"/>
        <w:rPr>
          <w:rFonts w:ascii="Times New Roman" w:hAnsi="Times New Roman" w:cs="Times New Roman"/>
          <w:b/>
          <w:bCs/>
          <w:color w:val="000000"/>
          <w:sz w:val="28"/>
          <w:szCs w:val="28"/>
          <w:highlight w:val="none"/>
        </w:rPr>
      </w:pPr>
      <w:r>
        <w:rPr>
          <w:rFonts w:cs="Times New Roman"/>
          <w:color w:val="000000"/>
          <w:highlight w:val="none"/>
        </w:rPr>
        <w:t xml:space="preserve">8.3 </w:t>
      </w:r>
      <w:r>
        <w:rPr>
          <w:rFonts w:ascii="Times New Roman" w:hAnsi="Times New Roman" w:cs="Times New Roman"/>
          <w:b/>
          <w:bCs/>
          <w:color w:val="000000"/>
          <w:sz w:val="28"/>
          <w:szCs w:val="28"/>
          <w:highlight w:val="none"/>
        </w:rPr>
        <w:t xml:space="preserve">水土保持观测场运维方案</w:t>
      </w:r>
      <w:r>
        <w:rPr>
          <w:rFonts w:ascii="Times New Roman" w:hAnsi="Times New Roman" w:cs="Times New Roman"/>
          <w:b/>
          <w:bCs/>
          <w:color w:val="000000"/>
          <w:sz w:val="28"/>
          <w:szCs w:val="28"/>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服务内容包括：一是区域生态环境维护，苗木补栽、更换、除虫、修剪、绿化垃圾清运等生态环境常年维护；二是区域安全巡检，日常设施设备维护，设备运行、人员安全保障等。</w:t>
      </w:r>
      <w:r>
        <w:rPr>
          <w:rFonts w:ascii="Times New Roman" w:hAnsi="Times New Roman" w:cs="Times New Roman"/>
          <w:b w:val="0"/>
          <w:bCs w:val="0"/>
          <w:color w:val="000000"/>
          <w:szCs w:val="24"/>
          <w:highlight w:val="none"/>
        </w:rPr>
      </w:r>
      <w:r/>
    </w:p>
    <w:p>
      <w:pPr>
        <w:pStyle w:val="903"/>
        <w:rPr>
          <w:rFonts w:ascii="Times New Roman" w:cs="Times New Roman"/>
          <w:b/>
          <w:bCs w:val="0"/>
          <w:color w:val="000000"/>
          <w:szCs w:val="28"/>
          <w:highlight w:val="none"/>
        </w:rPr>
      </w:pPr>
      <w:r>
        <w:rPr>
          <w:rFonts w:ascii="Times New Roman"/>
          <w:color w:val="000000"/>
          <w:highlight w:val="none"/>
        </w:rPr>
        <w:t xml:space="preserve">8</w:t>
      </w:r>
      <w:r>
        <w:rPr>
          <w:rFonts w:ascii="Times New Roman"/>
          <w:color w:val="000000"/>
          <w:highlight w:val="none"/>
        </w:rPr>
        <w:t xml:space="preserve">.3.1 </w:t>
      </w:r>
      <w:r>
        <w:rPr>
          <w:rFonts w:ascii="Times New Roman" w:cs="Times New Roman"/>
          <w:b/>
          <w:bCs w:val="0"/>
          <w:color w:val="000000"/>
          <w:szCs w:val="28"/>
          <w:highlight w:val="none"/>
        </w:rPr>
        <w:t xml:space="preserve">区域生态环境管理与维护</w:t>
      </w:r>
      <w:r>
        <w:rPr>
          <w:rFonts w:ascii="Times New Roman" w:cs="Times New Roman"/>
          <w:b/>
          <w:bCs w:val="0"/>
          <w:color w:val="000000"/>
          <w:szCs w:val="28"/>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color w:val="000000"/>
          <w:highlight w:val="none"/>
        </w:rPr>
        <w:t xml:space="preserve">（1）</w:t>
      </w:r>
      <w:r>
        <w:rPr>
          <w:rFonts w:ascii="Times New Roman" w:hAnsi="Times New Roman" w:cs="Times New Roman"/>
          <w:b w:val="0"/>
          <w:bCs w:val="0"/>
          <w:color w:val="000000"/>
          <w:szCs w:val="24"/>
          <w:highlight w:val="none"/>
        </w:rPr>
        <w:t xml:space="preserve">植被养护</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补栽与更换：定期巡查水土保持治理措施试验场内的14个治理板块及项目区内其他绿化区域，对因自然老化、病虫害、极端天气等原因造成的苗木（包括但不限于草皮、灌木、藤本植物）死亡、缺失或长势不良情况进行及时清理、补栽和更换，确保植被覆盖度与水土保持效果，维持设计景观形态。</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病虫害防治：制定并执行年度病虫害监测与防治计划。定期检查植被健康状况，识别病虫害迹象；针对不同植物种类和病虫害类型，采取环保、高效的物理或生物化学方法进行防治，避免大规模病虫害发生。规范农药管理与使用，确保人畜及环境安全。</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整形与修剪：根据植物生长习性和景观要求，对草坪、灌木、绿篱等进行定期修剪、整形。清除枯枝、病枝、徒长枝，促进植物健康生长，保持试验区整洁美观的观赏性与示范性。</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水肥管理：结合气候条件与植物生长周期，进行科学灌溉与施肥。确保植被水分与养分需求得到满足，同时倡导节水灌溉与生态施肥理念。</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绿化垃圾处理：对养护过程中产生的杂草、修剪枝叶、枯死植株等绿化垃圾，进行及时收集、清运，并按照环保要求进行无害化处理或资源化利用，保持场地环境整洁。</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color w:val="000000"/>
          <w:highlight w:val="none"/>
        </w:rPr>
        <w:t xml:space="preserve">（2）</w:t>
      </w:r>
      <w:r>
        <w:rPr>
          <w:rFonts w:ascii="Times New Roman" w:hAnsi="Times New Roman" w:cs="Times New Roman"/>
          <w:b w:val="0"/>
          <w:bCs w:val="0"/>
          <w:color w:val="000000"/>
          <w:szCs w:val="24"/>
          <w:highlight w:val="none"/>
        </w:rPr>
        <w:t xml:space="preserve">场地环境维护</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定期清理截水沟、沉沙池内的淤泥、杂物，确保其排水、沉沙功能正常。保持观测道路、台阶等通行区域的清洁与畅通，无杂物、青苔滑垢堆积。</w:t>
      </w:r>
      <w:r>
        <w:rPr>
          <w:rFonts w:ascii="Times New Roman" w:hAnsi="Times New Roman" w:cs="Times New Roman"/>
          <w:b w:val="0"/>
          <w:bCs w:val="0"/>
          <w:color w:val="000000"/>
          <w:szCs w:val="24"/>
          <w:highlight w:val="none"/>
        </w:rPr>
      </w:r>
      <w:r/>
    </w:p>
    <w:p>
      <w:pPr>
        <w:pStyle w:val="903"/>
        <w:rPr>
          <w:rFonts w:ascii="Times New Roman" w:cs="Times New Roman"/>
          <w:b/>
          <w:bCs w:val="0"/>
          <w:color w:val="000000"/>
          <w:szCs w:val="28"/>
          <w:highlight w:val="none"/>
        </w:rPr>
      </w:pPr>
      <w:r>
        <w:rPr>
          <w:rFonts w:ascii="Times New Roman"/>
          <w:color w:val="000000"/>
          <w:highlight w:val="none"/>
        </w:rPr>
        <w:t xml:space="preserve">8</w:t>
      </w:r>
      <w:r>
        <w:rPr>
          <w:rFonts w:ascii="Times New Roman"/>
          <w:color w:val="000000"/>
          <w:highlight w:val="none"/>
        </w:rPr>
        <w:t xml:space="preserve">.3.2 </w:t>
      </w:r>
      <w:r>
        <w:rPr>
          <w:rFonts w:ascii="Times New Roman" w:cs="Times New Roman"/>
          <w:b/>
          <w:bCs w:val="0"/>
          <w:color w:val="000000"/>
          <w:szCs w:val="28"/>
          <w:highlight w:val="none"/>
        </w:rPr>
        <w:t xml:space="preserve">设施设备常态化巡检、维护与安全保障</w:t>
      </w:r>
      <w:r>
        <w:rPr>
          <w:rFonts w:ascii="Times New Roman" w:cs="Times New Roman"/>
          <w:b/>
          <w:bCs w:val="0"/>
          <w:color w:val="000000"/>
          <w:szCs w:val="28"/>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color w:val="000000"/>
          <w:highlight w:val="none"/>
        </w:rPr>
        <w:t xml:space="preserve">（1）</w:t>
      </w:r>
      <w:r>
        <w:rPr>
          <w:rFonts w:ascii="Times New Roman" w:hAnsi="Times New Roman" w:cs="Times New Roman"/>
          <w:b w:val="0"/>
          <w:bCs w:val="0"/>
          <w:color w:val="000000"/>
          <w:szCs w:val="24"/>
          <w:highlight w:val="none"/>
        </w:rPr>
        <w:t xml:space="preserve">水土保持演示系统专项维护：</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自动降雨系统：定期检查250只喷头的工作状态，清理堵塞物，确保喷洒均匀；检查供水管路、阀门，防止渗漏；对水泵、控制系统进行例行保养。</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变坡钢槽：检查4只5立方米变坡钢槽的外观状况、结构稳定性、密封性及坡度调节机构的灵活性。</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户外全彩P5显示屏：定期清洁屏体表面，检查结构稳固性与防水密封性；确保其工作在允许湿度范围（10%-90%RH）内；检查供电、信号连接，保障显示内容正常、稳定。</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集水池供水与信息控制系统：定期清理集水池，检查水质；维护供水泵、过滤器等设备。</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b w:val="0"/>
          <w:bCs w:val="0"/>
          <w:color w:val="000000"/>
          <w:szCs w:val="24"/>
          <w:highlight w:val="none"/>
        </w:rPr>
        <w:t xml:space="preserve">电力系统与钢架结构：检查供电线路、配电箱安全性；对全套钢架结构进行定期检查，紧固连接件，确保整体结构安全。</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color w:val="000000"/>
          <w:highlight w:val="none"/>
        </w:rPr>
        <w:t xml:space="preserve">（2）</w:t>
      </w:r>
      <w:r>
        <w:rPr>
          <w:rFonts w:ascii="Times New Roman" w:hAnsi="Times New Roman" w:cs="Times New Roman"/>
          <w:b w:val="0"/>
          <w:bCs w:val="0"/>
          <w:color w:val="000000"/>
          <w:szCs w:val="24"/>
          <w:highlight w:val="none"/>
        </w:rPr>
        <w:t xml:space="preserve">水土保持治理措施试验场设施维护</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定期巡查14块治理板块内的工程结构（如浆砌片石、竹木桩、钢丝网石笼、折型骨架、框格、土工格栅、植草台阶、砼预制块、蜂巢式护坡等）的完整性、稳定性。定期检查土工网垫、生态袋等材料的完好性。</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color w:val="000000"/>
          <w:highlight w:val="none"/>
        </w:rPr>
        <w:t xml:space="preserve">（3）</w:t>
      </w:r>
      <w:r>
        <w:rPr>
          <w:rFonts w:ascii="Times New Roman" w:hAnsi="Times New Roman" w:cs="Times New Roman"/>
          <w:b w:val="0"/>
          <w:bCs w:val="0"/>
          <w:color w:val="000000"/>
          <w:szCs w:val="24"/>
          <w:highlight w:val="none"/>
        </w:rPr>
        <w:t xml:space="preserve">公共与辅助设施维护</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b w:val="0"/>
          <w:bCs w:val="0"/>
          <w:color w:val="000000"/>
          <w:szCs w:val="24"/>
          <w:highlight w:val="none"/>
        </w:rPr>
        <w:t xml:space="preserve">维护沉沙池、截水沟等排水设施的完好与通畅。检查观测道路、台阶的路面及护栏状况，确保安全使用。</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color w:val="000000"/>
          <w:highlight w:val="none"/>
        </w:rPr>
        <w:t xml:space="preserve">（4）</w:t>
      </w:r>
      <w:r>
        <w:rPr>
          <w:rFonts w:ascii="Times New Roman" w:hAnsi="Times New Roman" w:cs="Times New Roman"/>
          <w:b w:val="0"/>
          <w:bCs w:val="0"/>
          <w:color w:val="000000"/>
          <w:szCs w:val="24"/>
          <w:highlight w:val="none"/>
        </w:rPr>
        <w:t xml:space="preserve">安全巡检与保障</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日常安全巡检：建立每日巡检制度，覆盖整个5000平方米服务区域。重点检查设施设备运行状态、结构安全、电气安全、水域安全等，及时发现并处置安全隐患。</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设备运行安全：确保所有电力设备、控制系统接地良好，维护安全警示标识。在设备维修保养期间，执行挂牌上锁等安全程序。</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人员安全保障：制定并执行区域安全管理制度，防止无关人员进入危险区域。</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防火安全：定期清理枯草落叶等易燃物，检查消防通道畅通，确保消防设施可用。</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以上设施设备在日常巡察中，如发现一般性问题都应立即修理到位；如不能独立维修，应及时通知采购方，并积极配合维修。</w:t>
      </w:r>
      <w:r>
        <w:rPr>
          <w:rFonts w:ascii="Times New Roman" w:hAnsi="Times New Roman" w:cs="Times New Roman"/>
          <w:color w:val="000000"/>
          <w:highlight w:val="none"/>
        </w:rPr>
      </w:r>
      <w:r/>
    </w:p>
    <w:p>
      <w:pPr>
        <w:pStyle w:val="902"/>
        <w:rPr>
          <w:rFonts w:ascii="Times New Roman" w:hAnsi="Times New Roman" w:cs="Times New Roman"/>
          <w:color w:val="000000"/>
          <w:sz w:val="28"/>
          <w:szCs w:val="28"/>
          <w:highlight w:val="none"/>
        </w:rPr>
      </w:pPr>
      <w:r>
        <w:rPr>
          <w:rFonts w:cs="Times New Roman"/>
          <w:color w:val="000000"/>
          <w:highlight w:val="none"/>
        </w:rPr>
        <w:t xml:space="preserve">8.4 </w:t>
      </w:r>
      <w:r>
        <w:rPr>
          <w:rFonts w:ascii="Times New Roman" w:hAnsi="Times New Roman" w:cs="Times New Roman"/>
          <w:b/>
          <w:bCs/>
          <w:color w:val="000000"/>
          <w:sz w:val="28"/>
          <w:szCs w:val="28"/>
          <w:highlight w:val="none"/>
        </w:rPr>
        <w:t xml:space="preserve">水情教育场馆运维服务方案</w:t>
      </w:r>
      <w:r>
        <w:rPr>
          <w:rFonts w:ascii="Times New Roman" w:hAnsi="Times New Roman" w:cs="Times New Roman"/>
          <w:color w:val="000000"/>
          <w:sz w:val="28"/>
          <w:szCs w:val="28"/>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服务内容包括：一是室外教育场所生态环境维护，苗木补栽、更换、除虫、修剪、绿化垃圾清运等生态环境常年维护；二是室内场馆综合管理、水情教育接待、房屋及附属设施日常运行管理、设备日常运维管理、秩序维护和保洁等。</w:t>
      </w:r>
      <w:r>
        <w:rPr>
          <w:rFonts w:ascii="Times New Roman" w:hAnsi="Times New Roman" w:cs="Times New Roman"/>
          <w:color w:val="000000"/>
          <w:highlight w:val="none"/>
        </w:rPr>
      </w:r>
      <w:r/>
    </w:p>
    <w:p>
      <w:pPr>
        <w:pStyle w:val="903"/>
        <w:rPr>
          <w:rFonts w:ascii="Times New Roman" w:cs="Times New Roman"/>
          <w:color w:val="000000"/>
          <w:highlight w:val="none"/>
        </w:rPr>
      </w:pPr>
      <w:r>
        <w:rPr>
          <w:rFonts w:ascii="Times New Roman"/>
          <w:color w:val="000000"/>
          <w:highlight w:val="none"/>
        </w:rPr>
        <w:t xml:space="preserve">8</w:t>
      </w:r>
      <w:r>
        <w:rPr>
          <w:rFonts w:ascii="Times New Roman"/>
          <w:color w:val="000000"/>
          <w:highlight w:val="none"/>
        </w:rPr>
        <w:t xml:space="preserve">.4.1 </w:t>
      </w:r>
      <w:r>
        <w:rPr>
          <w:rFonts w:ascii="Times New Roman" w:cs="Times New Roman"/>
          <w:color w:val="000000"/>
          <w:highlight w:val="none"/>
        </w:rPr>
        <w:t xml:space="preserve">室外教育场所维护</w:t>
      </w:r>
      <w:r>
        <w:rPr>
          <w:rFonts w:asci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（1）生态环境维护</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日常养护，对区域内约15000平方米的苗木、草坪进行定期浇水、施肥、除草。整形修剪，对乔木、灌木、绿篱进行定期整形修剪，保持良好观赏形态。病虫害防治，制定并执行全年病虫害防治计划，采取综合防治措施，确保植物健康生长。补栽更换，对枯死、老化的苗木和草坪进行及时补栽和更换，保持绿化完整性和景观效果。</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绿化垃圾处理：对养护过程中产生的杂草、修剪枝叶、枯死植株等绿化垃圾，进行及时收集、清运，并按照环保要求进行无害化处理或资源化利用，保持场地环境整洁。</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水景与水生态维护：水质水生态实验水塘维护：定期打捞漂浮物，保持水面清洁；监测水生植物（德国鸢尾、菖蒲、金鱼藻等）和净化生物（螺狮、无齿蚌、鲢鱼等）的生长情况，并进行适度干预和管理。</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水体净化平台维护：保持平台清洁，无垃圾、青苔，确保其教育展示功能。</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（2）设施与场地维护</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保持区域的雕塑、小品、展板、互动牌、标识标牌等设施的清洁完好，定期进行表面清洗和简单维护。确保观测场、监测区等所有室外设施周边环境整洁，无杂物堆放。</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停车位综合管理，定时巡查停车场，确保车辆按线、有序停放，无占用消</w:t>
      </w:r>
      <w:r>
        <w:rPr>
          <w:rFonts w:ascii="Times New Roman" w:hAnsi="Times New Roman" w:cs="Times New Roman"/>
          <w:color w:val="000000"/>
          <w:highlight w:val="none"/>
        </w:rPr>
        <w:t xml:space="preserve">防通道、堵塞出入口等现象。设施维护，确保停车位标线清晰，车位锁、防撞杆等设施完好有效。确保电动汽车车位不被燃油车占用，保障电动汽车正常充电权益。对充电桩外观、线路外壳进行日常巡视，发现明显物理损坏、异常情况（如冒烟、异味）及时上报并设置警示。保持充电桩及周边环境整洁、无杂物堆放。引导车辆正确使用充电设施，避免违规操作。对电动车集中充电点进行高频次安全巡查，严禁私拉乱接电线、 “飞线”充电等危险行为。检查充电设备外观是否完好，发现故障或异常及时通知运营方或相关责任单位处理。引导用户有序停放车辆，确保通道畅通。</w:t>
      </w:r>
      <w:r>
        <w:rPr>
          <w:rFonts w:ascii="Times New Roman" w:hAnsi="Times New Roman" w:cs="Times New Roman"/>
          <w:color w:val="000000"/>
          <w:highlight w:val="none"/>
        </w:rPr>
      </w:r>
      <w:r/>
    </w:p>
    <w:p>
      <w:pPr>
        <w:pStyle w:val="903"/>
        <w:rPr>
          <w:rFonts w:ascii="Times New Roman" w:cs="Times New Roman"/>
          <w:color w:val="000000"/>
          <w:highlight w:val="none"/>
        </w:rPr>
      </w:pPr>
      <w:r>
        <w:rPr>
          <w:rFonts w:ascii="Times New Roman"/>
          <w:color w:val="000000"/>
          <w:highlight w:val="none"/>
        </w:rPr>
        <w:t xml:space="preserve">8</w:t>
      </w:r>
      <w:r>
        <w:rPr>
          <w:rFonts w:ascii="Times New Roman"/>
          <w:color w:val="000000"/>
          <w:highlight w:val="none"/>
        </w:rPr>
        <w:t xml:space="preserve">.4.2 </w:t>
      </w:r>
      <w:r>
        <w:rPr>
          <w:rFonts w:ascii="Times New Roman" w:cs="Times New Roman"/>
          <w:color w:val="000000"/>
          <w:highlight w:val="none"/>
        </w:rPr>
        <w:t xml:space="preserve">室内场馆综合管理与日常运行</w:t>
      </w:r>
      <w:r>
        <w:rPr>
          <w:rFonts w:asci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（1）房屋及附属设施日常管理</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日常巡检：每日对管理区域内的建筑结构、门窗、墙面、顶棚、地面进行巡检，发现问题（如破损、渗漏、脱落）及时记录并报修。</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常规维护：负责门窗合页润滑、小五金更换、地砖空鼓/破损报修等日常小修小补。</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空间管理：协助管理方对业务用房、库房、展厅等空间的使用秩序。</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（2）设备日常运维管理：</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电梯系统：配合专业维保单位（永大、西继迅达）进行电梯的定期维保，负责日常运行状态的监视，处理简单的困人故障前期安抚与联络工作。</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空调系统：配合中央空调、分体空调及精密空调的专业维保工作。负责空调出风口、回风口的日常清洁。对在质保期内的设备，负责与维保单位的对接和问题上报。</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给排水系统：定期检查水管、阀门、地漏，防止跑冒滴漏；疏通堵塞和日常小修小补。</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照明系统：负责日常照明灯具的更换（如灯泡、灯管、镇流器），保持区域照明完好率。</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（3）秩序维护与安全管理：</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门岗值守与巡逻：设立固定岗和巡逻岗，对出入口进行管理，对重点区域（档案馆、实验室、库房、展厅）进行定时巡逻，并做好记录。</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安防监控：熟悉安防系统布局，协助监控室的值守，发现异常情况及时上报。</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消防管理：每日进行防火巡查，确保消防通道畅通，消防设备（消火栓、灭火器、报警按钮）完好无损。熟悉七氟丙烷、喷淋等系统的紧急处置流程。协助进行定期消防演练和培训。</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参观秩序维护：在采购方有接待服务任务时，负责引导人流、维持秩序，确保活动有序进行。</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（4）环境保洁服务：</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公共区域保洁：每日对大厅、走廊、楼梯、卫生间等公共区域进行全面清扫、拖洗、垃圾收集。</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专项保洁：高空作业：定期对石膏板吊顶、高窗、玻璃幕墙进行清洁。</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卫生间清洁：每日多次清洁，定期消毒除臭。</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特殊区域保洁：对实验室、档案库房、展厅等区域，根据其特点使用专用工具和方法进行清洁，避免造成设备损坏或环境污染。</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实验室化验器皿清洗：对实验用玻璃器皿按要求每日清洗。</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垃圾管理：负责楼层垃圾存放点的垃圾清运，做到分类收集、日产日清。</w:t>
      </w:r>
      <w:r>
        <w:rPr>
          <w:rFonts w:ascii="Times New Roman" w:hAnsi="Times New Roman" w:cs="Times New Roman"/>
          <w:color w:val="000000"/>
          <w:highlight w:val="none"/>
        </w:rPr>
      </w:r>
      <w:r/>
    </w:p>
    <w:p>
      <w:pPr>
        <w:pStyle w:val="903"/>
        <w:rPr>
          <w:rFonts w:ascii="Times New Roman" w:hAnsi="Times New Roman" w:cs="Times New Roman"/>
          <w:color w:val="000000"/>
          <w:highlight w:val="none"/>
        </w:rPr>
      </w:pPr>
      <w:r>
        <w:rPr>
          <w:rFonts w:ascii="Times New Roman"/>
          <w:b/>
          <w:color w:val="000000"/>
          <w:highlight w:val="none"/>
        </w:rPr>
        <w:t xml:space="preserve">8</w:t>
      </w:r>
      <w:r>
        <w:rPr>
          <w:rFonts w:ascii="Times New Roman"/>
          <w:b/>
          <w:color w:val="000000"/>
          <w:highlight w:val="none"/>
        </w:rPr>
        <w:t xml:space="preserve">.4.3 </w:t>
      </w:r>
      <w:r>
        <w:rPr>
          <w:rFonts w:ascii="Times New Roman" w:hAnsi="Times New Roman" w:cs="Times New Roman"/>
          <w:color w:val="000000"/>
          <w:highlight w:val="none"/>
        </w:rPr>
        <w:t xml:space="preserve">水情教育接待支持服务</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前台与导览服务：在指定区域设置服务台，提供问询、引导、简单的讲解服务。</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参观前准备：协助布展方进行开展前的环境整理，检查展厅设施设备（如液晶屏、投影仪）是否可正常开启。</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参观期间保障：保障参观动线的整洁、畅通和安全，及时处理参观过程中出现的临时性问题。</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接待用品管理：协助管理休息区的桌椅、卫生和饮用水等。</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车辆保障：提供驾驶员，保障水情教育服务用车。</w:t>
      </w:r>
      <w:r>
        <w:rPr>
          <w:rFonts w:ascii="Times New Roman" w:hAnsi="Times New Roman" w:cs="Times New Roman"/>
          <w:color w:val="000000"/>
          <w:highlight w:val="none"/>
        </w:rPr>
      </w:r>
      <w:r/>
    </w:p>
    <w:p>
      <w:pPr>
        <w:pStyle w:val="902"/>
        <w:rPr>
          <w:rFonts w:ascii="Times New Roman" w:hAnsi="Times New Roman" w:cs="Times New Roman"/>
          <w:b/>
          <w:bCs/>
          <w:color w:val="000000"/>
          <w:sz w:val="28"/>
          <w:szCs w:val="28"/>
          <w:highlight w:val="none"/>
        </w:rPr>
      </w:pPr>
      <w:r>
        <w:rPr>
          <w:rFonts w:cs="Times New Roman"/>
          <w:color w:val="000000"/>
          <w:highlight w:val="none"/>
        </w:rPr>
        <w:t xml:space="preserve">8.5 </w:t>
      </w:r>
      <w:r>
        <w:rPr>
          <w:rFonts w:ascii="Times New Roman" w:hAnsi="Times New Roman" w:cs="Times New Roman"/>
          <w:b/>
          <w:bCs/>
          <w:color w:val="000000"/>
          <w:sz w:val="28"/>
          <w:szCs w:val="28"/>
          <w:highlight w:val="none"/>
        </w:rPr>
        <w:t xml:space="preserve">灾备机房运维服务方案</w:t>
      </w:r>
      <w:r>
        <w:rPr>
          <w:rFonts w:ascii="Times New Roman" w:hAnsi="Times New Roman" w:cs="Times New Roman"/>
          <w:b/>
          <w:bCs/>
          <w:color w:val="000000"/>
          <w:sz w:val="28"/>
          <w:szCs w:val="28"/>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本项目的物业服务旨在为水利厅灾备机房提供一个安全、稳定、洁净、高效的7x24小时不间断运行环境。服务内容在涵盖常规物业运维的基础上，重点突出机房特有的专业性、安全性和应急保障要求。服务内容包括：主要服务内容包括：一是综合管理、房屋及附属设施日常运行管理、设备日常运维管理等；二是机房日常值守、高压配电值班。</w:t>
      </w:r>
      <w:r>
        <w:rPr>
          <w:rFonts w:ascii="Times New Roman" w:hAnsi="Times New Roman" w:cs="Times New Roman"/>
          <w:b w:val="0"/>
          <w:bCs w:val="0"/>
          <w:color w:val="000000"/>
          <w:szCs w:val="24"/>
          <w:highlight w:val="none"/>
        </w:rPr>
      </w:r>
      <w:r/>
    </w:p>
    <w:p>
      <w:pPr>
        <w:pStyle w:val="903"/>
        <w:rPr>
          <w:rFonts w:ascii="Times New Roman" w:cs="Times New Roman"/>
          <w:b/>
          <w:bCs w:val="0"/>
          <w:color w:val="000000"/>
          <w:szCs w:val="28"/>
          <w:highlight w:val="none"/>
        </w:rPr>
      </w:pPr>
      <w:r>
        <w:rPr>
          <w:rFonts w:ascii="Times New Roman"/>
          <w:color w:val="000000"/>
          <w:highlight w:val="none"/>
        </w:rPr>
        <w:t xml:space="preserve">8</w:t>
      </w:r>
      <w:r>
        <w:rPr>
          <w:rFonts w:ascii="Times New Roman"/>
          <w:color w:val="000000"/>
          <w:highlight w:val="none"/>
        </w:rPr>
        <w:t xml:space="preserve">.5.1 </w:t>
      </w:r>
      <w:r>
        <w:rPr>
          <w:rFonts w:ascii="Times New Roman" w:cs="Times New Roman"/>
          <w:b/>
          <w:bCs w:val="0"/>
          <w:color w:val="000000"/>
          <w:szCs w:val="28"/>
          <w:highlight w:val="none"/>
        </w:rPr>
        <w:t xml:space="preserve">综合管理及日常运行维护</w:t>
      </w:r>
      <w:r>
        <w:rPr>
          <w:rFonts w:ascii="Times New Roman" w:cs="Times New Roman"/>
          <w:b/>
          <w:bCs w:val="0"/>
          <w:color w:val="000000"/>
          <w:szCs w:val="28"/>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color w:val="000000"/>
          <w:highlight w:val="none"/>
        </w:rPr>
        <w:t xml:space="preserve">（1）</w:t>
      </w:r>
      <w:r>
        <w:rPr>
          <w:rFonts w:ascii="Times New Roman" w:hAnsi="Times New Roman" w:cs="Times New Roman"/>
          <w:b w:val="0"/>
          <w:bCs w:val="0"/>
          <w:color w:val="000000"/>
          <w:szCs w:val="24"/>
          <w:highlight w:val="none"/>
        </w:rPr>
        <w:t xml:space="preserve">房屋及附属设施日常管理</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日常巡检：每日对负一层至一层管理区域内的建筑结构、门窗、墙面、地面、吊顶进行巡检，重点关注机房区域的密闭性、防水防潮情况，发现问题及时记录并报修。</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常规维护：负责普通区域门窗润滑、小五金更换、地砖破损报修、公共照明维护等。对机房区域的防火门、密闭门等特殊设施进行功能性检查。</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b w:val="0"/>
          <w:bCs w:val="0"/>
          <w:color w:val="000000"/>
          <w:szCs w:val="24"/>
          <w:highlight w:val="none"/>
        </w:rPr>
        <w:t xml:space="preserve">空间管理：协助管理方对控制室、电力室、配电房等核心区域的使用秩序进行管理，确保无关人员不得进入。</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color w:val="000000"/>
          <w:highlight w:val="none"/>
        </w:rPr>
        <w:t xml:space="preserve">（2）</w:t>
      </w:r>
      <w:r>
        <w:rPr>
          <w:rFonts w:ascii="Times New Roman" w:hAnsi="Times New Roman" w:cs="Times New Roman"/>
          <w:b w:val="0"/>
          <w:bCs w:val="0"/>
          <w:color w:val="000000"/>
          <w:szCs w:val="24"/>
          <w:highlight w:val="none"/>
        </w:rPr>
        <w:t xml:space="preserve">设备日常运维管理（非核心IT及电力设备）：</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空调系统：配合维保单位进行维修工作。</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给排水系统：定期检查水管、阀门、地漏，特别是机房周边区域，严防跑冒滴漏风险。协助疏通堵塞。</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照明系统：负责公共区域日常照明灯具的更换，确保应急照明系统完好有效。</w:t>
      </w:r>
      <w:r>
        <w:rPr>
          <w:rFonts w:ascii="Times New Roman" w:hAnsi="Times New Roman" w:cs="Times New Roman"/>
          <w:b w:val="0"/>
          <w:bCs w:val="0"/>
          <w:color w:val="000000"/>
          <w:szCs w:val="24"/>
          <w:highlight w:val="none"/>
        </w:rPr>
      </w:r>
      <w:r/>
    </w:p>
    <w:p>
      <w:pPr>
        <w:pStyle w:val="903"/>
        <w:rPr>
          <w:rFonts w:ascii="Times New Roman" w:cs="Times New Roman"/>
          <w:b/>
          <w:bCs w:val="0"/>
          <w:color w:val="000000"/>
          <w:szCs w:val="28"/>
          <w:highlight w:val="none"/>
        </w:rPr>
      </w:pPr>
      <w:r>
        <w:rPr>
          <w:rFonts w:ascii="Times New Roman"/>
          <w:color w:val="000000"/>
          <w:highlight w:val="none"/>
        </w:rPr>
        <w:t xml:space="preserve">8</w:t>
      </w:r>
      <w:r>
        <w:rPr>
          <w:rFonts w:ascii="Times New Roman"/>
          <w:color w:val="000000"/>
          <w:highlight w:val="none"/>
        </w:rPr>
        <w:t xml:space="preserve">.5.2 </w:t>
      </w:r>
      <w:r>
        <w:rPr>
          <w:rFonts w:ascii="Times New Roman" w:cs="Times New Roman"/>
          <w:b/>
          <w:bCs w:val="0"/>
          <w:color w:val="000000"/>
          <w:szCs w:val="28"/>
          <w:highlight w:val="none"/>
        </w:rPr>
        <w:t xml:space="preserve">机房专业运维支持与服务</w:t>
      </w:r>
      <w:r>
        <w:rPr>
          <w:rFonts w:ascii="Times New Roman" w:cs="Times New Roman"/>
          <w:b/>
          <w:bCs w:val="0"/>
          <w:color w:val="000000"/>
          <w:szCs w:val="28"/>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color w:val="000000"/>
          <w:highlight w:val="none"/>
        </w:rPr>
        <w:t xml:space="preserve">（1）</w:t>
      </w:r>
      <w:r>
        <w:rPr>
          <w:rFonts w:ascii="Times New Roman" w:hAnsi="Times New Roman" w:cs="Times New Roman"/>
          <w:b w:val="0"/>
          <w:bCs w:val="0"/>
          <w:color w:val="000000"/>
          <w:szCs w:val="24"/>
          <w:highlight w:val="none"/>
        </w:rPr>
        <w:t xml:space="preserve">机房环境监控与值守</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7x24小时值守：在消防控制室或指定位置设立专职值守岗，对动环监控系统进行全天候监视，每2小时记录机房温湿度参数，确保其常年稳定运行，为机房提供恒温恒湿环境。</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监控内容：实时监控门禁状态、漏水报警、火灾报警、温湿度、新风系统运行状态、视频监控画面等。</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b w:val="0"/>
          <w:bCs w:val="0"/>
          <w:color w:val="000000"/>
          <w:szCs w:val="24"/>
          <w:highlight w:val="none"/>
        </w:rPr>
        <w:t xml:space="preserve">事件响应：对监控系统发出的任何报警信息，须在1分钟内确认，并按照应急预案流程进行初步判断和通报。</w:t>
      </w:r>
      <w:r>
        <w:rPr>
          <w:rFonts w:ascii="Times New Roman" w:hAnsi="Times New Roman" w:cs="Times New Roman"/>
          <w:color w:val="000000"/>
          <w:highlight w:val="none"/>
        </w:rPr>
      </w:r>
      <w:r/>
    </w:p>
    <w:p>
      <w:pPr>
        <w:pStyle w:val="96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color w:val="000000"/>
          <w:highlight w:val="none"/>
        </w:rPr>
        <w:t xml:space="preserve">（2）</w:t>
      </w:r>
      <w:r>
        <w:rPr>
          <w:rFonts w:ascii="Times New Roman" w:hAnsi="Times New Roman" w:cs="Times New Roman"/>
          <w:b w:val="0"/>
          <w:bCs w:val="0"/>
          <w:color w:val="000000"/>
          <w:szCs w:val="24"/>
          <w:highlight w:val="none"/>
        </w:rPr>
        <w:t xml:space="preserve">高压配电值班与电力保障</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持证值班：安排持有高压电工操作证的人员进行值班，严格执行配电房操作规程。</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运行监视：监视两路市电切换状态、UPS系统运行状态、蓄电池组参数，并按规定进行抄表记录。</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协同保障：配合专业维保单位对250KVA模块化UPS系统、288节蓄电池组及ATS自动切换开关进行定期检查和维护，确保断电后机房持续运行能力。</w:t>
      </w:r>
      <w:r>
        <w:rPr>
          <w:rFonts w:ascii="Times New Roman" w:hAnsi="Times New Roman" w:cs="Times New Roman"/>
          <w:b w:val="0"/>
          <w:bCs w:val="0"/>
          <w:color w:val="000000"/>
          <w:szCs w:val="24"/>
          <w:highlight w:val="none"/>
        </w:rPr>
      </w:r>
      <w:r/>
    </w:p>
    <w:p>
      <w:pPr>
        <w:pStyle w:val="903"/>
        <w:rPr>
          <w:rFonts w:ascii="Times New Roman" w:cs="Times New Roman"/>
          <w:b/>
          <w:bCs w:val="0"/>
          <w:color w:val="000000"/>
          <w:szCs w:val="24"/>
          <w:highlight w:val="none"/>
        </w:rPr>
      </w:pPr>
      <w:r>
        <w:rPr>
          <w:rFonts w:ascii="Times New Roman"/>
          <w:color w:val="000000"/>
          <w:highlight w:val="none"/>
        </w:rPr>
        <w:t xml:space="preserve">8</w:t>
      </w:r>
      <w:r>
        <w:rPr>
          <w:rFonts w:ascii="Times New Roman"/>
          <w:color w:val="000000"/>
          <w:highlight w:val="none"/>
        </w:rPr>
        <w:t xml:space="preserve">.5.3 </w:t>
      </w:r>
      <w:r>
        <w:rPr>
          <w:rFonts w:ascii="Times New Roman" w:cs="Times New Roman"/>
          <w:b/>
          <w:bCs w:val="0"/>
          <w:color w:val="000000"/>
          <w:szCs w:val="24"/>
          <w:highlight w:val="none"/>
        </w:rPr>
        <w:t xml:space="preserve">安全管理服务</w:t>
      </w:r>
      <w:r>
        <w:rPr>
          <w:rFonts w:ascii="Times New Roman" w:cs="Times New Roman"/>
          <w:b/>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color w:val="000000"/>
          <w:highlight w:val="none"/>
        </w:rPr>
        <w:t xml:space="preserve">（1）</w:t>
      </w:r>
      <w:r>
        <w:rPr>
          <w:rFonts w:ascii="Times New Roman" w:hAnsi="Times New Roman" w:cs="Times New Roman"/>
          <w:b w:val="0"/>
          <w:bCs w:val="0"/>
          <w:color w:val="000000"/>
          <w:szCs w:val="24"/>
          <w:highlight w:val="none"/>
        </w:rPr>
        <w:t xml:space="preserve">物理安全与门禁管理</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出入控制：严格执行人员出入管理制度，对进入机房、电力室、配电房等核心区域的人员进行身份核实和登记，严禁无关人员进入。</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b w:val="0"/>
          <w:bCs w:val="0"/>
          <w:color w:val="000000"/>
          <w:szCs w:val="24"/>
          <w:highlight w:val="none"/>
        </w:rPr>
        <w:t xml:space="preserve">巡逻检查：对机房外围、出入口、走廊等区域进行定时巡逻，重点检查门禁状态和周边环境安全，并做好记录。</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color w:val="000000"/>
          <w:highlight w:val="none"/>
        </w:rPr>
        <w:t xml:space="preserve">（2）</w:t>
      </w:r>
      <w:r>
        <w:rPr>
          <w:rFonts w:ascii="Times New Roman" w:hAnsi="Times New Roman" w:cs="Times New Roman"/>
          <w:b w:val="0"/>
          <w:bCs w:val="0"/>
          <w:color w:val="000000"/>
          <w:szCs w:val="24"/>
          <w:highlight w:val="none"/>
        </w:rPr>
        <w:t xml:space="preserve">消防安防管理</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消防系统：每日巡查机房专用气体消防系统、火灾报警系统的状态指示，确保其处于自动待命状态。熟悉气体灭火系统的紧急启动流程和注意事项。</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视频监控：协助安防监控系统的值守，发现异常情况及时上报。</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应急演练：定期参与针对机房环境的专项消防和电力应急演练。</w:t>
      </w:r>
      <w:r>
        <w:rPr>
          <w:rFonts w:ascii="Times New Roman" w:hAnsi="Times New Roman" w:cs="Times New Roman"/>
          <w:b w:val="0"/>
          <w:bCs w:val="0"/>
          <w:color w:val="000000"/>
          <w:szCs w:val="24"/>
          <w:highlight w:val="none"/>
        </w:rPr>
      </w:r>
      <w:r/>
    </w:p>
    <w:p>
      <w:pPr>
        <w:pStyle w:val="903"/>
        <w:rPr>
          <w:rFonts w:ascii="Times New Roman" w:cs="Times New Roman"/>
          <w:b/>
          <w:bCs w:val="0"/>
          <w:color w:val="000000"/>
          <w:szCs w:val="24"/>
          <w:highlight w:val="none"/>
        </w:rPr>
      </w:pPr>
      <w:r>
        <w:rPr>
          <w:rFonts w:ascii="Times New Roman"/>
          <w:color w:val="000000"/>
          <w:highlight w:val="none"/>
        </w:rPr>
        <w:t xml:space="preserve">8</w:t>
      </w:r>
      <w:r>
        <w:rPr>
          <w:rFonts w:ascii="Times New Roman"/>
          <w:color w:val="000000"/>
          <w:highlight w:val="none"/>
        </w:rPr>
        <w:t xml:space="preserve">.5.4 </w:t>
      </w:r>
      <w:r>
        <w:rPr>
          <w:rFonts w:ascii="Times New Roman" w:cs="Times New Roman"/>
          <w:b/>
          <w:bCs w:val="0"/>
          <w:color w:val="000000"/>
          <w:szCs w:val="24"/>
          <w:highlight w:val="none"/>
        </w:rPr>
        <w:t xml:space="preserve">环境保洁服务</w:t>
      </w:r>
      <w:r>
        <w:rPr>
          <w:rFonts w:ascii="Times New Roman" w:cs="Times New Roman"/>
          <w:b/>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机房区域保洁：制定并执行严格的机房保洁规程。使用专用防静电工具，对防静电地板、机柜表面进行清洁，确保无积尘。</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控制室及办公区保洁：每日对控制室、消防控制室等区域进行清洁，保持环境整洁。</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公共区域保洁：对走廊、楼梯、卫生间等公共区域进行日常清扫、垃圾收集。</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垃圾管理：对产生的垃圾，特别是机房区域可能产生的包装废弃物，做到分类收集、及时清运。</w:t>
      </w:r>
      <w:r>
        <w:rPr>
          <w:rFonts w:ascii="Times New Roman" w:hAnsi="Times New Roman" w:cs="Times New Roman"/>
          <w:b w:val="0"/>
          <w:bCs w:val="0"/>
          <w:color w:val="000000"/>
          <w:szCs w:val="24"/>
          <w:highlight w:val="none"/>
        </w:rPr>
      </w:r>
      <w:r/>
    </w:p>
    <w:p>
      <w:pPr>
        <w:pStyle w:val="903"/>
        <w:rPr>
          <w:rFonts w:ascii="Times New Roman" w:cs="Times New Roman"/>
          <w:b/>
          <w:bCs w:val="0"/>
          <w:color w:val="000000"/>
          <w:szCs w:val="28"/>
          <w:highlight w:val="none"/>
        </w:rPr>
      </w:pPr>
      <w:r>
        <w:rPr>
          <w:rFonts w:ascii="Times New Roman"/>
          <w:color w:val="000000"/>
          <w:highlight w:val="none"/>
        </w:rPr>
        <w:t xml:space="preserve">8</w:t>
      </w:r>
      <w:r>
        <w:rPr>
          <w:rFonts w:ascii="Times New Roman"/>
          <w:color w:val="000000"/>
          <w:highlight w:val="none"/>
        </w:rPr>
        <w:t xml:space="preserve">.4.5 </w:t>
      </w:r>
      <w:r>
        <w:rPr>
          <w:rFonts w:ascii="Times New Roman" w:cs="Times New Roman"/>
          <w:b/>
          <w:bCs w:val="0"/>
          <w:color w:val="000000"/>
          <w:szCs w:val="28"/>
          <w:highlight w:val="none"/>
        </w:rPr>
        <w:t xml:space="preserve">应急响应与协同保障</w:t>
      </w:r>
      <w:r>
        <w:rPr>
          <w:rFonts w:ascii="Times New Roman" w:cs="Times New Roman"/>
          <w:b/>
          <w:bCs w:val="0"/>
          <w:color w:val="000000"/>
          <w:szCs w:val="28"/>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b w:val="0"/>
          <w:bCs w:val="0"/>
          <w:color w:val="000000"/>
          <w:szCs w:val="24"/>
          <w:highlight w:val="none"/>
        </w:rPr>
      </w:pPr>
      <w:r>
        <w:rPr>
          <w:rFonts w:ascii="Times New Roman" w:hAnsi="Times New Roman" w:cs="Times New Roman"/>
          <w:b w:val="0"/>
          <w:bCs w:val="0"/>
          <w:color w:val="000000"/>
          <w:szCs w:val="24"/>
          <w:highlight w:val="none"/>
        </w:rPr>
        <w:t xml:space="preserve">应急预案：熟悉并能够执行针对机房环境的各类应急预案，包括但不限于市电中断、UPS故障、精密空调故障、漏水、火警等。</w:t>
      </w:r>
      <w:r>
        <w:rPr>
          <w:rFonts w:ascii="Times New Roman" w:hAnsi="Times New Roman" w:cs="Times New Roman"/>
          <w:b w:val="0"/>
          <w:bCs w:val="0"/>
          <w:color w:val="000000"/>
          <w:szCs w:val="24"/>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协同操作：在发生紧急情况时，作为第一响应人，负责执行初步应急操作（如人员疏散、通报），并协助、配合采购方及专业技术人员进行故障排查和恢复工作。</w:t>
      </w:r>
      <w:r>
        <w:rPr>
          <w:rFonts w:ascii="Times New Roman" w:hAnsi="Times New Roman" w:cs="Times New Roman"/>
          <w:color w:val="000000"/>
          <w:highlight w:val="none"/>
        </w:rPr>
      </w:r>
      <w:r/>
    </w:p>
    <w:p>
      <w:pPr>
        <w:pStyle w:val="902"/>
        <w:rPr>
          <w:rFonts w:cs="Times New Roman"/>
          <w:b/>
          <w:bCs/>
          <w:color w:val="000000"/>
          <w:highlight w:val="none"/>
        </w:rPr>
      </w:pPr>
      <w:r>
        <w:rPr>
          <w:rFonts w:cs="Times New Roman"/>
          <w:color w:val="000000"/>
          <w:highlight w:val="none"/>
        </w:rPr>
        <w:t xml:space="preserve">8.6 </w:t>
      </w:r>
      <w:r>
        <w:rPr>
          <w:rFonts w:cs="Times New Roman"/>
          <w:b/>
          <w:bCs/>
          <w:color w:val="000000"/>
          <w:highlight w:val="none"/>
        </w:rPr>
        <w:t xml:space="preserve">人员培训与配备方案</w:t>
      </w:r>
      <w:r>
        <w:rPr>
          <w:rFonts w:cs="Times New Roman"/>
          <w:b/>
          <w:bCs/>
          <w:color w:val="000000"/>
          <w:highlight w:val="none"/>
        </w:rPr>
      </w:r>
      <w:r/>
    </w:p>
    <w:p>
      <w:pPr>
        <w:pStyle w:val="903"/>
        <w:rPr>
          <w:rFonts w:ascii="Times New Roman"/>
          <w:color w:val="000000"/>
          <w:highlight w:val="none"/>
        </w:rPr>
      </w:pPr>
      <w:r>
        <w:rPr>
          <w:rFonts w:ascii="Times New Roman"/>
          <w:b/>
          <w:color w:val="000000"/>
          <w:highlight w:val="none"/>
        </w:rPr>
        <w:t xml:space="preserve">8.6.1 </w:t>
      </w:r>
      <w:r>
        <w:rPr>
          <w:rFonts w:ascii="Times New Roman"/>
          <w:color w:val="000000"/>
          <w:highlight w:val="none"/>
        </w:rPr>
        <w:t xml:space="preserve">人员配备</w:t>
      </w:r>
      <w:r>
        <w:rPr>
          <w:rFonts w:ascii="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将严格按照采购需求，组建一支不少于22人的驻场服务团队。核心岗位要求如下：</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项目经理：经验丰富，具备综合协调与管理能力。</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高配工/水电工：必须持有有效的特种作业操作证。</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厨师/帮厨：持有效的厨师证、健康证。</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安保人员：建议持保安员证，部分人员为退伍军人优先。</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驾驶员：必须持有效的A2及以上驾驶证，驾驶技术娴熟，无重大交通事故记录。</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所有人员上岗前均需通过背景审查和体检。</w:t>
      </w:r>
      <w:r>
        <w:rPr>
          <w:rFonts w:ascii="Times New Roman" w:hAnsi="Times New Roman" w:cs="Times New Roman"/>
          <w:color w:val="000000"/>
          <w:highlight w:val="none"/>
        </w:rPr>
      </w:r>
      <w:r/>
    </w:p>
    <w:p>
      <w:pPr>
        <w:pStyle w:val="903"/>
        <w:rPr>
          <w:rFonts w:ascii="Times New Roman"/>
          <w:color w:val="000000"/>
          <w:highlight w:val="none"/>
        </w:rPr>
      </w:pPr>
      <w:r>
        <w:rPr>
          <w:rFonts w:ascii="Times New Roman"/>
          <w:b/>
          <w:color w:val="000000"/>
          <w:highlight w:val="none"/>
        </w:rPr>
        <w:t xml:space="preserve">8.6.2 </w:t>
      </w:r>
      <w:r>
        <w:rPr>
          <w:rFonts w:ascii="Times New Roman"/>
          <w:color w:val="000000"/>
          <w:highlight w:val="none"/>
        </w:rPr>
        <w:t xml:space="preserve">系统化培训体系</w:t>
      </w:r>
      <w:r>
        <w:rPr>
          <w:rFonts w:ascii="Times New Roman"/>
          <w:color w:val="000000"/>
          <w:highlight w:val="none"/>
        </w:rPr>
      </w:r>
      <w:r/>
    </w:p>
    <w:p>
      <w:pPr>
        <w:pStyle w:val="960"/>
        <w:ind w:left="0"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建立“公司-项目-岗位”三级培训体系，确保员工具备胜任岗位所需的知识与技能。</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入职培训：公司文化、规章制度、安全知识、服务礼仪。</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岗位技能培训：</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通用技能：沟通技巧、应急预案、保密意识。</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cs="Times New Roman"/>
          <w:color w:val="000000"/>
          <w:highlight w:val="none"/>
        </w:rPr>
      </w:pPr>
      <w:r>
        <w:rPr>
          <w:rFonts w:ascii="Times New Roman" w:hAnsi="Times New Roman" w:cs="Times New Roman"/>
          <w:color w:val="000000"/>
          <w:highlight w:val="none"/>
        </w:rPr>
        <w:t xml:space="preserve">专业技能：工程人员（设备操作、安全规程）、安保人员（消防技能、防卫技巧）、保洁/绿化人员（化学品使用、机械操作）、客服/会务人员（接待礼仪、水文基础知识）。</w:t>
      </w:r>
      <w:r>
        <w:rPr>
          <w:rFonts w:ascii="Times New Roman" w:hAnsi="Times New Roman" w:cs="Times New Roman"/>
          <w:color w:val="000000"/>
          <w:highlight w:val="none"/>
        </w:rPr>
      </w:r>
      <w:r/>
    </w:p>
    <w:p>
      <w:pPr>
        <w:pStyle w:val="960"/>
        <w:ind w:firstLine="480"/>
        <w:spacing w:before="0" w:beforeAutospacing="0" w:after="0" w:afterAutospacing="0" w:line="460" w:lineRule="exact"/>
        <w:shd w:val="clear" w:color="auto" w:fill="ffffff"/>
        <w:rPr>
          <w:rFonts w:hint="eastAsia" w:ascii="Times New Roman" w:hAnsi="Times New Roman" w:cs="Times New Roman"/>
          <w:color w:val="000000"/>
          <w:highlight w:val="none"/>
        </w:rPr>
      </w:pPr>
      <w:r>
        <w:rPr>
          <w:rFonts w:ascii="Times New Roman" w:hAnsi="Times New Roman" w:cs="Times New Roman"/>
          <w:color w:val="000000"/>
          <w:highlight w:val="none"/>
        </w:rPr>
        <w:t xml:space="preserve">管理与提升培训：针对项目经理、主管，进行领导力、客户关系、成本控制等培训。</w:t>
      </w:r>
      <w:r>
        <w:rPr>
          <w:rFonts w:hint="eastAsia" w:ascii="Times New Roman" w:hAnsi="Times New Roman" w:cs="Times New Roman"/>
          <w:color w:val="000000"/>
          <w:highlight w:val="none"/>
        </w:rPr>
      </w:r>
      <w:r/>
    </w:p>
    <w:p>
      <w:pPr>
        <w:pStyle w:val="900"/>
        <w:rPr>
          <w:rFonts w:ascii="Times New Roman" w:hAnsi="Times New Roman" w:cs="Times New Roman"/>
          <w:color w:val="000000"/>
          <w:highlight w:val="none"/>
        </w:rPr>
      </w:pPr>
      <w:r>
        <w:rPr>
          <w:rFonts w:ascii="Times New Roman" w:hAnsi="Times New Roman" w:cs="Times New Roman"/>
          <w:color w:val="000000"/>
          <w:highlight w:val="none"/>
        </w:rPr>
        <w:t xml:space="preserve">三、商务要求</w:t>
      </w:r>
      <w:r>
        <w:rPr>
          <w:rFonts w:ascii="Times New Roman" w:hAnsi="Times New Roman" w:cs="Times New Roman"/>
          <w:color w:val="000000"/>
          <w:highlight w:val="none"/>
        </w:rPr>
      </w:r>
      <w:r/>
    </w:p>
    <w:p>
      <w:pPr>
        <w:pStyle w:val="960"/>
        <w:ind w:firstLine="482"/>
        <w:spacing w:before="0" w:beforeAutospacing="0" w:after="0" w:afterAutospacing="0" w:line="460" w:lineRule="exact"/>
        <w:shd w:val="clear" w:color="auto" w:fill="ffffff"/>
        <w:rPr>
          <w:rFonts w:ascii="Times New Roman" w:hAnsi="Times New Roman" w:cs="Times New Roman"/>
          <w:b/>
          <w:bCs/>
          <w:color w:val="000000"/>
          <w:highlight w:val="none"/>
        </w:rPr>
      </w:pPr>
      <w:r>
        <w:rPr>
          <w:rFonts w:ascii="Times New Roman" w:hAnsi="Times New Roman" w:cs="Times New Roman"/>
          <w:b/>
          <w:bCs/>
          <w:color w:val="000000"/>
          <w:highlight w:val="none"/>
        </w:rPr>
        <w:t xml:space="preserve">（一）</w:t>
      </w:r>
      <w:r>
        <w:rPr>
          <w:rFonts w:ascii="Times New Roman" w:hAnsi="Times New Roman" w:cs="Times New Roman"/>
          <w:b/>
          <w:bCs/>
          <w:color w:val="000000"/>
          <w:sz w:val="24"/>
          <w:szCs w:val="24"/>
          <w:highlight w:val="none"/>
        </w:rPr>
        <w:t xml:space="preserve">实施期限</w:t>
      </w:r>
      <w:r>
        <w:rPr>
          <w:rFonts w:ascii="Times New Roman" w:hAnsi="Times New Roman" w:cs="Times New Roman"/>
          <w:b/>
          <w:bCs/>
          <w:color w:val="000000"/>
          <w:highlight w:val="none"/>
        </w:rPr>
      </w:r>
      <w:r/>
    </w:p>
    <w:p>
      <w:pPr>
        <w:pStyle w:val="960"/>
        <w:ind w:firstLine="480"/>
        <w:spacing w:before="0" w:beforeAutospacing="0" w:after="0" w:afterAutospacing="0" w:line="460" w:lineRule="exact"/>
        <w:shd w:val="clear" w:color="auto" w:fill="ffffff"/>
        <w:rPr>
          <w:rFonts w:ascii="Times New Roman" w:hAnsi="Times New Roman" w:eastAsia="宋体" w:cs="Times New Roman"/>
          <w:color w:val="000000"/>
          <w:sz w:val="24"/>
          <w:szCs w:val="24"/>
          <w:highlight w:val="none"/>
        </w:rPr>
      </w:pPr>
      <w:r>
        <w:rPr>
          <w:rFonts w:ascii="Times New Roman" w:hAnsi="Times New Roman" w:cs="Times New Roman"/>
          <w:b w:val="0"/>
          <w:bCs/>
          <w:color w:val="000000"/>
          <w:sz w:val="24"/>
          <w:szCs w:val="24"/>
          <w:highlight w:val="none"/>
        </w:rPr>
        <w:t xml:space="preserve">2026年1月1日-2026年12月31日。</w:t>
      </w:r>
      <w:r>
        <w:rPr>
          <w:rFonts w:ascii="Times New Roman" w:hAnsi="Times New Roman" w:eastAsia="宋体" w:cs="Times New Roman"/>
          <w:color w:val="000000"/>
          <w:sz w:val="24"/>
          <w:szCs w:val="24"/>
          <w:highlight w:val="none"/>
        </w:rPr>
      </w:r>
      <w:r/>
    </w:p>
    <w:p>
      <w:pPr>
        <w:pStyle w:val="960"/>
        <w:ind w:firstLine="482"/>
        <w:spacing w:before="0" w:beforeAutospacing="0" w:after="0" w:afterAutospacing="0" w:line="460" w:lineRule="exact"/>
        <w:shd w:val="clear" w:color="auto" w:fill="ffffff"/>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t xml:space="preserve">（二）报价要求及付款方式</w:t>
      </w:r>
      <w:r>
        <w:rPr>
          <w:rFonts w:ascii="Times New Roman" w:hAnsi="Times New Roman" w:cs="Times New Roman"/>
          <w:b/>
          <w:bCs/>
          <w:color w:val="000000"/>
          <w:sz w:val="24"/>
          <w:szCs w:val="24"/>
          <w:highlight w:val="none"/>
        </w:rPr>
      </w:r>
      <w:r/>
    </w:p>
    <w:p>
      <w:pPr>
        <w:pStyle w:val="960"/>
        <w:ind w:firstLine="482"/>
        <w:spacing w:before="0" w:beforeAutospacing="0" w:after="0" w:afterAutospacing="0" w:line="460" w:lineRule="exact"/>
        <w:shd w:val="clear" w:color="auto" w:fill="ffffff"/>
        <w:rPr>
          <w:rFonts w:ascii="Times New Roman" w:hAnsi="Times New Roman" w:cs="Times New Roman"/>
          <w:b/>
          <w:color w:val="000000"/>
          <w:sz w:val="24"/>
          <w:szCs w:val="24"/>
          <w:highlight w:val="none"/>
        </w:rPr>
      </w:pPr>
      <w:r>
        <w:rPr>
          <w:rFonts w:hint="eastAsia" w:ascii="Times New Roman" w:hAnsi="Times New Roman" w:cs="Times New Roman"/>
          <w:b/>
          <w:color w:val="000000"/>
          <w:highlight w:val="none"/>
        </w:rPr>
        <w:t xml:space="preserve">1</w:t>
      </w:r>
      <w:r>
        <w:rPr>
          <w:rFonts w:ascii="Times New Roman" w:hAnsi="Times New Roman" w:cs="Times New Roman"/>
          <w:b/>
          <w:color w:val="000000"/>
          <w:highlight w:val="none"/>
        </w:rPr>
        <w:t xml:space="preserve">.</w:t>
      </w:r>
      <w:r>
        <w:rPr>
          <w:rFonts w:ascii="Times New Roman" w:hAnsi="Times New Roman" w:cs="Times New Roman"/>
          <w:b/>
          <w:color w:val="000000"/>
          <w:sz w:val="24"/>
          <w:szCs w:val="24"/>
          <w:highlight w:val="none"/>
        </w:rPr>
        <w:t xml:space="preserve">报价要求</w:t>
      </w:r>
      <w:r>
        <w:rPr>
          <w:rFonts w:ascii="Times New Roman" w:hAnsi="Times New Roman" w:cs="Times New Roman"/>
          <w:b/>
          <w:color w:val="000000"/>
          <w:sz w:val="24"/>
          <w:szCs w:val="24"/>
          <w:highlight w:val="none"/>
        </w:rPr>
      </w:r>
      <w:r/>
    </w:p>
    <w:p>
      <w:pPr>
        <w:pStyle w:val="960"/>
        <w:ind w:firstLine="480"/>
        <w:spacing w:before="0" w:beforeAutospacing="0" w:after="0" w:afterAutospacing="0" w:line="460" w:lineRule="exact"/>
        <w:shd w:val="clear" w:color="auto" w:fill="ffffff"/>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本项目各分项服务的预算见下表，请各投标人根据各分项的服务内容进行报价，</w:t>
      </w:r>
      <w:r>
        <w:rPr>
          <w:rFonts w:ascii="Times New Roman" w:hAnsi="Times New Roman" w:cs="Times New Roman"/>
          <w:color w:val="000000"/>
          <w:sz w:val="24"/>
          <w:szCs w:val="24"/>
          <w:highlight w:val="none"/>
        </w:rPr>
        <w:t xml:space="preserve">投标人应采用分项报价最终汇总的方式进行，标明拟提供服务总价</w:t>
      </w:r>
      <w:r>
        <w:rPr>
          <w:rFonts w:hint="eastAsia" w:ascii="Times New Roman" w:hAnsi="Times New Roman"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tbl>
      <w:tblPr>
        <w:tblW w:w="892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81"/>
        <w:gridCol w:w="5245"/>
      </w:tblGrid>
      <w:tr>
        <w:trPr>
          <w:trHeight w:val="298"/>
        </w:trPr>
        <w:tc>
          <w:tcPr>
            <w:tcW w:w="3681" w:type="dxa"/>
            <w:vAlign w:val="top"/>
            <w:textDirection w:val="lrTb"/>
            <w:noWrap w:val="false"/>
          </w:tcPr>
          <w:p>
            <w:pPr>
              <w:pStyle w:val="962"/>
              <w:spacing w:before="0" w:after="0" w:line="380" w:lineRule="exact"/>
              <w:rPr>
                <w:rFonts w:ascii="Times New Roman" w:hAnsi="Times New Roman" w:cs="Times New Roman"/>
                <w:color w:val="000000"/>
                <w:sz w:val="24"/>
                <w:szCs w:val="24"/>
                <w:highlight w:val="none"/>
              </w:rPr>
            </w:pPr>
            <w:r>
              <w:rPr>
                <w:rFonts w:ascii="Times New Roman" w:hAnsi="Times New Roman" w:cs="Times New Roman"/>
                <w:b w:val="0"/>
                <w:bCs w:val="0"/>
                <w:color w:val="000000"/>
                <w:sz w:val="24"/>
                <w:szCs w:val="24"/>
                <w:highlight w:val="none"/>
              </w:rPr>
              <w:t xml:space="preserve">物业服务</w:t>
            </w:r>
            <w:r>
              <w:rPr>
                <w:rFonts w:ascii="Times New Roman" w:hAnsi="Times New Roman" w:cs="Times New Roman"/>
                <w:color w:val="000000"/>
                <w:sz w:val="24"/>
                <w:szCs w:val="24"/>
                <w:highlight w:val="none"/>
              </w:rPr>
            </w:r>
            <w:r/>
          </w:p>
        </w:tc>
        <w:tc>
          <w:tcPr>
            <w:tcW w:w="5245" w:type="dxa"/>
            <w:vAlign w:val="top"/>
            <w:textDirection w:val="lrTb"/>
            <w:noWrap w:val="false"/>
          </w:tcPr>
          <w:p>
            <w:pPr>
              <w:pStyle w:val="962"/>
              <w:spacing w:before="0" w:after="0" w:line="380" w:lineRule="exact"/>
              <w:rPr>
                <w:rFonts w:ascii="Times New Roman" w:hAnsi="Times New Roman" w:cs="Times New Roman"/>
                <w:b w:val="0"/>
                <w:bCs w:val="0"/>
                <w:color w:val="000000"/>
                <w:sz w:val="24"/>
                <w:szCs w:val="24"/>
                <w:highlight w:val="none"/>
              </w:rPr>
            </w:pPr>
            <w:r>
              <w:rPr>
                <w:rFonts w:hint="eastAsia" w:ascii="Times New Roman" w:hAnsi="Times New Roman" w:cs="Times New Roman"/>
                <w:b w:val="0"/>
                <w:bCs w:val="0"/>
                <w:color w:val="000000"/>
                <w:sz w:val="24"/>
                <w:szCs w:val="24"/>
                <w:highlight w:val="none"/>
                <w:lang w:val="en-US" w:eastAsia="zh-CN"/>
              </w:rPr>
              <w:t xml:space="preserve">35</w:t>
            </w:r>
            <w:r>
              <w:rPr>
                <w:rFonts w:ascii="Times New Roman" w:hAnsi="Times New Roman" w:cs="Times New Roman"/>
                <w:b w:val="0"/>
                <w:bCs w:val="0"/>
                <w:color w:val="000000"/>
                <w:sz w:val="24"/>
                <w:szCs w:val="24"/>
                <w:highlight w:val="none"/>
              </w:rPr>
              <w:t xml:space="preserve">万元</w:t>
            </w:r>
            <w:r>
              <w:rPr>
                <w:rFonts w:ascii="Times New Roman" w:hAnsi="Times New Roman" w:cs="Times New Roman"/>
                <w:b w:val="0"/>
                <w:bCs w:val="0"/>
                <w:color w:val="000000"/>
                <w:sz w:val="24"/>
                <w:szCs w:val="24"/>
                <w:highlight w:val="none"/>
              </w:rPr>
            </w:r>
            <w:r/>
          </w:p>
        </w:tc>
      </w:tr>
      <w:tr>
        <w:trPr/>
        <w:tc>
          <w:tcPr>
            <w:tcW w:w="3681" w:type="dxa"/>
            <w:vAlign w:val="top"/>
            <w:textDirection w:val="lrTb"/>
            <w:noWrap w:val="false"/>
          </w:tcPr>
          <w:p>
            <w:pPr>
              <w:pStyle w:val="962"/>
              <w:spacing w:before="0" w:after="0" w:line="380" w:lineRule="exact"/>
              <w:rPr>
                <w:rFonts w:ascii="Times New Roman" w:hAnsi="Times New Roman" w:cs="Times New Roman"/>
                <w:b w:val="0"/>
                <w:bCs w:val="0"/>
                <w:color w:val="000000"/>
                <w:sz w:val="24"/>
                <w:szCs w:val="24"/>
                <w:highlight w:val="none"/>
              </w:rPr>
            </w:pPr>
            <w:r>
              <w:rPr>
                <w:rFonts w:ascii="Times New Roman" w:hAnsi="Times New Roman" w:cs="Times New Roman"/>
                <w:b w:val="0"/>
                <w:bCs w:val="0"/>
                <w:color w:val="000000"/>
                <w:sz w:val="24"/>
                <w:szCs w:val="24"/>
                <w:highlight w:val="none"/>
              </w:rPr>
              <w:t xml:space="preserve">后勤服务</w:t>
            </w:r>
            <w:r>
              <w:rPr>
                <w:rFonts w:ascii="Times New Roman" w:hAnsi="Times New Roman" w:cs="Times New Roman"/>
                <w:b w:val="0"/>
                <w:bCs w:val="0"/>
                <w:color w:val="000000"/>
                <w:sz w:val="24"/>
                <w:szCs w:val="24"/>
                <w:highlight w:val="none"/>
              </w:rPr>
            </w:r>
            <w:r/>
          </w:p>
        </w:tc>
        <w:tc>
          <w:tcPr>
            <w:tcW w:w="5245" w:type="dxa"/>
            <w:vAlign w:val="top"/>
            <w:textDirection w:val="lrTb"/>
            <w:noWrap w:val="false"/>
          </w:tcPr>
          <w:p>
            <w:pPr>
              <w:pStyle w:val="962"/>
              <w:spacing w:before="0" w:after="0" w:line="380" w:lineRule="exact"/>
              <w:rPr>
                <w:rFonts w:ascii="Times New Roman" w:hAnsi="Times New Roman" w:cs="Times New Roman"/>
                <w:b w:val="0"/>
                <w:bCs w:val="0"/>
                <w:color w:val="000000"/>
                <w:sz w:val="24"/>
                <w:szCs w:val="24"/>
                <w:highlight w:val="none"/>
              </w:rPr>
            </w:pPr>
            <w:r>
              <w:rPr>
                <w:rFonts w:hint="eastAsia" w:ascii="Times New Roman" w:hAnsi="Times New Roman" w:cs="Times New Roman"/>
                <w:b w:val="0"/>
                <w:bCs w:val="0"/>
                <w:color w:val="000000"/>
                <w:sz w:val="24"/>
                <w:szCs w:val="24"/>
                <w:highlight w:val="none"/>
                <w:lang w:val="en-US" w:eastAsia="zh-CN"/>
              </w:rPr>
              <w:t xml:space="preserve">20</w:t>
            </w:r>
            <w:r>
              <w:rPr>
                <w:rFonts w:ascii="Times New Roman" w:hAnsi="Times New Roman" w:cs="Times New Roman"/>
                <w:b w:val="0"/>
                <w:bCs w:val="0"/>
                <w:color w:val="000000"/>
                <w:sz w:val="24"/>
                <w:szCs w:val="24"/>
                <w:highlight w:val="none"/>
              </w:rPr>
              <w:t xml:space="preserve">万元</w:t>
            </w:r>
            <w:r>
              <w:rPr>
                <w:rFonts w:ascii="Times New Roman" w:hAnsi="Times New Roman" w:cs="Times New Roman"/>
                <w:b w:val="0"/>
                <w:bCs w:val="0"/>
                <w:color w:val="000000"/>
                <w:sz w:val="24"/>
                <w:szCs w:val="24"/>
                <w:highlight w:val="none"/>
              </w:rPr>
            </w:r>
            <w:r/>
          </w:p>
        </w:tc>
      </w:tr>
      <w:tr>
        <w:trPr/>
        <w:tc>
          <w:tcPr>
            <w:tcW w:w="3681" w:type="dxa"/>
            <w:vAlign w:val="top"/>
            <w:textDirection w:val="lrTb"/>
            <w:noWrap w:val="false"/>
          </w:tcPr>
          <w:p>
            <w:pPr>
              <w:pStyle w:val="962"/>
              <w:spacing w:before="0" w:after="0" w:line="380" w:lineRule="exact"/>
              <w:rPr>
                <w:rFonts w:ascii="Times New Roman" w:hAnsi="Times New Roman" w:cs="Times New Roman"/>
                <w:b w:val="0"/>
                <w:bCs w:val="0"/>
                <w:color w:val="000000"/>
                <w:sz w:val="24"/>
                <w:szCs w:val="24"/>
                <w:highlight w:val="none"/>
              </w:rPr>
            </w:pPr>
            <w:r>
              <w:rPr>
                <w:rFonts w:ascii="Times New Roman" w:hAnsi="Times New Roman" w:cs="Times New Roman"/>
                <w:b w:val="0"/>
                <w:bCs w:val="0"/>
                <w:color w:val="000000"/>
                <w:sz w:val="24"/>
                <w:szCs w:val="24"/>
                <w:highlight w:val="none"/>
              </w:rPr>
              <w:t xml:space="preserve">水土保持观测场运维</w:t>
            </w:r>
            <w:r>
              <w:rPr>
                <w:rFonts w:ascii="Times New Roman" w:hAnsi="Times New Roman" w:cs="Times New Roman"/>
                <w:b w:val="0"/>
                <w:bCs w:val="0"/>
                <w:color w:val="000000"/>
                <w:sz w:val="24"/>
                <w:szCs w:val="24"/>
                <w:highlight w:val="none"/>
              </w:rPr>
            </w:r>
            <w:r/>
          </w:p>
        </w:tc>
        <w:tc>
          <w:tcPr>
            <w:tcW w:w="5245" w:type="dxa"/>
            <w:vAlign w:val="top"/>
            <w:textDirection w:val="lrTb"/>
            <w:noWrap w:val="false"/>
          </w:tcPr>
          <w:p>
            <w:pPr>
              <w:pStyle w:val="962"/>
              <w:spacing w:before="0" w:after="0" w:line="380" w:lineRule="exact"/>
              <w:rPr>
                <w:rFonts w:ascii="Times New Roman" w:hAnsi="Times New Roman" w:cs="Times New Roman"/>
                <w:b w:val="0"/>
                <w:bCs w:val="0"/>
                <w:color w:val="000000"/>
                <w:sz w:val="24"/>
                <w:szCs w:val="24"/>
                <w:highlight w:val="none"/>
              </w:rPr>
            </w:pPr>
            <w:r>
              <w:rPr>
                <w:rFonts w:ascii="Times New Roman" w:hAnsi="Times New Roman" w:cs="Times New Roman"/>
                <w:b w:val="0"/>
                <w:bCs w:val="0"/>
                <w:color w:val="000000"/>
                <w:sz w:val="24"/>
                <w:szCs w:val="24"/>
                <w:highlight w:val="none"/>
              </w:rPr>
              <w:t xml:space="preserve">15万元</w:t>
            </w:r>
            <w:r>
              <w:rPr>
                <w:rFonts w:ascii="Times New Roman" w:hAnsi="Times New Roman" w:cs="Times New Roman"/>
                <w:b w:val="0"/>
                <w:bCs w:val="0"/>
                <w:color w:val="000000"/>
                <w:sz w:val="24"/>
                <w:szCs w:val="24"/>
                <w:highlight w:val="none"/>
              </w:rPr>
            </w:r>
            <w:r/>
          </w:p>
        </w:tc>
      </w:tr>
      <w:tr>
        <w:trPr/>
        <w:tc>
          <w:tcPr>
            <w:tcW w:w="3681" w:type="dxa"/>
            <w:vAlign w:val="top"/>
            <w:textDirection w:val="lrTb"/>
            <w:noWrap w:val="false"/>
          </w:tcPr>
          <w:p>
            <w:pPr>
              <w:pStyle w:val="962"/>
              <w:spacing w:before="0" w:after="0" w:line="380" w:lineRule="exact"/>
              <w:rPr>
                <w:rFonts w:ascii="Times New Roman" w:hAnsi="Times New Roman" w:cs="Times New Roman"/>
                <w:b w:val="0"/>
                <w:bCs w:val="0"/>
                <w:color w:val="000000"/>
                <w:sz w:val="24"/>
                <w:szCs w:val="24"/>
                <w:highlight w:val="none"/>
              </w:rPr>
            </w:pPr>
            <w:r>
              <w:rPr>
                <w:rFonts w:ascii="Times New Roman" w:hAnsi="Times New Roman" w:cs="Times New Roman"/>
                <w:b w:val="0"/>
                <w:bCs w:val="0"/>
                <w:color w:val="000000"/>
                <w:sz w:val="24"/>
                <w:szCs w:val="24"/>
                <w:highlight w:val="none"/>
              </w:rPr>
              <w:t xml:space="preserve">水文水情教育场馆运维</w:t>
            </w:r>
            <w:r>
              <w:rPr>
                <w:rFonts w:ascii="Times New Roman" w:hAnsi="Times New Roman" w:cs="Times New Roman"/>
                <w:b w:val="0"/>
                <w:bCs w:val="0"/>
                <w:color w:val="000000"/>
                <w:sz w:val="24"/>
                <w:szCs w:val="24"/>
                <w:highlight w:val="none"/>
              </w:rPr>
            </w:r>
            <w:r/>
          </w:p>
        </w:tc>
        <w:tc>
          <w:tcPr>
            <w:tcW w:w="5245" w:type="dxa"/>
            <w:vAlign w:val="top"/>
            <w:textDirection w:val="lrTb"/>
            <w:noWrap w:val="false"/>
          </w:tcPr>
          <w:p>
            <w:pPr>
              <w:pStyle w:val="962"/>
              <w:spacing w:before="0" w:after="0" w:line="380" w:lineRule="exact"/>
              <w:rPr>
                <w:rFonts w:ascii="Times New Roman" w:hAnsi="Times New Roman" w:cs="Times New Roman"/>
                <w:b w:val="0"/>
                <w:bCs w:val="0"/>
                <w:color w:val="000000"/>
                <w:sz w:val="24"/>
                <w:szCs w:val="24"/>
                <w:highlight w:val="none"/>
              </w:rPr>
            </w:pPr>
            <w:r>
              <w:rPr>
                <w:rFonts w:ascii="Times New Roman" w:hAnsi="Times New Roman" w:cs="Times New Roman"/>
                <w:b w:val="0"/>
                <w:bCs w:val="0"/>
                <w:color w:val="000000"/>
                <w:sz w:val="24"/>
                <w:szCs w:val="24"/>
                <w:highlight w:val="none"/>
              </w:rPr>
              <w:t xml:space="preserve">50万元</w:t>
            </w:r>
            <w:r>
              <w:rPr>
                <w:rFonts w:ascii="Times New Roman" w:hAnsi="Times New Roman" w:cs="Times New Roman"/>
                <w:b w:val="0"/>
                <w:bCs w:val="0"/>
                <w:color w:val="000000"/>
                <w:sz w:val="24"/>
                <w:szCs w:val="24"/>
                <w:highlight w:val="none"/>
              </w:rPr>
            </w:r>
            <w:r/>
          </w:p>
        </w:tc>
      </w:tr>
      <w:tr>
        <w:trPr/>
        <w:tc>
          <w:tcPr>
            <w:tcW w:w="3681" w:type="dxa"/>
            <w:vAlign w:val="top"/>
            <w:textDirection w:val="lrTb"/>
            <w:noWrap w:val="false"/>
          </w:tcPr>
          <w:p>
            <w:pPr>
              <w:pStyle w:val="962"/>
              <w:spacing w:before="0" w:after="0" w:line="380" w:lineRule="exact"/>
              <w:rPr>
                <w:rFonts w:ascii="Times New Roman" w:hAnsi="Times New Roman" w:cs="Times New Roman"/>
                <w:b w:val="0"/>
                <w:bCs w:val="0"/>
                <w:color w:val="000000"/>
                <w:sz w:val="24"/>
                <w:szCs w:val="24"/>
                <w:highlight w:val="none"/>
              </w:rPr>
            </w:pPr>
            <w:r>
              <w:rPr>
                <w:rFonts w:ascii="Times New Roman" w:hAnsi="Times New Roman" w:cs="Times New Roman"/>
                <w:b w:val="0"/>
                <w:bCs w:val="0"/>
                <w:color w:val="000000"/>
                <w:sz w:val="24"/>
                <w:szCs w:val="24"/>
                <w:highlight w:val="none"/>
              </w:rPr>
              <w:t xml:space="preserve">灾备机房运维</w:t>
            </w:r>
            <w:r>
              <w:rPr>
                <w:rFonts w:ascii="Times New Roman" w:hAnsi="Times New Roman" w:cs="Times New Roman"/>
                <w:b w:val="0"/>
                <w:bCs w:val="0"/>
                <w:color w:val="000000"/>
                <w:sz w:val="24"/>
                <w:szCs w:val="24"/>
                <w:highlight w:val="none"/>
              </w:rPr>
            </w:r>
            <w:r/>
          </w:p>
        </w:tc>
        <w:tc>
          <w:tcPr>
            <w:tcW w:w="5245" w:type="dxa"/>
            <w:vAlign w:val="top"/>
            <w:textDirection w:val="lrTb"/>
            <w:noWrap w:val="false"/>
          </w:tcPr>
          <w:p>
            <w:pPr>
              <w:pStyle w:val="962"/>
              <w:spacing w:before="0" w:after="0" w:line="380" w:lineRule="exact"/>
              <w:rPr>
                <w:rFonts w:ascii="Times New Roman" w:hAnsi="Times New Roman" w:cs="Times New Roman"/>
                <w:b w:val="0"/>
                <w:bCs w:val="0"/>
                <w:color w:val="000000"/>
                <w:sz w:val="24"/>
                <w:szCs w:val="24"/>
                <w:highlight w:val="none"/>
              </w:rPr>
            </w:pPr>
            <w:r>
              <w:rPr>
                <w:rFonts w:hint="eastAsia" w:ascii="Times New Roman" w:hAnsi="Times New Roman" w:cs="Times New Roman"/>
                <w:b w:val="0"/>
                <w:bCs w:val="0"/>
                <w:color w:val="000000"/>
                <w:sz w:val="24"/>
                <w:szCs w:val="24"/>
                <w:highlight w:val="none"/>
                <w:lang w:val="en-US" w:eastAsia="zh-CN"/>
              </w:rPr>
              <w:t xml:space="preserve">40</w:t>
            </w:r>
            <w:r>
              <w:rPr>
                <w:rFonts w:ascii="Times New Roman" w:hAnsi="Times New Roman" w:cs="Times New Roman"/>
                <w:b w:val="0"/>
                <w:bCs w:val="0"/>
                <w:color w:val="000000"/>
                <w:sz w:val="24"/>
                <w:szCs w:val="24"/>
                <w:highlight w:val="none"/>
              </w:rPr>
              <w:t xml:space="preserve">万元</w:t>
            </w:r>
            <w:r>
              <w:rPr>
                <w:rFonts w:ascii="Times New Roman" w:hAnsi="Times New Roman" w:cs="Times New Roman"/>
                <w:b w:val="0"/>
                <w:bCs w:val="0"/>
                <w:color w:val="000000"/>
                <w:sz w:val="24"/>
                <w:szCs w:val="24"/>
                <w:highlight w:val="none"/>
              </w:rPr>
            </w:r>
            <w:r/>
          </w:p>
        </w:tc>
      </w:tr>
    </w:tbl>
    <w:p>
      <w:pPr>
        <w:pStyle w:val="958"/>
        <w:ind w:firstLine="480"/>
        <w:jc w:val="both"/>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（2）投标应以人民币报价</w:t>
      </w:r>
      <w:r>
        <w:rPr>
          <w:rFonts w:ascii="Times New Roman" w:hAnsi="Times New Roman" w:eastAsia="宋体" w:cs="Times New Roman"/>
          <w:color w:val="000000"/>
          <w:sz w:val="24"/>
          <w:szCs w:val="24"/>
          <w:highlight w:val="none"/>
        </w:rPr>
      </w:r>
      <w:r/>
    </w:p>
    <w:p>
      <w:pPr>
        <w:pStyle w:val="898"/>
        <w:ind w:firstLine="48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人报价是根据招标文件所确定的服务范围内的全部工作人员和内容的价格体现，是为完成招标文件规定的服务内容所涉及到的一切费用。包括物管、设备养护、检测、管理、劳务、服装、培训、通讯、保修、安全保卫、会务安排、环境布置、宣传服务、利润、税金等费用。            </w:t>
      </w:r>
      <w:r>
        <w:rPr>
          <w:rFonts w:ascii="Times New Roman" w:hAnsi="Times New Roman" w:cs="Times New Roman"/>
          <w:color w:val="000000"/>
          <w:sz w:val="24"/>
          <w:szCs w:val="24"/>
          <w:highlight w:val="none"/>
        </w:rPr>
      </w:r>
      <w:r/>
    </w:p>
    <w:p>
      <w:pPr>
        <w:pStyle w:val="898"/>
        <w:ind w:firstLine="48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合同期内服务费以报实价为准，投标报价时应考虑所有可能影响到报价的价格因素，一旦投标最终成交，总价将包定，合同期（一年）内不予调整。供应商报价应充分考虑相关风险（例如：社会最低工资标准调整和最低社会保险缴纳基数标准调整）。</w:t>
      </w:r>
      <w:r>
        <w:rPr>
          <w:rFonts w:ascii="Times New Roman" w:hAnsi="Times New Roman" w:cs="Times New Roman"/>
          <w:color w:val="000000"/>
          <w:sz w:val="24"/>
          <w:szCs w:val="24"/>
          <w:highlight w:val="none"/>
        </w:rPr>
      </w:r>
      <w:r/>
    </w:p>
    <w:p>
      <w:pPr>
        <w:pStyle w:val="898"/>
        <w:ind w:firstLine="48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（3）服务人员报价必须满足岗位人员职数、人员素质和条件。</w:t>
      </w:r>
      <w:r>
        <w:rPr>
          <w:rFonts w:ascii="Times New Roman" w:hAnsi="Times New Roman" w:cs="Times New Roman"/>
          <w:color w:val="000000"/>
          <w:sz w:val="24"/>
          <w:szCs w:val="24"/>
          <w:highlight w:val="none"/>
        </w:rPr>
      </w:r>
      <w:r/>
    </w:p>
    <w:p>
      <w:pPr>
        <w:pStyle w:val="898"/>
        <w:ind w:firstLine="48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（4）维修所需材料、部件由采购方提供。</w:t>
      </w:r>
      <w:r>
        <w:rPr>
          <w:rFonts w:ascii="Times New Roman" w:hAnsi="Times New Roman" w:cs="Times New Roman"/>
          <w:color w:val="000000"/>
          <w:sz w:val="24"/>
          <w:szCs w:val="24"/>
          <w:highlight w:val="none"/>
        </w:rPr>
      </w:r>
      <w:r/>
    </w:p>
    <w:p>
      <w:pPr>
        <w:pStyle w:val="898"/>
        <w:ind w:firstLine="48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消防系统、空调系统、电梯系统、监控系统、弱电系统已委托有维护资质的专业公司养护、维修，投标报价不需包含此费用。投标人负责日常的清洁保养和使用管理，并对专业公司的维护情况进行协调、配合。以上系统维修、更换零部件材料费由采购方承担。</w:t>
      </w:r>
      <w:r>
        <w:rPr>
          <w:rFonts w:ascii="Times New Roman" w:hAnsi="Times New Roman" w:cs="Times New Roman"/>
          <w:color w:val="000000"/>
          <w:sz w:val="24"/>
          <w:szCs w:val="24"/>
          <w:highlight w:val="none"/>
        </w:rPr>
      </w:r>
      <w:r/>
    </w:p>
    <w:p>
      <w:pPr>
        <w:pStyle w:val="898"/>
        <w:ind w:firstLine="48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用于维护服务的劳动用具、清洁用品以及共用部位的卫生用品：日常及外墙清洗用的各种清洁剂、清扫器具、卫生球、消毒液、垃圾袋等，必须满足日常保洁需求，应含在投标报价中，品牌型号必须得到采购方的认可，不得损坏洁具、瓷砖釉面。投标报价包含外墙清洗（一年1次）及滤油池清理（一年4次）费用。公用部位的用具如茶杯、茶叶、抽纸、烟缸、垃圾筒、废纸筒、茶叶篓等由采购方购置并承担费用。</w:t>
      </w:r>
      <w:r>
        <w:rPr>
          <w:rFonts w:ascii="Times New Roman" w:hAnsi="Times New Roman" w:cs="Times New Roman"/>
          <w:color w:val="000000"/>
          <w:sz w:val="24"/>
          <w:szCs w:val="24"/>
          <w:highlight w:val="none"/>
        </w:rPr>
      </w:r>
      <w:r/>
    </w:p>
    <w:p>
      <w:pPr>
        <w:pStyle w:val="898"/>
        <w:ind w:firstLine="48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（7）报价中不包含报警器具、监控器、应急疏散灯、应急照明灯、照明灯具的购置费用，上述费用由采购方承担，上述设备的维护安装费及对于未在设备清单中列出的设备的维护保养费用均应含在报价中。</w:t>
      </w:r>
      <w:r>
        <w:rPr>
          <w:rFonts w:ascii="Times New Roman" w:hAnsi="Times New Roman" w:cs="Times New Roman"/>
          <w:color w:val="000000"/>
          <w:sz w:val="24"/>
          <w:szCs w:val="24"/>
          <w:highlight w:val="none"/>
        </w:rPr>
      </w:r>
      <w:r/>
    </w:p>
    <w:p>
      <w:pPr>
        <w:pStyle w:val="898"/>
        <w:ind w:firstLine="48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（8）项目人员服装由供应商公司自行承担。</w:t>
      </w:r>
      <w:r>
        <w:rPr>
          <w:rFonts w:ascii="Times New Roman" w:hAnsi="Times New Roman" w:cs="Times New Roman"/>
          <w:color w:val="000000"/>
          <w:sz w:val="24"/>
          <w:szCs w:val="24"/>
          <w:highlight w:val="none"/>
        </w:rPr>
      </w:r>
      <w:r/>
    </w:p>
    <w:p>
      <w:pPr>
        <w:pStyle w:val="898"/>
        <w:ind w:firstLine="48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（9）采购方不提供项目驻场人员食宿。</w:t>
      </w:r>
      <w:r>
        <w:rPr>
          <w:rFonts w:ascii="Times New Roman" w:hAnsi="Times New Roman" w:cs="Times New Roman"/>
          <w:color w:val="000000"/>
          <w:sz w:val="24"/>
          <w:szCs w:val="24"/>
          <w:highlight w:val="none"/>
        </w:rPr>
      </w:r>
      <w:r/>
    </w:p>
    <w:p>
      <w:pPr>
        <w:pStyle w:val="898"/>
        <w:ind w:firstLine="560"/>
        <w:spacing w:line="460" w:lineRule="exact"/>
        <w:rPr>
          <w:rFonts w:ascii="Times New Roman" w:hAnsi="Times New Roman" w:cs="Times New Roman"/>
          <w:b/>
          <w:color w:val="000000"/>
          <w:sz w:val="24"/>
          <w:szCs w:val="24"/>
          <w:highlight w:val="none"/>
        </w:rPr>
      </w:pPr>
      <w:r>
        <w:rPr>
          <w:b/>
          <w:color w:val="000000"/>
          <w:sz w:val="24"/>
          <w:szCs w:val="24"/>
          <w:highlight w:val="none"/>
        </w:rPr>
        <w:t xml:space="preserve">2.</w:t>
      </w:r>
      <w:r>
        <w:rPr>
          <w:rFonts w:ascii="Times New Roman" w:hAnsi="Times New Roman" w:cs="Times New Roman"/>
          <w:b/>
          <w:color w:val="000000"/>
          <w:sz w:val="24"/>
          <w:szCs w:val="24"/>
          <w:highlight w:val="none"/>
        </w:rPr>
        <w:t xml:space="preserve">报价清单</w:t>
      </w:r>
      <w:r>
        <w:rPr>
          <w:rFonts w:ascii="Times New Roman" w:hAnsi="Times New Roman" w:cs="Times New Roman"/>
          <w:b/>
          <w:color w:val="000000"/>
          <w:sz w:val="24"/>
          <w:szCs w:val="24"/>
          <w:highlight w:val="none"/>
        </w:rPr>
      </w:r>
      <w:r/>
    </w:p>
    <w:p>
      <w:pPr>
        <w:pStyle w:val="898"/>
        <w:ind w:firstLine="560"/>
        <w:spacing w:line="460" w:lineRule="exact"/>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t xml:space="preserve">（1）报价总表</w:t>
      </w:r>
      <w:r>
        <w:rPr>
          <w:rFonts w:ascii="Times New Roman" w:hAnsi="Times New Roman" w:cs="Times New Roman"/>
          <w:b/>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3402"/>
        <w:gridCol w:w="2409"/>
      </w:tblGrid>
      <w:tr>
        <w:trPr>
          <w:trHeight w:val="544"/>
        </w:trPr>
        <w:tc>
          <w:tcPr>
            <w:tcW w:w="988" w:type="dxa"/>
            <w:vAlign w:val="center"/>
            <w:textDirection w:val="lrTb"/>
            <w:noWrap w:val="false"/>
          </w:tcPr>
          <w:p>
            <w:pPr>
              <w:pStyle w:val="898"/>
              <w:spacing w:line="360" w:lineRule="exact"/>
              <w:rPr>
                <w:rFonts w:ascii="Times New Roman" w:hAnsi="Times New Roman" w:cs="Times New Roman"/>
                <w:bCs/>
                <w:color w:val="000000"/>
                <w:sz w:val="24"/>
                <w:szCs w:val="28"/>
                <w:highlight w:val="none"/>
              </w:rPr>
            </w:pPr>
            <w:r/>
            <w:bookmarkStart w:id="181" w:name="_Hlk145420260"/>
            <w:r>
              <w:rPr>
                <w:rFonts w:ascii="Times New Roman" w:hAnsi="Times New Roman" w:cs="Times New Roman"/>
                <w:bCs/>
                <w:color w:val="000000"/>
                <w:sz w:val="24"/>
                <w:szCs w:val="28"/>
                <w:highlight w:val="none"/>
              </w:rPr>
              <w:t xml:space="preserve">序号</w:t>
            </w:r>
            <w:r>
              <w:rPr>
                <w:rFonts w:ascii="Times New Roman" w:hAnsi="Times New Roman" w:cs="Times New Roman"/>
                <w:bCs/>
                <w:color w:val="000000"/>
                <w:sz w:val="24"/>
                <w:szCs w:val="28"/>
                <w:highlight w:val="none"/>
              </w:rPr>
            </w:r>
            <w:r/>
          </w:p>
        </w:tc>
        <w:tc>
          <w:tcPr>
            <w:tcW w:w="3402" w:type="dxa"/>
            <w:vAlign w:val="center"/>
            <w:textDirection w:val="lrTb"/>
            <w:noWrap w:val="false"/>
          </w:tcPr>
          <w:p>
            <w:pPr>
              <w:pStyle w:val="898"/>
              <w:ind w:firstLine="480"/>
              <w:spacing w:line="360" w:lineRule="exac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项目</w:t>
            </w:r>
            <w:r>
              <w:rPr>
                <w:rFonts w:ascii="Times New Roman" w:hAnsi="Times New Roman" w:cs="Times New Roman"/>
                <w:bCs/>
                <w:color w:val="000000"/>
                <w:sz w:val="24"/>
                <w:szCs w:val="28"/>
                <w:highlight w:val="none"/>
              </w:rPr>
            </w:r>
            <w:r/>
          </w:p>
        </w:tc>
        <w:tc>
          <w:tcPr>
            <w:tcW w:w="2409" w:type="dxa"/>
            <w:vAlign w:val="center"/>
            <w:textDirection w:val="lrTb"/>
            <w:noWrap w:val="false"/>
          </w:tcPr>
          <w:p>
            <w:pPr>
              <w:pStyle w:val="898"/>
              <w:ind w:firstLine="24"/>
              <w:spacing w:line="360" w:lineRule="exac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合价/万元</w:t>
            </w:r>
            <w:r>
              <w:rPr>
                <w:rFonts w:ascii="Times New Roman" w:hAnsi="Times New Roman" w:cs="Times New Roman"/>
                <w:bCs/>
                <w:color w:val="000000"/>
                <w:sz w:val="24"/>
                <w:szCs w:val="28"/>
                <w:highlight w:val="none"/>
              </w:rPr>
            </w:r>
            <w:r/>
          </w:p>
        </w:tc>
      </w:tr>
      <w:tr>
        <w:trPr>
          <w:trHeight w:val="547"/>
        </w:trPr>
        <w:tc>
          <w:tcPr>
            <w:tcW w:w="988" w:type="dxa"/>
            <w:vAlign w:val="center"/>
            <w:textDirection w:val="lrTb"/>
            <w:noWrap w:val="false"/>
          </w:tcPr>
          <w:p>
            <w:pPr>
              <w:pStyle w:val="898"/>
              <w:ind w:firstLine="2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w:t>
            </w:r>
            <w:r>
              <w:rPr>
                <w:rFonts w:ascii="Times New Roman" w:hAnsi="Times New Roman" w:cs="Times New Roman"/>
                <w:color w:val="000000"/>
                <w:sz w:val="24"/>
                <w:szCs w:val="28"/>
                <w:highlight w:val="none"/>
              </w:rPr>
            </w:r>
            <w:r/>
          </w:p>
        </w:tc>
        <w:tc>
          <w:tcPr>
            <w:tcW w:w="3402" w:type="dxa"/>
            <w:vAlign w:val="center"/>
            <w:textDirection w:val="lrTb"/>
            <w:noWrap w:val="false"/>
          </w:tcPr>
          <w:p>
            <w:pPr>
              <w:pStyle w:val="898"/>
              <w:ind w:firstLine="3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物业服务</w:t>
            </w:r>
            <w:r>
              <w:rPr>
                <w:rFonts w:ascii="Times New Roman" w:hAnsi="Times New Roman" w:cs="Times New Roman"/>
                <w:color w:val="000000"/>
                <w:sz w:val="24"/>
                <w:szCs w:val="28"/>
                <w:highlight w:val="none"/>
              </w:rPr>
            </w:r>
            <w:r/>
          </w:p>
        </w:tc>
        <w:tc>
          <w:tcPr>
            <w:tcW w:w="24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550"/>
        </w:trPr>
        <w:tc>
          <w:tcPr>
            <w:tcW w:w="988" w:type="dxa"/>
            <w:vAlign w:val="center"/>
            <w:textDirection w:val="lrTb"/>
            <w:noWrap w:val="false"/>
          </w:tcPr>
          <w:p>
            <w:pPr>
              <w:pStyle w:val="898"/>
              <w:ind w:firstLine="2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w:t>
            </w:r>
            <w:r>
              <w:rPr>
                <w:rFonts w:ascii="Times New Roman" w:hAnsi="Times New Roman" w:cs="Times New Roman"/>
                <w:color w:val="000000"/>
                <w:sz w:val="24"/>
                <w:szCs w:val="28"/>
                <w:highlight w:val="none"/>
              </w:rPr>
            </w:r>
            <w:r/>
          </w:p>
        </w:tc>
        <w:tc>
          <w:tcPr>
            <w:tcW w:w="3402" w:type="dxa"/>
            <w:vAlign w:val="center"/>
            <w:textDirection w:val="lrTb"/>
            <w:noWrap w:val="false"/>
          </w:tcPr>
          <w:p>
            <w:pPr>
              <w:pStyle w:val="898"/>
              <w:ind w:firstLine="3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后勤服务</w:t>
            </w:r>
            <w:r>
              <w:rPr>
                <w:rFonts w:ascii="Times New Roman" w:hAnsi="Times New Roman" w:cs="Times New Roman"/>
                <w:color w:val="000000"/>
                <w:sz w:val="24"/>
                <w:szCs w:val="28"/>
                <w:highlight w:val="none"/>
              </w:rPr>
            </w:r>
            <w:r/>
          </w:p>
        </w:tc>
        <w:tc>
          <w:tcPr>
            <w:tcW w:w="24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434"/>
        </w:trPr>
        <w:tc>
          <w:tcPr>
            <w:tcW w:w="988" w:type="dxa"/>
            <w:vAlign w:val="center"/>
            <w:textDirection w:val="lrTb"/>
            <w:noWrap w:val="false"/>
          </w:tcPr>
          <w:p>
            <w:pPr>
              <w:pStyle w:val="898"/>
              <w:ind w:firstLine="2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w:t>
            </w:r>
            <w:r>
              <w:rPr>
                <w:rFonts w:ascii="Times New Roman" w:hAnsi="Times New Roman" w:cs="Times New Roman"/>
                <w:color w:val="000000"/>
                <w:sz w:val="24"/>
                <w:szCs w:val="28"/>
                <w:highlight w:val="none"/>
              </w:rPr>
            </w:r>
            <w:r/>
          </w:p>
        </w:tc>
        <w:tc>
          <w:tcPr>
            <w:tcW w:w="3402" w:type="dxa"/>
            <w:vAlign w:val="center"/>
            <w:textDirection w:val="lrTb"/>
            <w:noWrap w:val="false"/>
          </w:tcPr>
          <w:p>
            <w:pPr>
              <w:pStyle w:val="898"/>
              <w:ind w:firstLine="3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水土保持观测场运维</w:t>
            </w:r>
            <w:r>
              <w:rPr>
                <w:rFonts w:ascii="Times New Roman" w:hAnsi="Times New Roman" w:cs="Times New Roman"/>
                <w:color w:val="000000"/>
                <w:sz w:val="24"/>
                <w:szCs w:val="28"/>
                <w:highlight w:val="none"/>
              </w:rPr>
            </w:r>
            <w:r/>
          </w:p>
        </w:tc>
        <w:tc>
          <w:tcPr>
            <w:tcW w:w="24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554"/>
        </w:trPr>
        <w:tc>
          <w:tcPr>
            <w:tcW w:w="988" w:type="dxa"/>
            <w:vAlign w:val="center"/>
            <w:textDirection w:val="lrTb"/>
            <w:noWrap w:val="false"/>
          </w:tcPr>
          <w:p>
            <w:pPr>
              <w:pStyle w:val="898"/>
              <w:ind w:firstLine="2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4</w:t>
            </w:r>
            <w:r>
              <w:rPr>
                <w:rFonts w:ascii="Times New Roman" w:hAnsi="Times New Roman" w:cs="Times New Roman"/>
                <w:color w:val="000000"/>
                <w:sz w:val="24"/>
                <w:szCs w:val="28"/>
                <w:highlight w:val="none"/>
              </w:rPr>
            </w:r>
            <w:r/>
          </w:p>
        </w:tc>
        <w:tc>
          <w:tcPr>
            <w:tcW w:w="3402" w:type="dxa"/>
            <w:vAlign w:val="center"/>
            <w:textDirection w:val="lrTb"/>
            <w:noWrap w:val="false"/>
          </w:tcPr>
          <w:p>
            <w:pPr>
              <w:pStyle w:val="898"/>
              <w:ind w:firstLine="3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水文水情教育场馆运维</w:t>
            </w:r>
            <w:r>
              <w:rPr>
                <w:rFonts w:ascii="Times New Roman" w:hAnsi="Times New Roman" w:cs="Times New Roman"/>
                <w:color w:val="000000"/>
                <w:sz w:val="24"/>
                <w:szCs w:val="28"/>
                <w:highlight w:val="none"/>
              </w:rPr>
            </w:r>
            <w:r/>
          </w:p>
        </w:tc>
        <w:tc>
          <w:tcPr>
            <w:tcW w:w="24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547"/>
        </w:trPr>
        <w:tc>
          <w:tcPr>
            <w:tcW w:w="988" w:type="dxa"/>
            <w:vAlign w:val="center"/>
            <w:textDirection w:val="lrTb"/>
            <w:noWrap w:val="false"/>
          </w:tcPr>
          <w:p>
            <w:pPr>
              <w:pStyle w:val="898"/>
              <w:ind w:firstLine="2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w:t>
            </w:r>
            <w:r>
              <w:rPr>
                <w:rFonts w:ascii="Times New Roman" w:hAnsi="Times New Roman" w:cs="Times New Roman"/>
                <w:color w:val="000000"/>
                <w:sz w:val="24"/>
                <w:szCs w:val="28"/>
                <w:highlight w:val="none"/>
              </w:rPr>
            </w:r>
            <w:r/>
          </w:p>
        </w:tc>
        <w:tc>
          <w:tcPr>
            <w:tcW w:w="3402" w:type="dxa"/>
            <w:vAlign w:val="center"/>
            <w:textDirection w:val="lrTb"/>
            <w:noWrap w:val="false"/>
          </w:tcPr>
          <w:p>
            <w:pPr>
              <w:pStyle w:val="898"/>
              <w:ind w:firstLine="3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灾备机房运维</w:t>
            </w:r>
            <w:r>
              <w:rPr>
                <w:rFonts w:ascii="Times New Roman" w:hAnsi="Times New Roman" w:cs="Times New Roman"/>
                <w:color w:val="000000"/>
                <w:sz w:val="24"/>
                <w:szCs w:val="28"/>
                <w:highlight w:val="none"/>
              </w:rPr>
            </w:r>
            <w:r/>
          </w:p>
        </w:tc>
        <w:tc>
          <w:tcPr>
            <w:tcW w:w="24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547"/>
        </w:trPr>
        <w:tc>
          <w:tcPr>
            <w:tcW w:w="988" w:type="dxa"/>
            <w:vAlign w:val="center"/>
            <w:textDirection w:val="lrTb"/>
            <w:noWrap w:val="false"/>
          </w:tcPr>
          <w:p>
            <w:pPr>
              <w:pStyle w:val="898"/>
              <w:ind w:firstLine="2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6</w:t>
            </w:r>
            <w:r>
              <w:rPr>
                <w:rFonts w:ascii="Times New Roman" w:hAnsi="Times New Roman" w:cs="Times New Roman"/>
                <w:color w:val="000000"/>
                <w:sz w:val="24"/>
                <w:szCs w:val="28"/>
                <w:highlight w:val="none"/>
              </w:rPr>
            </w:r>
            <w:r/>
          </w:p>
        </w:tc>
        <w:tc>
          <w:tcPr>
            <w:tcW w:w="3402" w:type="dxa"/>
            <w:vAlign w:val="center"/>
            <w:textDirection w:val="lrTb"/>
            <w:noWrap w:val="false"/>
          </w:tcPr>
          <w:p>
            <w:pPr>
              <w:pStyle w:val="898"/>
              <w:ind w:firstLine="3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合计</w:t>
            </w:r>
            <w:r>
              <w:rPr>
                <w:rFonts w:ascii="Times New Roman" w:hAnsi="Times New Roman" w:cs="Times New Roman"/>
                <w:color w:val="000000"/>
                <w:sz w:val="24"/>
                <w:szCs w:val="28"/>
                <w:highlight w:val="none"/>
              </w:rPr>
            </w:r>
            <w:r/>
          </w:p>
        </w:tc>
        <w:tc>
          <w:tcPr>
            <w:tcW w:w="24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bl>
    <w:p>
      <w:pPr>
        <w:pStyle w:val="960"/>
        <w:ind w:firstLine="482"/>
        <w:spacing w:before="0" w:beforeAutospacing="0" w:after="0" w:afterAutospacing="0" w:line="460" w:lineRule="exact"/>
        <w:shd w:val="clear" w:color="auto" w:fill="ffffff"/>
        <w:rPr>
          <w:rFonts w:ascii="Times New Roman" w:hAnsi="Times New Roman" w:cs="Times New Roman"/>
          <w:b/>
          <w:bCs/>
          <w:color w:val="000000"/>
          <w:sz w:val="24"/>
          <w:szCs w:val="24"/>
          <w:highlight w:val="none"/>
        </w:rPr>
      </w:pPr>
      <w:r/>
      <w:bookmarkEnd w:id="181"/>
      <w:r>
        <w:rPr>
          <w:rFonts w:ascii="Times New Roman" w:hAnsi="Times New Roman" w:cs="Times New Roman"/>
          <w:b/>
          <w:bCs/>
          <w:color w:val="000000"/>
          <w:sz w:val="24"/>
          <w:szCs w:val="24"/>
          <w:highlight w:val="none"/>
        </w:rPr>
        <w:t xml:space="preserve">（2）物业费报价清单</w:t>
      </w:r>
      <w:r>
        <w:rPr>
          <w:rFonts w:ascii="Times New Roman" w:hAnsi="Times New Roman" w:cs="Times New Roman"/>
          <w:b/>
          <w:bCs/>
          <w:color w:val="000000"/>
          <w:sz w:val="24"/>
          <w:szCs w:val="24"/>
          <w:highlight w:val="none"/>
        </w:rPr>
      </w:r>
      <w:r/>
    </w:p>
    <w:tbl>
      <w:tblPr>
        <w:tblW w:w="87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413"/>
        <w:gridCol w:w="3543"/>
        <w:gridCol w:w="709"/>
        <w:gridCol w:w="709"/>
        <w:gridCol w:w="855"/>
        <w:gridCol w:w="851"/>
      </w:tblGrid>
      <w:tr>
        <w:trPr>
          <w:trHeight w:val="544"/>
        </w:trPr>
        <w:tc>
          <w:tcPr>
            <w:tcW w:w="709" w:type="dxa"/>
            <w:vAlign w:val="center"/>
            <w:textDirection w:val="lrTb"/>
            <w:noWrap w:val="false"/>
          </w:tcPr>
          <w:p>
            <w:pPr>
              <w:pStyle w:val="898"/>
              <w:spacing w:line="360" w:lineRule="exac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序号</w:t>
            </w:r>
            <w:r>
              <w:rPr>
                <w:rFonts w:ascii="Times New Roman" w:hAnsi="Times New Roman" w:cs="Times New Roman"/>
                <w:bCs/>
                <w:color w:val="000000"/>
                <w:sz w:val="24"/>
                <w:szCs w:val="28"/>
                <w:highlight w:val="none"/>
              </w:rPr>
            </w:r>
            <w:r/>
          </w:p>
        </w:tc>
        <w:tc>
          <w:tcPr>
            <w:tcW w:w="1413" w:type="dxa"/>
            <w:vAlign w:val="center"/>
            <w:textDirection w:val="lrTb"/>
            <w:noWrap w:val="false"/>
          </w:tcPr>
          <w:p>
            <w:pPr>
              <w:pStyle w:val="898"/>
              <w:spacing w:line="360" w:lineRule="exac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项目</w:t>
            </w:r>
            <w:r>
              <w:rPr>
                <w:rFonts w:ascii="Times New Roman" w:hAnsi="Times New Roman" w:cs="Times New Roman"/>
                <w:bCs/>
                <w:color w:val="000000"/>
                <w:sz w:val="24"/>
                <w:szCs w:val="28"/>
                <w:highlight w:val="none"/>
              </w:rPr>
            </w:r>
            <w:r/>
          </w:p>
        </w:tc>
        <w:tc>
          <w:tcPr>
            <w:tcW w:w="3543" w:type="dxa"/>
            <w:vAlign w:val="center"/>
            <w:textDirection w:val="lrTb"/>
            <w:noWrap w:val="false"/>
          </w:tcPr>
          <w:p>
            <w:pPr>
              <w:pStyle w:val="898"/>
              <w:spacing w:line="360" w:lineRule="exac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项目特征</w:t>
            </w:r>
            <w:r>
              <w:rPr>
                <w:rFonts w:ascii="Times New Roman" w:hAnsi="Times New Roman" w:cs="Times New Roman"/>
                <w:bCs/>
                <w:color w:val="000000"/>
                <w:sz w:val="24"/>
                <w:szCs w:val="28"/>
                <w:highlight w:val="none"/>
              </w:rPr>
            </w:r>
            <w:r/>
          </w:p>
        </w:tc>
        <w:tc>
          <w:tcPr>
            <w:tcW w:w="709" w:type="dxa"/>
            <w:vAlign w:val="center"/>
            <w:textDirection w:val="lrTb"/>
            <w:noWrap w:val="false"/>
          </w:tcPr>
          <w:p>
            <w:pPr>
              <w:pStyle w:val="898"/>
              <w:spacing w:line="360" w:lineRule="exac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单位</w:t>
            </w:r>
            <w:r>
              <w:rPr>
                <w:rFonts w:ascii="Times New Roman" w:hAnsi="Times New Roman" w:cs="Times New Roman"/>
                <w:bCs/>
                <w:color w:val="000000"/>
                <w:sz w:val="24"/>
                <w:szCs w:val="28"/>
                <w:highlight w:val="none"/>
              </w:rPr>
            </w:r>
            <w:r/>
          </w:p>
        </w:tc>
        <w:tc>
          <w:tcPr>
            <w:tcW w:w="709" w:type="dxa"/>
            <w:vAlign w:val="center"/>
            <w:textDirection w:val="lrTb"/>
            <w:noWrap w:val="false"/>
          </w:tcPr>
          <w:p>
            <w:pPr>
              <w:pStyle w:val="898"/>
              <w:spacing w:line="360" w:lineRule="exac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数量</w:t>
            </w:r>
            <w:r>
              <w:rPr>
                <w:rFonts w:ascii="Times New Roman" w:hAnsi="Times New Roman" w:cs="Times New Roman"/>
                <w:bCs/>
                <w:color w:val="000000"/>
                <w:sz w:val="24"/>
                <w:szCs w:val="28"/>
                <w:highlight w:val="none"/>
              </w:rPr>
            </w:r>
            <w:r/>
          </w:p>
        </w:tc>
        <w:tc>
          <w:tcPr>
            <w:tcW w:w="855" w:type="dxa"/>
            <w:vAlign w:val="center"/>
            <w:textDirection w:val="lrTb"/>
            <w:noWrap w:val="false"/>
          </w:tcPr>
          <w:p>
            <w:pPr>
              <w:pStyle w:val="898"/>
              <w:spacing w:line="360" w:lineRule="exac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单价/万元</w:t>
            </w:r>
            <w:r>
              <w:rPr>
                <w:rFonts w:ascii="Times New Roman" w:hAnsi="Times New Roman" w:cs="Times New Roman"/>
                <w:bCs/>
                <w:color w:val="000000"/>
                <w:sz w:val="24"/>
                <w:szCs w:val="28"/>
                <w:highlight w:val="none"/>
              </w:rPr>
            </w:r>
            <w:r/>
          </w:p>
        </w:tc>
        <w:tc>
          <w:tcPr>
            <w:tcW w:w="851" w:type="dxa"/>
            <w:vAlign w:val="center"/>
            <w:textDirection w:val="lrTb"/>
            <w:noWrap w:val="false"/>
          </w:tcPr>
          <w:p>
            <w:pPr>
              <w:pStyle w:val="898"/>
              <w:spacing w:line="360" w:lineRule="exac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合价/万元</w:t>
            </w:r>
            <w:r>
              <w:rPr>
                <w:rFonts w:ascii="Times New Roman" w:hAnsi="Times New Roman" w:cs="Times New Roman"/>
                <w:bCs/>
                <w:color w:val="000000"/>
                <w:sz w:val="24"/>
                <w:szCs w:val="28"/>
                <w:highlight w:val="none"/>
              </w:rPr>
            </w:r>
            <w:r/>
          </w:p>
        </w:tc>
      </w:tr>
      <w:tr>
        <w:trPr>
          <w:trHeight w:val="651"/>
        </w:trPr>
        <w:tc>
          <w:tcPr>
            <w:tcW w:w="709" w:type="dxa"/>
            <w:vAlign w:val="center"/>
            <w:textDirection w:val="lrTb"/>
            <w:noWrap w:val="false"/>
          </w:tcPr>
          <w:p>
            <w:pPr>
              <w:pStyle w:val="898"/>
              <w:ind w:firstLine="2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一</w:t>
            </w:r>
            <w:r>
              <w:rPr>
                <w:rFonts w:ascii="Times New Roman" w:hAnsi="Times New Roman" w:cs="Times New Roman"/>
                <w:color w:val="000000"/>
                <w:sz w:val="24"/>
                <w:szCs w:val="28"/>
                <w:highlight w:val="none"/>
              </w:rPr>
            </w:r>
            <w:r/>
          </w:p>
        </w:tc>
        <w:tc>
          <w:tcPr>
            <w:tcW w:w="1413" w:type="dxa"/>
            <w:vAlign w:val="center"/>
            <w:textDirection w:val="lrTb"/>
            <w:noWrap w:val="false"/>
          </w:tcPr>
          <w:p>
            <w:pPr>
              <w:pStyle w:val="898"/>
              <w:ind w:firstLine="3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秩序维护</w:t>
            </w:r>
            <w:r>
              <w:rPr>
                <w:rFonts w:ascii="Times New Roman" w:hAnsi="Times New Roman" w:cs="Times New Roman"/>
                <w:color w:val="000000"/>
                <w:sz w:val="24"/>
                <w:szCs w:val="28"/>
                <w:highlight w:val="none"/>
              </w:rPr>
            </w:r>
            <w:r/>
          </w:p>
        </w:tc>
        <w:tc>
          <w:tcPr>
            <w:tcW w:w="3543"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安全保卫人员需身体健康、责任心强，经安全技能培训，熟练操作消防及安防设备。负责24小时门岗值班、区域巡逻与车辆管理，管控外来人员及物品进出并登记。做好监控室管理与数据留存，落实消防安全巡查、宣传及演练。节假日强化防范，及时处置隐患与突发事件，服从管理并完成采购方交办的其他工作。详见1.2、1.3。</w:t>
            </w:r>
            <w:r>
              <w:rPr>
                <w:rFonts w:ascii="Times New Roman" w:hAnsi="Times New Roman" w:cs="Times New Roman"/>
                <w:color w:val="000000"/>
                <w:sz w:val="24"/>
                <w:szCs w:val="28"/>
                <w:highlight w:val="none"/>
              </w:rPr>
            </w:r>
            <w:r/>
          </w:p>
        </w:tc>
        <w:tc>
          <w:tcPr>
            <w:tcW w:w="7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7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5"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550"/>
        </w:trPr>
        <w:tc>
          <w:tcPr>
            <w:tcW w:w="709" w:type="dxa"/>
            <w:vAlign w:val="center"/>
            <w:vMerge w:val="restart"/>
            <w:textDirection w:val="lrTb"/>
            <w:noWrap w:val="false"/>
          </w:tcPr>
          <w:p>
            <w:pPr>
              <w:pStyle w:val="898"/>
              <w:ind w:firstLine="26"/>
              <w:jc w:val="center"/>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p>
            <w:pPr>
              <w:pStyle w:val="898"/>
              <w:ind w:firstLine="26"/>
              <w:jc w:val="center"/>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p>
            <w:pPr>
              <w:pStyle w:val="898"/>
              <w:ind w:firstLine="26"/>
              <w:jc w:val="center"/>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p>
            <w:pPr>
              <w:pStyle w:val="898"/>
              <w:ind w:firstLine="26"/>
              <w:jc w:val="center"/>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p>
            <w:pPr>
              <w:pStyle w:val="898"/>
              <w:ind w:firstLine="26"/>
              <w:jc w:val="center"/>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p>
            <w:pPr>
              <w:pStyle w:val="898"/>
              <w:ind w:firstLine="26"/>
              <w:jc w:val="center"/>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p>
            <w:pPr>
              <w:pStyle w:val="898"/>
              <w:ind w:firstLine="26"/>
              <w:jc w:val="center"/>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p>
            <w:pPr>
              <w:pStyle w:val="898"/>
              <w:ind w:firstLine="26"/>
              <w:jc w:val="center"/>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p>
            <w:pPr>
              <w:pStyle w:val="898"/>
              <w:ind w:firstLine="26"/>
              <w:jc w:val="center"/>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二</w:t>
            </w:r>
            <w:r>
              <w:rPr>
                <w:rFonts w:ascii="Times New Roman" w:hAnsi="Times New Roman" w:cs="Times New Roman"/>
                <w:color w:val="000000"/>
                <w:sz w:val="24"/>
                <w:szCs w:val="28"/>
                <w:highlight w:val="none"/>
              </w:rPr>
            </w:r>
            <w:r/>
          </w:p>
        </w:tc>
        <w:tc>
          <w:tcPr>
            <w:tcW w:w="1413" w:type="dxa"/>
            <w:vAlign w:val="center"/>
            <w:textDirection w:val="lrTb"/>
            <w:noWrap w:val="false"/>
          </w:tcPr>
          <w:p>
            <w:pPr>
              <w:pStyle w:val="898"/>
              <w:ind w:firstLine="3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保洁服务</w:t>
            </w:r>
            <w:r>
              <w:rPr>
                <w:rFonts w:ascii="Times New Roman" w:hAnsi="Times New Roman" w:cs="Times New Roman"/>
                <w:color w:val="000000"/>
                <w:sz w:val="24"/>
                <w:szCs w:val="28"/>
                <w:highlight w:val="none"/>
              </w:rPr>
            </w:r>
            <w:r/>
          </w:p>
        </w:tc>
        <w:tc>
          <w:tcPr>
            <w:tcW w:w="3543"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负责江苏水文档案馆2-3楼的办公区、会议区、公共区域，食堂1楼的大厅、前台、厨房、办公室、仓库、卫生间，食堂2楼的配餐室、包间、卫生间，水文综合服务楼的单间、标准间、值班室、会议室、卫生间及所有公共场所和楼宇外墙的日常保洁、除异味；废弃物清理；垃圾分类处理；除“四害”消毒杀菌等卫生管理。按标准每日清洁公共通道、卫生间 1-2 次，定期清洁门窗玻璃，作业人员需持证上岗。详见1.2、1.3。</w:t>
            </w:r>
            <w:r>
              <w:rPr>
                <w:rFonts w:ascii="Times New Roman" w:hAnsi="Times New Roman" w:cs="Times New Roman"/>
                <w:color w:val="000000"/>
                <w:sz w:val="24"/>
                <w:szCs w:val="28"/>
                <w:highlight w:val="none"/>
              </w:rPr>
            </w:r>
            <w:r/>
          </w:p>
        </w:tc>
        <w:tc>
          <w:tcPr>
            <w:tcW w:w="7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7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5"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1378"/>
        </w:trPr>
        <w:tc>
          <w:tcPr>
            <w:tcW w:w="709" w:type="dxa"/>
            <w:vAlign w:val="center"/>
            <w:vMerge w:val="continue"/>
            <w:textDirection w:val="lrTb"/>
            <w:noWrap w:val="false"/>
          </w:tcPr>
          <w:p>
            <w:pPr>
              <w:pStyle w:val="898"/>
              <w:ind w:firstLine="2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1413" w:type="dxa"/>
            <w:vAlign w:val="center"/>
            <w:textDirection w:val="lrTb"/>
            <w:noWrap w:val="false"/>
          </w:tcPr>
          <w:p>
            <w:pPr>
              <w:pStyle w:val="898"/>
              <w:ind w:firstLine="3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油烟管道清洁</w:t>
            </w:r>
            <w:r>
              <w:rPr>
                <w:rFonts w:ascii="Times New Roman" w:hAnsi="Times New Roman" w:cs="Times New Roman"/>
                <w:color w:val="000000"/>
                <w:sz w:val="24"/>
                <w:szCs w:val="28"/>
                <w:highlight w:val="none"/>
              </w:rPr>
            </w:r>
            <w:r/>
          </w:p>
        </w:tc>
        <w:tc>
          <w:tcPr>
            <w:tcW w:w="3543"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食堂油烟管道清洁。详见1.2、1.3。</w:t>
            </w:r>
            <w:r>
              <w:rPr>
                <w:rFonts w:ascii="Times New Roman" w:hAnsi="Times New Roman" w:cs="Times New Roman"/>
                <w:color w:val="000000"/>
                <w:sz w:val="24"/>
                <w:szCs w:val="28"/>
                <w:highlight w:val="none"/>
              </w:rPr>
            </w:r>
            <w:r/>
          </w:p>
        </w:tc>
        <w:tc>
          <w:tcPr>
            <w:tcW w:w="7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7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5"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826"/>
        </w:trPr>
        <w:tc>
          <w:tcPr>
            <w:tcW w:w="709" w:type="dxa"/>
            <w:vAlign w:val="center"/>
            <w:vMerge w:val="continue"/>
            <w:textDirection w:val="lrTb"/>
            <w:noWrap w:val="false"/>
          </w:tcPr>
          <w:p>
            <w:pPr>
              <w:pStyle w:val="898"/>
              <w:ind w:firstLine="2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1413"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玻璃幕墙清洗</w:t>
            </w:r>
            <w:r>
              <w:rPr>
                <w:rFonts w:ascii="Times New Roman" w:hAnsi="Times New Roman" w:cs="Times New Roman"/>
                <w:color w:val="000000"/>
                <w:sz w:val="24"/>
                <w:szCs w:val="28"/>
                <w:highlight w:val="none"/>
              </w:rPr>
            </w:r>
            <w:r/>
          </w:p>
        </w:tc>
        <w:tc>
          <w:tcPr>
            <w:tcW w:w="3543"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水文综合服务楼玻璃幕墙清洗。详见1.2、1.3。</w:t>
            </w:r>
            <w:r>
              <w:rPr>
                <w:rFonts w:ascii="Times New Roman" w:hAnsi="Times New Roman" w:cs="Times New Roman"/>
                <w:color w:val="000000"/>
                <w:sz w:val="24"/>
                <w:szCs w:val="28"/>
                <w:highlight w:val="none"/>
              </w:rPr>
            </w:r>
            <w:r/>
          </w:p>
        </w:tc>
        <w:tc>
          <w:tcPr>
            <w:tcW w:w="7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次</w:t>
            </w:r>
            <w:r>
              <w:rPr>
                <w:rFonts w:ascii="Times New Roman" w:hAnsi="Times New Roman" w:cs="Times New Roman"/>
                <w:color w:val="000000"/>
                <w:sz w:val="24"/>
                <w:szCs w:val="28"/>
                <w:highlight w:val="none"/>
              </w:rPr>
            </w:r>
            <w:r/>
          </w:p>
        </w:tc>
        <w:tc>
          <w:tcPr>
            <w:tcW w:w="7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w:t>
            </w:r>
            <w:r>
              <w:rPr>
                <w:rFonts w:ascii="Times New Roman" w:hAnsi="Times New Roman" w:cs="Times New Roman"/>
                <w:color w:val="000000"/>
                <w:sz w:val="24"/>
                <w:szCs w:val="28"/>
                <w:highlight w:val="none"/>
              </w:rPr>
            </w:r>
            <w:r/>
          </w:p>
        </w:tc>
        <w:tc>
          <w:tcPr>
            <w:tcW w:w="855"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569"/>
        </w:trPr>
        <w:tc>
          <w:tcPr>
            <w:tcW w:w="709" w:type="dxa"/>
            <w:vAlign w:val="center"/>
            <w:textDirection w:val="lrTb"/>
            <w:noWrap w:val="false"/>
          </w:tcPr>
          <w:p>
            <w:pPr>
              <w:pStyle w:val="898"/>
              <w:ind w:firstLine="2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三</w:t>
            </w:r>
            <w:r>
              <w:rPr>
                <w:rFonts w:ascii="Times New Roman" w:hAnsi="Times New Roman" w:cs="Times New Roman"/>
                <w:color w:val="000000"/>
                <w:sz w:val="24"/>
                <w:szCs w:val="28"/>
                <w:highlight w:val="none"/>
              </w:rPr>
            </w:r>
            <w:r/>
          </w:p>
        </w:tc>
        <w:tc>
          <w:tcPr>
            <w:tcW w:w="1413" w:type="dxa"/>
            <w:vAlign w:val="center"/>
            <w:textDirection w:val="lrTb"/>
            <w:noWrap w:val="false"/>
          </w:tcPr>
          <w:p>
            <w:pPr>
              <w:pStyle w:val="898"/>
              <w:ind w:firstLine="3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会议服务</w:t>
            </w:r>
            <w:r>
              <w:rPr>
                <w:rFonts w:ascii="Times New Roman" w:hAnsi="Times New Roman" w:cs="Times New Roman"/>
                <w:color w:val="000000"/>
                <w:sz w:val="24"/>
                <w:szCs w:val="28"/>
                <w:highlight w:val="none"/>
              </w:rPr>
            </w:r>
            <w:r/>
          </w:p>
        </w:tc>
        <w:tc>
          <w:tcPr>
            <w:tcW w:w="3543"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负责本物业范围内的会议服务，包括会前、会中、会后的各项服务工作。详见1.2、1.3。</w:t>
            </w:r>
            <w:r>
              <w:rPr>
                <w:rFonts w:ascii="Times New Roman" w:hAnsi="Times New Roman" w:cs="Times New Roman"/>
                <w:color w:val="000000"/>
                <w:sz w:val="24"/>
                <w:szCs w:val="28"/>
                <w:highlight w:val="none"/>
              </w:rPr>
            </w:r>
            <w:r/>
          </w:p>
        </w:tc>
        <w:tc>
          <w:tcPr>
            <w:tcW w:w="7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7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5"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691"/>
        </w:trPr>
        <w:tc>
          <w:tcPr>
            <w:tcW w:w="709" w:type="dxa"/>
            <w:vAlign w:val="center"/>
            <w:textDirection w:val="lrTb"/>
            <w:noWrap w:val="false"/>
          </w:tcPr>
          <w:p>
            <w:pPr>
              <w:pStyle w:val="898"/>
              <w:ind w:firstLine="2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四</w:t>
            </w:r>
            <w:r>
              <w:rPr>
                <w:rFonts w:ascii="Times New Roman" w:hAnsi="Times New Roman" w:cs="Times New Roman"/>
                <w:color w:val="000000"/>
                <w:sz w:val="24"/>
                <w:szCs w:val="28"/>
                <w:highlight w:val="none"/>
              </w:rPr>
            </w:r>
            <w:r/>
          </w:p>
        </w:tc>
        <w:tc>
          <w:tcPr>
            <w:tcW w:w="1413" w:type="dxa"/>
            <w:vAlign w:val="center"/>
            <w:textDirection w:val="lrTb"/>
            <w:noWrap w:val="false"/>
          </w:tcPr>
          <w:p>
            <w:pPr>
              <w:pStyle w:val="898"/>
              <w:ind w:firstLine="3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客房服务</w:t>
            </w:r>
            <w:r>
              <w:rPr>
                <w:rFonts w:ascii="Times New Roman" w:hAnsi="Times New Roman" w:cs="Times New Roman"/>
                <w:color w:val="000000"/>
                <w:sz w:val="24"/>
                <w:szCs w:val="28"/>
                <w:highlight w:val="none"/>
              </w:rPr>
            </w:r>
            <w:r/>
          </w:p>
        </w:tc>
        <w:tc>
          <w:tcPr>
            <w:tcW w:w="3543"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负责本物业范围内的客房服务，包括清洁、服务和人员规范。详见1.2、1.3。</w:t>
            </w:r>
            <w:r>
              <w:rPr>
                <w:rFonts w:ascii="Times New Roman" w:hAnsi="Times New Roman" w:cs="Times New Roman"/>
                <w:color w:val="000000"/>
                <w:sz w:val="24"/>
                <w:szCs w:val="28"/>
                <w:highlight w:val="none"/>
              </w:rPr>
            </w:r>
            <w:r/>
          </w:p>
        </w:tc>
        <w:tc>
          <w:tcPr>
            <w:tcW w:w="7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7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5"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701"/>
        </w:trPr>
        <w:tc>
          <w:tcPr>
            <w:tcW w:w="709" w:type="dxa"/>
            <w:vAlign w:val="center"/>
            <w:textDirection w:val="lrTb"/>
            <w:noWrap w:val="false"/>
          </w:tcPr>
          <w:p>
            <w:pPr>
              <w:pStyle w:val="898"/>
              <w:ind w:firstLine="2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五</w:t>
            </w:r>
            <w:r>
              <w:rPr>
                <w:rFonts w:ascii="Times New Roman" w:hAnsi="Times New Roman" w:cs="Times New Roman"/>
                <w:color w:val="000000"/>
                <w:sz w:val="24"/>
                <w:szCs w:val="28"/>
                <w:highlight w:val="none"/>
              </w:rPr>
            </w:r>
            <w:r/>
          </w:p>
        </w:tc>
        <w:tc>
          <w:tcPr>
            <w:tcW w:w="1413" w:type="dxa"/>
            <w:vAlign w:val="center"/>
            <w:textDirection w:val="lrTb"/>
            <w:noWrap w:val="false"/>
          </w:tcPr>
          <w:p>
            <w:pPr>
              <w:pStyle w:val="898"/>
              <w:ind w:firstLine="3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设施设备养护</w:t>
            </w:r>
            <w:r>
              <w:rPr>
                <w:rFonts w:ascii="Times New Roman" w:hAnsi="Times New Roman" w:cs="Times New Roman"/>
                <w:color w:val="000000"/>
                <w:sz w:val="24"/>
                <w:szCs w:val="28"/>
                <w:highlight w:val="none"/>
              </w:rPr>
            </w:r>
            <w:r/>
          </w:p>
        </w:tc>
        <w:tc>
          <w:tcPr>
            <w:tcW w:w="3543"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负责对所管辖区域内所有设施设备的日常运行管理与维护（由采购方委托专业维保单位及其他承包商负责的除外），运行管理相关人员必须持有资质证书或培训证书方可持证上岗，确保工程设施、设备的正常使用、运行，协调维保工作，负责随工监理，重大节假日及恶劣天气前后，组织系统巡检1次。详见1.2、1.3。</w:t>
            </w:r>
            <w:r>
              <w:rPr>
                <w:rFonts w:ascii="Times New Roman" w:hAnsi="Times New Roman" w:cs="Times New Roman"/>
                <w:color w:val="000000"/>
                <w:sz w:val="24"/>
                <w:szCs w:val="28"/>
                <w:highlight w:val="none"/>
              </w:rPr>
            </w:r>
            <w:r/>
          </w:p>
        </w:tc>
        <w:tc>
          <w:tcPr>
            <w:tcW w:w="7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7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5"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701"/>
        </w:trPr>
        <w:tc>
          <w:tcPr>
            <w:tcW w:w="709" w:type="dxa"/>
            <w:vAlign w:val="center"/>
            <w:textDirection w:val="lrTb"/>
            <w:noWrap w:val="false"/>
          </w:tcPr>
          <w:p>
            <w:pPr>
              <w:pStyle w:val="898"/>
              <w:ind w:firstLine="2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六</w:t>
            </w:r>
            <w:r>
              <w:rPr>
                <w:rFonts w:ascii="Times New Roman" w:hAnsi="Times New Roman" w:cs="Times New Roman"/>
                <w:color w:val="000000"/>
                <w:sz w:val="24"/>
                <w:szCs w:val="28"/>
                <w:highlight w:val="none"/>
              </w:rPr>
            </w:r>
            <w:r/>
          </w:p>
        </w:tc>
        <w:tc>
          <w:tcPr>
            <w:tcW w:w="1413" w:type="dxa"/>
            <w:vAlign w:val="center"/>
            <w:textDirection w:val="lrTb"/>
            <w:noWrap w:val="false"/>
          </w:tcPr>
          <w:p>
            <w:pPr>
              <w:pStyle w:val="898"/>
              <w:ind w:firstLine="3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绿化维护</w:t>
            </w:r>
            <w:r>
              <w:rPr>
                <w:rFonts w:ascii="Times New Roman" w:hAnsi="Times New Roman" w:cs="Times New Roman"/>
                <w:color w:val="000000"/>
                <w:sz w:val="24"/>
                <w:szCs w:val="28"/>
                <w:highlight w:val="none"/>
              </w:rPr>
            </w:r>
            <w:r/>
          </w:p>
        </w:tc>
        <w:tc>
          <w:tcPr>
            <w:tcW w:w="3543"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负责对所管辖范围内的花卉、草坪、植物养护和蚊虫消杀。详见1.2、1.3。</w:t>
            </w:r>
            <w:r>
              <w:rPr>
                <w:rFonts w:ascii="Times New Roman" w:hAnsi="Times New Roman" w:cs="Times New Roman"/>
                <w:color w:val="000000"/>
                <w:sz w:val="24"/>
                <w:szCs w:val="28"/>
                <w:highlight w:val="none"/>
              </w:rPr>
            </w:r>
            <w:r/>
          </w:p>
        </w:tc>
        <w:tc>
          <w:tcPr>
            <w:tcW w:w="7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7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5"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701"/>
        </w:trPr>
        <w:tc>
          <w:tcPr>
            <w:tcW w:w="709" w:type="dxa"/>
            <w:vAlign w:val="center"/>
            <w:textDirection w:val="lrTb"/>
            <w:noWrap w:val="false"/>
          </w:tcPr>
          <w:p>
            <w:pPr>
              <w:pStyle w:val="898"/>
              <w:ind w:firstLine="2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七</w:t>
            </w:r>
            <w:r>
              <w:rPr>
                <w:rFonts w:ascii="Times New Roman" w:hAnsi="Times New Roman" w:cs="Times New Roman"/>
                <w:color w:val="000000"/>
                <w:sz w:val="24"/>
                <w:szCs w:val="28"/>
                <w:highlight w:val="none"/>
              </w:rPr>
            </w:r>
            <w:r/>
          </w:p>
        </w:tc>
        <w:tc>
          <w:tcPr>
            <w:tcW w:w="1413" w:type="dxa"/>
            <w:vAlign w:val="center"/>
            <w:textDirection w:val="lrTb"/>
            <w:noWrap w:val="false"/>
          </w:tcPr>
          <w:p>
            <w:pPr>
              <w:pStyle w:val="898"/>
              <w:ind w:firstLine="3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水电维修</w:t>
            </w:r>
            <w:r>
              <w:rPr>
                <w:rFonts w:ascii="Times New Roman" w:hAnsi="Times New Roman" w:cs="Times New Roman"/>
                <w:color w:val="000000"/>
                <w:sz w:val="24"/>
                <w:szCs w:val="28"/>
                <w:highlight w:val="none"/>
              </w:rPr>
            </w:r>
            <w:r/>
          </w:p>
        </w:tc>
        <w:tc>
          <w:tcPr>
            <w:tcW w:w="3543"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负责处理各类报修事项（照明故障、管道漏水、空调异常等）。详见1.2、1.3。</w:t>
            </w:r>
            <w:r>
              <w:rPr>
                <w:rFonts w:ascii="Times New Roman" w:hAnsi="Times New Roman" w:cs="Times New Roman"/>
                <w:color w:val="000000"/>
                <w:sz w:val="24"/>
                <w:szCs w:val="28"/>
                <w:highlight w:val="none"/>
              </w:rPr>
            </w:r>
            <w:r/>
          </w:p>
        </w:tc>
        <w:tc>
          <w:tcPr>
            <w:tcW w:w="7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70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5"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570"/>
        </w:trPr>
        <w:tc>
          <w:tcPr>
            <w:tcW w:w="709" w:type="dxa"/>
            <w:vAlign w:val="center"/>
            <w:textDirection w:val="lrTb"/>
            <w:noWrap w:val="false"/>
          </w:tcPr>
          <w:p>
            <w:pPr>
              <w:pStyle w:val="898"/>
              <w:ind w:firstLine="26"/>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8</w:t>
            </w:r>
            <w:r>
              <w:rPr>
                <w:rFonts w:ascii="Times New Roman" w:hAnsi="Times New Roman" w:cs="Times New Roman"/>
                <w:color w:val="000000"/>
                <w:sz w:val="24"/>
                <w:szCs w:val="28"/>
                <w:highlight w:val="none"/>
              </w:rPr>
            </w:r>
            <w:r/>
          </w:p>
        </w:tc>
        <w:tc>
          <w:tcPr>
            <w:gridSpan w:val="5"/>
            <w:tcW w:w="7229"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合计</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360" w:lineRule="exac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bl>
    <w:p>
      <w:pPr>
        <w:pStyle w:val="960"/>
        <w:ind w:firstLine="482"/>
        <w:spacing w:before="0" w:beforeAutospacing="0" w:after="0" w:afterAutospacing="0" w:line="460" w:lineRule="exact"/>
        <w:shd w:val="clear" w:color="auto" w:fill="ffffff"/>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t xml:space="preserve">（3）后勤服务报价清单</w:t>
      </w:r>
      <w:r>
        <w:rPr>
          <w:rFonts w:ascii="Times New Roman" w:hAnsi="Times New Roman" w:cs="Times New Roman"/>
          <w:b/>
          <w:bCs/>
          <w:color w:val="000000"/>
          <w:sz w:val="24"/>
          <w:szCs w:val="24"/>
          <w:highlight w:val="none"/>
        </w:rPr>
      </w:r>
      <w:r/>
    </w:p>
    <w:tbl>
      <w:tblPr>
        <w:tblW w:w="87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980"/>
        <w:gridCol w:w="2693"/>
        <w:gridCol w:w="850"/>
        <w:gridCol w:w="851"/>
        <w:gridCol w:w="855"/>
        <w:gridCol w:w="851"/>
      </w:tblGrid>
      <w:tr>
        <w:trPr>
          <w:trHeight w:val="544"/>
        </w:trPr>
        <w:tc>
          <w:tcPr>
            <w:tcW w:w="709" w:type="dxa"/>
            <w:vAlign w:val="center"/>
            <w:textDirection w:val="lrTb"/>
            <w:noWrap w:val="false"/>
          </w:tcPr>
          <w:p>
            <w:pPr>
              <w:pStyle w:val="898"/>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序号</w:t>
            </w:r>
            <w:r>
              <w:rPr>
                <w:rFonts w:ascii="Times New Roman" w:hAnsi="Times New Roman" w:cs="Times New Roman"/>
                <w:bCs/>
                <w:color w:val="000000"/>
                <w:sz w:val="24"/>
                <w:szCs w:val="28"/>
                <w:highlight w:val="none"/>
              </w:rPr>
            </w:r>
            <w:r/>
          </w:p>
        </w:tc>
        <w:tc>
          <w:tcPr>
            <w:tcW w:w="1980" w:type="dxa"/>
            <w:vAlign w:val="center"/>
            <w:textDirection w:val="lrTb"/>
            <w:noWrap w:val="false"/>
          </w:tcPr>
          <w:p>
            <w:pPr>
              <w:pStyle w:val="898"/>
              <w:ind w:firstLine="480"/>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项目</w:t>
            </w:r>
            <w:r>
              <w:rPr>
                <w:rFonts w:ascii="Times New Roman" w:hAnsi="Times New Roman" w:cs="Times New Roman"/>
                <w:bCs/>
                <w:color w:val="000000"/>
                <w:sz w:val="24"/>
                <w:szCs w:val="28"/>
                <w:highlight w:val="none"/>
              </w:rPr>
            </w:r>
            <w:r/>
          </w:p>
        </w:tc>
        <w:tc>
          <w:tcPr>
            <w:tcW w:w="2693" w:type="dxa"/>
            <w:vAlign w:val="center"/>
            <w:textDirection w:val="lrTb"/>
            <w:noWrap w:val="false"/>
          </w:tcPr>
          <w:p>
            <w:pPr>
              <w:pStyle w:val="898"/>
              <w:ind w:firstLine="480"/>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项目特征</w:t>
            </w:r>
            <w:r>
              <w:rPr>
                <w:rFonts w:ascii="Times New Roman" w:hAnsi="Times New Roman" w:cs="Times New Roman"/>
                <w:bCs/>
                <w:color w:val="000000"/>
                <w:sz w:val="24"/>
                <w:szCs w:val="28"/>
                <w:highlight w:val="none"/>
              </w:rPr>
            </w:r>
            <w:r/>
          </w:p>
        </w:tc>
        <w:tc>
          <w:tcPr>
            <w:tcW w:w="850"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单位</w:t>
            </w:r>
            <w:r>
              <w:rPr>
                <w:rFonts w:ascii="Times New Roman" w:hAnsi="Times New Roman" w:cs="Times New Roman"/>
                <w:bCs/>
                <w:color w:val="000000"/>
                <w:sz w:val="24"/>
                <w:szCs w:val="28"/>
                <w:highlight w:val="none"/>
              </w:rPr>
            </w:r>
            <w:r/>
          </w:p>
        </w:tc>
        <w:tc>
          <w:tcPr>
            <w:tcW w:w="851"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数量</w:t>
            </w:r>
            <w:r>
              <w:rPr>
                <w:rFonts w:ascii="Times New Roman" w:hAnsi="Times New Roman" w:cs="Times New Roman"/>
                <w:bCs/>
                <w:color w:val="000000"/>
                <w:sz w:val="24"/>
                <w:szCs w:val="28"/>
                <w:highlight w:val="none"/>
              </w:rPr>
            </w:r>
            <w:r/>
          </w:p>
        </w:tc>
        <w:tc>
          <w:tcPr>
            <w:tcW w:w="855"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单价/万元</w:t>
            </w:r>
            <w:r>
              <w:rPr>
                <w:rFonts w:ascii="Times New Roman" w:hAnsi="Times New Roman" w:cs="Times New Roman"/>
                <w:bCs/>
                <w:color w:val="000000"/>
                <w:sz w:val="24"/>
                <w:szCs w:val="28"/>
                <w:highlight w:val="none"/>
              </w:rPr>
            </w:r>
            <w:r/>
          </w:p>
        </w:tc>
        <w:tc>
          <w:tcPr>
            <w:tcW w:w="851"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合价/万元</w:t>
            </w:r>
            <w:r>
              <w:rPr>
                <w:rFonts w:ascii="Times New Roman" w:hAnsi="Times New Roman" w:cs="Times New Roman"/>
                <w:bCs/>
                <w:color w:val="000000"/>
                <w:sz w:val="24"/>
                <w:szCs w:val="28"/>
                <w:highlight w:val="none"/>
              </w:rPr>
            </w:r>
            <w:r/>
          </w:p>
        </w:tc>
      </w:tr>
      <w:tr>
        <w:trPr>
          <w:trHeight w:val="651"/>
        </w:trPr>
        <w:tc>
          <w:tcPr>
            <w:tcW w:w="709"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w:t>
            </w:r>
            <w:r>
              <w:rPr>
                <w:rFonts w:ascii="Times New Roman" w:hAnsi="Times New Roman" w:cs="Times New Roman"/>
                <w:color w:val="000000"/>
                <w:sz w:val="24"/>
                <w:szCs w:val="28"/>
                <w:highlight w:val="none"/>
              </w:rPr>
            </w:r>
            <w:r/>
          </w:p>
        </w:tc>
        <w:tc>
          <w:tcPr>
            <w:tcW w:w="1980"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厨师</w:t>
            </w:r>
            <w:r>
              <w:rPr>
                <w:rFonts w:ascii="Times New Roman" w:hAnsi="Times New Roman" w:cs="Times New Roman"/>
                <w:color w:val="000000"/>
                <w:sz w:val="24"/>
                <w:szCs w:val="28"/>
                <w:highlight w:val="none"/>
              </w:rPr>
            </w:r>
            <w:r/>
          </w:p>
        </w:tc>
        <w:tc>
          <w:tcPr>
            <w:tcW w:w="2693"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持证上岗。详见2.1、2.2和2.3。</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550"/>
        </w:trPr>
        <w:tc>
          <w:tcPr>
            <w:tcW w:w="709"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w:t>
            </w:r>
            <w:r>
              <w:rPr>
                <w:rFonts w:ascii="Times New Roman" w:hAnsi="Times New Roman" w:cs="Times New Roman"/>
                <w:color w:val="000000"/>
                <w:sz w:val="24"/>
                <w:szCs w:val="28"/>
                <w:highlight w:val="none"/>
              </w:rPr>
            </w:r>
            <w:r/>
          </w:p>
        </w:tc>
        <w:tc>
          <w:tcPr>
            <w:tcW w:w="1980"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帮厨</w:t>
            </w:r>
            <w:r>
              <w:rPr>
                <w:rFonts w:ascii="Times New Roman" w:hAnsi="Times New Roman" w:cs="Times New Roman"/>
                <w:color w:val="000000"/>
                <w:sz w:val="24"/>
                <w:szCs w:val="28"/>
                <w:highlight w:val="none"/>
              </w:rPr>
            </w:r>
            <w:r/>
          </w:p>
        </w:tc>
        <w:tc>
          <w:tcPr>
            <w:tcW w:w="2693"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持证上岗。详见2.1、2.2和2.3。</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569"/>
        </w:trPr>
        <w:tc>
          <w:tcPr>
            <w:tcW w:w="709" w:type="dxa"/>
            <w:vAlign w:val="center"/>
            <w:vMerge w:val="restart"/>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w:t>
            </w:r>
            <w:r>
              <w:rPr>
                <w:rFonts w:ascii="Times New Roman" w:hAnsi="Times New Roman" w:cs="Times New Roman"/>
                <w:color w:val="000000"/>
                <w:sz w:val="24"/>
                <w:szCs w:val="28"/>
                <w:highlight w:val="none"/>
              </w:rPr>
            </w:r>
            <w:r/>
          </w:p>
        </w:tc>
        <w:tc>
          <w:tcPr>
            <w:tcW w:w="1980" w:type="dxa"/>
            <w:vAlign w:val="center"/>
            <w:vMerge w:val="restart"/>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厨余垃圾</w:t>
            </w:r>
            <w:r>
              <w:rPr>
                <w:rFonts w:ascii="Times New Roman" w:hAnsi="Times New Roman" w:cs="Times New Roman"/>
                <w:color w:val="000000"/>
                <w:sz w:val="24"/>
                <w:szCs w:val="28"/>
                <w:highlight w:val="none"/>
              </w:rPr>
            </w:r>
            <w:r/>
          </w:p>
        </w:tc>
        <w:tc>
          <w:tcPr>
            <w:tcW w:w="2693"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餐厨垃圾收集清运。详见2.1、2.2和2.3。</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563"/>
        </w:trPr>
        <w:tc>
          <w:tcPr>
            <w:tcW w:w="709" w:type="dxa"/>
            <w:vAlign w:val="center"/>
            <w:vMerge w:val="continue"/>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1980" w:type="dxa"/>
            <w:vAlign w:val="center"/>
            <w:vMerge w:val="continue"/>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2693"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厨余其他垃圾收集清运。详见2.1、2.2和2.3。</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826"/>
        </w:trPr>
        <w:tc>
          <w:tcPr>
            <w:tcW w:w="709"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4</w:t>
            </w:r>
            <w:r>
              <w:rPr>
                <w:rFonts w:ascii="Times New Roman" w:hAnsi="Times New Roman" w:cs="Times New Roman"/>
                <w:color w:val="000000"/>
                <w:sz w:val="24"/>
                <w:szCs w:val="28"/>
                <w:highlight w:val="none"/>
              </w:rPr>
            </w:r>
            <w:r/>
          </w:p>
        </w:tc>
        <w:tc>
          <w:tcPr>
            <w:tcW w:w="198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其他垃圾</w:t>
            </w:r>
            <w:r>
              <w:rPr>
                <w:rFonts w:ascii="Times New Roman" w:hAnsi="Times New Roman" w:cs="Times New Roman"/>
                <w:color w:val="000000"/>
                <w:sz w:val="24"/>
                <w:szCs w:val="28"/>
                <w:highlight w:val="none"/>
              </w:rPr>
            </w:r>
            <w:r/>
          </w:p>
        </w:tc>
        <w:tc>
          <w:tcPr>
            <w:tcW w:w="2693"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其他垃圾收集清运。详见2.1、2.2和2.3。</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569"/>
        </w:trPr>
        <w:tc>
          <w:tcPr>
            <w:tcW w:w="709"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w:t>
            </w:r>
            <w:r>
              <w:rPr>
                <w:rFonts w:ascii="Times New Roman" w:hAnsi="Times New Roman" w:cs="Times New Roman"/>
                <w:color w:val="000000"/>
                <w:sz w:val="24"/>
                <w:szCs w:val="28"/>
                <w:highlight w:val="none"/>
              </w:rPr>
            </w:r>
            <w:r/>
          </w:p>
        </w:tc>
        <w:tc>
          <w:tcPr>
            <w:tcW w:w="198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有害垃圾</w:t>
            </w:r>
            <w:r>
              <w:rPr>
                <w:rFonts w:ascii="Times New Roman" w:hAnsi="Times New Roman" w:cs="Times New Roman"/>
                <w:color w:val="000000"/>
                <w:sz w:val="24"/>
                <w:szCs w:val="28"/>
                <w:highlight w:val="none"/>
              </w:rPr>
            </w:r>
            <w:r/>
          </w:p>
        </w:tc>
        <w:tc>
          <w:tcPr>
            <w:tcW w:w="2693"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有害垃圾收集清运。详见2.1、2.2和2.3。</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次</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w:t>
            </w:r>
            <w:r>
              <w:rPr>
                <w:rFonts w:ascii="Times New Roman" w:hAnsi="Times New Roman" w:cs="Times New Roman"/>
                <w:color w:val="000000"/>
                <w:sz w:val="24"/>
                <w:szCs w:val="28"/>
                <w:highlight w:val="none"/>
              </w:rPr>
            </w:r>
            <w:r/>
          </w:p>
        </w:tc>
        <w:tc>
          <w:tcPr>
            <w:tcW w:w="85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691"/>
        </w:trPr>
        <w:tc>
          <w:tcPr>
            <w:tcW w:w="709"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6</w:t>
            </w:r>
            <w:r>
              <w:rPr>
                <w:rFonts w:ascii="Times New Roman" w:hAnsi="Times New Roman" w:cs="Times New Roman"/>
                <w:color w:val="000000"/>
                <w:sz w:val="24"/>
                <w:szCs w:val="28"/>
                <w:highlight w:val="none"/>
              </w:rPr>
            </w:r>
            <w:r/>
          </w:p>
        </w:tc>
        <w:tc>
          <w:tcPr>
            <w:tcW w:w="198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可回收垃圾</w:t>
            </w:r>
            <w:r>
              <w:rPr>
                <w:rFonts w:ascii="Times New Roman" w:hAnsi="Times New Roman" w:cs="Times New Roman"/>
                <w:color w:val="000000"/>
                <w:sz w:val="24"/>
                <w:szCs w:val="28"/>
                <w:highlight w:val="none"/>
              </w:rPr>
            </w:r>
            <w:r/>
          </w:p>
        </w:tc>
        <w:tc>
          <w:tcPr>
            <w:tcW w:w="2693"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可回收垃圾收集清运。详见2.1、2.2和2.3。</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次</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w:t>
            </w:r>
            <w:r>
              <w:rPr>
                <w:rFonts w:ascii="Times New Roman" w:hAnsi="Times New Roman" w:cs="Times New Roman"/>
                <w:color w:val="000000"/>
                <w:sz w:val="24"/>
                <w:szCs w:val="28"/>
                <w:highlight w:val="none"/>
              </w:rPr>
            </w:r>
            <w:r/>
          </w:p>
        </w:tc>
        <w:tc>
          <w:tcPr>
            <w:tcW w:w="85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701"/>
        </w:trPr>
        <w:tc>
          <w:tcPr>
            <w:tcW w:w="709"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7</w:t>
            </w:r>
            <w:r>
              <w:rPr>
                <w:rFonts w:ascii="Times New Roman" w:hAnsi="Times New Roman" w:cs="Times New Roman"/>
                <w:color w:val="000000"/>
                <w:sz w:val="24"/>
                <w:szCs w:val="28"/>
                <w:highlight w:val="none"/>
              </w:rPr>
            </w:r>
            <w:r/>
          </w:p>
        </w:tc>
        <w:tc>
          <w:tcPr>
            <w:tcW w:w="198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滤油池清理清运</w:t>
            </w:r>
            <w:r>
              <w:rPr>
                <w:rFonts w:ascii="Times New Roman" w:hAnsi="Times New Roman" w:cs="Times New Roman"/>
                <w:color w:val="000000"/>
                <w:sz w:val="24"/>
                <w:szCs w:val="28"/>
                <w:highlight w:val="none"/>
              </w:rPr>
            </w:r>
            <w:r/>
          </w:p>
        </w:tc>
        <w:tc>
          <w:tcPr>
            <w:tcW w:w="2693"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详见2.1、2.2和2.3。</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次</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4</w:t>
            </w:r>
            <w:r>
              <w:rPr>
                <w:rFonts w:ascii="Times New Roman" w:hAnsi="Times New Roman" w:cs="Times New Roman"/>
                <w:color w:val="000000"/>
                <w:sz w:val="24"/>
                <w:szCs w:val="28"/>
                <w:highlight w:val="none"/>
              </w:rPr>
            </w:r>
            <w:r/>
          </w:p>
        </w:tc>
        <w:tc>
          <w:tcPr>
            <w:tcW w:w="85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570"/>
        </w:trPr>
        <w:tc>
          <w:tcPr>
            <w:tcW w:w="709"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8</w:t>
            </w:r>
            <w:r>
              <w:rPr>
                <w:rFonts w:ascii="Times New Roman" w:hAnsi="Times New Roman" w:cs="Times New Roman"/>
                <w:color w:val="000000"/>
                <w:sz w:val="24"/>
                <w:szCs w:val="28"/>
                <w:highlight w:val="none"/>
              </w:rPr>
            </w:r>
            <w:r/>
          </w:p>
        </w:tc>
        <w:tc>
          <w:tcPr>
            <w:gridSpan w:val="5"/>
            <w:tcW w:w="7229"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合计</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bl>
    <w:p>
      <w:pPr>
        <w:pStyle w:val="960"/>
        <w:ind w:firstLine="482"/>
        <w:spacing w:before="0" w:beforeAutospacing="0" w:after="0" w:afterAutospacing="0" w:line="460" w:lineRule="exact"/>
        <w:shd w:val="clear" w:color="auto" w:fill="ffffff"/>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t xml:space="preserve">（4）水土保持观测场维护报价清单</w:t>
      </w:r>
      <w:r>
        <w:rPr>
          <w:rFonts w:ascii="Times New Roman" w:hAnsi="Times New Roman" w:cs="Times New Roman"/>
          <w:b/>
          <w:bCs/>
          <w:color w:val="000000"/>
          <w:sz w:val="24"/>
          <w:szCs w:val="24"/>
          <w:highlight w:val="none"/>
        </w:rPr>
      </w:r>
      <w:r/>
    </w:p>
    <w:tbl>
      <w:tblPr>
        <w:tblW w:w="89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985"/>
        <w:gridCol w:w="2835"/>
        <w:gridCol w:w="850"/>
        <w:gridCol w:w="851"/>
        <w:gridCol w:w="850"/>
        <w:gridCol w:w="851"/>
      </w:tblGrid>
      <w:tr>
        <w:trPr>
          <w:trHeight w:val="544"/>
        </w:trPr>
        <w:tc>
          <w:tcPr>
            <w:tcW w:w="704" w:type="dxa"/>
            <w:vAlign w:val="center"/>
            <w:textDirection w:val="lrTb"/>
            <w:noWrap w:val="false"/>
          </w:tcPr>
          <w:p>
            <w:pPr>
              <w:pStyle w:val="898"/>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序号</w:t>
            </w:r>
            <w:r>
              <w:rPr>
                <w:rFonts w:ascii="Times New Roman" w:hAnsi="Times New Roman" w:cs="Times New Roman"/>
                <w:bCs/>
                <w:color w:val="000000"/>
                <w:sz w:val="24"/>
                <w:szCs w:val="28"/>
                <w:highlight w:val="none"/>
              </w:rPr>
            </w:r>
            <w:r/>
          </w:p>
        </w:tc>
        <w:tc>
          <w:tcPr>
            <w:tcW w:w="1985" w:type="dxa"/>
            <w:vAlign w:val="center"/>
            <w:textDirection w:val="lrTb"/>
            <w:noWrap w:val="false"/>
          </w:tcPr>
          <w:p>
            <w:pPr>
              <w:pStyle w:val="898"/>
              <w:ind w:firstLine="480"/>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项目</w:t>
            </w:r>
            <w:r>
              <w:rPr>
                <w:rFonts w:ascii="Times New Roman" w:hAnsi="Times New Roman" w:cs="Times New Roman"/>
                <w:bCs/>
                <w:color w:val="000000"/>
                <w:sz w:val="24"/>
                <w:szCs w:val="28"/>
                <w:highlight w:val="none"/>
              </w:rPr>
            </w:r>
            <w:r/>
          </w:p>
        </w:tc>
        <w:tc>
          <w:tcPr>
            <w:tcW w:w="2835" w:type="dxa"/>
            <w:vAlign w:val="center"/>
            <w:textDirection w:val="lrTb"/>
            <w:noWrap w:val="false"/>
          </w:tcPr>
          <w:p>
            <w:pPr>
              <w:pStyle w:val="898"/>
              <w:ind w:firstLine="480"/>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项目特征</w:t>
            </w:r>
            <w:r>
              <w:rPr>
                <w:rFonts w:ascii="Times New Roman" w:hAnsi="Times New Roman" w:cs="Times New Roman"/>
                <w:bCs/>
                <w:color w:val="000000"/>
                <w:sz w:val="24"/>
                <w:szCs w:val="28"/>
                <w:highlight w:val="none"/>
              </w:rPr>
            </w:r>
            <w:r/>
          </w:p>
        </w:tc>
        <w:tc>
          <w:tcPr>
            <w:tcW w:w="850"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单位</w:t>
            </w:r>
            <w:r>
              <w:rPr>
                <w:rFonts w:ascii="Times New Roman" w:hAnsi="Times New Roman" w:cs="Times New Roman"/>
                <w:bCs/>
                <w:color w:val="000000"/>
                <w:sz w:val="24"/>
                <w:szCs w:val="28"/>
                <w:highlight w:val="none"/>
              </w:rPr>
            </w:r>
            <w:r/>
          </w:p>
        </w:tc>
        <w:tc>
          <w:tcPr>
            <w:tcW w:w="851"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数量</w:t>
            </w:r>
            <w:r>
              <w:rPr>
                <w:rFonts w:ascii="Times New Roman" w:hAnsi="Times New Roman" w:cs="Times New Roman"/>
                <w:bCs/>
                <w:color w:val="000000"/>
                <w:sz w:val="24"/>
                <w:szCs w:val="28"/>
                <w:highlight w:val="none"/>
              </w:rPr>
            </w:r>
            <w:r/>
          </w:p>
        </w:tc>
        <w:tc>
          <w:tcPr>
            <w:tcW w:w="850"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单价/万元</w:t>
            </w:r>
            <w:r>
              <w:rPr>
                <w:rFonts w:ascii="Times New Roman" w:hAnsi="Times New Roman" w:cs="Times New Roman"/>
                <w:bCs/>
                <w:color w:val="000000"/>
                <w:sz w:val="24"/>
                <w:szCs w:val="28"/>
                <w:highlight w:val="none"/>
              </w:rPr>
            </w:r>
            <w:r/>
          </w:p>
        </w:tc>
        <w:tc>
          <w:tcPr>
            <w:tcW w:w="851"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合价/万元</w:t>
            </w:r>
            <w:r>
              <w:rPr>
                <w:rFonts w:ascii="Times New Roman" w:hAnsi="Times New Roman" w:cs="Times New Roman"/>
                <w:bCs/>
                <w:color w:val="000000"/>
                <w:sz w:val="24"/>
                <w:szCs w:val="28"/>
                <w:highlight w:val="none"/>
              </w:rPr>
            </w:r>
            <w:r/>
          </w:p>
        </w:tc>
      </w:tr>
      <w:tr>
        <w:trPr>
          <w:trHeight w:val="544"/>
        </w:trPr>
        <w:tc>
          <w:tcPr>
            <w:tcW w:w="704" w:type="dxa"/>
            <w:vAlign w:val="center"/>
            <w:textDirection w:val="lrTb"/>
            <w:noWrap w:val="false"/>
          </w:tcPr>
          <w:p>
            <w:pPr>
              <w:pStyle w:val="898"/>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一</w:t>
            </w:r>
            <w:r>
              <w:rPr>
                <w:rFonts w:ascii="Times New Roman" w:hAnsi="Times New Roman" w:cs="Times New Roman"/>
                <w:bCs/>
                <w:color w:val="000000"/>
                <w:sz w:val="24"/>
                <w:szCs w:val="28"/>
                <w:highlight w:val="none"/>
              </w:rPr>
            </w:r>
            <w:r/>
          </w:p>
        </w:tc>
        <w:tc>
          <w:tcPr>
            <w:tcW w:w="1985" w:type="dxa"/>
            <w:vAlign w:val="center"/>
            <w:textDirection w:val="lrTb"/>
            <w:noWrap w:val="false"/>
          </w:tcPr>
          <w:p>
            <w:pPr>
              <w:pStyle w:val="898"/>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生态环境维护</w:t>
            </w:r>
            <w:r>
              <w:rPr>
                <w:rFonts w:ascii="Times New Roman" w:hAnsi="Times New Roman" w:cs="Times New Roman"/>
                <w:bCs/>
                <w:color w:val="000000"/>
                <w:sz w:val="24"/>
                <w:szCs w:val="28"/>
                <w:highlight w:val="none"/>
              </w:rPr>
            </w:r>
            <w:r/>
          </w:p>
        </w:tc>
        <w:tc>
          <w:tcPr>
            <w:tcW w:w="2835" w:type="dxa"/>
            <w:vAlign w:val="center"/>
            <w:textDirection w:val="lrTb"/>
            <w:noWrap w:val="false"/>
          </w:tcPr>
          <w:p>
            <w:pPr>
              <w:pStyle w:val="898"/>
              <w:ind w:firstLine="480"/>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r>
            <w:r/>
          </w:p>
        </w:tc>
        <w:tc>
          <w:tcPr>
            <w:tcW w:w="850"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r>
            <w:r/>
          </w:p>
        </w:tc>
        <w:tc>
          <w:tcPr>
            <w:tcW w:w="851"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r>
            <w:r/>
          </w:p>
        </w:tc>
        <w:tc>
          <w:tcPr>
            <w:tcW w:w="850"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r>
            <w:r/>
          </w:p>
        </w:tc>
        <w:tc>
          <w:tcPr>
            <w:tcW w:w="851"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r>
            <w:r/>
          </w:p>
        </w:tc>
      </w:tr>
      <w:tr>
        <w:trPr>
          <w:trHeight w:val="2409"/>
        </w:trPr>
        <w:tc>
          <w:tcPr>
            <w:tcW w:w="70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w:t>
            </w:r>
            <w:r>
              <w:rPr>
                <w:rFonts w:ascii="Times New Roman" w:hAnsi="Times New Roman" w:cs="Times New Roman"/>
                <w:color w:val="000000"/>
                <w:sz w:val="24"/>
                <w:szCs w:val="28"/>
                <w:highlight w:val="none"/>
              </w:rPr>
            </w:r>
            <w:r/>
          </w:p>
        </w:tc>
        <w:tc>
          <w:tcPr>
            <w:tcW w:w="1985"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I级养护</w:t>
            </w:r>
            <w:r>
              <w:rPr>
                <w:rFonts w:ascii="Times New Roman" w:hAnsi="Times New Roman" w:cs="Times New Roman"/>
                <w:color w:val="000000"/>
                <w:sz w:val="24"/>
                <w:szCs w:val="28"/>
                <w:highlight w:val="none"/>
              </w:rPr>
            </w:r>
            <w:r/>
          </w:p>
        </w:tc>
        <w:tc>
          <w:tcPr>
            <w:tcW w:w="283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绿地保洁；2、修剪（树木修剪、草坪修剪）；3、浇水、排水；4、中耕松土、除草；5、施肥；6、喷药除虫（病虫害防治）；7、树木加固、绑扎；8、防冻保暖；9、四季草花的更换；10、部分场地换种植土等。详见3.2、3.3。</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550"/>
        </w:trPr>
        <w:tc>
          <w:tcPr>
            <w:tcW w:w="70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w:t>
            </w:r>
            <w:r>
              <w:rPr>
                <w:rFonts w:ascii="Times New Roman" w:hAnsi="Times New Roman" w:cs="Times New Roman"/>
                <w:color w:val="000000"/>
                <w:sz w:val="24"/>
                <w:szCs w:val="28"/>
                <w:highlight w:val="none"/>
              </w:rPr>
            </w:r>
            <w:r/>
          </w:p>
        </w:tc>
        <w:tc>
          <w:tcPr>
            <w:tcW w:w="1985"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透水面维修</w:t>
            </w:r>
            <w:r>
              <w:rPr>
                <w:rFonts w:ascii="Times New Roman" w:hAnsi="Times New Roman" w:cs="Times New Roman"/>
                <w:color w:val="000000"/>
                <w:sz w:val="24"/>
                <w:szCs w:val="28"/>
                <w:highlight w:val="none"/>
              </w:rPr>
            </w:r>
            <w:r/>
          </w:p>
        </w:tc>
        <w:tc>
          <w:tcPr>
            <w:tcW w:w="283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补种麦冬，49丛/平方米，2~3芽/丛。详见3.2、3.3。</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m</w:t>
            </w:r>
            <w:r>
              <w:rPr>
                <w:rFonts w:ascii="Times New Roman" w:hAnsi="Times New Roman" w:cs="Times New Roman"/>
                <w:color w:val="000000"/>
                <w:sz w:val="24"/>
                <w:szCs w:val="28"/>
                <w:highlight w:val="none"/>
                <w:vertAlign w:val="superscript"/>
              </w:rPr>
              <w:t xml:space="preserve">2</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100</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1118"/>
        </w:trPr>
        <w:tc>
          <w:tcPr>
            <w:tcW w:w="70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w:t>
            </w:r>
            <w:r>
              <w:rPr>
                <w:rFonts w:ascii="Times New Roman" w:hAnsi="Times New Roman" w:cs="Times New Roman"/>
                <w:color w:val="000000"/>
                <w:sz w:val="24"/>
                <w:szCs w:val="28"/>
                <w:highlight w:val="none"/>
              </w:rPr>
            </w:r>
            <w:r/>
          </w:p>
        </w:tc>
        <w:tc>
          <w:tcPr>
            <w:tcW w:w="1985"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苗木补种</w:t>
            </w:r>
            <w:r>
              <w:rPr>
                <w:rFonts w:ascii="Times New Roman" w:hAnsi="Times New Roman" w:cs="Times New Roman"/>
                <w:color w:val="000000"/>
                <w:sz w:val="24"/>
                <w:szCs w:val="28"/>
                <w:highlight w:val="none"/>
              </w:rPr>
            </w:r>
            <w:r/>
          </w:p>
        </w:tc>
        <w:tc>
          <w:tcPr>
            <w:tcW w:w="283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院落缺损苗木补种（红叶石楠、冬青、海桐、毛娟、凌霄、紫藤等）与原苗木规格一致。详见3.2、3.3。</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m</w:t>
            </w:r>
            <w:r>
              <w:rPr>
                <w:rFonts w:ascii="Times New Roman" w:hAnsi="Times New Roman" w:cs="Times New Roman"/>
                <w:color w:val="000000"/>
                <w:sz w:val="24"/>
                <w:szCs w:val="28"/>
                <w:highlight w:val="none"/>
                <w:vertAlign w:val="superscript"/>
              </w:rPr>
              <w:t xml:space="preserve">2</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25</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1596"/>
        </w:trPr>
        <w:tc>
          <w:tcPr>
            <w:tcW w:w="70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4</w:t>
            </w:r>
            <w:r>
              <w:rPr>
                <w:rFonts w:ascii="Times New Roman" w:hAnsi="Times New Roman" w:cs="Times New Roman"/>
                <w:color w:val="000000"/>
                <w:sz w:val="24"/>
                <w:szCs w:val="28"/>
                <w:highlight w:val="none"/>
              </w:rPr>
            </w:r>
            <w:r/>
          </w:p>
        </w:tc>
        <w:tc>
          <w:tcPr>
            <w:tcW w:w="1985"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乔木种植和移栽</w:t>
            </w:r>
            <w:r>
              <w:rPr>
                <w:rFonts w:ascii="Times New Roman" w:hAnsi="Times New Roman" w:cs="Times New Roman"/>
                <w:color w:val="000000"/>
                <w:sz w:val="24"/>
                <w:szCs w:val="28"/>
                <w:highlight w:val="none"/>
              </w:rPr>
            </w:r>
            <w:r/>
          </w:p>
        </w:tc>
        <w:tc>
          <w:tcPr>
            <w:tcW w:w="283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新栽乔木胸径4-15厘米，成活率100%；移栽乔木，移栽前保护根系，移栽后固定树木、保持土壤湿润，成活率100%。详见3.2、3.3。</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株</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10</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956"/>
        </w:trPr>
        <w:tc>
          <w:tcPr>
            <w:tcW w:w="70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w:t>
            </w:r>
            <w:r>
              <w:rPr>
                <w:rFonts w:ascii="Times New Roman" w:hAnsi="Times New Roman" w:cs="Times New Roman"/>
                <w:color w:val="000000"/>
                <w:sz w:val="24"/>
                <w:szCs w:val="28"/>
                <w:highlight w:val="none"/>
              </w:rPr>
            </w:r>
            <w:r/>
          </w:p>
        </w:tc>
        <w:tc>
          <w:tcPr>
            <w:tcW w:w="1985"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绿化垃圾外运</w:t>
            </w:r>
            <w:r>
              <w:rPr>
                <w:rFonts w:ascii="Times New Roman" w:hAnsi="Times New Roman" w:cs="Times New Roman"/>
                <w:color w:val="000000"/>
                <w:sz w:val="24"/>
                <w:szCs w:val="28"/>
                <w:highlight w:val="none"/>
              </w:rPr>
            </w:r>
            <w:r/>
          </w:p>
        </w:tc>
        <w:tc>
          <w:tcPr>
            <w:tcW w:w="283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及时袋装、堆放整齐，压实，每周清运1次。详见3.2、3.3。</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956"/>
        </w:trPr>
        <w:tc>
          <w:tcPr>
            <w:tcW w:w="70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二</w:t>
            </w:r>
            <w:r>
              <w:rPr>
                <w:rFonts w:ascii="Times New Roman" w:hAnsi="Times New Roman" w:cs="Times New Roman"/>
                <w:color w:val="000000"/>
                <w:sz w:val="24"/>
                <w:szCs w:val="28"/>
                <w:highlight w:val="none"/>
              </w:rPr>
            </w:r>
            <w:r/>
          </w:p>
        </w:tc>
        <w:tc>
          <w:tcPr>
            <w:tcW w:w="1985"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设施设备维护</w:t>
            </w:r>
            <w:r>
              <w:rPr>
                <w:rFonts w:ascii="Times New Roman" w:hAnsi="Times New Roman" w:cs="Times New Roman"/>
                <w:color w:val="000000"/>
                <w:sz w:val="24"/>
                <w:szCs w:val="28"/>
                <w:highlight w:val="none"/>
              </w:rPr>
            </w:r>
            <w:r/>
          </w:p>
        </w:tc>
        <w:tc>
          <w:tcPr>
            <w:tcW w:w="283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定期检查自动降雨系统，4只5立方米变坡钢槽，户外全彩P5显示屏，集水池供水与信息控制系统，电力系统与钢架结构。详见3.2、3.3。</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956"/>
        </w:trPr>
        <w:tc>
          <w:tcPr>
            <w:tcW w:w="70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三</w:t>
            </w:r>
            <w:r>
              <w:rPr>
                <w:rFonts w:ascii="Times New Roman" w:hAnsi="Times New Roman" w:cs="Times New Roman"/>
                <w:color w:val="000000"/>
                <w:sz w:val="24"/>
                <w:szCs w:val="28"/>
                <w:highlight w:val="none"/>
              </w:rPr>
            </w:r>
            <w:r/>
          </w:p>
        </w:tc>
        <w:tc>
          <w:tcPr>
            <w:tcW w:w="1985" w:type="dxa"/>
            <w:vAlign w:val="center"/>
            <w:textDirection w:val="lrTb"/>
            <w:noWrap w:val="false"/>
          </w:tcPr>
          <w:p>
            <w:pPr>
              <w:pStyle w:val="898"/>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供电系统日常管理</w:t>
            </w:r>
            <w:r>
              <w:rPr>
                <w:rFonts w:ascii="Times New Roman" w:hAnsi="Times New Roman" w:cs="Times New Roman"/>
                <w:color w:val="000000"/>
                <w:sz w:val="24"/>
                <w:szCs w:val="28"/>
                <w:highlight w:val="none"/>
              </w:rPr>
            </w:r>
            <w:r/>
          </w:p>
        </w:tc>
        <w:tc>
          <w:tcPr>
            <w:tcW w:w="283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建立24小时值班监控与相关管理制度，持证人员巡检维护电气设备，保障供电正常及用电安全，备应急发电设备，停电及时通报、处置并上报。详见3.2、3.3。</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956"/>
        </w:trPr>
        <w:tc>
          <w:tcPr>
            <w:tcW w:w="70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四</w:t>
            </w:r>
            <w:r>
              <w:rPr>
                <w:rFonts w:ascii="Times New Roman" w:hAnsi="Times New Roman" w:cs="Times New Roman"/>
                <w:color w:val="000000"/>
                <w:sz w:val="24"/>
                <w:szCs w:val="28"/>
                <w:highlight w:val="none"/>
              </w:rPr>
            </w:r>
            <w:r/>
          </w:p>
        </w:tc>
        <w:tc>
          <w:tcPr>
            <w:tcW w:w="1985" w:type="dxa"/>
            <w:vAlign w:val="center"/>
            <w:textDirection w:val="lrTb"/>
            <w:noWrap w:val="false"/>
          </w:tcPr>
          <w:p>
            <w:pPr>
              <w:pStyle w:val="898"/>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消防系统日常管理</w:t>
            </w:r>
            <w:r>
              <w:rPr>
                <w:rFonts w:ascii="Times New Roman" w:hAnsi="Times New Roman" w:cs="Times New Roman"/>
                <w:color w:val="000000"/>
                <w:sz w:val="24"/>
                <w:szCs w:val="28"/>
                <w:highlight w:val="none"/>
              </w:rPr>
            </w:r>
            <w:r/>
          </w:p>
        </w:tc>
        <w:tc>
          <w:tcPr>
            <w:tcW w:w="283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明确消防责任，排查隐患，维保登记，保障设施畅通可用。详见3.2、3.3。</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956"/>
        </w:trPr>
        <w:tc>
          <w:tcPr>
            <w:tcW w:w="70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五</w:t>
            </w:r>
            <w:r>
              <w:rPr>
                <w:rFonts w:ascii="Times New Roman" w:hAnsi="Times New Roman" w:cs="Times New Roman"/>
                <w:color w:val="000000"/>
                <w:sz w:val="24"/>
                <w:szCs w:val="28"/>
                <w:highlight w:val="none"/>
              </w:rPr>
            </w:r>
            <w:r/>
          </w:p>
        </w:tc>
        <w:tc>
          <w:tcPr>
            <w:tcW w:w="1985" w:type="dxa"/>
            <w:vAlign w:val="center"/>
            <w:textDirection w:val="lrTb"/>
            <w:noWrap w:val="false"/>
          </w:tcPr>
          <w:p>
            <w:pPr>
              <w:pStyle w:val="898"/>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给排水系统日常管理</w:t>
            </w:r>
            <w:r>
              <w:rPr>
                <w:rFonts w:ascii="Times New Roman" w:hAnsi="Times New Roman" w:cs="Times New Roman"/>
                <w:color w:val="000000"/>
                <w:sz w:val="24"/>
                <w:szCs w:val="28"/>
                <w:highlight w:val="none"/>
              </w:rPr>
            </w:r>
            <w:r/>
          </w:p>
        </w:tc>
        <w:tc>
          <w:tcPr>
            <w:tcW w:w="283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每月巡检给排水设施，保障正常运行，及时处置突发，做好维保登记，停水限水按时通知。详见3.2、3.3。</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570"/>
        </w:trPr>
        <w:tc>
          <w:tcPr>
            <w:tcW w:w="70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六</w:t>
            </w:r>
            <w:r>
              <w:rPr>
                <w:rFonts w:ascii="Times New Roman" w:hAnsi="Times New Roman" w:cs="Times New Roman"/>
                <w:color w:val="000000"/>
                <w:sz w:val="24"/>
                <w:szCs w:val="28"/>
                <w:highlight w:val="none"/>
              </w:rPr>
            </w:r>
            <w:r/>
          </w:p>
        </w:tc>
        <w:tc>
          <w:tcPr>
            <w:gridSpan w:val="5"/>
            <w:tcW w:w="737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合计</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bl>
    <w:p>
      <w:pPr>
        <w:pStyle w:val="960"/>
        <w:ind w:firstLine="482"/>
        <w:spacing w:before="0" w:beforeAutospacing="0" w:after="0" w:afterAutospacing="0" w:line="460" w:lineRule="exact"/>
        <w:shd w:val="clear" w:color="auto" w:fill="ffffff"/>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t xml:space="preserve">（5）水文水情教育服务报价清单</w:t>
      </w:r>
      <w:r>
        <w:rPr>
          <w:rFonts w:ascii="Times New Roman" w:hAnsi="Times New Roman" w:cs="Times New Roman"/>
          <w:b/>
          <w:bCs/>
          <w:color w:val="000000"/>
          <w:sz w:val="24"/>
          <w:szCs w:val="24"/>
          <w:highlight w:val="none"/>
        </w:rPr>
      </w:r>
      <w:r/>
    </w:p>
    <w:tbl>
      <w:tblPr>
        <w:tblW w:w="90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2126"/>
        <w:gridCol w:w="2835"/>
        <w:gridCol w:w="851"/>
        <w:gridCol w:w="850"/>
        <w:gridCol w:w="851"/>
        <w:gridCol w:w="850"/>
      </w:tblGrid>
      <w:tr>
        <w:trPr>
          <w:trHeight w:val="544"/>
        </w:trPr>
        <w:tc>
          <w:tcPr>
            <w:tcW w:w="714" w:type="dxa"/>
            <w:vAlign w:val="center"/>
            <w:textDirection w:val="lrTb"/>
            <w:noWrap w:val="false"/>
          </w:tcPr>
          <w:p>
            <w:pPr>
              <w:pStyle w:val="898"/>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序号</w:t>
            </w:r>
            <w:r>
              <w:rPr>
                <w:rFonts w:ascii="Times New Roman" w:hAnsi="Times New Roman" w:cs="Times New Roman"/>
                <w:bCs/>
                <w:color w:val="000000"/>
                <w:sz w:val="24"/>
                <w:szCs w:val="28"/>
                <w:highlight w:val="none"/>
              </w:rPr>
            </w:r>
            <w:r/>
          </w:p>
        </w:tc>
        <w:tc>
          <w:tcPr>
            <w:tcW w:w="2126" w:type="dxa"/>
            <w:vAlign w:val="center"/>
            <w:textDirection w:val="lrTb"/>
            <w:noWrap w:val="false"/>
          </w:tcPr>
          <w:p>
            <w:pPr>
              <w:pStyle w:val="898"/>
              <w:ind w:firstLine="480"/>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项目</w:t>
            </w:r>
            <w:r>
              <w:rPr>
                <w:rFonts w:ascii="Times New Roman" w:hAnsi="Times New Roman" w:cs="Times New Roman"/>
                <w:bCs/>
                <w:color w:val="000000"/>
                <w:sz w:val="24"/>
                <w:szCs w:val="28"/>
                <w:highlight w:val="none"/>
              </w:rPr>
            </w:r>
            <w:r/>
          </w:p>
        </w:tc>
        <w:tc>
          <w:tcPr>
            <w:tcW w:w="2835" w:type="dxa"/>
            <w:vAlign w:val="center"/>
            <w:textDirection w:val="lrTb"/>
            <w:noWrap w:val="false"/>
          </w:tcPr>
          <w:p>
            <w:pPr>
              <w:pStyle w:val="898"/>
              <w:ind w:firstLine="480"/>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项目特征</w:t>
            </w:r>
            <w:r>
              <w:rPr>
                <w:rFonts w:ascii="Times New Roman" w:hAnsi="Times New Roman" w:cs="Times New Roman"/>
                <w:bCs/>
                <w:color w:val="000000"/>
                <w:sz w:val="24"/>
                <w:szCs w:val="28"/>
                <w:highlight w:val="none"/>
              </w:rPr>
            </w:r>
            <w:r/>
          </w:p>
        </w:tc>
        <w:tc>
          <w:tcPr>
            <w:tcW w:w="851"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单位</w:t>
            </w:r>
            <w:r>
              <w:rPr>
                <w:rFonts w:ascii="Times New Roman" w:hAnsi="Times New Roman" w:cs="Times New Roman"/>
                <w:bCs/>
                <w:color w:val="000000"/>
                <w:sz w:val="24"/>
                <w:szCs w:val="28"/>
                <w:highlight w:val="none"/>
              </w:rPr>
            </w:r>
            <w:r/>
          </w:p>
        </w:tc>
        <w:tc>
          <w:tcPr>
            <w:tcW w:w="850"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数量</w:t>
            </w:r>
            <w:r>
              <w:rPr>
                <w:rFonts w:ascii="Times New Roman" w:hAnsi="Times New Roman" w:cs="Times New Roman"/>
                <w:bCs/>
                <w:color w:val="000000"/>
                <w:sz w:val="24"/>
                <w:szCs w:val="28"/>
                <w:highlight w:val="none"/>
              </w:rPr>
            </w:r>
            <w:r/>
          </w:p>
        </w:tc>
        <w:tc>
          <w:tcPr>
            <w:tcW w:w="851"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单价/万元</w:t>
            </w:r>
            <w:r>
              <w:rPr>
                <w:rFonts w:ascii="Times New Roman" w:hAnsi="Times New Roman" w:cs="Times New Roman"/>
                <w:bCs/>
                <w:color w:val="000000"/>
                <w:sz w:val="24"/>
                <w:szCs w:val="28"/>
                <w:highlight w:val="none"/>
              </w:rPr>
            </w:r>
            <w:r/>
          </w:p>
        </w:tc>
        <w:tc>
          <w:tcPr>
            <w:tcW w:w="850"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合价/万元</w:t>
            </w:r>
            <w:r>
              <w:rPr>
                <w:rFonts w:ascii="Times New Roman" w:hAnsi="Times New Roman" w:cs="Times New Roman"/>
                <w:bCs/>
                <w:color w:val="000000"/>
                <w:sz w:val="24"/>
                <w:szCs w:val="28"/>
                <w:highlight w:val="none"/>
              </w:rPr>
            </w:r>
            <w:r/>
          </w:p>
        </w:tc>
      </w:tr>
      <w:tr>
        <w:trPr>
          <w:trHeight w:val="544"/>
        </w:trPr>
        <w:tc>
          <w:tcPr>
            <w:tcW w:w="714" w:type="dxa"/>
            <w:vAlign w:val="center"/>
            <w:textDirection w:val="lrTb"/>
            <w:noWrap w:val="false"/>
          </w:tcPr>
          <w:p>
            <w:pPr>
              <w:pStyle w:val="898"/>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一</w:t>
            </w:r>
            <w:r>
              <w:rPr>
                <w:rFonts w:ascii="Times New Roman" w:hAnsi="Times New Roman" w:cs="Times New Roman"/>
                <w:bCs/>
                <w:color w:val="000000"/>
                <w:sz w:val="24"/>
                <w:szCs w:val="28"/>
                <w:highlight w:val="none"/>
              </w:rPr>
            </w:r>
            <w:r/>
          </w:p>
        </w:tc>
        <w:tc>
          <w:tcPr>
            <w:tcW w:w="2126" w:type="dxa"/>
            <w:vAlign w:val="center"/>
            <w:textDirection w:val="lrTb"/>
            <w:noWrap w:val="false"/>
          </w:tcPr>
          <w:p>
            <w:pPr>
              <w:pStyle w:val="898"/>
              <w:ind w:firstLine="36"/>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室外教育场所维护</w:t>
            </w:r>
            <w:r>
              <w:rPr>
                <w:rFonts w:ascii="Times New Roman" w:hAnsi="Times New Roman" w:cs="Times New Roman"/>
                <w:bCs/>
                <w:color w:val="000000"/>
                <w:sz w:val="24"/>
                <w:szCs w:val="28"/>
                <w:highlight w:val="none"/>
              </w:rPr>
            </w:r>
            <w:r/>
          </w:p>
        </w:tc>
        <w:tc>
          <w:tcPr>
            <w:tcW w:w="2835" w:type="dxa"/>
            <w:vAlign w:val="center"/>
            <w:textDirection w:val="lrTb"/>
            <w:noWrap w:val="false"/>
          </w:tcPr>
          <w:p>
            <w:pPr>
              <w:pStyle w:val="898"/>
              <w:ind w:firstLine="480"/>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r>
            <w:r/>
          </w:p>
        </w:tc>
        <w:tc>
          <w:tcPr>
            <w:tcW w:w="851"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r>
            <w:r/>
          </w:p>
        </w:tc>
        <w:tc>
          <w:tcPr>
            <w:tcW w:w="850"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r>
            <w:r/>
          </w:p>
        </w:tc>
        <w:tc>
          <w:tcPr>
            <w:tcW w:w="851"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r>
            <w:r/>
          </w:p>
        </w:tc>
        <w:tc>
          <w:tcPr>
            <w:tcW w:w="850"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r>
            <w:r/>
          </w:p>
        </w:tc>
      </w:tr>
      <w:tr>
        <w:trPr>
          <w:trHeight w:val="2409"/>
        </w:trPr>
        <w:tc>
          <w:tcPr>
            <w:tcW w:w="71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w:t>
            </w:r>
            <w:r>
              <w:rPr>
                <w:rFonts w:ascii="Times New Roman" w:hAnsi="Times New Roman" w:cs="Times New Roman"/>
                <w:color w:val="000000"/>
                <w:sz w:val="24"/>
                <w:szCs w:val="28"/>
                <w:highlight w:val="none"/>
              </w:rPr>
            </w:r>
            <w:r/>
          </w:p>
        </w:tc>
        <w:tc>
          <w:tcPr>
            <w:tcW w:w="2126"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I级养护</w:t>
            </w:r>
            <w:r>
              <w:rPr>
                <w:rFonts w:ascii="Times New Roman" w:hAnsi="Times New Roman" w:cs="Times New Roman"/>
                <w:color w:val="000000"/>
                <w:sz w:val="24"/>
                <w:szCs w:val="28"/>
                <w:highlight w:val="none"/>
              </w:rPr>
            </w:r>
            <w:r/>
          </w:p>
        </w:tc>
        <w:tc>
          <w:tcPr>
            <w:tcW w:w="283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绿地保洁；2、修剪（树木修剪、草坪修剪）；3、浇水、排水；4、中耕松土、除草；5、施肥；6、喷药除虫（病虫害防治）；7、树木加固、绑扎；8、防冻保暖；9、四季草花的更换；10、部分场地换种植土等。详见4.2、4.3。</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550"/>
        </w:trPr>
        <w:tc>
          <w:tcPr>
            <w:tcW w:w="71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w:t>
            </w:r>
            <w:r>
              <w:rPr>
                <w:rFonts w:ascii="Times New Roman" w:hAnsi="Times New Roman" w:cs="Times New Roman"/>
                <w:color w:val="000000"/>
                <w:sz w:val="24"/>
                <w:szCs w:val="28"/>
                <w:highlight w:val="none"/>
              </w:rPr>
            </w:r>
            <w:r/>
          </w:p>
        </w:tc>
        <w:tc>
          <w:tcPr>
            <w:tcW w:w="2126"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透水面维修</w:t>
            </w:r>
            <w:r>
              <w:rPr>
                <w:rFonts w:ascii="Times New Roman" w:hAnsi="Times New Roman" w:cs="Times New Roman"/>
                <w:color w:val="000000"/>
                <w:sz w:val="24"/>
                <w:szCs w:val="28"/>
                <w:highlight w:val="none"/>
              </w:rPr>
            </w:r>
            <w:r/>
          </w:p>
        </w:tc>
        <w:tc>
          <w:tcPr>
            <w:tcW w:w="283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补种麦冬，49丛/平方米，2~3芽/丛。详见4.2、4.3。</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m</w:t>
            </w:r>
            <w:r>
              <w:rPr>
                <w:rFonts w:ascii="Times New Roman" w:hAnsi="Times New Roman" w:cs="Times New Roman"/>
                <w:color w:val="000000"/>
                <w:sz w:val="24"/>
                <w:szCs w:val="28"/>
                <w:highlight w:val="none"/>
                <w:vertAlign w:val="superscript"/>
              </w:rPr>
              <w:t xml:space="preserve">2</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300</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1118"/>
        </w:trPr>
        <w:tc>
          <w:tcPr>
            <w:tcW w:w="71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w:t>
            </w:r>
            <w:r>
              <w:rPr>
                <w:rFonts w:ascii="Times New Roman" w:hAnsi="Times New Roman" w:cs="Times New Roman"/>
                <w:color w:val="000000"/>
                <w:sz w:val="24"/>
                <w:szCs w:val="28"/>
                <w:highlight w:val="none"/>
              </w:rPr>
            </w:r>
            <w:r/>
          </w:p>
        </w:tc>
        <w:tc>
          <w:tcPr>
            <w:tcW w:w="2126"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苗木补种</w:t>
            </w:r>
            <w:r>
              <w:rPr>
                <w:rFonts w:ascii="Times New Roman" w:hAnsi="Times New Roman" w:cs="Times New Roman"/>
                <w:color w:val="000000"/>
                <w:sz w:val="24"/>
                <w:szCs w:val="28"/>
                <w:highlight w:val="none"/>
              </w:rPr>
            </w:r>
            <w:r/>
          </w:p>
        </w:tc>
        <w:tc>
          <w:tcPr>
            <w:tcW w:w="283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院落缺损苗木补种（红叶石楠、冬青、海桐、毛娟、凌霄、紫藤等）与原苗木规格一致。详见4.2、4.3。</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m</w:t>
            </w:r>
            <w:r>
              <w:rPr>
                <w:rFonts w:ascii="Times New Roman" w:hAnsi="Times New Roman" w:cs="Times New Roman"/>
                <w:color w:val="000000"/>
                <w:sz w:val="24"/>
                <w:szCs w:val="28"/>
                <w:highlight w:val="none"/>
                <w:vertAlign w:val="superscript"/>
              </w:rPr>
              <w:t xml:space="preserve">2</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75</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90"/>
        </w:trPr>
        <w:tc>
          <w:tcPr>
            <w:tcW w:w="71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4</w:t>
            </w:r>
            <w:r>
              <w:rPr>
                <w:rFonts w:ascii="Times New Roman" w:hAnsi="Times New Roman" w:cs="Times New Roman"/>
                <w:color w:val="000000"/>
                <w:sz w:val="24"/>
                <w:szCs w:val="28"/>
                <w:highlight w:val="none"/>
              </w:rPr>
            </w:r>
            <w:r/>
          </w:p>
        </w:tc>
        <w:tc>
          <w:tcPr>
            <w:tcW w:w="2126"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乔木种植和移栽</w:t>
            </w:r>
            <w:r>
              <w:rPr>
                <w:rFonts w:ascii="Times New Roman" w:hAnsi="Times New Roman" w:cs="Times New Roman"/>
                <w:color w:val="000000"/>
                <w:sz w:val="24"/>
                <w:szCs w:val="28"/>
                <w:highlight w:val="none"/>
              </w:rPr>
            </w:r>
            <w:r/>
          </w:p>
        </w:tc>
        <w:tc>
          <w:tcPr>
            <w:tcW w:w="283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新栽乔木胸径4-15厘米，成活率100%；移栽乔木，移栽前保护根系，移栽后固定树木、保持土壤湿润，成活率100%。详见4.2、4.3。</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株</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30</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956"/>
        </w:trPr>
        <w:tc>
          <w:tcPr>
            <w:tcW w:w="71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w:t>
            </w:r>
            <w:r>
              <w:rPr>
                <w:rFonts w:ascii="Times New Roman" w:hAnsi="Times New Roman" w:cs="Times New Roman"/>
                <w:color w:val="000000"/>
                <w:sz w:val="24"/>
                <w:szCs w:val="28"/>
                <w:highlight w:val="none"/>
              </w:rPr>
            </w:r>
            <w:r/>
          </w:p>
        </w:tc>
        <w:tc>
          <w:tcPr>
            <w:tcW w:w="2126"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垃圾外运</w:t>
            </w:r>
            <w:r>
              <w:rPr>
                <w:rFonts w:ascii="Times New Roman" w:hAnsi="Times New Roman" w:cs="Times New Roman"/>
                <w:color w:val="000000"/>
                <w:sz w:val="24"/>
                <w:szCs w:val="28"/>
                <w:highlight w:val="none"/>
              </w:rPr>
            </w:r>
            <w:r/>
          </w:p>
        </w:tc>
        <w:tc>
          <w:tcPr>
            <w:tcW w:w="283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及时袋装、堆放整齐，压实，每周清运1次。详见4.2、4.3。</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956"/>
        </w:trPr>
        <w:tc>
          <w:tcPr>
            <w:tcW w:w="71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6</w:t>
            </w:r>
            <w:r>
              <w:rPr>
                <w:rFonts w:ascii="Times New Roman" w:hAnsi="Times New Roman" w:cs="Times New Roman"/>
                <w:color w:val="000000"/>
                <w:sz w:val="24"/>
                <w:szCs w:val="28"/>
                <w:highlight w:val="none"/>
              </w:rPr>
            </w:r>
            <w:r/>
          </w:p>
        </w:tc>
        <w:tc>
          <w:tcPr>
            <w:tcW w:w="2126"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水景与水生态维护</w:t>
            </w:r>
            <w:r>
              <w:rPr>
                <w:rFonts w:ascii="Times New Roman" w:hAnsi="Times New Roman" w:cs="Times New Roman"/>
                <w:color w:val="000000"/>
                <w:sz w:val="24"/>
                <w:szCs w:val="28"/>
                <w:highlight w:val="none"/>
              </w:rPr>
            </w:r>
            <w:r/>
          </w:p>
        </w:tc>
        <w:tc>
          <w:tcPr>
            <w:tcW w:w="283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定期打捞漂浮物、监测水生植物和净化生物的生长情况，适度干预和管理。详见4.2、4.3。</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956"/>
        </w:trPr>
        <w:tc>
          <w:tcPr>
            <w:tcW w:w="71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7</w:t>
            </w:r>
            <w:r>
              <w:rPr>
                <w:rFonts w:ascii="Times New Roman" w:hAnsi="Times New Roman" w:cs="Times New Roman"/>
                <w:color w:val="000000"/>
                <w:sz w:val="24"/>
                <w:szCs w:val="28"/>
                <w:highlight w:val="none"/>
              </w:rPr>
            </w:r>
            <w:r/>
          </w:p>
        </w:tc>
        <w:tc>
          <w:tcPr>
            <w:tcW w:w="2126"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水体净化平台维护</w:t>
            </w:r>
            <w:r>
              <w:rPr>
                <w:rFonts w:ascii="Times New Roman" w:hAnsi="Times New Roman" w:cs="Times New Roman"/>
                <w:color w:val="000000"/>
                <w:sz w:val="24"/>
                <w:szCs w:val="28"/>
                <w:highlight w:val="none"/>
              </w:rPr>
            </w:r>
            <w:r/>
          </w:p>
        </w:tc>
        <w:tc>
          <w:tcPr>
            <w:tcW w:w="283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保持平台清洁，无垃圾、青苔。详见4.2、4.3。</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956"/>
        </w:trPr>
        <w:tc>
          <w:tcPr>
            <w:tcW w:w="71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8</w:t>
            </w:r>
            <w:r>
              <w:rPr>
                <w:rFonts w:ascii="Times New Roman" w:hAnsi="Times New Roman" w:cs="Times New Roman"/>
                <w:color w:val="000000"/>
                <w:sz w:val="24"/>
                <w:szCs w:val="28"/>
                <w:highlight w:val="none"/>
              </w:rPr>
            </w:r>
            <w:r/>
          </w:p>
        </w:tc>
        <w:tc>
          <w:tcPr>
            <w:tcW w:w="2126"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设备场地维护</w:t>
            </w:r>
            <w:r>
              <w:rPr>
                <w:rFonts w:ascii="Times New Roman" w:hAnsi="Times New Roman" w:cs="Times New Roman"/>
                <w:color w:val="000000"/>
                <w:sz w:val="24"/>
                <w:szCs w:val="28"/>
                <w:highlight w:val="none"/>
              </w:rPr>
            </w:r>
            <w:r/>
          </w:p>
        </w:tc>
        <w:tc>
          <w:tcPr>
            <w:tcW w:w="283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每月清洁雕塑等设施，保障观测监测区整洁排水通畅。详见4.2、4.3。</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956"/>
        </w:trPr>
        <w:tc>
          <w:tcPr>
            <w:tcW w:w="71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二</w:t>
            </w:r>
            <w:r>
              <w:rPr>
                <w:rFonts w:ascii="Times New Roman" w:hAnsi="Times New Roman" w:cs="Times New Roman"/>
                <w:color w:val="000000"/>
                <w:sz w:val="24"/>
                <w:szCs w:val="28"/>
                <w:highlight w:val="none"/>
              </w:rPr>
            </w:r>
            <w:r/>
          </w:p>
        </w:tc>
        <w:tc>
          <w:tcPr>
            <w:tcW w:w="2126"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室内场地综合管理与日常维护</w:t>
            </w:r>
            <w:r>
              <w:rPr>
                <w:rFonts w:ascii="Times New Roman" w:hAnsi="Times New Roman" w:cs="Times New Roman"/>
                <w:color w:val="000000"/>
                <w:sz w:val="24"/>
                <w:szCs w:val="28"/>
                <w:highlight w:val="none"/>
              </w:rPr>
            </w:r>
            <w:r/>
          </w:p>
        </w:tc>
        <w:tc>
          <w:tcPr>
            <w:tcW w:w="283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956"/>
        </w:trPr>
        <w:tc>
          <w:tcPr>
            <w:tcW w:w="71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w:t>
            </w:r>
            <w:r>
              <w:rPr>
                <w:rFonts w:ascii="Times New Roman" w:hAnsi="Times New Roman" w:cs="Times New Roman"/>
                <w:color w:val="000000"/>
                <w:sz w:val="24"/>
                <w:szCs w:val="28"/>
                <w:highlight w:val="none"/>
              </w:rPr>
            </w:r>
            <w:r/>
          </w:p>
        </w:tc>
        <w:tc>
          <w:tcPr>
            <w:tcW w:w="2126"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房屋及附属设施日常管理</w:t>
            </w:r>
            <w:r>
              <w:rPr>
                <w:rFonts w:ascii="Times New Roman" w:hAnsi="Times New Roman" w:cs="Times New Roman"/>
                <w:color w:val="000000"/>
                <w:sz w:val="24"/>
                <w:szCs w:val="28"/>
                <w:highlight w:val="none"/>
              </w:rPr>
            </w:r>
            <w:r/>
          </w:p>
        </w:tc>
        <w:tc>
          <w:tcPr>
            <w:tcW w:w="283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日巡全公共区留记录，简报修30分钟、急报修10分钟，门窗五金完好，小修2小时响应，4小时修复，钥匙管理规范。详见4.2、4.3。</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956"/>
        </w:trPr>
        <w:tc>
          <w:tcPr>
            <w:tcW w:w="71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w:t>
            </w:r>
            <w:r>
              <w:rPr>
                <w:rFonts w:ascii="Times New Roman" w:hAnsi="Times New Roman" w:cs="Times New Roman"/>
                <w:color w:val="000000"/>
                <w:sz w:val="24"/>
                <w:szCs w:val="28"/>
                <w:highlight w:val="none"/>
              </w:rPr>
            </w:r>
            <w:r/>
          </w:p>
        </w:tc>
        <w:tc>
          <w:tcPr>
            <w:tcW w:w="2126"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设备日常运维管理</w:t>
            </w:r>
            <w:r>
              <w:rPr>
                <w:rFonts w:ascii="Times New Roman" w:hAnsi="Times New Roman" w:cs="Times New Roman"/>
                <w:color w:val="000000"/>
                <w:sz w:val="24"/>
                <w:szCs w:val="28"/>
                <w:highlight w:val="none"/>
              </w:rPr>
            </w:r>
            <w:r/>
          </w:p>
        </w:tc>
        <w:tc>
          <w:tcPr>
            <w:tcW w:w="283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电梯：配合法定年检及月/季度维保并留记录，困人5分钟内到场安抚救援。空调：配合维保，冬夏供能前完成系统检查，设备问题及时报采购方并联系维保。给排水：无跑冒滴漏，小堵塞2小时内疏通。照明：公共区域完好率≥98%，一般故障4小时内修复。详见4.2、4.3。</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956"/>
        </w:trPr>
        <w:tc>
          <w:tcPr>
            <w:tcW w:w="71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w:t>
            </w:r>
            <w:r>
              <w:rPr>
                <w:rFonts w:ascii="Times New Roman" w:hAnsi="Times New Roman" w:cs="Times New Roman"/>
                <w:color w:val="000000"/>
                <w:sz w:val="24"/>
                <w:szCs w:val="28"/>
                <w:highlight w:val="none"/>
              </w:rPr>
            </w:r>
            <w:r/>
          </w:p>
        </w:tc>
        <w:tc>
          <w:tcPr>
            <w:tcW w:w="2126"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秩序维护与安全管理</w:t>
            </w:r>
            <w:r>
              <w:rPr>
                <w:rFonts w:ascii="Times New Roman" w:hAnsi="Times New Roman" w:cs="Times New Roman"/>
                <w:color w:val="000000"/>
                <w:sz w:val="24"/>
                <w:szCs w:val="28"/>
                <w:highlight w:val="none"/>
              </w:rPr>
            </w:r>
            <w:r/>
          </w:p>
        </w:tc>
        <w:tc>
          <w:tcPr>
            <w:tcW w:w="283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门岗24小时值守登记人车，重点区域昼夜每2 时巡逻留痕。监控专人值守/定时查，异常3分钟内确认上报。消防设施日巡完好率100%，通道无占用，员工年消防演练≥2 次。参观时疏导人流，突发事件3分钟内响应。详见4.2、4.3。</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956"/>
        </w:trPr>
        <w:tc>
          <w:tcPr>
            <w:tcW w:w="71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4</w:t>
            </w:r>
            <w:r>
              <w:rPr>
                <w:rFonts w:ascii="Times New Roman" w:hAnsi="Times New Roman" w:cs="Times New Roman"/>
                <w:color w:val="000000"/>
                <w:sz w:val="24"/>
                <w:szCs w:val="28"/>
                <w:highlight w:val="none"/>
              </w:rPr>
            </w:r>
            <w:r/>
          </w:p>
        </w:tc>
        <w:tc>
          <w:tcPr>
            <w:tcW w:w="2126"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环境保洁服务</w:t>
            </w:r>
            <w:r>
              <w:rPr>
                <w:rFonts w:ascii="Times New Roman" w:hAnsi="Times New Roman" w:cs="Times New Roman"/>
                <w:color w:val="000000"/>
                <w:sz w:val="24"/>
                <w:szCs w:val="28"/>
                <w:highlight w:val="none"/>
              </w:rPr>
            </w:r>
            <w:r/>
          </w:p>
        </w:tc>
        <w:tc>
          <w:tcPr>
            <w:tcW w:w="283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公共区域：地面洁净无垃圾水渍污渍，垃圾篓≤2/3满、日清≥2次。</w:t>
            </w:r>
            <w:r>
              <w:rPr>
                <w:rFonts w:ascii="Times New Roman" w:hAnsi="Times New Roman" w:cs="Times New Roman"/>
                <w:color w:val="000000"/>
                <w:sz w:val="24"/>
                <w:szCs w:val="28"/>
                <w:highlight w:val="none"/>
              </w:rPr>
            </w:r>
            <w:r/>
          </w:p>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专项保洁：高空区域年洁1次无蛛网积尘；卫生间日洁≥3次、每小时巡检，洁净无异味。</w:t>
            </w:r>
            <w:r>
              <w:rPr>
                <w:rFonts w:ascii="Times New Roman" w:hAnsi="Times New Roman" w:cs="Times New Roman"/>
                <w:color w:val="000000"/>
                <w:sz w:val="24"/>
                <w:szCs w:val="28"/>
                <w:highlight w:val="none"/>
              </w:rPr>
            </w:r>
            <w:r/>
          </w:p>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特殊区域：实验室用中性清洁剂，档案库房防静电清洁，展厅玻璃日擦、手印2小时内清除；器皿按规清洗。</w:t>
            </w:r>
            <w:r>
              <w:rPr>
                <w:rFonts w:ascii="Times New Roman" w:hAnsi="Times New Roman" w:cs="Times New Roman"/>
                <w:color w:val="000000"/>
                <w:sz w:val="24"/>
                <w:szCs w:val="28"/>
                <w:highlight w:val="none"/>
              </w:rPr>
            </w:r>
            <w:r/>
          </w:p>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垃圾：分类收集，存放点日清无满溢、异味、蚊蝇。详见4.2、4.3。</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956"/>
        </w:trPr>
        <w:tc>
          <w:tcPr>
            <w:tcW w:w="71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三</w:t>
            </w:r>
            <w:r>
              <w:rPr>
                <w:rFonts w:ascii="Times New Roman" w:hAnsi="Times New Roman" w:cs="Times New Roman"/>
                <w:color w:val="000000"/>
                <w:sz w:val="24"/>
                <w:szCs w:val="28"/>
                <w:highlight w:val="none"/>
              </w:rPr>
            </w:r>
            <w:r/>
          </w:p>
        </w:tc>
        <w:tc>
          <w:tcPr>
            <w:tcW w:w="2126"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水情教育接待支持服务</w:t>
            </w:r>
            <w:r>
              <w:rPr>
                <w:rFonts w:ascii="Times New Roman" w:hAnsi="Times New Roman" w:cs="Times New Roman"/>
                <w:color w:val="000000"/>
                <w:sz w:val="24"/>
                <w:szCs w:val="28"/>
                <w:highlight w:val="none"/>
              </w:rPr>
            </w:r>
            <w:r/>
          </w:p>
        </w:tc>
        <w:tc>
          <w:tcPr>
            <w:tcW w:w="2835"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开放时段前台值守，文明热情并准确回应基础问询。开展前1小时整理展厅、检查设备，问题提前1小时报修。参观期间保障动线畅通、地面干爽无隐患，协助特殊群体。休息区桌椅整洁、饮用水充足，驾驶员提前10分钟到岗，确保车况良好、安全礼貌服务。详见4.2、4.3。</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570"/>
        </w:trPr>
        <w:tc>
          <w:tcPr>
            <w:tcW w:w="714"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四</w:t>
            </w:r>
            <w:r>
              <w:rPr>
                <w:rFonts w:ascii="Times New Roman" w:hAnsi="Times New Roman" w:cs="Times New Roman"/>
                <w:color w:val="000000"/>
                <w:sz w:val="24"/>
                <w:szCs w:val="28"/>
                <w:highlight w:val="none"/>
              </w:rPr>
            </w:r>
            <w:r/>
          </w:p>
        </w:tc>
        <w:tc>
          <w:tcPr>
            <w:gridSpan w:val="5"/>
            <w:tcW w:w="7513"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合计</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bl>
    <w:p>
      <w:pPr>
        <w:pStyle w:val="960"/>
        <w:ind w:firstLine="482"/>
        <w:spacing w:before="0" w:beforeAutospacing="0" w:after="0" w:afterAutospacing="0" w:line="460" w:lineRule="exact"/>
        <w:shd w:val="clear" w:color="auto" w:fill="ffffff"/>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t xml:space="preserve">（6）灾备机房运维报价清单</w:t>
      </w:r>
      <w:r>
        <w:rPr>
          <w:rFonts w:ascii="Times New Roman" w:hAnsi="Times New Roman" w:cs="Times New Roman"/>
          <w:b/>
          <w:bCs/>
          <w:color w:val="000000"/>
          <w:sz w:val="24"/>
          <w:szCs w:val="24"/>
          <w:highlight w:val="none"/>
        </w:rPr>
      </w:r>
      <w:r/>
    </w:p>
    <w:tbl>
      <w:tblPr>
        <w:tblW w:w="90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701"/>
        <w:gridCol w:w="3118"/>
        <w:gridCol w:w="851"/>
        <w:gridCol w:w="850"/>
        <w:gridCol w:w="851"/>
        <w:gridCol w:w="850"/>
      </w:tblGrid>
      <w:tr>
        <w:trPr>
          <w:trHeight w:val="544"/>
        </w:trPr>
        <w:tc>
          <w:tcPr>
            <w:tcW w:w="846" w:type="dxa"/>
            <w:vAlign w:val="center"/>
            <w:textDirection w:val="lrTb"/>
            <w:noWrap w:val="false"/>
          </w:tcPr>
          <w:p>
            <w:pPr>
              <w:pStyle w:val="898"/>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序号</w:t>
            </w:r>
            <w:r>
              <w:rPr>
                <w:rFonts w:ascii="Times New Roman" w:hAnsi="Times New Roman" w:cs="Times New Roman"/>
                <w:bCs/>
                <w:color w:val="000000"/>
                <w:sz w:val="24"/>
                <w:szCs w:val="28"/>
                <w:highlight w:val="none"/>
              </w:rPr>
            </w:r>
            <w:r/>
          </w:p>
        </w:tc>
        <w:tc>
          <w:tcPr>
            <w:tcW w:w="1701" w:type="dxa"/>
            <w:vAlign w:val="center"/>
            <w:textDirection w:val="lrTb"/>
            <w:noWrap w:val="false"/>
          </w:tcPr>
          <w:p>
            <w:pPr>
              <w:pStyle w:val="898"/>
              <w:ind w:firstLine="480"/>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项目</w:t>
            </w:r>
            <w:r>
              <w:rPr>
                <w:rFonts w:ascii="Times New Roman" w:hAnsi="Times New Roman" w:cs="Times New Roman"/>
                <w:bCs/>
                <w:color w:val="000000"/>
                <w:sz w:val="24"/>
                <w:szCs w:val="28"/>
                <w:highlight w:val="none"/>
              </w:rPr>
            </w:r>
            <w:r/>
          </w:p>
        </w:tc>
        <w:tc>
          <w:tcPr>
            <w:tcW w:w="3118" w:type="dxa"/>
            <w:vAlign w:val="center"/>
            <w:textDirection w:val="lrTb"/>
            <w:noWrap w:val="false"/>
          </w:tcPr>
          <w:p>
            <w:pPr>
              <w:pStyle w:val="898"/>
              <w:ind w:firstLine="480"/>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项目特征</w:t>
            </w:r>
            <w:r>
              <w:rPr>
                <w:rFonts w:ascii="Times New Roman" w:hAnsi="Times New Roman" w:cs="Times New Roman"/>
                <w:bCs/>
                <w:color w:val="000000"/>
                <w:sz w:val="24"/>
                <w:szCs w:val="28"/>
                <w:highlight w:val="none"/>
              </w:rPr>
            </w:r>
            <w:r/>
          </w:p>
        </w:tc>
        <w:tc>
          <w:tcPr>
            <w:tcW w:w="851"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单位</w:t>
            </w:r>
            <w:r>
              <w:rPr>
                <w:rFonts w:ascii="Times New Roman" w:hAnsi="Times New Roman" w:cs="Times New Roman"/>
                <w:bCs/>
                <w:color w:val="000000"/>
                <w:sz w:val="24"/>
                <w:szCs w:val="28"/>
                <w:highlight w:val="none"/>
              </w:rPr>
            </w:r>
            <w:r/>
          </w:p>
        </w:tc>
        <w:tc>
          <w:tcPr>
            <w:tcW w:w="850"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数量</w:t>
            </w:r>
            <w:r>
              <w:rPr>
                <w:rFonts w:ascii="Times New Roman" w:hAnsi="Times New Roman" w:cs="Times New Roman"/>
                <w:bCs/>
                <w:color w:val="000000"/>
                <w:sz w:val="24"/>
                <w:szCs w:val="28"/>
                <w:highlight w:val="none"/>
              </w:rPr>
            </w:r>
            <w:r/>
          </w:p>
        </w:tc>
        <w:tc>
          <w:tcPr>
            <w:tcW w:w="851"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单价/万元</w:t>
            </w:r>
            <w:r>
              <w:rPr>
                <w:rFonts w:ascii="Times New Roman" w:hAnsi="Times New Roman" w:cs="Times New Roman"/>
                <w:bCs/>
                <w:color w:val="000000"/>
                <w:sz w:val="24"/>
                <w:szCs w:val="28"/>
                <w:highlight w:val="none"/>
              </w:rPr>
            </w:r>
            <w:r/>
          </w:p>
        </w:tc>
        <w:tc>
          <w:tcPr>
            <w:tcW w:w="850"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t xml:space="preserve">合价/万元</w:t>
            </w:r>
            <w:r>
              <w:rPr>
                <w:rFonts w:ascii="Times New Roman" w:hAnsi="Times New Roman" w:cs="Times New Roman"/>
                <w:bCs/>
                <w:color w:val="000000"/>
                <w:sz w:val="24"/>
                <w:szCs w:val="28"/>
                <w:highlight w:val="none"/>
              </w:rPr>
            </w:r>
            <w:r/>
          </w:p>
        </w:tc>
      </w:tr>
      <w:tr>
        <w:trPr>
          <w:trHeight w:val="544"/>
        </w:trPr>
        <w:tc>
          <w:tcPr>
            <w:tcW w:w="846"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一</w:t>
            </w:r>
            <w:r>
              <w:rPr>
                <w:rFonts w:ascii="Times New Roman" w:hAnsi="Times New Roman" w:cs="Times New Roman"/>
                <w:color w:val="000000"/>
                <w:sz w:val="24"/>
                <w:szCs w:val="28"/>
                <w:highlight w:val="none"/>
              </w:rPr>
            </w:r>
            <w:r/>
          </w:p>
        </w:tc>
        <w:tc>
          <w:tcPr>
            <w:tcW w:w="1701"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综合管理及日常运行维护</w:t>
            </w:r>
            <w:r>
              <w:rPr>
                <w:rFonts w:ascii="Times New Roman" w:hAnsi="Times New Roman" w:cs="Times New Roman"/>
                <w:color w:val="000000"/>
                <w:sz w:val="24"/>
                <w:szCs w:val="28"/>
                <w:highlight w:val="none"/>
              </w:rPr>
            </w:r>
            <w:r/>
          </w:p>
        </w:tc>
        <w:tc>
          <w:tcPr>
            <w:tcW w:w="3118"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r>
            <w:r/>
          </w:p>
        </w:tc>
        <w:tc>
          <w:tcPr>
            <w:tcW w:w="850" w:type="dxa"/>
            <w:vAlign w:val="center"/>
            <w:textDirection w:val="lrTb"/>
            <w:noWrap w:val="false"/>
          </w:tcPr>
          <w:p>
            <w:pPr>
              <w:pStyle w:val="898"/>
              <w:ind w:firstLine="24"/>
              <w:spacing w:line="0" w:lineRule="atLeast"/>
              <w:rPr>
                <w:rFonts w:ascii="Times New Roman" w:hAnsi="Times New Roman" w:cs="Times New Roman"/>
                <w:bCs/>
                <w:color w:val="000000"/>
                <w:sz w:val="24"/>
                <w:szCs w:val="28"/>
                <w:highlight w:val="none"/>
              </w:rPr>
            </w:pPr>
            <w:r>
              <w:rPr>
                <w:rFonts w:ascii="Times New Roman" w:hAnsi="Times New Roman" w:cs="Times New Roman"/>
                <w:bCs/>
                <w:color w:val="000000"/>
                <w:sz w:val="24"/>
                <w:szCs w:val="28"/>
                <w:highlight w:val="none"/>
              </w:rPr>
            </w:r>
            <w:r/>
          </w:p>
        </w:tc>
      </w:tr>
      <w:tr>
        <w:trPr>
          <w:trHeight w:val="1480"/>
        </w:trPr>
        <w:tc>
          <w:tcPr>
            <w:tcW w:w="846"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w:t>
            </w:r>
            <w:r>
              <w:rPr>
                <w:rFonts w:ascii="Times New Roman" w:hAnsi="Times New Roman" w:cs="Times New Roman"/>
                <w:color w:val="000000"/>
                <w:sz w:val="24"/>
                <w:szCs w:val="28"/>
                <w:highlight w:val="none"/>
              </w:rPr>
            </w:r>
            <w:r/>
          </w:p>
        </w:tc>
        <w:tc>
          <w:tcPr>
            <w:tcW w:w="1701"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房屋及附属设施日常管理</w:t>
            </w:r>
            <w:r>
              <w:rPr>
                <w:rFonts w:ascii="Times New Roman" w:hAnsi="Times New Roman" w:cs="Times New Roman"/>
                <w:color w:val="000000"/>
                <w:sz w:val="24"/>
                <w:szCs w:val="28"/>
                <w:highlight w:val="none"/>
              </w:rPr>
            </w:r>
            <w:r/>
          </w:p>
        </w:tc>
        <w:tc>
          <w:tcPr>
            <w:tcW w:w="3118"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每日巡检负一层至一层管理区域，覆盖建筑结构、门窗、墙面等，重点核查机房密闭性与防水防潮情况，发现问题及时记录报修。负责普通区域门窗润滑、小五金更换等常规维护，同时检查机房防火门、密闭门功能。协助管理核心区域使用秩序，禁止无关人员进入。详见5.2、5.3。</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550"/>
        </w:trPr>
        <w:tc>
          <w:tcPr>
            <w:tcW w:w="846"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w:t>
            </w:r>
            <w:r>
              <w:rPr>
                <w:rFonts w:ascii="Times New Roman" w:hAnsi="Times New Roman" w:cs="Times New Roman"/>
                <w:color w:val="000000"/>
                <w:sz w:val="24"/>
                <w:szCs w:val="28"/>
                <w:highlight w:val="none"/>
              </w:rPr>
            </w:r>
            <w:r/>
          </w:p>
        </w:tc>
        <w:tc>
          <w:tcPr>
            <w:tcW w:w="1701"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设备日常运维管理</w:t>
            </w:r>
            <w:r>
              <w:rPr>
                <w:rFonts w:ascii="Times New Roman" w:hAnsi="Times New Roman" w:cs="Times New Roman"/>
                <w:color w:val="000000"/>
                <w:sz w:val="24"/>
                <w:szCs w:val="28"/>
                <w:highlight w:val="none"/>
              </w:rPr>
            </w:r>
            <w:r/>
          </w:p>
        </w:tc>
        <w:tc>
          <w:tcPr>
            <w:tcW w:w="3118"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配合维保单位开展空调系统维修。定期检查水管、阀门等给排水设施，重点防范机房周边跑冒滴漏，协助疏通堵塞。负责公共区域照明灯具更换，保障应急照明系统完好有效。详见5.2、5.3。</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708"/>
        </w:trPr>
        <w:tc>
          <w:tcPr>
            <w:tcW w:w="846"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二</w:t>
            </w:r>
            <w:r>
              <w:rPr>
                <w:rFonts w:ascii="Times New Roman" w:hAnsi="Times New Roman" w:cs="Times New Roman"/>
                <w:color w:val="000000"/>
                <w:sz w:val="24"/>
                <w:szCs w:val="28"/>
                <w:highlight w:val="none"/>
              </w:rPr>
            </w:r>
            <w:r/>
          </w:p>
        </w:tc>
        <w:tc>
          <w:tcPr>
            <w:tcW w:w="1701"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机房专业运维支持与服务</w:t>
            </w:r>
            <w:r>
              <w:rPr>
                <w:rFonts w:ascii="Times New Roman" w:hAnsi="Times New Roman" w:cs="Times New Roman"/>
                <w:color w:val="000000"/>
                <w:sz w:val="24"/>
                <w:szCs w:val="28"/>
                <w:highlight w:val="none"/>
              </w:rPr>
            </w:r>
            <w:r/>
          </w:p>
        </w:tc>
        <w:tc>
          <w:tcPr>
            <w:tcW w:w="3118"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987"/>
        </w:trPr>
        <w:tc>
          <w:tcPr>
            <w:tcW w:w="846"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w:t>
            </w:r>
            <w:r>
              <w:rPr>
                <w:rFonts w:ascii="Times New Roman" w:hAnsi="Times New Roman" w:cs="Times New Roman"/>
                <w:color w:val="000000"/>
                <w:sz w:val="24"/>
                <w:szCs w:val="28"/>
                <w:highlight w:val="none"/>
              </w:rPr>
            </w:r>
            <w:r/>
          </w:p>
        </w:tc>
        <w:tc>
          <w:tcPr>
            <w:tcW w:w="1701"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机房环境监控与值守</w:t>
            </w:r>
            <w:r>
              <w:rPr>
                <w:rFonts w:ascii="Times New Roman" w:hAnsi="Times New Roman" w:cs="Times New Roman"/>
                <w:color w:val="000000"/>
                <w:sz w:val="24"/>
                <w:szCs w:val="28"/>
                <w:highlight w:val="none"/>
              </w:rPr>
            </w:r>
            <w:r/>
          </w:p>
        </w:tc>
        <w:tc>
          <w:tcPr>
            <w:tcW w:w="3118"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实行 7x24 小时专职值守，全天候监视动环监控系统，每2小时记录机房温湿度，保障恒温恒湿环境。实时监控门禁、漏水、火灾等多项内容，接到报警信息1分钟内确认，按应急预案通报处置。详见5.2、5.3。</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956"/>
        </w:trPr>
        <w:tc>
          <w:tcPr>
            <w:tcW w:w="846"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w:t>
            </w:r>
            <w:r>
              <w:rPr>
                <w:rFonts w:ascii="Times New Roman" w:hAnsi="Times New Roman" w:cs="Times New Roman"/>
                <w:color w:val="000000"/>
                <w:sz w:val="24"/>
                <w:szCs w:val="28"/>
                <w:highlight w:val="none"/>
              </w:rPr>
            </w:r>
            <w:r/>
          </w:p>
        </w:tc>
        <w:tc>
          <w:tcPr>
            <w:tcW w:w="1701"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高压配电值班与电力保障</w:t>
            </w:r>
            <w:r>
              <w:rPr>
                <w:rFonts w:ascii="Times New Roman" w:hAnsi="Times New Roman" w:cs="Times New Roman"/>
                <w:color w:val="000000"/>
                <w:sz w:val="24"/>
                <w:szCs w:val="28"/>
                <w:highlight w:val="none"/>
              </w:rPr>
            </w:r>
            <w:r/>
          </w:p>
        </w:tc>
        <w:tc>
          <w:tcPr>
            <w:tcW w:w="3118"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安排持证人员值班，严格执行配电房操作规程。监视市电切换、UPS 系统、蓄电池组运行状态并按规抄表。配合维保单位对UPS系统、蓄电池组等设备进行定期检查维护，确保断电后持续运行。详见5.2、5.3。</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605"/>
        </w:trPr>
        <w:tc>
          <w:tcPr>
            <w:tcW w:w="846"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三</w:t>
            </w:r>
            <w:r>
              <w:rPr>
                <w:rFonts w:ascii="Times New Roman" w:hAnsi="Times New Roman" w:cs="Times New Roman"/>
                <w:color w:val="000000"/>
                <w:sz w:val="24"/>
                <w:szCs w:val="28"/>
                <w:highlight w:val="none"/>
              </w:rPr>
            </w:r>
            <w:r/>
          </w:p>
        </w:tc>
        <w:tc>
          <w:tcPr>
            <w:tcW w:w="1701"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安全管理</w:t>
            </w:r>
            <w:r>
              <w:rPr>
                <w:rFonts w:ascii="Times New Roman" w:hAnsi="Times New Roman" w:cs="Times New Roman"/>
                <w:color w:val="000000"/>
                <w:sz w:val="24"/>
                <w:szCs w:val="28"/>
                <w:highlight w:val="none"/>
              </w:rPr>
            </w:r>
            <w:r/>
          </w:p>
        </w:tc>
        <w:tc>
          <w:tcPr>
            <w:tcW w:w="3118"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956"/>
        </w:trPr>
        <w:tc>
          <w:tcPr>
            <w:tcW w:w="846"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w:t>
            </w:r>
            <w:r>
              <w:rPr>
                <w:rFonts w:ascii="Times New Roman" w:hAnsi="Times New Roman" w:cs="Times New Roman"/>
                <w:color w:val="000000"/>
                <w:sz w:val="24"/>
                <w:szCs w:val="28"/>
                <w:highlight w:val="none"/>
              </w:rPr>
            </w:r>
            <w:r/>
          </w:p>
        </w:tc>
        <w:tc>
          <w:tcPr>
            <w:tcW w:w="1701"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物理安全与门禁管理</w:t>
            </w:r>
            <w:r>
              <w:rPr>
                <w:rFonts w:ascii="Times New Roman" w:hAnsi="Times New Roman" w:cs="Times New Roman"/>
                <w:color w:val="000000"/>
                <w:sz w:val="24"/>
                <w:szCs w:val="28"/>
                <w:highlight w:val="none"/>
              </w:rPr>
            </w:r>
            <w:r/>
          </w:p>
        </w:tc>
        <w:tc>
          <w:tcPr>
            <w:tcW w:w="3118"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严格执行人员出入制度，核实登记核心区域进入人员身份，严禁无关人员入内。定时巡逻机房外围、出入口等区域，检查门禁状态与周边安全并做好记录。详见5.2、5.3。</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956"/>
        </w:trPr>
        <w:tc>
          <w:tcPr>
            <w:tcW w:w="846"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w:t>
            </w:r>
            <w:r>
              <w:rPr>
                <w:rFonts w:ascii="Times New Roman" w:hAnsi="Times New Roman" w:cs="Times New Roman"/>
                <w:color w:val="000000"/>
                <w:sz w:val="24"/>
                <w:szCs w:val="28"/>
                <w:highlight w:val="none"/>
              </w:rPr>
            </w:r>
            <w:r/>
          </w:p>
        </w:tc>
        <w:tc>
          <w:tcPr>
            <w:tcW w:w="1701"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消防安全管理</w:t>
            </w:r>
            <w:r>
              <w:rPr>
                <w:rFonts w:ascii="Times New Roman" w:hAnsi="Times New Roman" w:cs="Times New Roman"/>
                <w:color w:val="000000"/>
                <w:sz w:val="24"/>
                <w:szCs w:val="28"/>
                <w:highlight w:val="none"/>
              </w:rPr>
            </w:r>
            <w:r/>
          </w:p>
        </w:tc>
        <w:tc>
          <w:tcPr>
            <w:tcW w:w="3118"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每日巡查机房专用气体消防系统、火灾报警系统，确保处于自动待命状态，熟悉气体灭火系统操作流程。协助安防监控值守，发现异常及时上报，定期参与机房专项消防和电力应急演练。详见5.2、5.3。</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956"/>
        </w:trPr>
        <w:tc>
          <w:tcPr>
            <w:tcW w:w="846"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四</w:t>
            </w:r>
            <w:r>
              <w:rPr>
                <w:rFonts w:ascii="Times New Roman" w:hAnsi="Times New Roman" w:cs="Times New Roman"/>
                <w:color w:val="000000"/>
                <w:sz w:val="24"/>
                <w:szCs w:val="28"/>
                <w:highlight w:val="none"/>
              </w:rPr>
            </w:r>
            <w:r/>
          </w:p>
        </w:tc>
        <w:tc>
          <w:tcPr>
            <w:tcW w:w="1701"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环境保洁服务</w:t>
            </w:r>
            <w:r>
              <w:rPr>
                <w:rFonts w:ascii="Times New Roman" w:hAnsi="Times New Roman" w:cs="Times New Roman"/>
                <w:color w:val="000000"/>
                <w:sz w:val="24"/>
                <w:szCs w:val="28"/>
                <w:highlight w:val="none"/>
              </w:rPr>
            </w:r>
            <w:r/>
          </w:p>
        </w:tc>
        <w:tc>
          <w:tcPr>
            <w:tcW w:w="3118"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按规程开展机房保洁，使用专用防静电工具清洁防静电地板、机柜表面，确保无积尘。每日清洁控制室、办公区，日常清扫走廊、楼梯等公共区域并收集垃圾。分类收集垃圾，及时清运机房包装废弃物等。详见5.2、5.3。</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956"/>
        </w:trPr>
        <w:tc>
          <w:tcPr>
            <w:tcW w:w="846"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五</w:t>
            </w:r>
            <w:r>
              <w:rPr>
                <w:rFonts w:ascii="Times New Roman" w:hAnsi="Times New Roman" w:cs="Times New Roman"/>
                <w:color w:val="000000"/>
                <w:sz w:val="24"/>
                <w:szCs w:val="28"/>
                <w:highlight w:val="none"/>
              </w:rPr>
            </w:r>
            <w:r/>
          </w:p>
        </w:tc>
        <w:tc>
          <w:tcPr>
            <w:tcW w:w="1701" w:type="dxa"/>
            <w:vAlign w:val="center"/>
            <w:textDirection w:val="lrTb"/>
            <w:noWrap w:val="false"/>
          </w:tcPr>
          <w:p>
            <w:pPr>
              <w:pStyle w:val="898"/>
              <w:ind w:firstLine="3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应急响应与协同保障</w:t>
            </w:r>
            <w:r>
              <w:rPr>
                <w:rFonts w:ascii="Times New Roman" w:hAnsi="Times New Roman" w:cs="Times New Roman"/>
                <w:color w:val="000000"/>
                <w:sz w:val="24"/>
                <w:szCs w:val="28"/>
                <w:highlight w:val="none"/>
              </w:rPr>
            </w:r>
            <w:r/>
          </w:p>
        </w:tc>
        <w:tc>
          <w:tcPr>
            <w:tcW w:w="3118"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熟悉并执行机房各类应急预案，涵盖市电中断、UPS 故障等多种场景。紧急情况发生时，作为第一响应人执行人员疏散、通报等初步操作，协助配合采购方及专业人员排查故障、恢复运行。详见5.2、5.3。</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月</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12</w:t>
            </w:r>
            <w:r>
              <w:rPr>
                <w:rFonts w:ascii="Times New Roman" w:hAnsi="Times New Roman" w:cs="Times New Roman"/>
                <w:color w:val="000000"/>
                <w:sz w:val="24"/>
                <w:szCs w:val="28"/>
                <w:highlight w:val="none"/>
              </w:rPr>
            </w:r>
            <w:r/>
          </w:p>
        </w:tc>
        <w:tc>
          <w:tcPr>
            <w:tcW w:w="85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570"/>
        </w:trPr>
        <w:tc>
          <w:tcPr>
            <w:tcW w:w="846" w:type="dxa"/>
            <w:vAlign w:val="center"/>
            <w:textDirection w:val="lrTb"/>
            <w:noWrap w:val="false"/>
          </w:tcPr>
          <w:p>
            <w:pPr>
              <w:pStyle w:val="898"/>
              <w:ind w:firstLine="26"/>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六</w:t>
            </w:r>
            <w:r>
              <w:rPr>
                <w:rFonts w:ascii="Times New Roman" w:hAnsi="Times New Roman" w:cs="Times New Roman"/>
                <w:color w:val="000000"/>
                <w:sz w:val="24"/>
                <w:szCs w:val="28"/>
                <w:highlight w:val="none"/>
              </w:rPr>
            </w:r>
            <w:r/>
          </w:p>
        </w:tc>
        <w:tc>
          <w:tcPr>
            <w:gridSpan w:val="5"/>
            <w:tcW w:w="7371"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合计</w:t>
            </w:r>
            <w:r>
              <w:rPr>
                <w:rFonts w:ascii="Times New Roman" w:hAnsi="Times New Roman" w:cs="Times New Roman"/>
                <w:color w:val="000000"/>
                <w:sz w:val="24"/>
                <w:szCs w:val="28"/>
                <w:highlight w:val="none"/>
              </w:rPr>
            </w:r>
            <w:r/>
          </w:p>
        </w:tc>
        <w:tc>
          <w:tcPr>
            <w:tcW w:w="850"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bl>
    <w:p>
      <w:pPr>
        <w:pStyle w:val="898"/>
        <w:ind w:firstLine="482"/>
        <w:spacing w:line="480" w:lineRule="exact"/>
        <w:rPr>
          <w:rFonts w:ascii="Times New Roman" w:hAnsi="Times New Roman" w:cs="Times New Roman"/>
          <w:b/>
          <w:color w:val="000000"/>
          <w:sz w:val="24"/>
          <w:szCs w:val="24"/>
          <w:highlight w:val="none"/>
        </w:rPr>
        <w:outlineLvl w:val="9"/>
      </w:pPr>
      <w:r>
        <w:rPr>
          <w:rFonts w:ascii="Times New Roman" w:hAnsi="Times New Roman" w:cs="Times New Roman"/>
          <w:b/>
          <w:color w:val="000000"/>
          <w:sz w:val="24"/>
          <w:szCs w:val="24"/>
          <w:highlight w:val="none"/>
        </w:rPr>
        <w:t xml:space="preserve">3</w:t>
      </w:r>
      <w:r>
        <w:rPr>
          <w:rFonts w:hint="eastAsia"/>
          <w:b/>
          <w:color w:val="000000"/>
          <w:sz w:val="24"/>
          <w:szCs w:val="24"/>
          <w:highlight w:val="none"/>
        </w:rPr>
        <w:t xml:space="preserve">.</w:t>
      </w:r>
      <w:r>
        <w:rPr>
          <w:rFonts w:ascii="Times New Roman" w:hAnsi="Times New Roman" w:cs="Times New Roman"/>
          <w:b/>
          <w:color w:val="000000"/>
          <w:sz w:val="24"/>
          <w:szCs w:val="24"/>
          <w:highlight w:val="none"/>
        </w:rPr>
        <w:t xml:space="preserve">验收标准与付款方式</w:t>
      </w:r>
      <w:r>
        <w:rPr>
          <w:rFonts w:ascii="Times New Roman" w:hAnsi="Times New Roman" w:cs="Times New Roman"/>
          <w:b/>
          <w:color w:val="000000"/>
          <w:sz w:val="24"/>
          <w:szCs w:val="24"/>
          <w:highlight w:val="none"/>
        </w:rPr>
      </w:r>
      <w:r/>
    </w:p>
    <w:p>
      <w:pPr>
        <w:pStyle w:val="898"/>
        <w:ind w:firstLine="480"/>
        <w:spacing w:line="48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本项目中物业管理和后勤服务分项，服务期内每季度（二、四季度与半年、年终考核合并）进行考核并根据考核分数按季度结付当季度费用。考核内容详见《</w:t>
      </w:r>
      <w:r>
        <w:rPr>
          <w:rFonts w:ascii="Times New Roman" w:hAnsi="Times New Roman" w:cs="Times New Roman"/>
          <w:color w:val="000000"/>
          <w:sz w:val="24"/>
          <w:szCs w:val="28"/>
          <w:highlight w:val="none"/>
        </w:rPr>
        <w:t xml:space="preserve">江苏省水利数字中心物业管理季度考核表</w:t>
      </w:r>
      <w:r>
        <w:rPr>
          <w:rFonts w:ascii="Times New Roman" w:hAnsi="Times New Roman" w:cs="Times New Roman"/>
          <w:color w:val="000000"/>
          <w:sz w:val="24"/>
          <w:szCs w:val="24"/>
          <w:highlight w:val="none"/>
        </w:rPr>
        <w:t xml:space="preserve">》（附件1），综合考核得分达90分，季度物业费全额支付，低于90分的每少1分，扣2000元。</w:t>
      </w:r>
      <w:r>
        <w:rPr>
          <w:color w:val="000000"/>
          <w:sz w:val="24"/>
          <w:szCs w:val="24"/>
          <w:highlight w:val="none"/>
        </w:rPr>
        <w:t xml:space="preserve">合同到期时，中标人必须支持采购方工作，协助做好新旧两家服务单位的平稳过渡和交接工作。</w:t>
      </w:r>
      <w:r>
        <w:rPr>
          <w:rFonts w:ascii="Times New Roman" w:hAnsi="Times New Roman" w:cs="Times New Roman"/>
          <w:color w:val="000000"/>
          <w:sz w:val="24"/>
          <w:szCs w:val="24"/>
          <w:highlight w:val="none"/>
        </w:rPr>
        <w:t xml:space="preserve">本项目中水土保持观测场、水文水情教育场馆和灾备机房等3个分项，服务期内每季度开展1次分项验收，验收合格，支付当季度合同款。合同结束后，组织合同完工验收</w:t>
      </w:r>
      <w:r>
        <w:rPr>
          <w:rFonts w:hint="eastAsia"/>
          <w:color w:val="000000"/>
          <w:sz w:val="24"/>
          <w:szCs w:val="24"/>
          <w:highlight w:val="none"/>
        </w:rPr>
        <w:t xml:space="preserve">，完工验收合格后</w:t>
      </w:r>
      <w:r>
        <w:rPr>
          <w:color w:val="000000"/>
          <w:sz w:val="24"/>
          <w:szCs w:val="24"/>
          <w:highlight w:val="none"/>
        </w:rPr>
        <w:t xml:space="preserve">，</w:t>
      </w:r>
      <w:r>
        <w:rPr>
          <w:rFonts w:hint="eastAsia"/>
          <w:color w:val="000000"/>
          <w:sz w:val="24"/>
          <w:szCs w:val="24"/>
          <w:highlight w:val="none"/>
        </w:rPr>
        <w:t xml:space="preserve">支付剩余尾款</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898"/>
        <w:ind w:firstLine="480"/>
        <w:spacing w:line="480" w:lineRule="exact"/>
        <w:rPr>
          <w:color w:val="000000"/>
          <w:sz w:val="24"/>
          <w:szCs w:val="24"/>
          <w:highlight w:val="none"/>
        </w:rPr>
      </w:pPr>
      <w:r>
        <w:rPr>
          <w:rFonts w:ascii="Times New Roman" w:hAnsi="Times New Roman" w:cs="Times New Roman"/>
          <w:color w:val="000000"/>
          <w:sz w:val="24"/>
          <w:szCs w:val="24"/>
          <w:highlight w:val="none"/>
        </w:rPr>
        <w:t xml:space="preserve">按季度对中标供应商进行考核，若两次考核不合格（考核评分低于80分），采购方有权终止合同。日常工作中因中标方工作失职的原因，发生重、特大安全责任事故，除赔偿损失外，采购方也有权终止合同。</w:t>
      </w:r>
      <w:r>
        <w:rPr>
          <w:color w:val="000000"/>
          <w:sz w:val="24"/>
          <w:szCs w:val="24"/>
          <w:highlight w:val="none"/>
        </w:rPr>
      </w:r>
      <w:r/>
    </w:p>
    <w:p>
      <w:pPr>
        <w:pStyle w:val="900"/>
        <w:rPr>
          <w:rFonts w:hint="eastAsia" w:ascii="Times New Roman" w:hAnsi="Times New Roman" w:cs="Times New Roman"/>
          <w:b/>
          <w:bCs/>
          <w:color w:val="000000"/>
          <w:sz w:val="32"/>
          <w:szCs w:val="44"/>
          <w:highlight w:val="none"/>
        </w:rPr>
      </w:pPr>
      <w:r>
        <w:rPr>
          <w:rFonts w:ascii="Times New Roman" w:hAnsi="Times New Roman" w:cs="Times New Roman"/>
          <w:b/>
          <w:bCs/>
          <w:color w:val="000000"/>
          <w:sz w:val="32"/>
          <w:szCs w:val="44"/>
          <w:highlight w:val="none"/>
        </w:rPr>
        <w:t xml:space="preserve">四、其他要求</w:t>
      </w:r>
      <w:r>
        <w:rPr>
          <w:rFonts w:hint="eastAsia" w:ascii="Times New Roman" w:hAnsi="Times New Roman" w:cs="Times New Roman"/>
          <w:b/>
          <w:bCs/>
          <w:color w:val="000000"/>
          <w:sz w:val="32"/>
          <w:szCs w:val="4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1.项目属性:服务类项目。</w:t>
      </w:r>
      <w:r>
        <w:rPr>
          <w:rFonts w:ascii="Times New Roman" w:hAnsi="Times New Roman" w:cs="Times New Roman"/>
          <w:color w:val="000000"/>
          <w:sz w:val="24"/>
          <w:szCs w:val="24"/>
          <w:highlight w:val="none"/>
        </w:rPr>
      </w:r>
      <w:r/>
    </w:p>
    <w:p>
      <w:pPr>
        <w:pStyle w:val="898"/>
        <w:ind w:firstLine="480"/>
        <w:spacing w:line="4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2.进口产品参与磋商</w:t>
      </w:r>
      <w:r>
        <w:rPr>
          <w:rFonts w:ascii="Times New Roman" w:hAnsi="Times New Roman" w:cs="Times New Roman"/>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898"/>
              <w:jc w:val="center"/>
              <w:rPr>
                <w:rFonts w:ascii="Times New Roman" w:hAnsi="Times New Roman"/>
                <w:color w:val="000000"/>
                <w:szCs w:val="21"/>
                <w:highlight w:val="none"/>
              </w:rPr>
            </w:pPr>
            <w:r>
              <w:rPr>
                <w:rFonts w:ascii="Times New Roman" w:hAnsi="Times New Roman"/>
                <w:color w:val="000000"/>
                <w:szCs w:val="21"/>
                <w:highlight w:val="none"/>
              </w:rPr>
              <w:t xml:space="preserve">采购包号</w:t>
            </w:r>
            <w:r>
              <w:rPr>
                <w:rFonts w:ascii="Times New Roman" w:hAnsi="Times New Roman"/>
                <w:color w:val="000000"/>
                <w:szCs w:val="21"/>
                <w:highlight w:val="none"/>
              </w:rPr>
            </w:r>
            <w:r/>
          </w:p>
        </w:tc>
        <w:tc>
          <w:tcPr>
            <w:tcW w:w="3094" w:type="dxa"/>
            <w:vAlign w:val="top"/>
            <w:textDirection w:val="lrTb"/>
            <w:noWrap w:val="false"/>
          </w:tcPr>
          <w:p>
            <w:pPr>
              <w:pStyle w:val="898"/>
              <w:jc w:val="center"/>
              <w:rPr>
                <w:rFonts w:ascii="Times New Roman" w:hAnsi="Times New Roman"/>
                <w:color w:val="000000"/>
                <w:szCs w:val="21"/>
                <w:highlight w:val="none"/>
              </w:rPr>
            </w:pPr>
            <w:r>
              <w:rPr>
                <w:rFonts w:ascii="Times New Roman" w:hAnsi="Times New Roman"/>
                <w:color w:val="000000"/>
                <w:szCs w:val="21"/>
                <w:highlight w:val="none"/>
              </w:rPr>
              <w:t xml:space="preserve">是否接受</w:t>
            </w:r>
            <w:r>
              <w:rPr>
                <w:rFonts w:ascii="Times New Roman" w:hAnsi="Times New Roman"/>
                <w:color w:val="000000"/>
                <w:szCs w:val="21"/>
                <w:highlight w:val="none"/>
              </w:rPr>
              <w:t xml:space="preserve">进口产品</w:t>
            </w:r>
            <w:r>
              <w:rPr>
                <w:rFonts w:ascii="Times New Roman" w:hAnsi="Times New Roman"/>
                <w:color w:val="000000"/>
                <w:szCs w:val="21"/>
                <w:highlight w:val="none"/>
              </w:rPr>
              <w:t xml:space="preserve">参与磋商</w:t>
            </w:r>
            <w:r>
              <w:rPr>
                <w:rFonts w:ascii="Times New Roman" w:hAnsi="Times New Roman"/>
                <w:color w:val="000000"/>
                <w:szCs w:val="21"/>
                <w:highlight w:val="none"/>
              </w:rPr>
            </w:r>
            <w:r/>
          </w:p>
          <w:p>
            <w:pPr>
              <w:pStyle w:val="898"/>
              <w:jc w:val="center"/>
              <w:rPr>
                <w:rFonts w:ascii="Times New Roman" w:hAnsi="Times New Roman"/>
                <w:color w:val="000000"/>
                <w:szCs w:val="21"/>
                <w:highlight w:val="none"/>
              </w:rPr>
            </w:pPr>
            <w:r>
              <w:rPr>
                <w:rFonts w:ascii="Times New Roman" w:hAnsi="Times New Roman"/>
                <w:color w:val="000000"/>
                <w:szCs w:val="21"/>
                <w:highlight w:val="none"/>
              </w:rPr>
              <w:t xml:space="preserve">（是/否）</w:t>
            </w:r>
            <w:r>
              <w:rPr>
                <w:rFonts w:ascii="Times New Roman" w:hAnsi="Times New Roman"/>
                <w:color w:val="000000"/>
                <w:szCs w:val="21"/>
                <w:highlight w:val="none"/>
              </w:rPr>
            </w:r>
            <w:r/>
          </w:p>
        </w:tc>
      </w:tr>
      <w:tr>
        <w:trPr/>
        <w:tc>
          <w:tcPr>
            <w:tcW w:w="1148" w:type="dxa"/>
            <w:vAlign w:val="top"/>
            <w:textDirection w:val="lrTb"/>
            <w:noWrap w:val="false"/>
          </w:tcPr>
          <w:p>
            <w:pPr>
              <w:pStyle w:val="898"/>
              <w:jc w:val="center"/>
              <w:rPr>
                <w:rFonts w:ascii="Times New Roman" w:hAnsi="Times New Roman"/>
                <w:color w:val="000000"/>
                <w:szCs w:val="21"/>
                <w:highlight w:val="none"/>
              </w:rPr>
            </w:pPr>
            <w:r>
              <w:rPr>
                <w:rFonts w:ascii="Times New Roman" w:hAnsi="Times New Roman"/>
                <w:color w:val="000000"/>
                <w:szCs w:val="21"/>
                <w:highlight w:val="none"/>
              </w:rPr>
              <w:t xml:space="preserve">2</w:t>
            </w:r>
            <w:r>
              <w:rPr>
                <w:rFonts w:ascii="Times New Roman" w:hAnsi="Times New Roman"/>
                <w:color w:val="000000"/>
                <w:szCs w:val="21"/>
                <w:highlight w:val="none"/>
              </w:rPr>
            </w:r>
            <w:r/>
          </w:p>
        </w:tc>
        <w:tc>
          <w:tcPr>
            <w:tcW w:w="3094" w:type="dxa"/>
            <w:vAlign w:val="top"/>
            <w:textDirection w:val="lrTb"/>
            <w:noWrap w:val="false"/>
          </w:tcPr>
          <w:p>
            <w:pPr>
              <w:pStyle w:val="898"/>
              <w:jc w:val="center"/>
              <w:rPr>
                <w:rFonts w:ascii="Times New Roman" w:hAnsi="Times New Roman"/>
                <w:color w:val="000000"/>
                <w:szCs w:val="21"/>
                <w:highlight w:val="none"/>
              </w:rPr>
            </w:pPr>
            <w:r>
              <w:rPr>
                <w:rFonts w:ascii="Times New Roman" w:hAnsi="Times New Roman"/>
                <w:color w:val="000000"/>
                <w:szCs w:val="21"/>
                <w:highlight w:val="none"/>
              </w:rPr>
              <w:t xml:space="preserve">否</w:t>
            </w:r>
            <w:r>
              <w:rPr>
                <w:rFonts w:ascii="Times New Roman" w:hAnsi="Times New Roman"/>
                <w:color w:val="000000"/>
                <w:szCs w:val="21"/>
                <w:highlight w:val="none"/>
              </w:rPr>
            </w:r>
            <w:r/>
          </w:p>
        </w:tc>
      </w:tr>
    </w:tbl>
    <w:p>
      <w:pPr>
        <w:pStyle w:val="898"/>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spacing w:before="120" w:after="120" w:line="0" w:lineRule="atLeas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900"/>
        <w:rPr>
          <w:rFonts w:ascii="Times New Roman" w:hAnsi="Times New Roman" w:eastAsia="宋体" w:cs="Times New Roman"/>
          <w:bCs/>
          <w:color w:val="000000"/>
          <w:sz w:val="32"/>
          <w:szCs w:val="44"/>
          <w:highlight w:val="none"/>
        </w:rPr>
      </w:pPr>
      <w:r/>
      <w:bookmarkStart w:id="182" w:name="_Toc120614281"/>
      <w:r>
        <w:rPr>
          <w:rFonts w:ascii="Times New Roman" w:hAnsi="Times New Roman" w:eastAsia="宋体" w:cs="Times New Roman"/>
          <w:bCs/>
          <w:color w:val="000000"/>
          <w:sz w:val="32"/>
          <w:szCs w:val="44"/>
          <w:highlight w:val="none"/>
        </w:rPr>
        <w:br w:type="page" w:clear="all"/>
      </w:r>
      <w:r>
        <w:rPr>
          <w:rFonts w:ascii="Times New Roman" w:hAnsi="Times New Roman" w:cs="Times New Roman"/>
          <w:color w:val="000000"/>
          <w:highlight w:val="none"/>
        </w:rPr>
        <w:t xml:space="preserve">五、</w:t>
      </w:r>
      <w:r>
        <w:rPr>
          <w:rFonts w:ascii="Times New Roman" w:hAnsi="Times New Roman" w:eastAsia="宋体" w:cs="Times New Roman"/>
          <w:bCs/>
          <w:color w:val="000000"/>
          <w:sz w:val="32"/>
          <w:szCs w:val="44"/>
          <w:highlight w:val="none"/>
        </w:rPr>
        <w:t xml:space="preserve">附件</w:t>
      </w:r>
      <w:r>
        <w:rPr>
          <w:rFonts w:ascii="Times New Roman" w:hAnsi="Times New Roman" w:eastAsia="宋体" w:cs="Times New Roman"/>
          <w:bCs/>
          <w:color w:val="000000"/>
          <w:sz w:val="32"/>
          <w:szCs w:val="44"/>
          <w:highlight w:val="none"/>
        </w:rPr>
      </w:r>
      <w:r/>
    </w:p>
    <w:p>
      <w:pPr>
        <w:pStyle w:val="898"/>
        <w:jc w:val="center"/>
        <w:spacing w:after="156" w:line="360" w:lineRule="exact"/>
        <w:rPr>
          <w:rFonts w:ascii="Times New Roman" w:hAnsi="Times New Roman" w:cs="Times New Roman"/>
          <w:b/>
          <w:bCs/>
          <w:color w:val="000000"/>
          <w:sz w:val="24"/>
          <w:szCs w:val="28"/>
          <w:highlight w:val="none"/>
        </w:rPr>
      </w:pPr>
      <w:r>
        <w:rPr>
          <w:rFonts w:ascii="Times New Roman" w:hAnsi="Times New Roman" w:cs="Times New Roman"/>
          <w:b/>
          <w:bCs/>
          <w:color w:val="000000"/>
          <w:sz w:val="24"/>
          <w:szCs w:val="28"/>
          <w:highlight w:val="none"/>
        </w:rPr>
        <w:t xml:space="preserve">江苏省水利数字中心物业管理季度考核表</w:t>
      </w:r>
      <w:r>
        <w:rPr>
          <w:rFonts w:ascii="Times New Roman" w:hAnsi="Times New Roman" w:cs="Times New Roman"/>
          <w:b/>
          <w:bCs/>
          <w:color w:val="000000"/>
          <w:sz w:val="24"/>
          <w:szCs w:val="28"/>
          <w:highlight w:val="none"/>
        </w:rPr>
      </w:r>
      <w:r/>
    </w:p>
    <w:p>
      <w:pPr>
        <w:pStyle w:val="898"/>
        <w:ind w:firstLine="431"/>
        <w:spacing w:line="240" w:lineRule="exact"/>
        <w:rPr>
          <w:rFonts w:ascii="Times New Roman" w:hAnsi="Times New Roman" w:cs="Times New Roman"/>
          <w:color w:val="000000"/>
          <w:sz w:val="24"/>
          <w:szCs w:val="28"/>
          <w:highlight w:val="none"/>
        </w:rPr>
      </w:pPr>
      <w:r>
        <w:rPr>
          <w:rFonts w:ascii="Times New Roman" w:hAnsi="Times New Roman" w:cs="Times New Roman"/>
          <w:color w:val="000000"/>
          <w:sz w:val="22"/>
          <w:highlight w:val="none"/>
        </w:rPr>
        <w:t xml:space="preserve">时间： </w:t>
      </w:r>
      <w:r>
        <w:rPr>
          <w:rFonts w:ascii="Times New Roman" w:hAnsi="Times New Roman" w:cs="Times New Roman"/>
          <w:color w:val="000000"/>
          <w:sz w:val="22"/>
          <w:highlight w:val="none"/>
        </w:rPr>
        <w:t xml:space="preserve">      </w:t>
      </w:r>
      <w:r>
        <w:rPr>
          <w:rFonts w:ascii="Times New Roman" w:hAnsi="Times New Roman" w:cs="Times New Roman"/>
          <w:color w:val="000000"/>
          <w:sz w:val="22"/>
          <w:highlight w:val="none"/>
        </w:rPr>
        <w:t xml:space="preserve">年 </w:t>
      </w:r>
      <w:r>
        <w:rPr>
          <w:rFonts w:ascii="Times New Roman" w:hAnsi="Times New Roman" w:cs="Times New Roman"/>
          <w:color w:val="000000"/>
          <w:sz w:val="22"/>
          <w:highlight w:val="none"/>
        </w:rPr>
        <w:t xml:space="preserve">   </w:t>
      </w:r>
      <w:r>
        <w:rPr>
          <w:rFonts w:ascii="Times New Roman" w:hAnsi="Times New Roman" w:cs="Times New Roman"/>
          <w:color w:val="000000"/>
          <w:sz w:val="22"/>
          <w:highlight w:val="none"/>
        </w:rPr>
        <w:t xml:space="preserve">月 </w:t>
      </w:r>
      <w:r>
        <w:rPr>
          <w:rFonts w:ascii="Times New Roman" w:hAnsi="Times New Roman" w:cs="Times New Roman"/>
          <w:color w:val="000000"/>
          <w:sz w:val="22"/>
          <w:highlight w:val="none"/>
        </w:rPr>
        <w:t xml:space="preserve">    </w:t>
      </w:r>
      <w:r>
        <w:rPr>
          <w:rFonts w:ascii="Times New Roman" w:hAnsi="Times New Roman" w:cs="Times New Roman"/>
          <w:color w:val="000000"/>
          <w:sz w:val="22"/>
          <w:highlight w:val="none"/>
        </w:rPr>
        <w:t xml:space="preserve">日</w:t>
      </w:r>
      <w:r>
        <w:rPr>
          <w:rFonts w:ascii="Times New Roman" w:hAnsi="Times New Roman" w:cs="Times New Roman"/>
          <w:color w:val="000000"/>
          <w:sz w:val="24"/>
          <w:szCs w:val="28"/>
          <w:highlight w:val="none"/>
        </w:rPr>
      </w:r>
      <w:r/>
    </w:p>
    <w:tbl>
      <w:tblPr>
        <w:tblW w:w="8850" w:type="dxa"/>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748"/>
        <w:gridCol w:w="5729"/>
        <w:gridCol w:w="791"/>
        <w:gridCol w:w="845"/>
      </w:tblGrid>
      <w:tr>
        <w:trPr>
          <w:trHeight w:val="449"/>
        </w:trPr>
        <w:tc>
          <w:tcPr>
            <w:gridSpan w:val="5"/>
            <w:tcW w:w="8850" w:type="dxa"/>
            <w:vAlign w:val="center"/>
            <w:textDirection w:val="lrTb"/>
            <w:noWrap w:val="false"/>
          </w:tcPr>
          <w:p>
            <w:pPr>
              <w:pStyle w:val="898"/>
              <w:ind w:firstLine="33"/>
              <w:jc w:val="both"/>
              <w:spacing w:line="0" w:lineRule="atLeast"/>
              <w:rPr>
                <w:b w:val="0"/>
                <w:color w:val="000000"/>
                <w:sz w:val="24"/>
                <w:szCs w:val="28"/>
                <w:highlight w:val="none"/>
              </w:rPr>
            </w:pPr>
            <w:r>
              <w:rPr>
                <w:color w:val="000000"/>
                <w:sz w:val="24"/>
                <w:szCs w:val="28"/>
                <w:highlight w:val="none"/>
              </w:rPr>
              <w:t xml:space="preserve">一、基础考核标准（总得分：25分）</w:t>
            </w:r>
            <w:r>
              <w:rPr>
                <w:b w:val="0"/>
                <w:color w:val="000000"/>
                <w:sz w:val="24"/>
                <w:szCs w:val="28"/>
                <w:highlight w:val="none"/>
              </w:rPr>
            </w:r>
            <w:r/>
          </w:p>
        </w:tc>
      </w:tr>
      <w:tr>
        <w:trPr>
          <w:trHeight w:val="696"/>
        </w:trPr>
        <w:tc>
          <w:tcPr>
            <w:tcW w:w="737" w:type="dxa"/>
            <w:vAlign w:val="center"/>
            <w:textDirection w:val="lrTb"/>
            <w:noWrap w:val="false"/>
          </w:tcPr>
          <w:p>
            <w:pPr>
              <w:pStyle w:val="898"/>
              <w:jc w:val="center"/>
              <w:spacing w:line="240" w:lineRule="exact"/>
              <w:rPr>
                <w:b/>
                <w:color w:val="000000"/>
                <w:szCs w:val="21"/>
                <w:highlight w:val="none"/>
              </w:rPr>
            </w:pPr>
            <w:r>
              <w:rPr>
                <w:b/>
                <w:color w:val="000000"/>
                <w:szCs w:val="21"/>
                <w:highlight w:val="none"/>
              </w:rPr>
              <w:t xml:space="preserve">序号</w:t>
            </w:r>
            <w:r>
              <w:rPr>
                <w:b/>
                <w:color w:val="000000"/>
                <w:szCs w:val="21"/>
                <w:highlight w:val="none"/>
              </w:rPr>
            </w:r>
            <w:r/>
          </w:p>
        </w:tc>
        <w:tc>
          <w:tcPr>
            <w:tcW w:w="748" w:type="dxa"/>
            <w:vAlign w:val="center"/>
            <w:textDirection w:val="lrTb"/>
            <w:noWrap w:val="false"/>
          </w:tcPr>
          <w:p>
            <w:pPr>
              <w:pStyle w:val="898"/>
              <w:jc w:val="center"/>
              <w:spacing w:line="240" w:lineRule="exact"/>
              <w:rPr>
                <w:b/>
                <w:color w:val="000000"/>
                <w:szCs w:val="21"/>
                <w:highlight w:val="none"/>
              </w:rPr>
            </w:pPr>
            <w:r>
              <w:rPr>
                <w:b/>
                <w:color w:val="000000"/>
                <w:szCs w:val="21"/>
                <w:highlight w:val="none"/>
              </w:rPr>
              <w:t xml:space="preserve">项目</w:t>
            </w:r>
            <w:r>
              <w:rPr>
                <w:b/>
                <w:color w:val="000000"/>
                <w:szCs w:val="21"/>
                <w:highlight w:val="none"/>
              </w:rPr>
            </w:r>
            <w:r/>
          </w:p>
        </w:tc>
        <w:tc>
          <w:tcPr>
            <w:tcW w:w="5729" w:type="dxa"/>
            <w:vAlign w:val="center"/>
            <w:textDirection w:val="lrTb"/>
            <w:noWrap w:val="false"/>
          </w:tcPr>
          <w:p>
            <w:pPr>
              <w:pStyle w:val="898"/>
              <w:jc w:val="center"/>
              <w:spacing w:line="240" w:lineRule="exact"/>
              <w:rPr>
                <w:b/>
                <w:color w:val="000000"/>
                <w:szCs w:val="21"/>
                <w:highlight w:val="none"/>
              </w:rPr>
            </w:pPr>
            <w:r>
              <w:rPr>
                <w:b/>
                <w:color w:val="000000"/>
                <w:szCs w:val="21"/>
                <w:highlight w:val="none"/>
              </w:rPr>
              <w:t xml:space="preserve">考</w:t>
            </w:r>
            <w:r>
              <w:rPr>
                <w:b/>
                <w:color w:val="000000"/>
                <w:szCs w:val="21"/>
                <w:highlight w:val="none"/>
              </w:rPr>
              <w:t xml:space="preserve"> </w:t>
            </w:r>
            <w:r>
              <w:rPr>
                <w:b/>
                <w:color w:val="000000"/>
                <w:szCs w:val="21"/>
                <w:highlight w:val="none"/>
              </w:rPr>
              <w:t xml:space="preserve">核</w:t>
            </w:r>
            <w:r>
              <w:rPr>
                <w:b/>
                <w:color w:val="000000"/>
                <w:szCs w:val="21"/>
                <w:highlight w:val="none"/>
              </w:rPr>
              <w:t xml:space="preserve"> </w:t>
            </w:r>
            <w:r>
              <w:rPr>
                <w:b/>
                <w:color w:val="000000"/>
                <w:szCs w:val="21"/>
                <w:highlight w:val="none"/>
              </w:rPr>
              <w:t xml:space="preserve">内</w:t>
            </w:r>
            <w:r>
              <w:rPr>
                <w:b/>
                <w:color w:val="000000"/>
                <w:szCs w:val="21"/>
                <w:highlight w:val="none"/>
              </w:rPr>
              <w:t xml:space="preserve"> </w:t>
            </w:r>
            <w:r>
              <w:rPr>
                <w:b/>
                <w:color w:val="000000"/>
                <w:szCs w:val="21"/>
                <w:highlight w:val="none"/>
              </w:rPr>
              <w:t xml:space="preserve">容</w:t>
            </w:r>
            <w:r>
              <w:rPr>
                <w:b/>
                <w:color w:val="000000"/>
                <w:szCs w:val="21"/>
                <w:highlight w:val="none"/>
              </w:rPr>
            </w:r>
            <w:r/>
          </w:p>
        </w:tc>
        <w:tc>
          <w:tcPr>
            <w:tcW w:w="791" w:type="dxa"/>
            <w:vAlign w:val="center"/>
            <w:textDirection w:val="lrTb"/>
            <w:noWrap w:val="false"/>
          </w:tcPr>
          <w:p>
            <w:pPr>
              <w:pStyle w:val="898"/>
              <w:jc w:val="center"/>
              <w:spacing w:line="240" w:lineRule="exact"/>
              <w:rPr>
                <w:b/>
                <w:color w:val="000000"/>
                <w:szCs w:val="21"/>
                <w:highlight w:val="none"/>
              </w:rPr>
            </w:pPr>
            <w:r>
              <w:rPr>
                <w:b/>
                <w:color w:val="000000"/>
                <w:szCs w:val="21"/>
                <w:highlight w:val="none"/>
              </w:rPr>
              <w:t xml:space="preserve">分值</w:t>
            </w:r>
            <w:r>
              <w:rPr>
                <w:b/>
                <w:color w:val="000000"/>
                <w:szCs w:val="21"/>
                <w:highlight w:val="none"/>
              </w:rPr>
            </w:r>
            <w:r/>
          </w:p>
        </w:tc>
        <w:tc>
          <w:tcPr>
            <w:tcW w:w="845" w:type="dxa"/>
            <w:vAlign w:val="center"/>
            <w:textDirection w:val="lrTb"/>
            <w:noWrap w:val="false"/>
          </w:tcPr>
          <w:p>
            <w:pPr>
              <w:pStyle w:val="898"/>
              <w:jc w:val="center"/>
              <w:spacing w:line="240" w:lineRule="exact"/>
              <w:rPr>
                <w:b/>
                <w:color w:val="000000"/>
                <w:szCs w:val="21"/>
                <w:highlight w:val="none"/>
              </w:rPr>
            </w:pPr>
            <w:r>
              <w:rPr>
                <w:b/>
                <w:color w:val="000000"/>
                <w:szCs w:val="21"/>
                <w:highlight w:val="none"/>
              </w:rPr>
              <w:t xml:space="preserve">考核</w:t>
            </w:r>
            <w:r>
              <w:rPr>
                <w:b/>
                <w:color w:val="000000"/>
                <w:szCs w:val="21"/>
                <w:highlight w:val="none"/>
              </w:rPr>
            </w:r>
            <w:r/>
          </w:p>
          <w:p>
            <w:pPr>
              <w:pStyle w:val="898"/>
              <w:jc w:val="center"/>
              <w:spacing w:line="240" w:lineRule="exact"/>
              <w:rPr>
                <w:b/>
                <w:color w:val="000000"/>
                <w:szCs w:val="21"/>
                <w:highlight w:val="none"/>
              </w:rPr>
            </w:pPr>
            <w:r>
              <w:rPr>
                <w:b/>
                <w:color w:val="000000"/>
                <w:szCs w:val="21"/>
                <w:highlight w:val="none"/>
              </w:rPr>
              <w:t xml:space="preserve">得分</w:t>
            </w:r>
            <w:r>
              <w:rPr>
                <w:b/>
                <w:color w:val="000000"/>
                <w:szCs w:val="21"/>
                <w:highlight w:val="none"/>
              </w:rPr>
            </w:r>
            <w:r/>
          </w:p>
        </w:tc>
      </w:tr>
      <w:tr>
        <w:trPr>
          <w:cantSplit/>
        </w:trPr>
        <w:tc>
          <w:tcPr>
            <w:tcW w:w="737" w:type="dxa"/>
            <w:vAlign w:val="center"/>
            <w:vMerge w:val="restart"/>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w:t>
            </w:r>
            <w:r>
              <w:rPr>
                <w:rFonts w:ascii="Times New Roman" w:hAnsi="Times New Roman" w:cs="Times New Roman"/>
                <w:color w:val="000000"/>
                <w:sz w:val="24"/>
                <w:szCs w:val="28"/>
                <w:highlight w:val="none"/>
              </w:rPr>
            </w:r>
            <w:r/>
          </w:p>
        </w:tc>
        <w:tc>
          <w:tcPr>
            <w:tcW w:w="748" w:type="dxa"/>
            <w:vAlign w:val="center"/>
            <w:vMerge w:val="restart"/>
            <w:textDirection w:val="lrTb"/>
            <w:noWrap w:val="false"/>
          </w:tcPr>
          <w:p>
            <w:pPr>
              <w:pStyle w:val="898"/>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仪容仪表</w:t>
            </w:r>
            <w:r>
              <w:rPr>
                <w:rFonts w:ascii="Times New Roman" w:hAnsi="Times New Roman" w:cs="Times New Roman"/>
                <w:color w:val="000000"/>
                <w:sz w:val="24"/>
                <w:szCs w:val="28"/>
                <w:highlight w:val="none"/>
              </w:rPr>
            </w:r>
            <w:r/>
          </w:p>
        </w:tc>
        <w:tc>
          <w:tcPr>
            <w:tcW w:w="5729"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1、各类工作人员按规范着装。</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cantSplit/>
        </w:trPr>
        <w:tc>
          <w:tcPr>
            <w:tcW w:w="737"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748"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5729"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2、正确使用文明礼貌用语。</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cantSplit/>
        </w:trPr>
        <w:tc>
          <w:tcPr>
            <w:tcW w:w="737" w:type="dxa"/>
            <w:vAlign w:val="center"/>
            <w:vMerge w:val="restart"/>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w:t>
            </w:r>
            <w:r>
              <w:rPr>
                <w:rFonts w:ascii="Times New Roman" w:hAnsi="Times New Roman" w:cs="Times New Roman"/>
                <w:color w:val="000000"/>
                <w:sz w:val="24"/>
                <w:szCs w:val="28"/>
                <w:highlight w:val="none"/>
              </w:rPr>
            </w:r>
            <w:r/>
          </w:p>
        </w:tc>
        <w:tc>
          <w:tcPr>
            <w:tcW w:w="748" w:type="dxa"/>
            <w:vAlign w:val="center"/>
            <w:vMerge w:val="restart"/>
            <w:textDirection w:val="lrTb"/>
            <w:noWrap w:val="false"/>
          </w:tcPr>
          <w:p>
            <w:pPr>
              <w:pStyle w:val="898"/>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遵章守纪</w:t>
            </w:r>
            <w:r>
              <w:rPr>
                <w:rFonts w:ascii="Times New Roman" w:hAnsi="Times New Roman" w:cs="Times New Roman"/>
                <w:color w:val="000000"/>
                <w:sz w:val="24"/>
                <w:szCs w:val="28"/>
                <w:highlight w:val="none"/>
              </w:rPr>
            </w:r>
            <w:r/>
          </w:p>
        </w:tc>
        <w:tc>
          <w:tcPr>
            <w:tcW w:w="5729"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1、遵守院内单位及公司的各项规章制度。</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cantSplit/>
        </w:trPr>
        <w:tc>
          <w:tcPr>
            <w:tcW w:w="737"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748"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5729"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2、严格履行各岗位的交接班手续，记录完整、清晰。</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cantSplit/>
        </w:trPr>
        <w:tc>
          <w:tcPr>
            <w:tcW w:w="737" w:type="dxa"/>
            <w:vAlign w:val="center"/>
            <w:vMerge w:val="restart"/>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w:t>
            </w:r>
            <w:r>
              <w:rPr>
                <w:rFonts w:ascii="Times New Roman" w:hAnsi="Times New Roman" w:cs="Times New Roman"/>
                <w:color w:val="000000"/>
                <w:sz w:val="24"/>
                <w:szCs w:val="28"/>
                <w:highlight w:val="none"/>
              </w:rPr>
            </w:r>
            <w:r/>
          </w:p>
        </w:tc>
        <w:tc>
          <w:tcPr>
            <w:tcW w:w="748" w:type="dxa"/>
            <w:vAlign w:val="center"/>
            <w:vMerge w:val="restart"/>
            <w:textDirection w:val="lrTb"/>
            <w:noWrap w:val="false"/>
          </w:tcPr>
          <w:p>
            <w:pPr>
              <w:pStyle w:val="898"/>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工作态度</w:t>
            </w:r>
            <w:r>
              <w:rPr>
                <w:rFonts w:ascii="Times New Roman" w:hAnsi="Times New Roman" w:cs="Times New Roman"/>
                <w:color w:val="000000"/>
                <w:sz w:val="24"/>
                <w:szCs w:val="28"/>
                <w:highlight w:val="none"/>
              </w:rPr>
            </w:r>
            <w:r/>
          </w:p>
        </w:tc>
        <w:tc>
          <w:tcPr>
            <w:tcW w:w="5729"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1、履行岗位职责，规范操作。</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cantSplit/>
        </w:trPr>
        <w:tc>
          <w:tcPr>
            <w:tcW w:w="737"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748"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5729"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2、协作性事务不推诿、主动配合完成。</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cantSplit/>
        </w:trPr>
        <w:tc>
          <w:tcPr>
            <w:tcW w:w="737" w:type="dxa"/>
            <w:vAlign w:val="center"/>
            <w:vMerge w:val="restart"/>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4</w:t>
            </w:r>
            <w:r>
              <w:rPr>
                <w:rFonts w:ascii="Times New Roman" w:hAnsi="Times New Roman" w:cs="Times New Roman"/>
                <w:color w:val="000000"/>
                <w:sz w:val="24"/>
                <w:szCs w:val="28"/>
                <w:highlight w:val="none"/>
              </w:rPr>
            </w:r>
            <w:r/>
          </w:p>
        </w:tc>
        <w:tc>
          <w:tcPr>
            <w:tcW w:w="748" w:type="dxa"/>
            <w:vAlign w:val="center"/>
            <w:vMerge w:val="restart"/>
            <w:textDirection w:val="lrTb"/>
            <w:noWrap w:val="false"/>
          </w:tcPr>
          <w:p>
            <w:pPr>
              <w:pStyle w:val="898"/>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工作质量</w:t>
            </w:r>
            <w:r>
              <w:rPr>
                <w:rFonts w:ascii="Times New Roman" w:hAnsi="Times New Roman" w:cs="Times New Roman"/>
                <w:color w:val="000000"/>
                <w:sz w:val="24"/>
                <w:szCs w:val="28"/>
                <w:highlight w:val="none"/>
              </w:rPr>
            </w:r>
            <w:r/>
          </w:p>
        </w:tc>
        <w:tc>
          <w:tcPr>
            <w:tcW w:w="5729"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1、按要求配备物业管理服务人员，人员无缺岗，技术人员持证上岗。</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4</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cantSplit/>
        </w:trPr>
        <w:tc>
          <w:tcPr>
            <w:tcW w:w="737"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748"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5729"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2、月累计无事故、事件发生。</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cantSplit/>
        </w:trPr>
        <w:tc>
          <w:tcPr>
            <w:tcW w:w="737"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748"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5729"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3、无因服务态度或失职行为引起的有效投诉。</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410"/>
        </w:trPr>
        <w:tc>
          <w:tcPr>
            <w:gridSpan w:val="3"/>
            <w:tcW w:w="7214" w:type="dxa"/>
            <w:vAlign w:val="center"/>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二、各岗位考核标准（总得分：75分）</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653"/>
        </w:trPr>
        <w:tc>
          <w:tcPr>
            <w:tcW w:w="737" w:type="dxa"/>
            <w:vAlign w:val="center"/>
            <w:textDirection w:val="lrTb"/>
            <w:noWrap w:val="false"/>
          </w:tcPr>
          <w:p>
            <w:pPr>
              <w:pStyle w:val="898"/>
              <w:jc w:val="center"/>
              <w:spacing w:line="240" w:lineRule="exact"/>
              <w:rPr>
                <w:rFonts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rPr>
              <w:t xml:space="preserve">序号</w:t>
            </w:r>
            <w:r>
              <w:rPr>
                <w:rFonts w:ascii="Times New Roman" w:hAnsi="Times New Roman" w:cs="Times New Roman"/>
                <w:b/>
                <w:color w:val="000000"/>
                <w:sz w:val="21"/>
                <w:szCs w:val="21"/>
                <w:highlight w:val="none"/>
              </w:rPr>
            </w:r>
            <w:r/>
          </w:p>
        </w:tc>
        <w:tc>
          <w:tcPr>
            <w:tcW w:w="748" w:type="dxa"/>
            <w:vAlign w:val="center"/>
            <w:textDirection w:val="lrTb"/>
            <w:noWrap w:val="false"/>
          </w:tcPr>
          <w:p>
            <w:pPr>
              <w:pStyle w:val="898"/>
              <w:jc w:val="center"/>
              <w:spacing w:line="240" w:lineRule="exact"/>
              <w:rPr>
                <w:rFonts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rPr>
              <w:t xml:space="preserve">项目</w:t>
            </w:r>
            <w:r>
              <w:rPr>
                <w:rFonts w:ascii="Times New Roman" w:hAnsi="Times New Roman" w:cs="Times New Roman"/>
                <w:b/>
                <w:color w:val="000000"/>
                <w:sz w:val="21"/>
                <w:szCs w:val="21"/>
                <w:highlight w:val="none"/>
              </w:rPr>
            </w:r>
            <w:r/>
          </w:p>
        </w:tc>
        <w:tc>
          <w:tcPr>
            <w:tcW w:w="5729" w:type="dxa"/>
            <w:vAlign w:val="center"/>
            <w:textDirection w:val="lrTb"/>
            <w:noWrap w:val="false"/>
          </w:tcPr>
          <w:p>
            <w:pPr>
              <w:pStyle w:val="898"/>
              <w:ind w:firstLine="30"/>
              <w:jc w:val="center"/>
              <w:spacing w:line="240" w:lineRule="exact"/>
              <w:rPr>
                <w:rFonts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rPr>
              <w:t xml:space="preserve">考核内容</w:t>
            </w:r>
            <w:r>
              <w:rPr>
                <w:rFonts w:ascii="Times New Roman" w:hAnsi="Times New Roman" w:cs="Times New Roman"/>
                <w:b/>
                <w:color w:val="000000"/>
                <w:sz w:val="21"/>
                <w:szCs w:val="21"/>
                <w:highlight w:val="none"/>
              </w:rPr>
            </w:r>
            <w:r/>
          </w:p>
        </w:tc>
        <w:tc>
          <w:tcPr>
            <w:tcW w:w="791" w:type="dxa"/>
            <w:vAlign w:val="center"/>
            <w:textDirection w:val="lrTb"/>
            <w:noWrap w:val="false"/>
          </w:tcPr>
          <w:p>
            <w:pPr>
              <w:pStyle w:val="898"/>
              <w:ind w:firstLine="30"/>
              <w:jc w:val="center"/>
              <w:spacing w:line="240" w:lineRule="exact"/>
              <w:rPr>
                <w:rFonts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rPr>
              <w:t xml:space="preserve">分值</w:t>
            </w:r>
            <w:r>
              <w:rPr>
                <w:rFonts w:ascii="Times New Roman" w:hAnsi="Times New Roman" w:cs="Times New Roman"/>
                <w:b/>
                <w:color w:val="000000"/>
                <w:sz w:val="21"/>
                <w:szCs w:val="21"/>
                <w:highlight w:val="none"/>
              </w:rPr>
            </w:r>
            <w:r/>
          </w:p>
        </w:tc>
        <w:tc>
          <w:tcPr>
            <w:tcW w:w="845" w:type="dxa"/>
            <w:vAlign w:val="center"/>
            <w:textDirection w:val="lrTb"/>
            <w:noWrap w:val="false"/>
          </w:tcPr>
          <w:p>
            <w:pPr>
              <w:pStyle w:val="898"/>
              <w:ind w:firstLine="30"/>
              <w:jc w:val="center"/>
              <w:spacing w:line="240" w:lineRule="exact"/>
              <w:rPr>
                <w:rFonts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rPr>
              <w:t xml:space="preserve">考核</w:t>
            </w:r>
            <w:r>
              <w:rPr>
                <w:rFonts w:ascii="Times New Roman" w:hAnsi="Times New Roman" w:cs="Times New Roman"/>
                <w:b/>
                <w:color w:val="000000"/>
                <w:sz w:val="21"/>
                <w:szCs w:val="21"/>
                <w:highlight w:val="none"/>
              </w:rPr>
            </w:r>
            <w:r/>
          </w:p>
          <w:p>
            <w:pPr>
              <w:pStyle w:val="898"/>
              <w:ind w:firstLine="30"/>
              <w:jc w:val="center"/>
              <w:spacing w:line="240" w:lineRule="exact"/>
              <w:rPr>
                <w:rFonts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rPr>
              <w:t xml:space="preserve">得分</w:t>
            </w:r>
            <w:r>
              <w:rPr>
                <w:rFonts w:ascii="Times New Roman" w:hAnsi="Times New Roman" w:cs="Times New Roman"/>
                <w:b/>
                <w:color w:val="000000"/>
                <w:sz w:val="21"/>
                <w:szCs w:val="21"/>
                <w:highlight w:val="none"/>
              </w:rPr>
            </w:r>
            <w:r/>
          </w:p>
        </w:tc>
      </w:tr>
      <w:tr>
        <w:trPr>
          <w:cantSplit/>
        </w:trPr>
        <w:tc>
          <w:tcPr>
            <w:tcW w:w="737" w:type="dxa"/>
            <w:vAlign w:val="center"/>
            <w:vMerge w:val="restart"/>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w:t>
            </w:r>
            <w:r>
              <w:rPr>
                <w:rFonts w:ascii="Times New Roman" w:hAnsi="Times New Roman" w:cs="Times New Roman"/>
                <w:color w:val="000000"/>
                <w:sz w:val="24"/>
                <w:szCs w:val="28"/>
                <w:highlight w:val="none"/>
              </w:rPr>
            </w:r>
            <w:r/>
          </w:p>
        </w:tc>
        <w:tc>
          <w:tcPr>
            <w:tcW w:w="748" w:type="dxa"/>
            <w:vAlign w:val="center"/>
            <w:vMerge w:val="restart"/>
            <w:textDirection w:val="lrTb"/>
            <w:noWrap w:val="false"/>
          </w:tcPr>
          <w:p>
            <w:pPr>
              <w:pStyle w:val="898"/>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保洁服务</w:t>
            </w:r>
            <w:r>
              <w:rPr>
                <w:rFonts w:ascii="Times New Roman" w:hAnsi="Times New Roman" w:cs="Times New Roman"/>
                <w:color w:val="000000"/>
                <w:sz w:val="24"/>
                <w:szCs w:val="28"/>
                <w:highlight w:val="none"/>
              </w:rPr>
            </w:r>
            <w:r/>
          </w:p>
        </w:tc>
        <w:tc>
          <w:tcPr>
            <w:tcW w:w="5729" w:type="dxa"/>
            <w:vAlign w:val="top"/>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1、每天按时按要求对公共管理范围、门厅等区域进行清洁保洁。</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cantSplit/>
        </w:trPr>
        <w:tc>
          <w:tcPr>
            <w:tcW w:w="737"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748"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5729" w:type="dxa"/>
            <w:vAlign w:val="top"/>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2、对实验室、楼道、道路、停车场、绿化、池塘保洁及垃圾收集、定点堆放及卫生间等进行规范化保洁并擦拭各类标识牌、灯具。</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10</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cantSplit/>
        </w:trPr>
        <w:tc>
          <w:tcPr>
            <w:tcW w:w="737"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748"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5729" w:type="dxa"/>
            <w:vAlign w:val="top"/>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3、定期清理公共管理范围垃圾桶。</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cantSplit/>
        </w:trPr>
        <w:tc>
          <w:tcPr>
            <w:tcW w:w="737" w:type="dxa"/>
            <w:vAlign w:val="center"/>
            <w:vMerge w:val="restart"/>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w:t>
            </w:r>
            <w:r>
              <w:rPr>
                <w:rFonts w:ascii="Times New Roman" w:hAnsi="Times New Roman" w:cs="Times New Roman"/>
                <w:color w:val="000000"/>
                <w:sz w:val="24"/>
                <w:szCs w:val="28"/>
                <w:highlight w:val="none"/>
              </w:rPr>
            </w:r>
            <w:r/>
          </w:p>
        </w:tc>
        <w:tc>
          <w:tcPr>
            <w:tcW w:w="748" w:type="dxa"/>
            <w:vAlign w:val="center"/>
            <w:vMerge w:val="restart"/>
            <w:textDirection w:val="lrTb"/>
            <w:noWrap w:val="false"/>
          </w:tcPr>
          <w:p>
            <w:pPr>
              <w:pStyle w:val="898"/>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餐厨服务</w:t>
            </w:r>
            <w:r>
              <w:rPr>
                <w:rFonts w:ascii="Times New Roman" w:hAnsi="Times New Roman" w:cs="Times New Roman"/>
                <w:color w:val="000000"/>
                <w:sz w:val="24"/>
                <w:szCs w:val="28"/>
                <w:highlight w:val="none"/>
              </w:rPr>
            </w:r>
            <w:r/>
          </w:p>
        </w:tc>
        <w:tc>
          <w:tcPr>
            <w:tcW w:w="5729" w:type="dxa"/>
            <w:vAlign w:val="top"/>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1、每日按时准备好工作餐以及会务用餐。</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cantSplit/>
        </w:trPr>
        <w:tc>
          <w:tcPr>
            <w:tcW w:w="737"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748"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5729" w:type="dxa"/>
            <w:vAlign w:val="top"/>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2、每日做好餐品留样，做好次日用餐菜品准备。</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cantSplit/>
        </w:trPr>
        <w:tc>
          <w:tcPr>
            <w:tcW w:w="737"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748"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5729" w:type="dxa"/>
            <w:vAlign w:val="top"/>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3、每日做好食堂卫生保洁，灶台每日洗刷，关闭燃气、电器设备。</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cantSplit/>
        </w:trPr>
        <w:tc>
          <w:tcPr>
            <w:tcW w:w="737" w:type="dxa"/>
            <w:vAlign w:val="center"/>
            <w:vMerge w:val="restart"/>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w:t>
            </w:r>
            <w:r>
              <w:rPr>
                <w:rFonts w:ascii="Times New Roman" w:hAnsi="Times New Roman" w:cs="Times New Roman"/>
                <w:color w:val="000000"/>
                <w:sz w:val="24"/>
                <w:szCs w:val="28"/>
                <w:highlight w:val="none"/>
              </w:rPr>
            </w:r>
            <w:r/>
          </w:p>
        </w:tc>
        <w:tc>
          <w:tcPr>
            <w:tcW w:w="748" w:type="dxa"/>
            <w:vAlign w:val="center"/>
            <w:vMerge w:val="restart"/>
            <w:textDirection w:val="lrTb"/>
            <w:noWrap w:val="false"/>
          </w:tcPr>
          <w:p>
            <w:pPr>
              <w:pStyle w:val="898"/>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工程服务</w:t>
            </w:r>
            <w:r>
              <w:rPr>
                <w:rFonts w:ascii="Times New Roman" w:hAnsi="Times New Roman" w:cs="Times New Roman"/>
                <w:color w:val="000000"/>
                <w:sz w:val="24"/>
                <w:szCs w:val="28"/>
                <w:highlight w:val="none"/>
              </w:rPr>
            </w:r>
            <w:r/>
          </w:p>
        </w:tc>
        <w:tc>
          <w:tcPr>
            <w:tcW w:w="5729" w:type="dxa"/>
            <w:vAlign w:val="top"/>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1、按服务要求每天巡视相关设备、设施，随坏随报。</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cantSplit/>
        </w:trPr>
        <w:tc>
          <w:tcPr>
            <w:tcW w:w="737"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748"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5729" w:type="dxa"/>
            <w:vAlign w:val="top"/>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2、做好灾备机房、配电设备检查，保障系统运行良好。</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cantSplit/>
        </w:trPr>
        <w:tc>
          <w:tcPr>
            <w:tcW w:w="737"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748"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5729" w:type="dxa"/>
            <w:vAlign w:val="top"/>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3、协助甲方做好节电、节水等节能工作，按时抄录水电表数据。</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cantSplit/>
        </w:trPr>
        <w:tc>
          <w:tcPr>
            <w:tcW w:w="737" w:type="dxa"/>
            <w:vAlign w:val="center"/>
            <w:vMerge w:val="restart"/>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4</w:t>
            </w:r>
            <w:r>
              <w:rPr>
                <w:rFonts w:ascii="Times New Roman" w:hAnsi="Times New Roman" w:cs="Times New Roman"/>
                <w:color w:val="000000"/>
                <w:sz w:val="24"/>
                <w:szCs w:val="28"/>
                <w:highlight w:val="none"/>
              </w:rPr>
            </w:r>
            <w:r/>
          </w:p>
        </w:tc>
        <w:tc>
          <w:tcPr>
            <w:tcW w:w="748" w:type="dxa"/>
            <w:vAlign w:val="center"/>
            <w:vMerge w:val="restart"/>
            <w:textDirection w:val="lrTb"/>
            <w:noWrap w:val="false"/>
          </w:tcPr>
          <w:p>
            <w:pPr>
              <w:pStyle w:val="898"/>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安全保卫</w:t>
            </w:r>
            <w:r>
              <w:rPr>
                <w:rFonts w:ascii="Times New Roman" w:hAnsi="Times New Roman" w:cs="Times New Roman"/>
                <w:color w:val="000000"/>
                <w:sz w:val="24"/>
                <w:szCs w:val="28"/>
                <w:highlight w:val="none"/>
              </w:rPr>
            </w:r>
            <w:r/>
          </w:p>
        </w:tc>
        <w:tc>
          <w:tcPr>
            <w:tcW w:w="5729" w:type="dxa"/>
            <w:vAlign w:val="top"/>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1、严格执行来人来访管理制度，严格来客登记手续。</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cantSplit/>
        </w:trPr>
        <w:tc>
          <w:tcPr>
            <w:tcW w:w="737"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748"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5729" w:type="dxa"/>
            <w:vAlign w:val="top"/>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2、无因物业管理失职而发生在区域内的物品失窃、损毁等现象。</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cantSplit/>
        </w:trPr>
        <w:tc>
          <w:tcPr>
            <w:tcW w:w="737"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748"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5729" w:type="dxa"/>
            <w:vAlign w:val="top"/>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3、安保人员实行24小时值班巡逻制度，保安人员熟悉管理范围环境，文明值勤，每2小时巡视一遍，每2小时巡查灾备机房并做记录。</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cantSplit/>
        </w:trPr>
        <w:tc>
          <w:tcPr>
            <w:tcW w:w="737"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748"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5729" w:type="dxa"/>
            <w:vAlign w:val="top"/>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4、停车场停车有序，无堵塞现象，外来机动车辆进出有引导、有登记。</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cantSplit/>
        </w:trPr>
        <w:tc>
          <w:tcPr>
            <w:tcW w:w="737"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748" w:type="dxa"/>
            <w:vAlign w:val="center"/>
            <w:vMerge w:val="continue"/>
            <w:textDirection w:val="lrTb"/>
            <w:noWrap w:val="false"/>
          </w:tcPr>
          <w:p>
            <w:pPr>
              <w:pStyle w:val="898"/>
              <w:ind w:firstLine="33"/>
              <w:spacing w:line="0" w:lineRule="atLeast"/>
              <w:widowControl/>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c>
          <w:tcPr>
            <w:tcW w:w="5729" w:type="dxa"/>
            <w:vAlign w:val="top"/>
            <w:textDirection w:val="lrTb"/>
            <w:noWrap w:val="false"/>
          </w:tcPr>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5、危及人身安全处设有明显标志和防范措施。施工维修有提醒标志。</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5</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r>
        <w:trPr>
          <w:trHeight w:val="347"/>
        </w:trPr>
        <w:tc>
          <w:tcPr>
            <w:gridSpan w:val="3"/>
            <w:tcW w:w="7214"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考核分汇总</w:t>
            </w:r>
            <w:r>
              <w:rPr>
                <w:rFonts w:ascii="Times New Roman" w:hAnsi="Times New Roman" w:cs="Times New Roman"/>
                <w:color w:val="000000"/>
                <w:sz w:val="24"/>
                <w:szCs w:val="28"/>
                <w:highlight w:val="none"/>
              </w:rPr>
            </w:r>
            <w:r/>
          </w:p>
        </w:tc>
        <w:tc>
          <w:tcPr>
            <w:tcW w:w="791"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100</w:t>
            </w:r>
            <w:r>
              <w:rPr>
                <w:rFonts w:ascii="Times New Roman" w:hAnsi="Times New Roman" w:cs="Times New Roman"/>
                <w:color w:val="000000"/>
                <w:sz w:val="24"/>
                <w:szCs w:val="28"/>
                <w:highlight w:val="none"/>
              </w:rPr>
            </w:r>
            <w:r/>
          </w:p>
        </w:tc>
        <w:tc>
          <w:tcPr>
            <w:tcW w:w="845" w:type="dxa"/>
            <w:vAlign w:val="center"/>
            <w:textDirection w:val="lrTb"/>
            <w:noWrap w:val="false"/>
          </w:tcPr>
          <w:p>
            <w:pPr>
              <w:pStyle w:val="898"/>
              <w:ind w:firstLine="33"/>
              <w:jc w:val="left"/>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tc>
      </w:tr>
    </w:tbl>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r>
      <w:r/>
    </w:p>
    <w:p>
      <w:pPr>
        <w:pStyle w:val="898"/>
        <w:ind w:firstLine="33"/>
        <w:spacing w:line="0" w:lineRule="atLeast"/>
        <w:rPr>
          <w:rFonts w:ascii="Times New Roman" w:hAnsi="Times New Roman" w:cs="Times New Roman"/>
          <w:color w:val="000000"/>
          <w:sz w:val="24"/>
          <w:szCs w:val="28"/>
          <w:highlight w:val="none"/>
        </w:rPr>
      </w:pPr>
      <w:r>
        <w:rPr>
          <w:rFonts w:ascii="Times New Roman" w:hAnsi="Times New Roman" w:cs="Times New Roman"/>
          <w:color w:val="000000"/>
          <w:sz w:val="24"/>
          <w:szCs w:val="28"/>
          <w:highlight w:val="none"/>
        </w:rPr>
        <w:t xml:space="preserve">检查分管领导：                                 综合科检查人：</w:t>
      </w:r>
      <w:r>
        <w:rPr>
          <w:rFonts w:ascii="Times New Roman" w:hAnsi="Times New Roman" w:cs="Times New Roman"/>
          <w:color w:val="000000"/>
          <w:sz w:val="24"/>
          <w:szCs w:val="28"/>
          <w:highlight w:val="none"/>
        </w:rPr>
      </w:r>
      <w:r/>
    </w:p>
    <w:p>
      <w:pPr>
        <w:pStyle w:val="898"/>
        <w:jc w:val="center"/>
        <w:keepNext/>
        <w:rPr>
          <w:rFonts w:hint="eastAsia" w:ascii="黑体" w:hAnsi="Times New Roman" w:eastAsia="黑体"/>
          <w:bCs/>
          <w:color w:val="000000"/>
          <w:sz w:val="44"/>
          <w:szCs w:val="28"/>
          <w:highlight w:val="none"/>
        </w:rPr>
        <w:outlineLvl w:val="0"/>
      </w:pPr>
      <w:r>
        <w:rPr>
          <w:rFonts w:ascii="Times New Roman"/>
          <w:color w:val="000000"/>
          <w:sz w:val="21"/>
          <w:szCs w:val="21"/>
          <w:highlight w:val="none"/>
        </w:rPr>
        <w:br w:type="page" w:clear="all"/>
      </w:r>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评审方法与评审标准</w:t>
      </w:r>
      <w:r>
        <w:rPr>
          <w:rFonts w:hint="eastAsia" w:ascii="黑体" w:hAnsi="Times New Roman" w:eastAsia="黑体"/>
          <w:bCs/>
          <w:color w:val="000000"/>
          <w:sz w:val="44"/>
          <w:szCs w:val="28"/>
          <w:highlight w:val="none"/>
        </w:rPr>
      </w:r>
      <w:r/>
    </w:p>
    <w:p>
      <w:pPr>
        <w:pStyle w:val="89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98"/>
        <w:ind w:firstLine="441"/>
        <w:jc w:val="left"/>
        <w:keepLines w:val="0"/>
        <w:keepNext w:val="0"/>
        <w:pageBreakBefore w:val="0"/>
        <w:spacing w:before="120" w:after="120" w:line="480" w:lineRule="exact"/>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rPr>
          <w:rFonts w:hint="eastAsia" w:ascii="宋体" w:hAnsi="宋体"/>
          <w:b/>
          <w:color w:val="000000"/>
          <w:sz w:val="24"/>
          <w:szCs w:val="24"/>
          <w:highlight w:val="none"/>
        </w:rPr>
      </w:r>
      <w:r/>
    </w:p>
    <w:p>
      <w:pPr>
        <w:pStyle w:val="898"/>
        <w:ind w:firstLine="480"/>
        <w:jc w:val="left"/>
        <w:keepLines w:val="0"/>
        <w:keepNext w:val="0"/>
        <w:pageBreakBefore w:val="0"/>
        <w:spacing w:before="120" w:after="120" w:line="48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898"/>
        <w:ind w:firstLine="360"/>
        <w:jc w:val="left"/>
        <w:keepLines w:val="0"/>
        <w:keepNext w:val="0"/>
        <w:pageBreakBefore w:val="0"/>
        <w:spacing w:before="120" w:after="120" w:line="48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（1）本项目对小型和微型企业产品/本项目对小型和微型企业提供的服务 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的扣除价格，用扣除后的价格参与评审。（2）供应商需按照采购文件的要求提供相应的《中小微企业声明函》。</w:t>
      </w:r>
      <w:r>
        <w:rPr>
          <w:rFonts w:hint="eastAsia" w:ascii="宋体" w:hAnsi="宋体"/>
          <w:color w:val="000000"/>
          <w:sz w:val="24"/>
          <w:szCs w:val="24"/>
          <w:highlight w:val="none"/>
        </w:rPr>
      </w:r>
      <w:r/>
    </w:p>
    <w:p>
      <w:pPr>
        <w:pStyle w:val="898"/>
        <w:ind w:firstLine="480"/>
        <w:jc w:val="left"/>
        <w:keepLines w:val="0"/>
        <w:keepNext w:val="0"/>
        <w:pageBreakBefore w:val="0"/>
        <w:spacing w:before="120" w:after="120" w:line="48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898"/>
        <w:ind w:left="120" w:firstLine="360"/>
        <w:jc w:val="left"/>
        <w:keepLines w:val="0"/>
        <w:keepNext w:val="0"/>
        <w:pageBreakBefore w:val="0"/>
        <w:spacing w:before="120" w:after="120" w:line="48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98"/>
        <w:ind w:left="120" w:firstLine="360"/>
        <w:jc w:val="left"/>
        <w:keepLines w:val="0"/>
        <w:keepNext w:val="0"/>
        <w:pageBreakBefore w:val="0"/>
        <w:spacing w:before="120" w:after="120" w:line="48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898"/>
        <w:ind w:left="120" w:firstLine="360"/>
        <w:jc w:val="left"/>
        <w:keepLines w:val="0"/>
        <w:keepNext w:val="0"/>
        <w:pageBreakBefore w:val="0"/>
        <w:spacing w:before="120" w:after="120" w:line="48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898"/>
        <w:ind w:firstLine="480"/>
        <w:jc w:val="left"/>
        <w:keepLines w:val="0"/>
        <w:keepNext w:val="0"/>
        <w:pageBreakBefore w:val="0"/>
        <w:spacing w:before="120" w:after="120" w:line="48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898"/>
        <w:ind w:firstLine="480"/>
        <w:jc w:val="left"/>
        <w:keepLines w:val="0"/>
        <w:keepNext w:val="0"/>
        <w:pageBreakBefore w:val="0"/>
        <w:spacing w:before="120" w:after="120" w:line="48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98"/>
        <w:ind w:firstLine="480"/>
        <w:jc w:val="left"/>
        <w:keepLines w:val="0"/>
        <w:keepNext w:val="0"/>
        <w:pageBreakBefore w:val="0"/>
        <w:spacing w:before="120" w:after="120" w:line="48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rPr>
        <w:t xml:space="preserve">供应商如不提供上述证明文件，价格将不做相应扣除</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98"/>
        <w:ind w:firstLine="480"/>
        <w:jc w:val="left"/>
        <w:keepLines w:val="0"/>
        <w:keepNext w:val="0"/>
        <w:pageBreakBefore w:val="0"/>
        <w:spacing w:before="120" w:after="120" w:line="48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2014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98"/>
        <w:ind w:firstLine="480"/>
        <w:jc w:val="left"/>
        <w:keepLines w:val="0"/>
        <w:keepNext w:val="0"/>
        <w:pageBreakBefore w:val="0"/>
        <w:spacing w:before="120" w:after="120" w:line="48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898"/>
        <w:ind w:firstLine="360"/>
        <w:jc w:val="left"/>
        <w:keepLines w:val="0"/>
        <w:keepNext w:val="0"/>
        <w:pageBreakBefore w:val="0"/>
        <w:spacing w:before="120" w:after="120" w:line="48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98"/>
        <w:ind w:firstLine="480"/>
        <w:jc w:val="left"/>
        <w:keepLines w:val="0"/>
        <w:keepNext w:val="0"/>
        <w:pageBreakBefore w:val="0"/>
        <w:spacing w:before="120" w:after="120" w:line="48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rPr>
          <w:rFonts w:hint="eastAsia" w:ascii="宋体" w:hAnsi="宋体"/>
          <w:color w:val="000000"/>
          <w:sz w:val="24"/>
          <w:szCs w:val="24"/>
          <w:highlight w:val="none"/>
        </w:rPr>
      </w:r>
      <w:r/>
    </w:p>
    <w:p>
      <w:pPr>
        <w:pStyle w:val="900"/>
        <w:rPr>
          <w:rFonts w:ascii="Times New Roman" w:hAnsi="Times New Roman" w:cs="Times New Roman"/>
          <w:color w:val="000000"/>
          <w:highlight w:val="none"/>
        </w:rPr>
      </w:pPr>
      <w:r>
        <w:rPr>
          <w:rFonts w:ascii="Times New Roman" w:hAnsi="Times New Roman" w:cs="Times New Roman"/>
          <w:color w:val="000000"/>
          <w:highlight w:val="none"/>
        </w:rPr>
        <w:t xml:space="preserve">评审方法与评审标准</w:t>
      </w:r>
      <w:r>
        <w:rPr>
          <w:rFonts w:ascii="Times New Roman" w:hAnsi="Times New Roman" w:cs="Times New Roman"/>
          <w:color w:val="000000"/>
          <w:highlight w:val="none"/>
        </w:rPr>
      </w:r>
      <w:r/>
    </w:p>
    <w:tbl>
      <w:tblPr>
        <w:tblW w:w="9023" w:type="dxa"/>
        <w:tblInd w:w="-397" w:type="dxa"/>
        <w:tblLayout w:type="fixed"/>
        <w:tblCellMar>
          <w:left w:w="108" w:type="dxa"/>
          <w:top w:w="0" w:type="dxa"/>
          <w:right w:w="108" w:type="dxa"/>
          <w:bottom w:w="0" w:type="dxa"/>
        </w:tblCellMar>
        <w:tblLook w:val="04A0" w:firstRow="1" w:lastRow="0" w:firstColumn="1" w:lastColumn="0" w:noHBand="0" w:noVBand="1"/>
      </w:tblPr>
      <w:tblGrid>
        <w:gridCol w:w="710"/>
        <w:gridCol w:w="1134"/>
        <w:gridCol w:w="6456"/>
        <w:gridCol w:w="723"/>
      </w:tblGrid>
      <w:tr>
        <w:trPr>
          <w:trHeight w:val="41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98"/>
              <w:jc w:val="center"/>
              <w:widowControl/>
              <w:rPr>
                <w:b/>
                <w:bCs/>
                <w:color w:val="000000"/>
                <w:sz w:val="22"/>
                <w:highlight w:val="none"/>
              </w:rPr>
            </w:pPr>
            <w:r>
              <w:rPr>
                <w:b/>
                <w:bCs/>
                <w:color w:val="000000"/>
                <w:sz w:val="22"/>
                <w:highlight w:val="none"/>
              </w:rPr>
              <w:t xml:space="preserve">序号</w:t>
            </w:r>
            <w:r>
              <w:rPr>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98"/>
              <w:jc w:val="center"/>
              <w:widowControl/>
              <w:rPr>
                <w:b/>
                <w:bCs/>
                <w:color w:val="000000"/>
                <w:sz w:val="22"/>
                <w:highlight w:val="none"/>
              </w:rPr>
            </w:pPr>
            <w:r>
              <w:rPr>
                <w:b/>
                <w:bCs/>
                <w:color w:val="000000"/>
                <w:sz w:val="22"/>
                <w:highlight w:val="none"/>
              </w:rPr>
              <w:t xml:space="preserve">评审因素</w:t>
            </w:r>
            <w:r>
              <w:rPr>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456" w:type="dxa"/>
            <w:vAlign w:val="center"/>
            <w:textDirection w:val="lrTb"/>
            <w:noWrap w:val="false"/>
          </w:tcPr>
          <w:p>
            <w:pPr>
              <w:pStyle w:val="898"/>
              <w:jc w:val="center"/>
              <w:widowControl/>
              <w:rPr>
                <w:b/>
                <w:bCs/>
                <w:color w:val="000000"/>
                <w:sz w:val="22"/>
                <w:highlight w:val="none"/>
              </w:rPr>
            </w:pPr>
            <w:r>
              <w:rPr>
                <w:b/>
                <w:bCs/>
                <w:color w:val="000000"/>
                <w:sz w:val="22"/>
                <w:highlight w:val="none"/>
              </w:rPr>
              <w:t xml:space="preserve">评审细则</w:t>
            </w:r>
            <w:r>
              <w:rPr>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898"/>
              <w:jc w:val="center"/>
              <w:widowControl/>
              <w:rPr>
                <w:b/>
                <w:bCs/>
                <w:color w:val="000000"/>
                <w:sz w:val="22"/>
                <w:highlight w:val="none"/>
              </w:rPr>
            </w:pPr>
            <w:r>
              <w:rPr>
                <w:b/>
                <w:bCs/>
                <w:color w:val="000000"/>
                <w:sz w:val="22"/>
                <w:highlight w:val="none"/>
              </w:rPr>
              <w:t xml:space="preserve">分值</w:t>
            </w:r>
            <w:r>
              <w:rPr>
                <w:b/>
                <w:bCs/>
                <w:color w:val="000000"/>
                <w:sz w:val="22"/>
                <w:highlight w:val="none"/>
              </w:rPr>
            </w:r>
            <w:r/>
          </w:p>
        </w:tc>
      </w:tr>
      <w:tr>
        <w:trPr>
          <w:trHeight w:val="15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98"/>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98"/>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报价</w:t>
            </w:r>
            <w:r>
              <w:rPr>
                <w:rFonts w:ascii="Times New Roman" w:hAnsi="Times New Roman"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56" w:type="dxa"/>
            <w:vAlign w:val="center"/>
            <w:textDirection w:val="lrTb"/>
            <w:noWrap w:val="false"/>
          </w:tcPr>
          <w:p>
            <w:pPr>
              <w:pStyle w:val="898"/>
              <w:jc w:val="lef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价格分采用低价优先法计算，即满足招标文件要求且最后报价最低的投标报价为评标基准价，其价格分为满分</w:t>
            </w:r>
            <w:r>
              <w:rPr>
                <w:rFonts w:hint="eastAsia" w:ascii="Times New Roman" w:hAnsi="Times New Roman" w:cs="Times New Roman"/>
                <w:color w:val="000000"/>
                <w:sz w:val="24"/>
                <w:szCs w:val="24"/>
                <w:highlight w:val="none"/>
                <w:lang w:val="en-US" w:eastAsia="zh-CN"/>
              </w:rPr>
              <w:t xml:space="preserve">25</w:t>
            </w:r>
            <w:r>
              <w:rPr>
                <w:rFonts w:ascii="Times New Roman" w:hAnsi="Times New Roman" w:cs="Times New Roman"/>
                <w:color w:val="000000"/>
                <w:sz w:val="24"/>
                <w:szCs w:val="24"/>
                <w:highlight w:val="none"/>
              </w:rPr>
              <w:t xml:space="preserve">分，</w:t>
            </w:r>
            <w:r>
              <w:rPr>
                <w:rFonts w:ascii="Times New Roman" w:hAnsi="Times New Roman" w:cs="Times New Roman"/>
                <w:color w:val="000000"/>
                <w:sz w:val="24"/>
                <w:szCs w:val="24"/>
                <w:highlight w:val="none"/>
              </w:rPr>
            </w:r>
            <w:r/>
          </w:p>
          <w:p>
            <w:pPr>
              <w:pStyle w:val="898"/>
              <w:jc w:val="lef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其它投标人的价格分统一按照下列公式计算：投标报价得分=（评标基准价/投标报价）×</w:t>
            </w:r>
            <w:r>
              <w:rPr>
                <w:rFonts w:hint="eastAsia" w:ascii="Times New Roman" w:hAnsi="Times New Roman" w:cs="Times New Roman"/>
                <w:color w:val="000000"/>
                <w:sz w:val="24"/>
                <w:szCs w:val="24"/>
                <w:highlight w:val="none"/>
                <w:lang w:val="en-US" w:eastAsia="zh-CN"/>
              </w:rPr>
              <w:t xml:space="preserve">25</w:t>
            </w:r>
            <w:r>
              <w:rPr>
                <w:rFonts w:ascii="Times New Roman" w:hAnsi="Times New Roman" w:cs="Times New Roman"/>
                <w:color w:val="000000"/>
                <w:sz w:val="24"/>
                <w:szCs w:val="24"/>
                <w:highlight w:val="none"/>
              </w:rPr>
              <w:t xml:space="preserve">分。分值保留小数点后2位。</w:t>
            </w:r>
            <w:r>
              <w:rPr>
                <w:rFonts w:ascii="Times New Roman" w:hAnsi="Times New Roman"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898"/>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25</w:t>
            </w:r>
            <w:r>
              <w:rPr>
                <w:rFonts w:ascii="Times New Roman" w:hAnsi="Times New Roman" w:cs="Times New Roman"/>
                <w:color w:val="000000"/>
                <w:sz w:val="24"/>
                <w:szCs w:val="24"/>
                <w:highlight w:val="none"/>
              </w:rPr>
            </w:r>
            <w:r/>
          </w:p>
        </w:tc>
      </w:tr>
      <w:tr>
        <w:trPr>
          <w:trHeight w:val="1029"/>
        </w:trPr>
        <w:tc>
          <w:tcPr>
            <w:tcBorders>
              <w:top w:val="single" w:color="000000" w:sz="4" w:space="0"/>
              <w:left w:val="single" w:color="000000" w:sz="4" w:space="0"/>
              <w:bottom w:val="none" w:color="000000" w:sz="0" w:space="0"/>
              <w:right w:val="single" w:color="000000" w:sz="4" w:space="0"/>
            </w:tcBorders>
            <w:tcW w:w="710" w:type="dxa"/>
            <w:vAlign w:val="center"/>
            <w:vMerge w:val="restart"/>
            <w:textDirection w:val="lrTb"/>
            <w:noWrap w:val="false"/>
          </w:tcPr>
          <w:p>
            <w:pPr>
              <w:pStyle w:val="898"/>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1134" w:type="dxa"/>
            <w:vAlign w:val="center"/>
            <w:vMerge w:val="restart"/>
            <w:textDirection w:val="lrTb"/>
            <w:noWrap w:val="false"/>
          </w:tcPr>
          <w:p>
            <w:pPr>
              <w:pStyle w:val="898"/>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技术服务方案</w:t>
            </w:r>
            <w:r>
              <w:rPr>
                <w:rFonts w:ascii="Times New Roman" w:hAnsi="Times New Roman"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56" w:type="dxa"/>
            <w:vAlign w:val="center"/>
            <w:textDirection w:val="lrTb"/>
            <w:noWrap w:val="false"/>
          </w:tcPr>
          <w:p>
            <w:pPr>
              <w:pStyle w:val="925"/>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2.1</w:t>
            </w:r>
            <w:r>
              <w:rPr>
                <w:rFonts w:ascii="Times New Roman" w:hAnsi="Times New Roman" w:cs="Times New Roman"/>
                <w:b/>
                <w:bCs/>
                <w:color w:val="000000"/>
                <w:sz w:val="24"/>
                <w:szCs w:val="24"/>
                <w:highlight w:val="none"/>
              </w:rPr>
              <w:t xml:space="preserve">物业管理总体实施方案。</w:t>
            </w:r>
            <w:r>
              <w:rPr>
                <w:rFonts w:ascii="Times New Roman" w:hAnsi="Times New Roman" w:cs="Times New Roman"/>
                <w:color w:val="000000"/>
                <w:sz w:val="24"/>
                <w:szCs w:val="24"/>
                <w:highlight w:val="none"/>
              </w:rPr>
              <w:t xml:space="preserve">（5 分）</w:t>
            </w:r>
            <w:r>
              <w:rPr>
                <w:rFonts w:ascii="Times New Roman" w:hAnsi="Times New Roman" w:cs="Times New Roman"/>
                <w:color w:val="000000"/>
                <w:sz w:val="24"/>
                <w:szCs w:val="24"/>
                <w:highlight w:val="none"/>
              </w:rPr>
              <w:t xml:space="preserve">投标人应根据采购需求和本项目实际提供本项目物业管理总体实施方案，方案优于招标文件要求的得5分，符合招标要求文件的得3分，不符合招标要求文件或未提供的不得分。</w:t>
            </w:r>
            <w:r>
              <w:rPr>
                <w:rFonts w:ascii="Times New Roman" w:hAnsi="Times New Roman" w:cs="Times New Roman"/>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723" w:type="dxa"/>
            <w:vAlign w:val="center"/>
            <w:vMerge w:val="restart"/>
            <w:textDirection w:val="lrTb"/>
            <w:noWrap w:val="false"/>
          </w:tcPr>
          <w:p>
            <w:pPr>
              <w:pStyle w:val="898"/>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35</w:t>
            </w:r>
            <w:r>
              <w:rPr>
                <w:rFonts w:ascii="Times New Roman" w:hAnsi="Times New Roman" w:cs="Times New Roman"/>
                <w:color w:val="000000"/>
                <w:sz w:val="24"/>
                <w:szCs w:val="24"/>
                <w:highlight w:val="none"/>
              </w:rPr>
            </w:r>
            <w:r/>
          </w:p>
        </w:tc>
      </w:tr>
      <w:tr>
        <w:trPr>
          <w:trHeight w:val="1140"/>
        </w:trPr>
        <w:tc>
          <w:tcPr>
            <w:tcBorders>
              <w:top w:val="none" w:color="000000" w:sz="0" w:space="0"/>
              <w:left w:val="single" w:color="000000" w:sz="4" w:space="0"/>
              <w:bottom w:val="none" w:color="000000" w:sz="0" w:space="0"/>
              <w:right w:val="single" w:color="000000" w:sz="4" w:space="0"/>
            </w:tcBorders>
            <w:tcW w:w="710" w:type="dxa"/>
            <w:vAlign w:val="center"/>
            <w:vMerge w:val="continue"/>
            <w:textDirection w:val="lrTb"/>
            <w:noWrap w:val="false"/>
          </w:tcPr>
          <w:p>
            <w:pPr>
              <w:pStyle w:val="898"/>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val="false"/>
          </w:tcPr>
          <w:p>
            <w:pPr>
              <w:pStyle w:val="898"/>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56" w:type="dxa"/>
            <w:vAlign w:val="center"/>
            <w:textDirection w:val="lrTb"/>
            <w:noWrap w:val="false"/>
          </w:tcPr>
          <w:p>
            <w:pPr>
              <w:pStyle w:val="925"/>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2.2</w:t>
            </w:r>
            <w:r>
              <w:rPr>
                <w:rFonts w:ascii="Times New Roman" w:hAnsi="Times New Roman" w:cs="Times New Roman"/>
                <w:b/>
                <w:bCs/>
                <w:color w:val="000000"/>
                <w:sz w:val="24"/>
                <w:szCs w:val="24"/>
                <w:highlight w:val="none"/>
              </w:rPr>
              <w:t xml:space="preserve">后勤服务管理方案。</w:t>
            </w:r>
            <w:r>
              <w:rPr>
                <w:rFonts w:ascii="Times New Roman" w:hAnsi="Times New Roman" w:cs="Times New Roman"/>
                <w:color w:val="000000"/>
                <w:sz w:val="24"/>
                <w:szCs w:val="24"/>
                <w:highlight w:val="none"/>
              </w:rPr>
              <w:t xml:space="preserve">（5 分）</w:t>
            </w:r>
            <w:r>
              <w:rPr>
                <w:rFonts w:ascii="Times New Roman" w:hAnsi="Times New Roman" w:cs="Times New Roman"/>
                <w:color w:val="000000"/>
                <w:sz w:val="24"/>
                <w:szCs w:val="24"/>
                <w:highlight w:val="none"/>
              </w:rPr>
              <w:t xml:space="preserve">投标人应根据采购需求和本项目实际提供本项目后勤服务管理方案，方案优于招标文件要求的得5分，符合招标要求文件的得3分，不符合招标要求文件或未提供的不得分。</w:t>
            </w:r>
            <w:r>
              <w:rPr>
                <w:rFonts w:ascii="Times New Roman" w:hAnsi="Times New Roman" w:cs="Times New Roman"/>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23" w:type="dxa"/>
            <w:vAlign w:val="center"/>
            <w:vMerge w:val="continue"/>
            <w:textDirection w:val="lrTb"/>
            <w:noWrap w:val="false"/>
          </w:tcPr>
          <w:p>
            <w:pPr>
              <w:pStyle w:val="898"/>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trHeight w:val="1060"/>
        </w:trPr>
        <w:tc>
          <w:tcPr>
            <w:tcBorders>
              <w:top w:val="none" w:color="000000" w:sz="0" w:space="0"/>
              <w:left w:val="single" w:color="000000" w:sz="4" w:space="0"/>
              <w:bottom w:val="none" w:color="000000" w:sz="0" w:space="0"/>
              <w:right w:val="single" w:color="000000" w:sz="4" w:space="0"/>
            </w:tcBorders>
            <w:tcW w:w="710" w:type="dxa"/>
            <w:vAlign w:val="center"/>
            <w:vMerge w:val="continue"/>
            <w:textDirection w:val="lrTb"/>
            <w:noWrap w:val="false"/>
          </w:tcPr>
          <w:p>
            <w:pPr>
              <w:pStyle w:val="898"/>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val="false"/>
          </w:tcPr>
          <w:p>
            <w:pPr>
              <w:pStyle w:val="898"/>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56" w:type="dxa"/>
            <w:vAlign w:val="center"/>
            <w:textDirection w:val="lrTb"/>
            <w:noWrap w:val="false"/>
          </w:tcPr>
          <w:p>
            <w:pPr>
              <w:pStyle w:val="925"/>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2.3</w:t>
            </w:r>
            <w:r>
              <w:rPr>
                <w:rFonts w:ascii="Times New Roman" w:hAnsi="Times New Roman" w:cs="Times New Roman"/>
                <w:b/>
                <w:bCs/>
                <w:color w:val="000000"/>
                <w:sz w:val="24"/>
                <w:szCs w:val="24"/>
                <w:highlight w:val="none"/>
              </w:rPr>
              <w:t xml:space="preserve">水土保持观测场运维方案。</w:t>
            </w:r>
            <w:r>
              <w:rPr>
                <w:rFonts w:ascii="Times New Roman" w:hAnsi="Times New Roman" w:cs="Times New Roman"/>
                <w:color w:val="000000"/>
                <w:sz w:val="24"/>
                <w:szCs w:val="24"/>
                <w:highlight w:val="none"/>
              </w:rPr>
              <w:t xml:space="preserve">（5 分）</w:t>
            </w:r>
            <w:r>
              <w:rPr>
                <w:rFonts w:ascii="Times New Roman" w:hAnsi="Times New Roman" w:cs="Times New Roman"/>
                <w:color w:val="000000"/>
                <w:sz w:val="24"/>
                <w:szCs w:val="24"/>
                <w:highlight w:val="none"/>
              </w:rPr>
              <w:t xml:space="preserve">投标人应根据采购需求和本项目实际提供本项目水土保持观测场运维方案，方案优于招标文件要求的得5分，符合招标要求文件的得3分，不符合招标要求文件或未提供的不得分。</w:t>
            </w:r>
            <w:r>
              <w:rPr>
                <w:rFonts w:ascii="Times New Roman" w:hAnsi="Times New Roman" w:cs="Times New Roman"/>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23" w:type="dxa"/>
            <w:vAlign w:val="center"/>
            <w:vMerge w:val="continue"/>
            <w:textDirection w:val="lrTb"/>
            <w:noWrap w:val="false"/>
          </w:tcPr>
          <w:p>
            <w:pPr>
              <w:pStyle w:val="898"/>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trHeight w:val="1120"/>
        </w:trPr>
        <w:tc>
          <w:tcPr>
            <w:tcBorders>
              <w:top w:val="none" w:color="000000" w:sz="0" w:space="0"/>
              <w:left w:val="single" w:color="000000" w:sz="4" w:space="0"/>
              <w:bottom w:val="none" w:color="000000" w:sz="0" w:space="0"/>
              <w:right w:val="single" w:color="000000" w:sz="4" w:space="0"/>
            </w:tcBorders>
            <w:tcW w:w="710" w:type="dxa"/>
            <w:vAlign w:val="center"/>
            <w:vMerge w:val="continue"/>
            <w:textDirection w:val="lrTb"/>
            <w:noWrap w:val="false"/>
          </w:tcPr>
          <w:p>
            <w:pPr>
              <w:pStyle w:val="898"/>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val="false"/>
          </w:tcPr>
          <w:p>
            <w:pPr>
              <w:pStyle w:val="898"/>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56" w:type="dxa"/>
            <w:vAlign w:val="center"/>
            <w:textDirection w:val="lrTb"/>
            <w:noWrap w:val="false"/>
          </w:tcPr>
          <w:p>
            <w:pPr>
              <w:pStyle w:val="925"/>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2.4</w:t>
            </w:r>
            <w:r>
              <w:rPr>
                <w:rFonts w:ascii="Times New Roman" w:hAnsi="Times New Roman" w:cs="Times New Roman"/>
                <w:b/>
                <w:bCs/>
                <w:color w:val="000000"/>
                <w:sz w:val="24"/>
                <w:szCs w:val="24"/>
                <w:highlight w:val="none"/>
              </w:rPr>
              <w:t xml:space="preserve">水情教育场馆运维服务方案。</w:t>
            </w:r>
            <w:r>
              <w:rPr>
                <w:rFonts w:ascii="Times New Roman" w:hAnsi="Times New Roman" w:cs="Times New Roman"/>
                <w:color w:val="000000"/>
                <w:sz w:val="24"/>
                <w:szCs w:val="24"/>
                <w:highlight w:val="none"/>
              </w:rPr>
              <w:t xml:space="preserve">（5 分）</w:t>
            </w:r>
            <w:r>
              <w:rPr>
                <w:rFonts w:ascii="Times New Roman" w:hAnsi="Times New Roman" w:cs="Times New Roman"/>
                <w:color w:val="000000"/>
                <w:sz w:val="24"/>
                <w:szCs w:val="24"/>
                <w:highlight w:val="none"/>
              </w:rPr>
              <w:t xml:space="preserve">投标人应根据采购需求和本项目实际提供本项目水情教育场馆运维服务方案，方案优于招标文件要求的得5分，符合招标要求文件的得3分，不符合招标要求文件或未提供的不得分。</w:t>
            </w:r>
            <w:r>
              <w:rPr>
                <w:rFonts w:ascii="Times New Roman" w:hAnsi="Times New Roman" w:cs="Times New Roman"/>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23" w:type="dxa"/>
            <w:vAlign w:val="center"/>
            <w:vMerge w:val="continue"/>
            <w:textDirection w:val="lrTb"/>
            <w:noWrap w:val="false"/>
          </w:tcPr>
          <w:p>
            <w:pPr>
              <w:pStyle w:val="898"/>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trHeight w:val="1080"/>
        </w:trPr>
        <w:tc>
          <w:tcPr>
            <w:tcBorders>
              <w:top w:val="none" w:color="000000" w:sz="0" w:space="0"/>
              <w:left w:val="single" w:color="000000" w:sz="4" w:space="0"/>
              <w:bottom w:val="none" w:color="000000" w:sz="0" w:space="0"/>
              <w:right w:val="single" w:color="000000" w:sz="4" w:space="0"/>
            </w:tcBorders>
            <w:tcW w:w="710" w:type="dxa"/>
            <w:vAlign w:val="center"/>
            <w:vMerge w:val="continue"/>
            <w:textDirection w:val="lrTb"/>
            <w:noWrap w:val="false"/>
          </w:tcPr>
          <w:p>
            <w:pPr>
              <w:pStyle w:val="898"/>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val="false"/>
          </w:tcPr>
          <w:p>
            <w:pPr>
              <w:pStyle w:val="898"/>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56" w:type="dxa"/>
            <w:vAlign w:val="center"/>
            <w:textDirection w:val="lrTb"/>
            <w:noWrap w:val="false"/>
          </w:tcPr>
          <w:p>
            <w:pPr>
              <w:pStyle w:val="925"/>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2.5</w:t>
            </w:r>
            <w:r>
              <w:rPr>
                <w:rFonts w:ascii="Times New Roman" w:hAnsi="Times New Roman" w:cs="Times New Roman"/>
                <w:b/>
                <w:bCs/>
                <w:color w:val="000000"/>
                <w:sz w:val="24"/>
                <w:szCs w:val="24"/>
                <w:highlight w:val="none"/>
              </w:rPr>
              <w:t xml:space="preserve">灾备机房运维服务方案。</w:t>
            </w:r>
            <w:r>
              <w:rPr>
                <w:rFonts w:ascii="Times New Roman" w:hAnsi="Times New Roman" w:cs="Times New Roman"/>
                <w:color w:val="000000"/>
                <w:sz w:val="24"/>
                <w:szCs w:val="24"/>
                <w:highlight w:val="none"/>
              </w:rPr>
              <w:t xml:space="preserve">（5 分）</w:t>
            </w:r>
            <w:r>
              <w:rPr>
                <w:rFonts w:ascii="Times New Roman" w:hAnsi="Times New Roman" w:cs="Times New Roman"/>
                <w:color w:val="000000"/>
                <w:sz w:val="24"/>
                <w:szCs w:val="24"/>
                <w:highlight w:val="none"/>
              </w:rPr>
              <w:t xml:space="preserve">投标人应根据采购需求和本项目实际提供本项目灾备机房运维服务方案，方案优于招标文件要求的得5分，符合招标要求文件的得3分，不符合招标要求文件或未提供的不得分。</w:t>
            </w:r>
            <w:r>
              <w:rPr>
                <w:rFonts w:ascii="Times New Roman" w:hAnsi="Times New Roman" w:cs="Times New Roman"/>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23" w:type="dxa"/>
            <w:vAlign w:val="center"/>
            <w:vMerge w:val="continue"/>
            <w:textDirection w:val="lrTb"/>
            <w:noWrap w:val="false"/>
          </w:tcPr>
          <w:p>
            <w:pPr>
              <w:pStyle w:val="898"/>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trHeight w:val="1772"/>
        </w:trPr>
        <w:tc>
          <w:tcPr>
            <w:tcBorders>
              <w:top w:val="none" w:color="000000" w:sz="0"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98"/>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val="false"/>
          </w:tcPr>
          <w:p>
            <w:pPr>
              <w:pStyle w:val="898"/>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56" w:type="dxa"/>
            <w:vAlign w:val="center"/>
            <w:textDirection w:val="lrTb"/>
            <w:noWrap w:val="false"/>
          </w:tcPr>
          <w:p>
            <w:pPr>
              <w:pStyle w:val="925"/>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t xml:space="preserve">2.6人员培训（5分）</w:t>
            </w:r>
            <w:r>
              <w:rPr>
                <w:rFonts w:ascii="Times New Roman" w:hAnsi="Times New Roman" w:cs="Times New Roman"/>
                <w:b/>
                <w:bCs/>
                <w:color w:val="000000"/>
                <w:sz w:val="24"/>
                <w:szCs w:val="24"/>
                <w:highlight w:val="none"/>
              </w:rPr>
            </w:r>
            <w:r/>
          </w:p>
          <w:p>
            <w:pPr>
              <w:pStyle w:val="925"/>
              <w:rPr>
                <w:color w:val="000000"/>
                <w:highlight w:val="none"/>
              </w:rPr>
            </w:pPr>
            <w:r>
              <w:rPr>
                <w:rFonts w:ascii="Times New Roman" w:hAnsi="Times New Roman" w:cs="Times New Roman"/>
                <w:color w:val="000000"/>
                <w:sz w:val="24"/>
                <w:szCs w:val="24"/>
                <w:highlight w:val="none"/>
              </w:rPr>
              <w:t xml:space="preserve">投标人提供的人员培训计划包含但不限于分岗位培训、培训程序、培训期限、培训目标、培训内容、培训方式等方案优于招标文件要求的得5分，符合招标要求文件的得3分，不符合招标要求文件或未提供的不得分。</w:t>
            </w:r>
            <w:r>
              <w:rPr>
                <w:color w:val="000000"/>
                <w:highlight w:val="none"/>
              </w:rPr>
            </w:r>
            <w:r/>
          </w:p>
        </w:tc>
        <w:tc>
          <w:tcPr>
            <w:tcBorders>
              <w:top w:val="none" w:color="000000" w:sz="0" w:space="0"/>
              <w:left w:val="single" w:color="000000" w:sz="4" w:space="0"/>
              <w:bottom w:val="single" w:color="000000" w:sz="4" w:space="0"/>
              <w:right w:val="single" w:color="000000" w:sz="4" w:space="0"/>
            </w:tcBorders>
            <w:tcW w:w="723" w:type="dxa"/>
            <w:vAlign w:val="center"/>
            <w:vMerge w:val="continue"/>
            <w:textDirection w:val="lrTb"/>
            <w:noWrap w:val="false"/>
          </w:tcPr>
          <w:p>
            <w:pPr>
              <w:pStyle w:val="898"/>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trHeight w:val="939"/>
        </w:trPr>
        <w:tc>
          <w:tcPr>
            <w:tcBorders>
              <w:top w:val="none" w:color="000000" w:sz="0"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958"/>
              <w:rPr>
                <w:rFonts w:ascii="Times New Roman"/>
                <w:color w:val="000000"/>
                <w:highlight w:val="none"/>
              </w:rPr>
            </w:pPr>
            <w:r>
              <w:rPr>
                <w:rFonts w:ascii="Times New Roman"/>
                <w:color w:val="000000"/>
                <w:highlight w:val="none"/>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val="false"/>
          </w:tcPr>
          <w:p>
            <w:pPr>
              <w:pStyle w:val="958"/>
              <w:rPr>
                <w:rFonts w:ascii="Times New Roman"/>
                <w:color w:val="000000"/>
                <w:highlight w:val="none"/>
              </w:rPr>
            </w:pPr>
            <w:r>
              <w:rPr>
                <w:rFonts w:ascii="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6456" w:type="dxa"/>
            <w:vAlign w:val="center"/>
            <w:textDirection w:val="lrTb"/>
            <w:noWrap w:val="false"/>
          </w:tcPr>
          <w:p>
            <w:pPr>
              <w:pStyle w:val="925"/>
              <w:widowControl/>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t xml:space="preserve">2.7人员配备方案（5分）</w:t>
            </w:r>
            <w:r>
              <w:rPr>
                <w:rFonts w:ascii="Times New Roman" w:hAnsi="Times New Roman" w:cs="Times New Roman"/>
                <w:b/>
                <w:bCs/>
                <w:color w:val="000000"/>
                <w:sz w:val="24"/>
                <w:szCs w:val="24"/>
                <w:highlight w:val="none"/>
              </w:rPr>
            </w:r>
            <w:r/>
          </w:p>
          <w:p>
            <w:pPr>
              <w:pStyle w:val="925"/>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方案优于招标文件要求的得5分，符合招标要求文件的得3分，不符合招标要求文件或未提供的不得分。</w:t>
            </w:r>
            <w:r>
              <w:rPr>
                <w:rFonts w:ascii="Times New Roman" w:hAnsi="Times New Roman" w:cs="Times New Roman"/>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W w:w="723" w:type="dxa"/>
            <w:vAlign w:val="center"/>
            <w:vMerge w:val="continue"/>
            <w:textDirection w:val="lrTb"/>
            <w:noWrap w:val="false"/>
          </w:tcPr>
          <w:p>
            <w:pPr>
              <w:pStyle w:val="958"/>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trHeight w:val="1021"/>
        </w:trPr>
        <w:tc>
          <w:tcPr>
            <w:tcBorders>
              <w:top w:val="single" w:color="000000" w:sz="4" w:space="0"/>
              <w:left w:val="single" w:color="000000" w:sz="4" w:space="0"/>
              <w:bottom w:val="none" w:color="000000" w:sz="0" w:space="0"/>
              <w:right w:val="single" w:color="000000" w:sz="4" w:space="0"/>
            </w:tcBorders>
            <w:tcW w:w="710" w:type="dxa"/>
            <w:vAlign w:val="center"/>
            <w:vMerge w:val="restart"/>
            <w:textDirection w:val="lrTb"/>
            <w:noWrap w:val="false"/>
          </w:tcPr>
          <w:p>
            <w:pPr>
              <w:pStyle w:val="898"/>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1134" w:type="dxa"/>
            <w:vAlign w:val="center"/>
            <w:vMerge w:val="restart"/>
            <w:textDirection w:val="lrTb"/>
            <w:noWrap w:val="false"/>
          </w:tcPr>
          <w:p>
            <w:pPr>
              <w:pStyle w:val="898"/>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人员资质与配备</w:t>
            </w:r>
            <w:r>
              <w:rPr>
                <w:rFonts w:ascii="Times New Roman" w:hAnsi="Times New Roman"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56" w:type="dxa"/>
            <w:vAlign w:val="center"/>
            <w:textDirection w:val="lrTb"/>
            <w:noWrap w:val="false"/>
          </w:tcPr>
          <w:p>
            <w:pPr>
              <w:pStyle w:val="898"/>
              <w:jc w:val="lef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3.1项目经理（4分）</w:t>
            </w:r>
            <w:r>
              <w:rPr>
                <w:rFonts w:ascii="Times New Roman" w:hAnsi="Times New Roman" w:cs="Times New Roman"/>
                <w:color w:val="000000"/>
                <w:sz w:val="24"/>
                <w:szCs w:val="24"/>
                <w:highlight w:val="none"/>
              </w:rPr>
            </w:r>
            <w:r/>
          </w:p>
          <w:p>
            <w:pPr>
              <w:pStyle w:val="898"/>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人拟派驻本项目的项目经理自2022年11月1日至投标截止时间，在与采购人相类似的服务项目的业绩（服务内容须包含会务、保洁、客房、餐饮、保卫中的任意三项）中担任项目经理提供业绩证明材料（业绩证明材料服务期不低于1年），按照要求每提供一个得2分，满分4分。未提供或未按要求提供的不得分。</w:t>
            </w:r>
            <w:r>
              <w:rPr>
                <w:rFonts w:ascii="Times New Roman" w:hAnsi="Times New Roman" w:cs="Times New Roman"/>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723" w:type="dxa"/>
            <w:vAlign w:val="center"/>
            <w:vMerge w:val="restart"/>
            <w:textDirection w:val="lrTb"/>
            <w:noWrap/>
          </w:tcPr>
          <w:p>
            <w:pPr>
              <w:pStyle w:val="898"/>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7</w:t>
            </w:r>
            <w:r>
              <w:rPr>
                <w:rFonts w:hint="eastAsia" w:ascii="Times New Roman" w:hAnsi="Times New Roman" w:eastAsia="宋体" w:cs="Times New Roman"/>
                <w:color w:val="000000"/>
                <w:sz w:val="24"/>
                <w:szCs w:val="24"/>
                <w:highlight w:val="none"/>
                <w:lang w:eastAsia="zh-CN"/>
              </w:rPr>
            </w:r>
            <w:r/>
          </w:p>
        </w:tc>
      </w:tr>
      <w:tr>
        <w:trPr>
          <w:trHeight w:val="396"/>
        </w:trPr>
        <w:tc>
          <w:tcPr>
            <w:tcBorders>
              <w:top w:val="none" w:color="000000" w:sz="0" w:space="0"/>
              <w:left w:val="single" w:color="000000" w:sz="4" w:space="0"/>
              <w:bottom w:val="none" w:color="000000" w:sz="0" w:space="0"/>
              <w:right w:val="single" w:color="000000" w:sz="4" w:space="0"/>
            </w:tcBorders>
            <w:tcW w:w="710" w:type="dxa"/>
            <w:vAlign w:val="center"/>
            <w:vMerge w:val="continue"/>
            <w:textDirection w:val="lrTb"/>
            <w:noWrap w:val="false"/>
          </w:tcPr>
          <w:p>
            <w:pPr>
              <w:pStyle w:val="898"/>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val="false"/>
          </w:tcPr>
          <w:p>
            <w:pPr>
              <w:pStyle w:val="898"/>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56" w:type="dxa"/>
            <w:vAlign w:val="center"/>
            <w:textDirection w:val="lrTb"/>
            <w:noWrap w:val="false"/>
          </w:tcPr>
          <w:p>
            <w:pPr>
              <w:pStyle w:val="898"/>
              <w:jc w:val="left"/>
              <w:spacing w:line="36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3.2项目组成员（1</w:t>
            </w:r>
            <w:r>
              <w:rPr>
                <w:rFonts w:hint="eastAsia" w:ascii="Times New Roman" w:hAnsi="Times New Roman" w:cs="Times New Roman"/>
                <w:color w:val="000000"/>
                <w:sz w:val="24"/>
                <w:szCs w:val="24"/>
                <w:highlight w:val="none"/>
                <w:lang w:val="en-US" w:eastAsia="zh-CN"/>
              </w:rPr>
              <w:t xml:space="preserve">3</w:t>
            </w:r>
            <w:r>
              <w:rPr>
                <w:rFonts w:ascii="Times New Roman" w:hAnsi="Times New Roman" w:cs="Times New Roman"/>
                <w:color w:val="000000"/>
                <w:sz w:val="24"/>
                <w:szCs w:val="24"/>
                <w:highlight w:val="none"/>
              </w:rPr>
              <w:t xml:space="preserve">分）</w:t>
            </w:r>
            <w:r>
              <w:rPr>
                <w:rFonts w:ascii="Times New Roman" w:hAnsi="Times New Roman" w:cs="Times New Roman"/>
                <w:color w:val="000000"/>
                <w:sz w:val="24"/>
                <w:szCs w:val="24"/>
                <w:highlight w:val="none"/>
              </w:rPr>
            </w:r>
            <w:r/>
          </w:p>
          <w:p>
            <w:pPr>
              <w:pStyle w:val="898"/>
              <w:jc w:val="left"/>
              <w:spacing w:line="36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（1）拟派驻本项目的厨师具备</w:t>
            </w:r>
            <w:r>
              <w:rPr>
                <w:rFonts w:ascii="Times New Roman" w:hAnsi="Times New Roman" w:cs="Times New Roman"/>
                <w:color w:val="000000"/>
                <w:sz w:val="24"/>
                <w:szCs w:val="32"/>
                <w:highlight w:val="none"/>
              </w:rPr>
              <w:t xml:space="preserve">中式烹调师三级证书</w:t>
            </w:r>
            <w:r>
              <w:rPr>
                <w:rFonts w:ascii="Times New Roman" w:hAnsi="Times New Roman" w:cs="Times New Roman"/>
                <w:color w:val="000000"/>
                <w:sz w:val="24"/>
                <w:szCs w:val="24"/>
                <w:highlight w:val="none"/>
              </w:rPr>
              <w:t xml:space="preserve">的得1分，二级及以上的得2分</w:t>
            </w:r>
            <w:bookmarkStart w:id="183" w:name="OLE_LINK5"/>
            <w:r>
              <w:rPr>
                <w:rFonts w:ascii="Times New Roman" w:hAnsi="Times New Roman" w:cs="Times New Roman"/>
                <w:color w:val="000000"/>
                <w:sz w:val="24"/>
                <w:szCs w:val="24"/>
                <w:highlight w:val="none"/>
              </w:rPr>
              <w:t xml:space="preserve">，未提供或未按要求提供的不得分。</w:t>
            </w:r>
            <w:bookmarkEnd w:id="183"/>
            <w:r>
              <w:rPr>
                <w:rFonts w:ascii="Times New Roman" w:hAnsi="Times New Roman" w:cs="Times New Roman"/>
                <w:color w:val="000000"/>
                <w:sz w:val="24"/>
                <w:szCs w:val="24"/>
                <w:highlight w:val="none"/>
              </w:rPr>
            </w:r>
            <w:r/>
          </w:p>
          <w:p>
            <w:pPr>
              <w:pStyle w:val="898"/>
              <w:jc w:val="left"/>
              <w:spacing w:line="36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（2）派驻本项目人员中具备建（构）筑物消防员或消防设施操作员证的得2分，未提供或未按要求提供的不得分。</w:t>
            </w:r>
            <w:r>
              <w:rPr>
                <w:rFonts w:ascii="Times New Roman" w:hAnsi="Times New Roman" w:cs="Times New Roman"/>
                <w:color w:val="000000"/>
                <w:sz w:val="24"/>
                <w:szCs w:val="24"/>
                <w:highlight w:val="none"/>
              </w:rPr>
            </w:r>
            <w:r/>
          </w:p>
          <w:p>
            <w:pPr>
              <w:pStyle w:val="898"/>
              <w:jc w:val="left"/>
              <w:spacing w:line="360" w:lineRule="exact"/>
              <w:widowControl/>
              <w:rPr>
                <w:rFonts w:ascii="宋体" w:hAnsi="宋体" w:eastAsia="宋体" w:cs="宋体"/>
                <w:color w:val="000000"/>
                <w:sz w:val="24"/>
                <w:szCs w:val="24"/>
              </w:rPr>
            </w:pPr>
            <w:r>
              <w:rPr>
                <w:rFonts w:ascii="Times New Roman" w:hAnsi="Times New Roman" w:cs="Times New Roman"/>
                <w:color w:val="000000"/>
                <w:sz w:val="24"/>
                <w:szCs w:val="24"/>
                <w:highlight w:val="none"/>
              </w:rPr>
              <w:t xml:space="preserve">（</w:t>
            </w:r>
            <w:r>
              <w:rPr>
                <w:rFonts w:hint="eastAsia" w:ascii="Times New Roman" w:hAnsi="Times New Roman" w:cs="Times New Roman"/>
                <w:color w:val="000000"/>
                <w:sz w:val="24"/>
                <w:szCs w:val="24"/>
                <w:highlight w:val="none"/>
                <w:lang w:val="en-US" w:eastAsia="zh-CN"/>
              </w:rPr>
              <w:t xml:space="preserve">3</w:t>
            </w:r>
            <w:r>
              <w:rPr>
                <w:rFonts w:ascii="Times New Roman" w:hAnsi="Times New Roman" w:cs="Times New Roman"/>
                <w:color w:val="000000"/>
                <w:sz w:val="24"/>
                <w:szCs w:val="24"/>
                <w:highlight w:val="none"/>
              </w:rPr>
              <w:t xml:space="preserve">）</w:t>
            </w:r>
            <w:r>
              <w:rPr>
                <w:rFonts w:ascii="Times New Roman" w:hAnsi="Times New Roman" w:eastAsia="宋体" w:cs="Times New Roman"/>
                <w:color w:val="000000"/>
                <w:sz w:val="24"/>
                <w:szCs w:val="24"/>
              </w:rPr>
              <w:t xml:space="preserve">拟派驻本项目的</w:t>
            </w:r>
            <w:r>
              <w:rPr>
                <w:rFonts w:hint="eastAsia" w:ascii="Times New Roman" w:hAnsi="Times New Roman" w:eastAsia="宋体" w:cs="Times New Roman"/>
                <w:color w:val="000000"/>
                <w:sz w:val="24"/>
                <w:szCs w:val="24"/>
                <w:lang w:val="en-US" w:eastAsia="zh-CN"/>
              </w:rPr>
              <w:t xml:space="preserve">门岗（</w:t>
            </w:r>
            <w:r>
              <w:rPr>
                <w:rFonts w:ascii="Times New Roman" w:hAnsi="Times New Roman" w:eastAsia="宋体" w:cs="Times New Roman"/>
                <w:color w:val="000000"/>
                <w:sz w:val="24"/>
                <w:szCs w:val="24"/>
              </w:rPr>
              <w:t xml:space="preserve">安保人员</w:t>
            </w:r>
            <w:r>
              <w:rPr>
                <w:rFonts w:hint="eastAsia" w:ascii="Times New Roman" w:hAnsi="Times New Roman" w:eastAsia="宋体" w:cs="Times New Roman"/>
                <w:color w:val="000000"/>
                <w:sz w:val="24"/>
                <w:szCs w:val="24"/>
                <w:lang w:val="en-US" w:eastAsia="zh-CN"/>
              </w:rPr>
              <w:t xml:space="preserve">）</w:t>
            </w:r>
            <w:r>
              <w:rPr>
                <w:rFonts w:ascii="Times New Roman" w:hAnsi="Times New Roman" w:eastAsia="宋体" w:cs="Times New Roman"/>
                <w:color w:val="000000"/>
                <w:sz w:val="24"/>
                <w:szCs w:val="24"/>
              </w:rPr>
              <w:t xml:space="preserve">为退役军人的，每有1人得1.5分，满分</w:t>
            </w:r>
            <w:r>
              <w:rPr>
                <w:rFonts w:hint="eastAsia" w:ascii="Times New Roman" w:hAnsi="Times New Roman" w:eastAsia="宋体" w:cs="Times New Roman"/>
                <w:color w:val="000000"/>
                <w:sz w:val="24"/>
                <w:szCs w:val="24"/>
                <w:lang w:val="en-US" w:eastAsia="zh-CN"/>
              </w:rPr>
              <w:t xml:space="preserve">3</w:t>
            </w:r>
            <w:r>
              <w:rPr>
                <w:rFonts w:ascii="Times New Roman" w:hAnsi="Times New Roman" w:eastAsia="宋体" w:cs="Times New Roman"/>
                <w:color w:val="000000"/>
                <w:sz w:val="24"/>
                <w:szCs w:val="24"/>
              </w:rPr>
              <w:t xml:space="preserve">分，未提供或未按要求提供的不得分。</w:t>
            </w:r>
            <w:r>
              <w:rPr>
                <w:rFonts w:ascii="宋体" w:hAnsi="宋体" w:eastAsia="宋体" w:cs="宋体"/>
                <w:color w:val="000000"/>
                <w:sz w:val="24"/>
                <w:szCs w:val="24"/>
              </w:rPr>
              <w:t xml:space="preserve">（需提供退伍证或退役军人优待证复印件</w:t>
            </w:r>
            <w:r>
              <w:rPr>
                <w:rFonts w:hint="eastAsia" w:ascii="宋体" w:hAnsi="宋体" w:eastAsia="宋体" w:cs="宋体"/>
                <w:color w:val="000000"/>
                <w:sz w:val="24"/>
                <w:szCs w:val="24"/>
                <w:lang w:val="en-US" w:eastAsia="zh-CN"/>
              </w:rPr>
              <w:t xml:space="preserve">或扫描件并加盖公章</w:t>
            </w:r>
            <w:r>
              <w:rPr>
                <w:rFonts w:ascii="宋体" w:hAnsi="宋体" w:eastAsia="宋体" w:cs="宋体"/>
                <w:color w:val="000000"/>
                <w:sz w:val="24"/>
                <w:szCs w:val="24"/>
              </w:rPr>
              <w:t xml:space="preserve">）</w:t>
            </w:r>
            <w:r>
              <w:rPr>
                <w:rFonts w:ascii="宋体" w:hAnsi="宋体" w:eastAsia="宋体" w:cs="宋体"/>
                <w:color w:val="000000"/>
                <w:sz w:val="24"/>
                <w:szCs w:val="24"/>
              </w:rPr>
            </w:r>
            <w:r/>
          </w:p>
          <w:p>
            <w:pPr>
              <w:pStyle w:val="898"/>
              <w:jc w:val="left"/>
              <w:spacing w:line="360" w:lineRule="exact"/>
              <w:widowControl/>
              <w:rPr>
                <w:rFonts w:ascii="宋体" w:hAnsi="宋体" w:eastAsia="宋体" w:cs="宋体"/>
                <w:color w:val="000000"/>
                <w:sz w:val="24"/>
                <w:szCs w:val="24"/>
              </w:rPr>
            </w:pPr>
            <w:r>
              <w:rPr>
                <w:rFonts w:ascii="Times New Roman" w:hAnsi="Times New Roman" w:cs="Times New Roman"/>
                <w:color w:val="000000"/>
                <w:sz w:val="24"/>
                <w:szCs w:val="24"/>
                <w:highlight w:val="none"/>
              </w:rPr>
              <w:t xml:space="preserve">（4）</w:t>
            </w:r>
            <w:r>
              <w:rPr>
                <w:rFonts w:hint="eastAsia" w:ascii="Times New Roman" w:hAnsi="Times New Roman" w:cs="Times New Roman"/>
                <w:color w:val="000000"/>
                <w:sz w:val="24"/>
                <w:szCs w:val="24"/>
                <w:highlight w:val="none"/>
                <w:lang w:val="en-US" w:eastAsia="zh-CN"/>
              </w:rPr>
              <w:t xml:space="preserve">门岗（安保人员）</w:t>
            </w:r>
            <w:r>
              <w:rPr>
                <w:rFonts w:ascii="Times New Roman" w:hAnsi="Times New Roman" w:cs="Times New Roman"/>
                <w:color w:val="000000"/>
                <w:sz w:val="24"/>
                <w:szCs w:val="24"/>
                <w:highlight w:val="none"/>
              </w:rPr>
              <w:t xml:space="preserve">持有三级及以上保安员证书的</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每</w:t>
            </w:r>
            <w:r>
              <w:rPr>
                <w:rFonts w:hint="eastAsia" w:ascii="Times New Roman" w:hAnsi="Times New Roman" w:cs="Times New Roman"/>
                <w:color w:val="000000"/>
                <w:sz w:val="24"/>
                <w:szCs w:val="24"/>
                <w:highlight w:val="none"/>
                <w:lang w:val="en-US" w:eastAsia="zh-CN"/>
              </w:rPr>
              <w:t xml:space="preserve">有</w:t>
            </w:r>
            <w:r>
              <w:rPr>
                <w:rFonts w:ascii="Times New Roman" w:hAnsi="Times New Roman" w:cs="Times New Roman"/>
                <w:color w:val="000000"/>
                <w:sz w:val="24"/>
                <w:szCs w:val="24"/>
                <w:highlight w:val="none"/>
              </w:rPr>
              <w:t xml:space="preserve">1人得1分，最多得4分，未提供或未按要求提供的不得分。</w:t>
            </w:r>
            <w:r>
              <w:rPr>
                <w:rFonts w:ascii="宋体" w:hAnsi="宋体" w:eastAsia="宋体" w:cs="宋体"/>
                <w:color w:val="000000"/>
                <w:sz w:val="24"/>
                <w:szCs w:val="24"/>
              </w:rPr>
            </w:r>
            <w:r/>
          </w:p>
          <w:p>
            <w:pPr>
              <w:pStyle w:val="898"/>
              <w:jc w:val="left"/>
              <w:spacing w:line="36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（5）驾驶员持有A2驾驶及以上的，得2分，满分2分，未提供或未按要求提供的不得分。</w:t>
            </w:r>
            <w:r>
              <w:rPr>
                <w:rFonts w:ascii="Times New Roman" w:hAnsi="Times New Roman" w:cs="Times New Roman"/>
                <w:color w:val="000000"/>
                <w:sz w:val="24"/>
                <w:szCs w:val="24"/>
                <w:highlight w:val="none"/>
              </w:rPr>
            </w:r>
            <w:r/>
          </w:p>
          <w:p>
            <w:pPr>
              <w:pStyle w:val="898"/>
              <w:jc w:val="left"/>
              <w:spacing w:line="36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备注：1、上述人员证书须在有效期内，提供相关证书、证件复印件</w:t>
            </w:r>
            <w:r>
              <w:rPr>
                <w:rFonts w:hint="eastAsia" w:ascii="Times New Roman" w:hAnsi="Times New Roman" w:cs="Times New Roman"/>
                <w:color w:val="000000"/>
                <w:sz w:val="24"/>
                <w:szCs w:val="24"/>
                <w:highlight w:val="none"/>
                <w:lang w:val="en-US" w:eastAsia="zh-CN"/>
              </w:rPr>
              <w:t xml:space="preserve">或扫描件并加盖公章</w:t>
            </w:r>
            <w:r>
              <w:rPr>
                <w:rFonts w:ascii="Times New Roman" w:hAnsi="Times New Roman" w:cs="Times New Roman"/>
                <w:color w:val="000000"/>
                <w:sz w:val="24"/>
                <w:szCs w:val="24"/>
                <w:highlight w:val="none"/>
              </w:rPr>
              <w:t xml:space="preserve">；2、提供上述人员投标单位为其缴纳的</w:t>
            </w:r>
            <w:r>
              <w:rPr>
                <w:rFonts w:ascii="Times New Roman" w:hAnsi="Times New Roman" w:cs="Times New Roman"/>
                <w:color w:val="000000"/>
                <w:sz w:val="24"/>
                <w:szCs w:val="32"/>
                <w:highlight w:val="none"/>
              </w:rPr>
              <w:t xml:space="preserve">投标截止时间前半年内任意一个月及以上的社保证明材料。</w:t>
            </w:r>
            <w:r>
              <w:rPr>
                <w:rFonts w:ascii="Times New Roman" w:hAnsi="Times New Roman" w:cs="Times New Roman"/>
                <w:color w:val="000000"/>
                <w:sz w:val="24"/>
                <w:szCs w:val="24"/>
                <w:highlight w:val="none"/>
              </w:rPr>
              <w:t xml:space="preserve">社保证明材料具有可验证的二维码或者具有社保管理部门印章，以便于验证真伪。3、以上身份、职业资格、工作荣誉等要求，需提供相关证书或者业主方出具的相关证明，未对应提供或者材料不全的，对应项不得分。4、3.2项目组成员中同一人员同时具备多种专业证书或资质证书的，不重复计分。</w:t>
            </w:r>
            <w:r>
              <w:rPr>
                <w:rFonts w:ascii="Times New Roman" w:hAnsi="Times New Roman" w:cs="Times New Roman"/>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723" w:type="dxa"/>
            <w:vAlign w:val="center"/>
            <w:vMerge w:val="continue"/>
            <w:textDirection w:val="lrTb"/>
            <w:noWrap w:val="false"/>
          </w:tcPr>
          <w:p>
            <w:pPr>
              <w:pStyle w:val="898"/>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trHeight w:val="371"/>
        </w:trPr>
        <w:tc>
          <w:tcPr>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pStyle w:val="898"/>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w:t>
            </w:r>
            <w:r>
              <w:rPr>
                <w:rFonts w:ascii="Times New Roman" w:hAnsi="Times New Roman"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898"/>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履约能力</w:t>
            </w:r>
            <w:r>
              <w:rPr>
                <w:rFonts w:ascii="Times New Roman" w:hAnsi="Times New Roman"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56" w:type="dxa"/>
            <w:vAlign w:val="center"/>
            <w:textDirection w:val="lrTb"/>
            <w:noWrap w:val="false"/>
          </w:tcPr>
          <w:p>
            <w:pPr>
              <w:pStyle w:val="898"/>
              <w:jc w:val="left"/>
              <w:spacing w:line="36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4.1</w:t>
            </w:r>
            <w:r>
              <w:rPr>
                <w:rFonts w:ascii="Times New Roman" w:hAnsi="Times New Roman" w:cs="Times New Roman"/>
                <w:color w:val="000000"/>
                <w:sz w:val="24"/>
                <w:szCs w:val="24"/>
                <w:highlight w:val="none"/>
              </w:rPr>
              <w:t xml:space="preserve">业绩案例(</w:t>
            </w:r>
            <w:r>
              <w:rPr>
                <w:rFonts w:hint="eastAsia" w:ascii="Times New Roman" w:hAnsi="Times New Roman" w:cs="Times New Roman"/>
                <w:color w:val="000000"/>
                <w:sz w:val="24"/>
                <w:szCs w:val="24"/>
                <w:highlight w:val="none"/>
                <w:lang w:val="en-US" w:eastAsia="zh-CN"/>
              </w:rPr>
              <w:t xml:space="preserve">8</w:t>
            </w:r>
            <w:r>
              <w:rPr>
                <w:rFonts w:ascii="Times New Roman" w:hAnsi="Times New Roman" w:cs="Times New Roman"/>
                <w:color w:val="000000"/>
                <w:sz w:val="24"/>
                <w:szCs w:val="24"/>
                <w:highlight w:val="none"/>
              </w:rPr>
              <w:t xml:space="preserve">分)</w:t>
            </w:r>
            <w:r>
              <w:rPr>
                <w:rFonts w:ascii="Times New Roman" w:hAnsi="Times New Roman" w:cs="Times New Roman"/>
                <w:color w:val="000000"/>
                <w:sz w:val="24"/>
                <w:szCs w:val="24"/>
                <w:highlight w:val="none"/>
              </w:rPr>
            </w:r>
            <w:r/>
          </w:p>
          <w:p>
            <w:pPr>
              <w:pStyle w:val="898"/>
              <w:spacing w:line="3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投标人自2022年1月1日（以合同签订时间为准）至投标截止时间，投标人具有与采购人相类似的服务项目的业绩</w:t>
            </w:r>
            <w:r>
              <w:rPr>
                <w:rFonts w:ascii="Times New Roman" w:hAnsi="Times New Roman" w:cs="Times New Roman"/>
                <w:color w:val="000000"/>
                <w:sz w:val="24"/>
                <w:szCs w:val="24"/>
                <w:highlight w:val="none"/>
              </w:rPr>
              <w:t xml:space="preserve">（服务内容须包含会务、保洁、客房、餐饮、保卫中的任意三项）</w:t>
            </w:r>
            <w:r>
              <w:rPr>
                <w:rFonts w:ascii="Times New Roman" w:hAnsi="Times New Roman" w:cs="Times New Roman"/>
                <w:color w:val="000000"/>
                <w:sz w:val="24"/>
                <w:szCs w:val="24"/>
                <w:highlight w:val="none"/>
              </w:rPr>
              <w:t xml:space="preserve">，每提供一个业绩证明材料的得2分，最高得</w:t>
            </w:r>
            <w:r>
              <w:rPr>
                <w:rFonts w:hint="eastAsia" w:ascii="Times New Roman" w:hAnsi="Times New Roman" w:cs="Times New Roman"/>
                <w:color w:val="000000"/>
                <w:sz w:val="24"/>
                <w:szCs w:val="24"/>
                <w:highlight w:val="none"/>
                <w:lang w:val="en-US" w:eastAsia="zh-CN"/>
              </w:rPr>
              <w:t xml:space="preserve">8</w:t>
            </w:r>
            <w:r>
              <w:rPr>
                <w:rFonts w:ascii="Times New Roman" w:hAnsi="Times New Roman" w:cs="Times New Roman"/>
                <w:color w:val="000000"/>
                <w:sz w:val="24"/>
                <w:szCs w:val="24"/>
                <w:highlight w:val="none"/>
              </w:rPr>
              <w:t xml:space="preserve">分，未提供或未按要求提供的不得分。</w:t>
            </w:r>
            <w:r>
              <w:rPr>
                <w:rFonts w:ascii="Times New Roman" w:hAnsi="Times New Roman" w:cs="Times New Roman"/>
                <w:color w:val="000000"/>
                <w:sz w:val="24"/>
                <w:szCs w:val="24"/>
                <w:highlight w:val="none"/>
              </w:rPr>
            </w:r>
            <w:r/>
          </w:p>
          <w:p>
            <w:pPr>
              <w:pStyle w:val="898"/>
              <w:jc w:val="left"/>
              <w:spacing w:line="36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备注：1、投标文件中须提供合同复印件加盖业主方公章、相应服务费发票一张、业主方管理部门盖章的证明材料，提供出具单位联系人和联系方式，缺一不可。</w:t>
            </w:r>
            <w:r>
              <w:rPr>
                <w:rFonts w:ascii="Times New Roman" w:hAnsi="Times New Roman" w:cs="Times New Roman"/>
                <w:color w:val="000000"/>
                <w:sz w:val="24"/>
                <w:szCs w:val="24"/>
                <w:highlight w:val="none"/>
              </w:rPr>
            </w:r>
            <w:r/>
          </w:p>
          <w:p>
            <w:pPr>
              <w:pStyle w:val="958"/>
              <w:jc w:val="both"/>
              <w:spacing w:line="3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2、证明材料内容能反映评审要求要素（日期、服务内容等），时间以合同签订时间或证明材料注明的时间段为准。</w:t>
            </w:r>
            <w:r>
              <w:rPr>
                <w:rFonts w:ascii="Times New Roman" w:hAnsi="Times New Roman" w:eastAsia="宋体" w:cs="Times New Roman"/>
                <w:color w:val="000000"/>
                <w:sz w:val="24"/>
                <w:szCs w:val="24"/>
                <w:highlight w:val="none"/>
              </w:rPr>
            </w:r>
            <w:r/>
          </w:p>
          <w:p>
            <w:pPr>
              <w:pStyle w:val="958"/>
              <w:jc w:val="both"/>
              <w:spacing w:line="360" w:lineRule="exact"/>
              <w:rPr>
                <w:rFonts w:ascii="Times New Roman" w:eastAsia="宋体"/>
                <w:color w:val="000000"/>
                <w:highlight w:val="none"/>
              </w:rPr>
            </w:pPr>
            <w:r>
              <w:rPr>
                <w:rFonts w:ascii="Times New Roman" w:hAnsi="Times New Roman" w:eastAsia="宋体" w:cs="Times New Roman"/>
                <w:color w:val="000000"/>
                <w:sz w:val="24"/>
                <w:szCs w:val="24"/>
                <w:highlight w:val="none"/>
              </w:rPr>
              <w:t xml:space="preserve">3、同一业主单位业绩不可重复计算。</w:t>
            </w:r>
            <w:r>
              <w:rPr>
                <w:rFonts w:ascii="Times New Roman"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pStyle w:val="898"/>
              <w:jc w:val="lef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898"/>
              <w:jc w:val="left"/>
              <w:widowControl/>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2</w:t>
            </w:r>
            <w:r>
              <w:rPr>
                <w:rFonts w:hint="eastAsia" w:ascii="Times New Roman" w:hAnsi="Times New Roman"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lang w:eastAsia="zh-CN"/>
              </w:rPr>
            </w:r>
            <w:r/>
          </w:p>
          <w:p>
            <w:pPr>
              <w:pStyle w:val="898"/>
              <w:jc w:val="lef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898"/>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trHeight w:val="1417"/>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98"/>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898"/>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56" w:type="dxa"/>
            <w:vAlign w:val="center"/>
            <w:textDirection w:val="lrTb"/>
            <w:noWrap w:val="false"/>
          </w:tcPr>
          <w:p>
            <w:pPr>
              <w:pStyle w:val="898"/>
              <w:ind w:firstLine="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4.2满意度评价（</w:t>
            </w:r>
            <w:r>
              <w:rPr>
                <w:rFonts w:hint="eastAsia" w:ascii="Times New Roman" w:hAnsi="Times New Roman" w:cs="Times New Roman"/>
                <w:color w:val="000000"/>
                <w:sz w:val="24"/>
                <w:szCs w:val="24"/>
                <w:highlight w:val="none"/>
                <w:lang w:val="en-US" w:eastAsia="zh-CN"/>
              </w:rPr>
              <w:t xml:space="preserve">4</w:t>
            </w:r>
            <w:r>
              <w:rPr>
                <w:rFonts w:ascii="Times New Roman" w:hAnsi="Times New Roman" w:cs="Times New Roman"/>
                <w:color w:val="000000"/>
                <w:sz w:val="24"/>
                <w:szCs w:val="24"/>
                <w:highlight w:val="none"/>
              </w:rPr>
              <w:t xml:space="preserve">分）</w:t>
            </w:r>
            <w:r>
              <w:rPr>
                <w:rFonts w:ascii="Times New Roman" w:hAnsi="Times New Roman" w:cs="Times New Roman"/>
                <w:color w:val="000000"/>
                <w:sz w:val="24"/>
                <w:szCs w:val="24"/>
                <w:highlight w:val="none"/>
              </w:rPr>
            </w:r>
            <w:r/>
          </w:p>
          <w:p>
            <w:pPr>
              <w:pStyle w:val="898"/>
              <w:ind w:firstLine="0"/>
              <w:rPr>
                <w:rFonts w:eastAsia="楷体_GB2312"/>
                <w:color w:val="000000"/>
                <w:sz w:val="28"/>
                <w:szCs w:val="28"/>
                <w:highlight w:val="none"/>
              </w:rPr>
            </w:pPr>
            <w:r>
              <w:rPr>
                <w:rFonts w:ascii="Times New Roman" w:hAnsi="Times New Roman" w:cs="Times New Roman"/>
                <w:color w:val="000000"/>
                <w:sz w:val="24"/>
                <w:szCs w:val="24"/>
                <w:highlight w:val="none"/>
              </w:rPr>
              <w:t xml:space="preserve">投标人提供自</w:t>
            </w:r>
            <w:r>
              <w:rPr>
                <w:rFonts w:ascii="Times New Roman" w:hAnsi="Times New Roman" w:cs="Times New Roman"/>
                <w:color w:val="000000"/>
                <w:sz w:val="24"/>
                <w:szCs w:val="24"/>
                <w:highlight w:val="none"/>
              </w:rPr>
              <w:t xml:space="preserve">202</w:t>
            </w: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t xml:space="preserve">年1月1日</w:t>
            </w:r>
            <w:r>
              <w:rPr>
                <w:rFonts w:ascii="Times New Roman" w:hAnsi="Times New Roman" w:cs="Times New Roman"/>
                <w:color w:val="000000"/>
                <w:sz w:val="24"/>
                <w:szCs w:val="24"/>
                <w:highlight w:val="none"/>
              </w:rPr>
              <w:t xml:space="preserve">（以合同签订时间为准）</w:t>
            </w:r>
            <w:r>
              <w:rPr>
                <w:rFonts w:ascii="Times New Roman" w:hAnsi="Times New Roman" w:cs="Times New Roman"/>
                <w:color w:val="000000"/>
                <w:sz w:val="24"/>
                <w:szCs w:val="24"/>
                <w:highlight w:val="none"/>
              </w:rPr>
              <w:t xml:space="preserve">以来，</w:t>
            </w:r>
            <w:r>
              <w:rPr>
                <w:rFonts w:ascii="Times New Roman" w:hAnsi="Times New Roman" w:cs="Times New Roman"/>
                <w:color w:val="000000"/>
                <w:sz w:val="24"/>
                <w:szCs w:val="24"/>
                <w:highlight w:val="none"/>
              </w:rPr>
              <w:t xml:space="preserve">以上4.1服务业绩的业主单位评价优秀的</w:t>
            </w:r>
            <w:r>
              <w:rPr>
                <w:rFonts w:ascii="Times New Roman" w:hAnsi="Times New Roman" w:cs="Times New Roman"/>
                <w:color w:val="000000"/>
                <w:sz w:val="24"/>
                <w:szCs w:val="24"/>
                <w:highlight w:val="none"/>
              </w:rPr>
              <w:t xml:space="preserve">，每提供一份有效评价得</w:t>
            </w: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t xml:space="preserve">分，最高得</w:t>
            </w:r>
            <w:r>
              <w:rPr>
                <w:rFonts w:hint="eastAsia" w:ascii="Times New Roman" w:hAnsi="Times New Roman" w:cs="Times New Roman"/>
                <w:color w:val="000000"/>
                <w:sz w:val="24"/>
                <w:szCs w:val="24"/>
                <w:highlight w:val="none"/>
                <w:lang w:val="en-US" w:eastAsia="zh-CN"/>
              </w:rPr>
              <w:t xml:space="preserve">4</w:t>
            </w:r>
            <w:r>
              <w:rPr>
                <w:rFonts w:ascii="Times New Roman" w:hAnsi="Times New Roman" w:cs="Times New Roman"/>
                <w:color w:val="000000"/>
                <w:sz w:val="24"/>
                <w:szCs w:val="24"/>
                <w:highlight w:val="none"/>
              </w:rPr>
              <w:t xml:space="preserve">分</w:t>
            </w:r>
            <w:r>
              <w:rPr>
                <w:rFonts w:ascii="Times New Roman" w:hAnsi="Times New Roman" w:cs="Times New Roman"/>
                <w:color w:val="000000"/>
                <w:sz w:val="24"/>
                <w:szCs w:val="24"/>
                <w:highlight w:val="none"/>
              </w:rPr>
              <w:t xml:space="preserve">，未提供或未按要求提供的不得分</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highlight w:val="none"/>
              </w:rPr>
              <w:t xml:space="preserve">提供业主单位加盖公章的物业服务优秀评价的证明材料，同一业主单位业绩不可重复计算</w:t>
            </w:r>
            <w:r>
              <w:rPr>
                <w:rFonts w:ascii="Times New Roman" w:hAnsi="Times New Roman" w:cs="Times New Roman"/>
                <w:color w:val="000000"/>
                <w:sz w:val="24"/>
                <w:szCs w:val="24"/>
                <w:highlight w:val="none"/>
              </w:rPr>
              <w:t xml:space="preserve">）</w:t>
            </w:r>
            <w:r>
              <w:rPr>
                <w:rFonts w:eastAsia="楷体_GB2312"/>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pStyle w:val="898"/>
              <w:jc w:val="lef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trHeight w:val="473"/>
        </w:trPr>
        <w:tc>
          <w:tcPr>
            <w:tcBorders>
              <w:top w:val="single" w:color="000000" w:sz="4" w:space="0"/>
              <w:left w:val="single" w:color="000000" w:sz="4" w:space="0"/>
              <w:bottom w:val="none" w:color="000000" w:sz="0" w:space="0"/>
              <w:right w:val="single" w:color="000000" w:sz="4" w:space="0"/>
            </w:tcBorders>
            <w:tcW w:w="710" w:type="dxa"/>
            <w:vAlign w:val="center"/>
            <w:vMerge w:val="continue"/>
            <w:textDirection w:val="lrTb"/>
            <w:noWrap w:val="false"/>
          </w:tcPr>
          <w:p>
            <w:pPr>
              <w:pStyle w:val="898"/>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1134" w:type="dxa"/>
            <w:vAlign w:val="center"/>
            <w:vMerge w:val="continue"/>
            <w:textDirection w:val="lrTb"/>
            <w:noWrap w:val="false"/>
          </w:tcPr>
          <w:p>
            <w:pPr>
              <w:pStyle w:val="898"/>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56" w:type="dxa"/>
            <w:vAlign w:val="center"/>
            <w:textDirection w:val="lrTb"/>
            <w:noWrap w:val="false"/>
          </w:tcPr>
          <w:p>
            <w:pPr>
              <w:pStyle w:val="898"/>
              <w:jc w:val="left"/>
              <w:spacing w:line="36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4.3体系认证(</w:t>
            </w:r>
            <w:r>
              <w:rPr>
                <w:rFonts w:hint="eastAsia" w:ascii="Times New Roman" w:hAnsi="Times New Roman" w:cs="Times New Roman"/>
                <w:color w:val="000000"/>
                <w:sz w:val="24"/>
                <w:szCs w:val="24"/>
                <w:highlight w:val="none"/>
                <w:lang w:val="en-US" w:eastAsia="zh-CN"/>
              </w:rPr>
              <w:t xml:space="preserve">8</w:t>
            </w:r>
            <w:r>
              <w:rPr>
                <w:rFonts w:ascii="Times New Roman" w:hAnsi="Times New Roman" w:cs="Times New Roman"/>
                <w:color w:val="000000"/>
                <w:sz w:val="24"/>
                <w:szCs w:val="24"/>
                <w:highlight w:val="none"/>
              </w:rPr>
              <w:t xml:space="preserve">分)</w:t>
            </w:r>
            <w:r>
              <w:rPr>
                <w:rFonts w:ascii="Times New Roman" w:hAnsi="Times New Roman" w:cs="Times New Roman"/>
                <w:color w:val="000000"/>
                <w:sz w:val="24"/>
                <w:szCs w:val="24"/>
                <w:highlight w:val="none"/>
              </w:rPr>
            </w:r>
            <w:r/>
          </w:p>
          <w:p>
            <w:pPr>
              <w:pStyle w:val="898"/>
              <w:jc w:val="left"/>
              <w:spacing w:line="36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投标人具有效期内的ISO9001质量管理体系认证证书、</w:t>
            </w:r>
            <w:bookmarkStart w:id="184" w:name="OLE_LINK7"/>
            <w:r>
              <w:rPr>
                <w:rFonts w:ascii="Times New Roman" w:hAnsi="Times New Roman" w:cs="Times New Roman"/>
                <w:color w:val="000000"/>
                <w:sz w:val="24"/>
                <w:szCs w:val="24"/>
                <w:highlight w:val="none"/>
              </w:rPr>
              <w:t xml:space="preserve">ISO14001环境管理体系认证证书</w:t>
            </w:r>
            <w:bookmarkEnd w:id="184"/>
            <w:r>
              <w:rPr>
                <w:rFonts w:ascii="Times New Roman" w:hAnsi="Times New Roman" w:cs="Times New Roman"/>
                <w:color w:val="000000"/>
                <w:sz w:val="24"/>
                <w:szCs w:val="24"/>
                <w:highlight w:val="none"/>
              </w:rPr>
              <w:t xml:space="preserve">、ISO45001职业健康安全管理体系认证证书、GB/T 20647.9物业服务认证的，每有1个得</w:t>
            </w:r>
            <w:r>
              <w:rPr>
                <w:rFonts w:hint="eastAsia" w:ascii="Times New Roman" w:hAnsi="Times New Roman" w:cs="Times New Roman"/>
                <w:color w:val="000000"/>
                <w:sz w:val="24"/>
                <w:szCs w:val="24"/>
                <w:highlight w:val="none"/>
                <w:lang w:val="en-US" w:eastAsia="zh-CN"/>
              </w:rPr>
              <w:t xml:space="preserve">2</w:t>
            </w:r>
            <w:r>
              <w:rPr>
                <w:rFonts w:ascii="Times New Roman" w:hAnsi="Times New Roman" w:cs="Times New Roman"/>
                <w:color w:val="000000"/>
                <w:sz w:val="24"/>
                <w:szCs w:val="24"/>
                <w:highlight w:val="none"/>
              </w:rPr>
              <w:t xml:space="preserve">分，本项最多得</w:t>
            </w:r>
            <w:r>
              <w:rPr>
                <w:rFonts w:hint="eastAsia" w:ascii="Times New Roman" w:hAnsi="Times New Roman" w:cs="Times New Roman"/>
                <w:color w:val="000000"/>
                <w:sz w:val="24"/>
                <w:szCs w:val="24"/>
                <w:highlight w:val="none"/>
                <w:lang w:val="en-US" w:eastAsia="zh-CN"/>
              </w:rPr>
              <w:t xml:space="preserve">8</w:t>
            </w:r>
            <w:r>
              <w:rPr>
                <w:rFonts w:ascii="Times New Roman" w:hAnsi="Times New Roman" w:cs="Times New Roman"/>
                <w:color w:val="000000"/>
                <w:sz w:val="24"/>
                <w:szCs w:val="24"/>
                <w:highlight w:val="none"/>
              </w:rPr>
              <w:t xml:space="preserve">分，未提供或未按要求提供的不得分。</w:t>
            </w:r>
            <w:r>
              <w:rPr>
                <w:rFonts w:ascii="Times New Roman" w:hAnsi="Times New Roman" w:cs="Times New Roman"/>
                <w:color w:val="000000"/>
                <w:sz w:val="24"/>
                <w:szCs w:val="24"/>
                <w:highlight w:val="none"/>
              </w:rPr>
            </w:r>
            <w:r/>
          </w:p>
          <w:p>
            <w:pPr>
              <w:pStyle w:val="958"/>
              <w:jc w:val="both"/>
              <w:spacing w:line="360" w:lineRule="exact"/>
              <w:rPr>
                <w:rFonts w:ascii="Times New Roman" w:eastAsia="宋体"/>
                <w:color w:val="000000"/>
                <w:highlight w:val="none"/>
              </w:rPr>
            </w:pPr>
            <w:r>
              <w:rPr>
                <w:rFonts w:ascii="Times New Roman" w:hAnsi="Times New Roman" w:eastAsia="宋体" w:cs="Times New Roman"/>
                <w:color w:val="000000"/>
                <w:sz w:val="24"/>
                <w:szCs w:val="24"/>
                <w:highlight w:val="none"/>
              </w:rPr>
              <w:t xml:space="preserve">备注：认证证书须在有效期内，提供认证证书复印件或扫描件并加盖投标人公章。</w:t>
            </w:r>
            <w:r>
              <w:rPr>
                <w:rFonts w:ascii="Times New Roman" w:eastAsia="宋体"/>
                <w:color w:val="000000"/>
                <w:highlight w:val="none"/>
              </w:rPr>
            </w:r>
            <w:r/>
          </w:p>
        </w:tc>
        <w:tc>
          <w:tcPr>
            <w:tcBorders>
              <w:top w:val="single" w:color="000000" w:sz="4" w:space="0"/>
              <w:left w:val="single" w:color="000000" w:sz="4" w:space="0"/>
              <w:bottom w:val="none" w:color="000000" w:sz="0" w:space="0"/>
              <w:right w:val="single" w:color="000000" w:sz="4" w:space="0"/>
            </w:tcBorders>
            <w:tcW w:w="723" w:type="dxa"/>
            <w:vAlign w:val="center"/>
            <w:vMerge w:val="continue"/>
            <w:textDirection w:val="lrTb"/>
            <w:noWrap w:val="false"/>
          </w:tcPr>
          <w:p>
            <w:pPr>
              <w:pStyle w:val="898"/>
              <w:jc w:val="lef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trHeight w:val="1140"/>
        </w:trPr>
        <w:tc>
          <w:tcPr>
            <w:tcBorders>
              <w:top w:val="none" w:color="000000" w:sz="0"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98"/>
              <w:jc w:val="center"/>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val="false"/>
          </w:tcPr>
          <w:p>
            <w:pPr>
              <w:pStyle w:val="898"/>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56" w:type="dxa"/>
            <w:vAlign w:val="center"/>
            <w:textDirection w:val="lrTb"/>
            <w:noWrap w:val="false"/>
          </w:tcPr>
          <w:p>
            <w:pPr>
              <w:pStyle w:val="898"/>
              <w:spacing w:line="3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4.4餐厨垃圾清运（</w:t>
            </w:r>
            <w:r>
              <w:rPr>
                <w:rFonts w:hint="eastAsia" w:ascii="Times New Roman" w:hAnsi="Times New Roman" w:cs="Times New Roman"/>
                <w:color w:val="000000"/>
                <w:sz w:val="24"/>
                <w:szCs w:val="24"/>
                <w:highlight w:val="none"/>
                <w:lang w:val="en-US" w:eastAsia="zh-CN"/>
              </w:rPr>
              <w:t xml:space="preserve">3</w:t>
            </w:r>
            <w:r>
              <w:rPr>
                <w:rFonts w:ascii="Times New Roman" w:hAnsi="Times New Roman" w:cs="Times New Roman"/>
                <w:color w:val="000000"/>
                <w:sz w:val="24"/>
                <w:szCs w:val="24"/>
                <w:highlight w:val="none"/>
              </w:rPr>
              <w:t xml:space="preserve">分）</w:t>
            </w:r>
            <w:r>
              <w:rPr>
                <w:rFonts w:ascii="Times New Roman" w:hAnsi="Times New Roman" w:cs="Times New Roman"/>
                <w:color w:val="000000"/>
                <w:sz w:val="24"/>
                <w:szCs w:val="24"/>
                <w:highlight w:val="none"/>
              </w:rPr>
            </w:r>
            <w:r/>
          </w:p>
          <w:p>
            <w:pPr>
              <w:pStyle w:val="898"/>
              <w:jc w:val="left"/>
              <w:spacing w:line="36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投标人</w:t>
            </w:r>
            <w:r>
              <w:rPr>
                <w:rFonts w:hint="eastAsia" w:ascii="Times New Roman" w:hAnsi="Times New Roman" w:cs="Times New Roman"/>
                <w:color w:val="000000"/>
                <w:sz w:val="24"/>
                <w:szCs w:val="24"/>
                <w:highlight w:val="none"/>
                <w:lang w:val="en-US" w:eastAsia="zh-CN"/>
              </w:rPr>
              <w:t xml:space="preserve">具有</w:t>
            </w:r>
            <w:r>
              <w:rPr>
                <w:rFonts w:ascii="Times New Roman" w:hAnsi="Times New Roman" w:eastAsia="宋体" w:cs="Times New Roman"/>
                <w:color w:val="000000"/>
                <w:sz w:val="24"/>
                <w:szCs w:val="24"/>
                <w:highlight w:val="none"/>
              </w:rPr>
              <w:t xml:space="preserve">餐厨废弃物收运许可或提供具有</w:t>
            </w:r>
            <w:r>
              <w:rPr>
                <w:rFonts w:ascii="Times New Roman" w:hAnsi="Times New Roman" w:cs="Times New Roman"/>
                <w:color w:val="000000"/>
                <w:sz w:val="24"/>
                <w:szCs w:val="24"/>
                <w:highlight w:val="none"/>
              </w:rPr>
              <w:t xml:space="preserve">餐厨废弃物收运</w:t>
            </w:r>
            <w:r>
              <w:rPr>
                <w:rFonts w:ascii="Times New Roman" w:hAnsi="Times New Roman" w:eastAsia="宋体" w:cs="Times New Roman"/>
                <w:color w:val="000000"/>
                <w:sz w:val="24"/>
                <w:szCs w:val="24"/>
                <w:highlight w:val="none"/>
              </w:rPr>
              <w:t xml:space="preserve">许可证单位与其签署的服务合同，</w:t>
            </w:r>
            <w:r>
              <w:rPr>
                <w:rFonts w:ascii="Times New Roman" w:hAnsi="Times New Roman" w:cs="Times New Roman"/>
                <w:color w:val="000000"/>
                <w:sz w:val="24"/>
                <w:szCs w:val="24"/>
                <w:highlight w:val="none"/>
              </w:rPr>
              <w:t xml:space="preserve">得</w:t>
            </w:r>
            <w:r>
              <w:rPr>
                <w:rFonts w:hint="eastAsia" w:ascii="Times New Roman" w:hAnsi="Times New Roman" w:cs="Times New Roman"/>
                <w:color w:val="000000"/>
                <w:sz w:val="24"/>
                <w:szCs w:val="24"/>
                <w:highlight w:val="none"/>
                <w:lang w:val="en-US" w:eastAsia="zh-CN"/>
              </w:rPr>
              <w:t xml:space="preserve">3</w:t>
            </w:r>
            <w:r>
              <w:rPr>
                <w:rFonts w:ascii="Times New Roman" w:hAnsi="Times New Roman" w:cs="Times New Roman"/>
                <w:color w:val="000000"/>
                <w:sz w:val="24"/>
                <w:szCs w:val="24"/>
                <w:highlight w:val="none"/>
              </w:rPr>
              <w:t xml:space="preserve">分，未提供或未按要求提供的不得分。</w:t>
            </w:r>
            <w:r>
              <w:rPr>
                <w:rFonts w:ascii="Times New Roman" w:hAnsi="Times New Roman" w:cs="Times New Roman"/>
                <w:color w:val="000000"/>
                <w:sz w:val="24"/>
                <w:szCs w:val="24"/>
                <w:highlight w:val="none"/>
              </w:rPr>
            </w:r>
            <w:r/>
          </w:p>
          <w:p>
            <w:pPr>
              <w:pStyle w:val="898"/>
              <w:jc w:val="left"/>
              <w:spacing w:line="360" w:lineRule="exact"/>
              <w:widowControl/>
              <w:rPr>
                <w:rFonts w:ascii="Times New Roman"/>
                <w:color w:val="000000"/>
                <w:highlight w:val="none"/>
              </w:rPr>
            </w:pPr>
            <w:r>
              <w:rPr>
                <w:rFonts w:ascii="Times New Roman" w:hAnsi="Times New Roman" w:cs="Times New Roman"/>
                <w:color w:val="000000"/>
                <w:sz w:val="24"/>
                <w:szCs w:val="24"/>
                <w:highlight w:val="none"/>
              </w:rPr>
              <w:t xml:space="preserve">备注：1、投标人本人具备资格的，提供有效期内的“</w:t>
            </w:r>
            <w:bookmarkStart w:id="185" w:name="OLE_LINK8"/>
            <w:r>
              <w:rPr>
                <w:rFonts w:ascii="Times New Roman" w:hAnsi="Times New Roman" w:cs="Times New Roman"/>
                <w:color w:val="000000"/>
                <w:sz w:val="24"/>
                <w:szCs w:val="24"/>
                <w:highlight w:val="none"/>
              </w:rPr>
              <w:t xml:space="preserve">餐厨废弃物收运</w:t>
            </w:r>
            <w:bookmarkEnd w:id="185"/>
            <w:r>
              <w:rPr>
                <w:rFonts w:ascii="Times New Roman" w:hAnsi="Times New Roman" w:cs="Times New Roman"/>
                <w:color w:val="000000"/>
                <w:sz w:val="24"/>
                <w:szCs w:val="24"/>
                <w:highlight w:val="none"/>
              </w:rPr>
              <w:t xml:space="preserve">许可资格证书”复印件或扫描件并加盖投标人公章。</w:t>
            </w:r>
            <w:r>
              <w:rPr>
                <w:rFonts w:hint="eastAsia" w:ascii="Times New Roman" w:hAnsi="Times New Roman" w:cs="Times New Roman"/>
                <w:color w:val="000000"/>
                <w:sz w:val="24"/>
                <w:szCs w:val="24"/>
                <w:highlight w:val="none"/>
                <w:lang w:val="en-US" w:eastAsia="zh-CN"/>
              </w:rPr>
              <w:t xml:space="preserve">2、投标人不具备的，需提供与</w:t>
            </w:r>
            <w:r>
              <w:rPr>
                <w:rFonts w:ascii="Times New Roman" w:hAnsi="Times New Roman" w:eastAsia="宋体" w:cs="Times New Roman"/>
                <w:color w:val="000000"/>
                <w:sz w:val="24"/>
                <w:szCs w:val="24"/>
                <w:highlight w:val="none"/>
              </w:rPr>
              <w:t xml:space="preserve">具有</w:t>
            </w:r>
            <w:r>
              <w:rPr>
                <w:rFonts w:ascii="Times New Roman" w:hAnsi="Times New Roman" w:cs="Times New Roman"/>
                <w:color w:val="000000"/>
                <w:sz w:val="24"/>
                <w:szCs w:val="24"/>
                <w:highlight w:val="none"/>
              </w:rPr>
              <w:t xml:space="preserve">餐厨废弃物收运</w:t>
            </w:r>
            <w:r>
              <w:rPr>
                <w:rFonts w:ascii="Times New Roman" w:hAnsi="Times New Roman" w:eastAsia="宋体" w:cs="Times New Roman"/>
                <w:color w:val="000000"/>
                <w:sz w:val="24"/>
                <w:szCs w:val="24"/>
                <w:highlight w:val="none"/>
              </w:rPr>
              <w:t xml:space="preserve">许可证单位</w:t>
            </w:r>
            <w:r>
              <w:rPr>
                <w:rFonts w:hint="eastAsia" w:ascii="Times New Roman" w:hAnsi="Times New Roman" w:eastAsia="宋体" w:cs="Times New Roman"/>
                <w:color w:val="000000"/>
                <w:sz w:val="24"/>
                <w:szCs w:val="24"/>
                <w:highlight w:val="none"/>
                <w:lang w:val="en-US" w:eastAsia="zh-CN"/>
              </w:rPr>
              <w:t xml:space="preserve">签署的服务合同</w:t>
            </w:r>
            <w:r>
              <w:rPr>
                <w:rFonts w:ascii="Times New Roman" w:hAnsi="Times New Roman" w:eastAsia="宋体" w:cs="Times New Roman"/>
                <w:color w:val="000000"/>
                <w:sz w:val="24"/>
                <w:szCs w:val="24"/>
                <w:highlight w:val="none"/>
              </w:rPr>
              <w:t xml:space="preserve">复印件或扫描件加盖投标人公章。</w:t>
            </w:r>
            <w:r>
              <w:rPr>
                <w:rFonts w:ascii="Times New Roman"/>
                <w:color w:val="000000"/>
                <w:highlight w:val="none"/>
              </w:rPr>
            </w:r>
            <w:r/>
          </w:p>
        </w:tc>
        <w:tc>
          <w:tcPr>
            <w:tcBorders>
              <w:top w:val="none" w:color="000000" w:sz="0" w:space="0"/>
              <w:left w:val="single" w:color="000000" w:sz="4" w:space="0"/>
              <w:bottom w:val="single" w:color="000000" w:sz="4" w:space="0"/>
              <w:right w:val="single" w:color="000000" w:sz="4" w:space="0"/>
            </w:tcBorders>
            <w:tcW w:w="723" w:type="dxa"/>
            <w:vAlign w:val="center"/>
            <w:vMerge w:val="continue"/>
            <w:textDirection w:val="lrTb"/>
            <w:noWrap w:val="false"/>
          </w:tcPr>
          <w:p>
            <w:pPr>
              <w:pStyle w:val="898"/>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trHeight w:val="338"/>
        </w:trPr>
        <w:tc>
          <w:tcPr>
            <w:gridSpan w:val="2"/>
            <w:tcBorders>
              <w:top w:val="single" w:color="000000" w:sz="4" w:space="0"/>
              <w:left w:val="single" w:color="000000" w:sz="4" w:space="0"/>
              <w:bottom w:val="single" w:color="000000" w:sz="4" w:space="0"/>
              <w:right w:val="single" w:color="000000" w:sz="4" w:space="0"/>
            </w:tcBorders>
            <w:tcW w:w="1844" w:type="dxa"/>
            <w:vAlign w:val="center"/>
            <w:textDirection w:val="lrTb"/>
            <w:noWrap/>
          </w:tcPr>
          <w:p>
            <w:pPr>
              <w:pStyle w:val="898"/>
              <w:jc w:val="center"/>
              <w:widowControl/>
              <w:rPr>
                <w:b/>
                <w:bCs/>
                <w:color w:val="000000"/>
                <w:sz w:val="22"/>
                <w:highlight w:val="none"/>
              </w:rPr>
            </w:pPr>
            <w:r>
              <w:rPr>
                <w:b/>
                <w:bCs/>
                <w:color w:val="000000"/>
                <w:sz w:val="22"/>
                <w:highlight w:val="none"/>
              </w:rPr>
              <w:t xml:space="preserve">合计</w:t>
            </w:r>
            <w:r>
              <w:rPr>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456" w:type="dxa"/>
            <w:vAlign w:val="center"/>
            <w:textDirection w:val="lrTb"/>
            <w:noWrap/>
          </w:tcPr>
          <w:p>
            <w:pPr>
              <w:pStyle w:val="898"/>
              <w:jc w:val="center"/>
              <w:rPr>
                <w:b/>
                <w:bCs/>
                <w:color w:val="000000"/>
                <w:sz w:val="22"/>
                <w:highlight w:val="none"/>
              </w:rPr>
            </w:pPr>
            <w:r>
              <w:rPr>
                <w:b/>
                <w:bCs/>
                <w:color w:val="000000"/>
                <w:sz w:val="22"/>
                <w:highlight w:val="none"/>
              </w:rPr>
              <w:t xml:space="preserve">100分</w:t>
            </w:r>
            <w:r>
              <w:rPr>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898"/>
              <w:rPr>
                <w:color w:val="000000"/>
                <w:sz w:val="28"/>
                <w:szCs w:val="28"/>
                <w:highlight w:val="none"/>
              </w:rPr>
            </w:pPr>
            <w:r>
              <w:rPr>
                <w:color w:val="000000"/>
                <w:sz w:val="28"/>
                <w:szCs w:val="28"/>
                <w:highlight w:val="none"/>
              </w:rPr>
            </w:r>
            <w:r/>
          </w:p>
        </w:tc>
      </w:tr>
    </w:tbl>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jc w:val="center"/>
        <w:keepNext/>
        <w:rPr>
          <w:rFonts w:ascii="Times New Roman" w:eastAsia="黑体"/>
          <w:bCs/>
          <w:color w:val="000000"/>
          <w:sz w:val="44"/>
          <w:szCs w:val="28"/>
          <w:highlight w:val="none"/>
        </w:rPr>
        <w:outlineLvl w:val="0"/>
      </w:pPr>
      <w:r>
        <w:rPr>
          <w:rFonts w:ascii="Times New Roman" w:eastAsia="黑体"/>
          <w:bCs/>
          <w:color w:val="000000"/>
          <w:sz w:val="44"/>
          <w:szCs w:val="28"/>
          <w:highlight w:val="none"/>
        </w:rPr>
        <w:t xml:space="preserve">第六章  响应文件格式 </w:t>
      </w:r>
      <w:r>
        <w:rPr>
          <w:rFonts w:ascii="Times New Roman" w:eastAsia="黑体"/>
          <w:bCs/>
          <w:color w:val="000000"/>
          <w:sz w:val="44"/>
          <w:szCs w:val="28"/>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936"/>
        <w:rPr>
          <w:rFonts w:ascii="Times New Roman" w:hAnsi="Times New Roman" w:cs="Times New Roman"/>
          <w:color w:val="000000"/>
          <w:highlight w:val="none"/>
        </w:rPr>
      </w:pPr>
      <w:r>
        <w:rPr>
          <w:rFonts w:ascii="Times New Roman" w:hAnsi="Times New Roman" w:cs="Times New Roman"/>
          <w:color w:val="000000"/>
          <w:highlight w:val="none"/>
        </w:rPr>
      </w:r>
      <w:r/>
    </w:p>
    <w:p>
      <w:pPr>
        <w:pStyle w:val="936"/>
        <w:rPr>
          <w:rFonts w:ascii="Times New Roman" w:hAnsi="Times New Roman" w:cs="Times New Roman"/>
          <w:color w:val="000000"/>
          <w:highlight w:val="none"/>
        </w:rPr>
      </w:pPr>
      <w:r>
        <w:rPr>
          <w:rFonts w:ascii="Times New Roman" w:hAnsi="Times New Roman" w:cs="Times New Roman"/>
          <w:color w:val="000000"/>
          <w:highlight w:val="none"/>
        </w:rPr>
      </w:r>
      <w:r/>
    </w:p>
    <w:p>
      <w:pPr>
        <w:pStyle w:val="898"/>
        <w:jc w:val="center"/>
        <w:rPr>
          <w:rFonts w:ascii="Times New Roman" w:hAnsi="Times New Roman"/>
          <w:b/>
          <w:color w:val="000000"/>
          <w:sz w:val="72"/>
          <w:szCs w:val="21"/>
          <w:highlight w:val="none"/>
        </w:rPr>
      </w:pPr>
      <w:r/>
      <w:bookmarkEnd w:id="175"/>
      <w:r/>
      <w:bookmarkEnd w:id="176"/>
      <w:r/>
      <w:bookmarkEnd w:id="182"/>
      <w:r/>
      <w:bookmarkStart w:id="186" w:name="_Hlt26671244"/>
      <w:r/>
      <w:bookmarkEnd w:id="186"/>
      <w:r/>
      <w:bookmarkStart w:id="187" w:name="_Hlt26955039"/>
      <w:r/>
      <w:bookmarkEnd w:id="187"/>
      <w:r/>
      <w:bookmarkStart w:id="188" w:name="_Toc120614282"/>
      <w:r/>
      <w:bookmarkStart w:id="189" w:name="_Toc49090576"/>
      <w:r/>
      <w:bookmarkStart w:id="190" w:name="_Toc26554094"/>
      <w:r>
        <w:rPr>
          <w:rFonts w:ascii="Times New Roman" w:hAnsi="Times New Roman"/>
          <w:b/>
          <w:color w:val="000000"/>
          <w:sz w:val="72"/>
          <w:szCs w:val="21"/>
          <w:highlight w:val="none"/>
        </w:rPr>
      </w:r>
      <w:r/>
    </w:p>
    <w:p>
      <w:pPr>
        <w:pStyle w:val="898"/>
        <w:jc w:val="center"/>
        <w:rPr>
          <w:rFonts w:ascii="Times New Roman" w:hAnsi="Times New Roman"/>
          <w:b/>
          <w:color w:val="000000"/>
          <w:sz w:val="72"/>
          <w:szCs w:val="21"/>
          <w:highlight w:val="none"/>
        </w:rPr>
      </w:pPr>
      <w:r>
        <w:rPr>
          <w:rFonts w:ascii="Times New Roman" w:hAnsi="Times New Roman"/>
          <w:b/>
          <w:color w:val="000000"/>
          <w:sz w:val="72"/>
          <w:szCs w:val="21"/>
          <w:highlight w:val="none"/>
        </w:rPr>
        <w:t xml:space="preserve">响  应  文  件</w:t>
      </w:r>
      <w:r>
        <w:rPr>
          <w:rFonts w:ascii="Times New Roman" w:hAnsi="Times New Roman"/>
          <w:b/>
          <w:color w:val="000000"/>
          <w:sz w:val="72"/>
          <w:szCs w:val="21"/>
          <w:highlight w:val="none"/>
        </w:rPr>
      </w:r>
      <w:r/>
    </w:p>
    <w:p>
      <w:pPr>
        <w:pStyle w:val="898"/>
        <w:jc w:val="center"/>
        <w:rPr>
          <w:rFonts w:ascii="Times New Roman" w:hAnsi="Times New Roman"/>
          <w:b/>
          <w:color w:val="000000"/>
          <w:sz w:val="72"/>
          <w:szCs w:val="21"/>
          <w:highlight w:val="none"/>
        </w:rPr>
      </w:pPr>
      <w:r>
        <w:rPr>
          <w:rFonts w:ascii="Times New Roman" w:hAnsi="Times New Roman"/>
          <w:b/>
          <w:color w:val="000000"/>
          <w:sz w:val="72"/>
          <w:szCs w:val="21"/>
          <w:highlight w:val="none"/>
        </w:rPr>
      </w:r>
      <w:r/>
    </w:p>
    <w:p>
      <w:pPr>
        <w:pStyle w:val="898"/>
        <w:jc w:val="center"/>
        <w:rPr>
          <w:rFonts w:ascii="Times New Roman" w:hAnsi="Times New Roman"/>
          <w:b/>
          <w:color w:val="000000"/>
          <w:sz w:val="72"/>
          <w:szCs w:val="21"/>
          <w:highlight w:val="none"/>
        </w:rPr>
      </w:pPr>
      <w:r>
        <w:rPr>
          <w:rFonts w:ascii="Times New Roman" w:hAnsi="Times New Roman"/>
          <w:b/>
          <w:color w:val="000000"/>
          <w:sz w:val="72"/>
          <w:szCs w:val="21"/>
          <w:highlight w:val="none"/>
        </w:rPr>
      </w:r>
      <w:r/>
    </w:p>
    <w:p>
      <w:pPr>
        <w:pStyle w:val="898"/>
        <w:jc w:val="center"/>
        <w:rPr>
          <w:rFonts w:ascii="Times New Roman" w:hAnsi="Times New Roman"/>
          <w:b/>
          <w:color w:val="000000"/>
          <w:sz w:val="36"/>
          <w:szCs w:val="21"/>
          <w:highlight w:val="none"/>
        </w:rPr>
      </w:pPr>
      <w:r>
        <w:rPr>
          <w:rFonts w:ascii="Times New Roman" w:hAnsi="Times New Roman"/>
          <w:b/>
          <w:color w:val="000000"/>
          <w:sz w:val="36"/>
          <w:szCs w:val="21"/>
          <w:highlight w:val="none"/>
        </w:rPr>
      </w:r>
      <w:r/>
    </w:p>
    <w:p>
      <w:pPr>
        <w:pStyle w:val="898"/>
        <w:jc w:val="center"/>
        <w:rPr>
          <w:rFonts w:ascii="Times New Roman" w:hAnsi="Times New Roman"/>
          <w:b/>
          <w:color w:val="000000"/>
          <w:sz w:val="36"/>
          <w:szCs w:val="21"/>
          <w:highlight w:val="none"/>
        </w:rPr>
      </w:pPr>
      <w:r>
        <w:rPr>
          <w:rFonts w:ascii="Times New Roman" w:hAnsi="Times New Roman"/>
          <w:b/>
          <w:color w:val="000000"/>
          <w:sz w:val="36"/>
          <w:szCs w:val="21"/>
          <w:highlight w:val="none"/>
        </w:rPr>
      </w:r>
      <w:r/>
    </w:p>
    <w:p>
      <w:pPr>
        <w:pStyle w:val="898"/>
        <w:jc w:val="center"/>
        <w:rPr>
          <w:rFonts w:ascii="Times New Roman" w:hAnsi="Times New Roman"/>
          <w:b/>
          <w:color w:val="000000"/>
          <w:sz w:val="36"/>
          <w:szCs w:val="21"/>
          <w:highlight w:val="none"/>
        </w:rPr>
      </w:pPr>
      <w:r>
        <w:rPr>
          <w:rFonts w:ascii="Times New Roman" w:hAnsi="Times New Roman"/>
          <w:b/>
          <w:color w:val="000000"/>
          <w:sz w:val="36"/>
          <w:szCs w:val="21"/>
          <w:highlight w:val="none"/>
        </w:rPr>
      </w:r>
      <w:r/>
    </w:p>
    <w:p>
      <w:pPr>
        <w:pStyle w:val="898"/>
        <w:ind w:firstLine="1084"/>
        <w:rPr>
          <w:rFonts w:ascii="Times New Roman" w:hAnsi="Times New Roman"/>
          <w:b/>
          <w:color w:val="000000"/>
          <w:sz w:val="36"/>
          <w:szCs w:val="21"/>
          <w:highlight w:val="none"/>
        </w:rPr>
      </w:pPr>
      <w:r>
        <w:rPr>
          <w:rFonts w:ascii="Times New Roman" w:hAnsi="Times New Roman"/>
          <w:b/>
          <w:color w:val="000000"/>
          <w:sz w:val="36"/>
          <w:szCs w:val="21"/>
          <w:highlight w:val="none"/>
        </w:rPr>
        <w:t xml:space="preserve">项 目 名 称：</w:t>
      </w:r>
      <w:r>
        <w:rPr>
          <w:rFonts w:ascii="Times New Roman" w:hAnsi="Times New Roman"/>
          <w:b/>
          <w:color w:val="000000"/>
          <w:sz w:val="36"/>
          <w:szCs w:val="21"/>
          <w:highlight w:val="none"/>
          <w:u w:val="single"/>
        </w:rPr>
        <w:t xml:space="preserve">               </w:t>
      </w:r>
      <w:r>
        <w:rPr>
          <w:rFonts w:ascii="Times New Roman" w:hAnsi="Times New Roman"/>
          <w:b/>
          <w:color w:val="000000"/>
          <w:sz w:val="36"/>
          <w:szCs w:val="21"/>
          <w:highlight w:val="none"/>
        </w:rPr>
      </w:r>
      <w:r/>
    </w:p>
    <w:p>
      <w:pPr>
        <w:pStyle w:val="898"/>
        <w:ind w:firstLine="1084"/>
        <w:rPr>
          <w:rFonts w:ascii="Times New Roman" w:hAnsi="Times New Roman"/>
          <w:b/>
          <w:color w:val="000000"/>
          <w:sz w:val="36"/>
          <w:szCs w:val="21"/>
          <w:highlight w:val="none"/>
          <w:u w:val="single"/>
        </w:rPr>
      </w:pPr>
      <w:r>
        <w:rPr>
          <w:rFonts w:ascii="Times New Roman" w:hAnsi="Times New Roman"/>
          <w:b/>
          <w:color w:val="000000"/>
          <w:sz w:val="36"/>
          <w:szCs w:val="21"/>
          <w:highlight w:val="none"/>
        </w:rPr>
        <w:t xml:space="preserve">项 目 编 号：</w:t>
      </w:r>
      <w:r>
        <w:rPr>
          <w:rFonts w:ascii="Times New Roman" w:hAnsi="Times New Roman"/>
          <w:b/>
          <w:color w:val="000000"/>
          <w:sz w:val="36"/>
          <w:szCs w:val="21"/>
          <w:highlight w:val="none"/>
          <w:u w:val="single"/>
        </w:rPr>
        <w:t xml:space="preserve">               </w:t>
      </w:r>
      <w:r>
        <w:rPr>
          <w:rFonts w:ascii="Times New Roman" w:hAnsi="Times New Roman"/>
          <w:b/>
          <w:color w:val="000000"/>
          <w:sz w:val="36"/>
          <w:szCs w:val="21"/>
          <w:highlight w:val="none"/>
          <w:u w:val="single"/>
        </w:rPr>
      </w:r>
      <w:r/>
    </w:p>
    <w:p>
      <w:pPr>
        <w:pStyle w:val="898"/>
        <w:rPr>
          <w:rFonts w:ascii="Times New Roman" w:hAnsi="Times New Roman"/>
          <w:b/>
          <w:color w:val="000000"/>
          <w:sz w:val="36"/>
          <w:szCs w:val="21"/>
          <w:highlight w:val="none"/>
          <w:u w:val="single"/>
        </w:rPr>
      </w:pPr>
      <w:r>
        <w:rPr>
          <w:rFonts w:ascii="Times New Roman" w:hAnsi="Times New Roman"/>
          <w:b/>
          <w:color w:val="000000"/>
          <w:sz w:val="36"/>
          <w:szCs w:val="21"/>
          <w:highlight w:val="none"/>
        </w:rPr>
        <w:t xml:space="preserve">      供应商名称 ：</w:t>
      </w:r>
      <w:r>
        <w:rPr>
          <w:rFonts w:ascii="Times New Roman" w:hAnsi="Times New Roman"/>
          <w:b/>
          <w:color w:val="000000"/>
          <w:sz w:val="36"/>
          <w:szCs w:val="21"/>
          <w:highlight w:val="none"/>
          <w:u w:val="single"/>
        </w:rPr>
        <w:t xml:space="preserve">（加盖CA电子公章）</w:t>
      </w:r>
      <w:r>
        <w:rPr>
          <w:rFonts w:ascii="Times New Roman" w:hAnsi="Times New Roman"/>
          <w:b/>
          <w:color w:val="000000"/>
          <w:sz w:val="36"/>
          <w:szCs w:val="21"/>
          <w:highlight w:val="none"/>
          <w:u w:val="single"/>
        </w:rPr>
      </w:r>
      <w:r/>
    </w:p>
    <w:p>
      <w:pPr>
        <w:pStyle w:val="898"/>
        <w:rPr>
          <w:rFonts w:ascii="Times New Roman" w:hAnsi="Times New Roman"/>
          <w:b/>
          <w:color w:val="000000"/>
          <w:sz w:val="36"/>
          <w:szCs w:val="21"/>
          <w:highlight w:val="none"/>
          <w:u w:val="single"/>
        </w:rPr>
      </w:pPr>
      <w:r>
        <w:rPr>
          <w:rFonts w:ascii="Times New Roman" w:hAnsi="Times New Roman"/>
          <w:b/>
          <w:color w:val="000000"/>
          <w:sz w:val="36"/>
          <w:szCs w:val="21"/>
          <w:highlight w:val="none"/>
        </w:rPr>
        <w:t xml:space="preserve">      日      期 ：</w:t>
      </w:r>
      <w:r>
        <w:rPr>
          <w:rFonts w:ascii="Times New Roman" w:hAnsi="Times New Roman"/>
          <w:b/>
          <w:color w:val="000000"/>
          <w:sz w:val="36"/>
          <w:szCs w:val="21"/>
          <w:highlight w:val="none"/>
          <w:u w:val="single"/>
        </w:rPr>
        <w:t xml:space="preserve">               </w:t>
      </w:r>
      <w:r>
        <w:rPr>
          <w:rFonts w:ascii="Times New Roman" w:hAnsi="Times New Roman"/>
          <w:b/>
          <w:color w:val="000000"/>
          <w:sz w:val="36"/>
          <w:szCs w:val="21"/>
          <w:highlight w:val="none"/>
          <w:u w:val="single"/>
        </w:rPr>
      </w:r>
      <w:r/>
    </w:p>
    <w:p>
      <w:pPr>
        <w:pStyle w:val="898"/>
        <w:jc w:val="center"/>
        <w:spacing w:line="440" w:lineRule="exact"/>
        <w:rPr>
          <w:rFonts w:ascii="Times New Roman" w:hAnsi="Times New Roman"/>
          <w:b/>
          <w:bCs/>
          <w:color w:val="000000"/>
          <w:sz w:val="32"/>
          <w:szCs w:val="32"/>
          <w:highlight w:val="none"/>
        </w:rPr>
      </w:pPr>
      <w:r>
        <w:rPr>
          <w:rFonts w:ascii="Times New Roman" w:hAnsi="Times New Roman"/>
          <w:b/>
          <w:bCs/>
          <w:color w:val="000000"/>
          <w:sz w:val="32"/>
          <w:szCs w:val="32"/>
          <w:highlight w:val="none"/>
        </w:rPr>
      </w:r>
      <w:r/>
    </w:p>
    <w:p>
      <w:pPr>
        <w:pStyle w:val="898"/>
        <w:spacing w:line="440" w:lineRule="exact"/>
        <w:rPr>
          <w:rFonts w:ascii="Times New Roman" w:hAnsi="Times New Roman"/>
          <w:color w:val="000000"/>
          <w:szCs w:val="21"/>
          <w:highlight w:val="none"/>
        </w:rPr>
      </w:pPr>
      <w:r>
        <w:rPr>
          <w:rFonts w:ascii="Times New Roman" w:hAnsi="Times New Roman"/>
          <w:color w:val="000000"/>
          <w:szCs w:val="21"/>
          <w:highlight w:val="none"/>
        </w:rPr>
      </w:r>
      <w:r/>
    </w:p>
    <w:p>
      <w:pPr>
        <w:pStyle w:val="898"/>
        <w:jc w:val="center"/>
        <w:spacing w:line="440" w:lineRule="exact"/>
        <w:rPr>
          <w:rFonts w:ascii="Times New Roman" w:hAnsi="Times New Roman"/>
          <w:b/>
          <w:bCs/>
          <w:color w:val="000000"/>
          <w:sz w:val="32"/>
          <w:szCs w:val="32"/>
          <w:highlight w:val="none"/>
        </w:rPr>
      </w:pPr>
      <w:r>
        <w:rPr>
          <w:rFonts w:ascii="Times New Roman" w:hAnsi="Times New Roman"/>
          <w:b/>
          <w:bCs/>
          <w:color w:val="000000"/>
          <w:sz w:val="32"/>
          <w:szCs w:val="32"/>
          <w:highlight w:val="none"/>
        </w:rPr>
        <w:t xml:space="preserve">响应文件的组成</w:t>
      </w:r>
      <w:r>
        <w:rPr>
          <w:rFonts w:ascii="Times New Roman" w:hAnsi="Times New Roman"/>
          <w:b/>
          <w:bCs/>
          <w:color w:val="000000"/>
          <w:sz w:val="32"/>
          <w:szCs w:val="32"/>
          <w:highlight w:val="none"/>
        </w:rPr>
      </w:r>
      <w:r/>
    </w:p>
    <w:p>
      <w:pPr>
        <w:pStyle w:val="898"/>
        <w:jc w:val="center"/>
        <w:spacing w:line="440" w:lineRule="exact"/>
        <w:rPr>
          <w:rFonts w:ascii="Times New Roman" w:hAnsi="Times New Roman"/>
          <w:b/>
          <w:bCs/>
          <w:color w:val="000000"/>
          <w:sz w:val="32"/>
          <w:szCs w:val="32"/>
          <w:highlight w:val="none"/>
        </w:rPr>
      </w:pPr>
      <w:r>
        <w:rPr>
          <w:rFonts w:ascii="Times New Roman" w:hAnsi="Times New Roman"/>
          <w:b/>
          <w:bCs/>
          <w:color w:val="000000"/>
          <w:sz w:val="32"/>
          <w:szCs w:val="32"/>
          <w:highlight w:val="none"/>
        </w:rPr>
      </w:r>
      <w:r/>
    </w:p>
    <w:p>
      <w:pPr>
        <w:pStyle w:val="898"/>
        <w:ind w:left="480"/>
        <w:spacing w:line="400" w:lineRule="exact"/>
        <w:rPr>
          <w:rFonts w:ascii="Times New Roman" w:hAnsi="Times New Roman"/>
          <w:b/>
          <w:color w:val="000000"/>
          <w:sz w:val="24"/>
          <w:szCs w:val="21"/>
          <w:highlight w:val="none"/>
        </w:rPr>
      </w:pPr>
      <w:r>
        <w:rPr>
          <w:rFonts w:ascii="Times New Roman" w:hAnsi="Times New Roman"/>
          <w:b/>
          <w:color w:val="000000"/>
          <w:sz w:val="24"/>
          <w:szCs w:val="21"/>
          <w:highlight w:val="none"/>
        </w:rPr>
        <w:t xml:space="preserve">一、基本目录</w:t>
      </w:r>
      <w:r>
        <w:rPr>
          <w:rFonts w:ascii="Times New Roman" w:hAnsi="Times New Roman"/>
          <w:b/>
          <w:color w:val="000000"/>
          <w:sz w:val="24"/>
          <w:szCs w:val="21"/>
          <w:highlight w:val="none"/>
        </w:rPr>
      </w:r>
      <w:r/>
    </w:p>
    <w:p>
      <w:pPr>
        <w:pStyle w:val="898"/>
        <w:ind w:left="480"/>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1.</w:t>
      </w:r>
      <w:r>
        <w:rPr>
          <w:rFonts w:ascii="Times New Roman" w:hAnsi="Times New Roman"/>
          <w:color w:val="000000"/>
          <w:sz w:val="24"/>
          <w:szCs w:val="21"/>
          <w:highlight w:val="none"/>
        </w:rPr>
        <w:t xml:space="preserve">分项报价表（格式见</w:t>
      </w:r>
      <w:r>
        <w:rPr>
          <w:rFonts w:ascii="Times New Roman" w:hAnsi="Times New Roman"/>
          <w:color w:val="000000"/>
          <w:sz w:val="24"/>
          <w:szCs w:val="21"/>
          <w:highlight w:val="none"/>
        </w:rPr>
        <w:t xml:space="preserve">附件1</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r>
      <w:r/>
    </w:p>
    <w:p>
      <w:pPr>
        <w:pStyle w:val="898"/>
        <w:ind w:left="480"/>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技术要求响应及偏离表（格式见</w:t>
      </w:r>
      <w:r>
        <w:rPr>
          <w:rFonts w:ascii="Times New Roman" w:hAnsi="Times New Roman"/>
          <w:color w:val="000000"/>
          <w:sz w:val="24"/>
          <w:szCs w:val="21"/>
          <w:highlight w:val="none"/>
        </w:rPr>
        <w:t xml:space="preserve">附件2</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r>
      <w:r/>
    </w:p>
    <w:p>
      <w:pPr>
        <w:pStyle w:val="898"/>
        <w:ind w:firstLine="480"/>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3.</w:t>
      </w:r>
      <w:r>
        <w:rPr>
          <w:rFonts w:ascii="Times New Roman" w:hAnsi="Times New Roman"/>
          <w:color w:val="000000"/>
          <w:sz w:val="24"/>
          <w:szCs w:val="21"/>
          <w:highlight w:val="none"/>
        </w:rPr>
        <w:t xml:space="preserve">商务要求响应及偏离表（格式见</w:t>
      </w:r>
      <w:r>
        <w:rPr>
          <w:rFonts w:ascii="Times New Roman" w:hAnsi="Times New Roman"/>
          <w:color w:val="000000"/>
          <w:sz w:val="24"/>
          <w:szCs w:val="21"/>
          <w:highlight w:val="none"/>
        </w:rPr>
        <w:t xml:space="preserve">附件3</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r>
      <w:r/>
    </w:p>
    <w:p>
      <w:pPr>
        <w:pStyle w:val="898"/>
        <w:ind w:firstLine="480"/>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4</w:t>
      </w:r>
      <w:r>
        <w:rPr>
          <w:rFonts w:ascii="Times New Roman" w:hAnsi="Times New Roman"/>
          <w:color w:val="000000"/>
          <w:sz w:val="24"/>
          <w:szCs w:val="21"/>
          <w:highlight w:val="none"/>
        </w:rPr>
        <w:t xml:space="preserve">.****（格式</w:t>
      </w:r>
      <w:r>
        <w:rPr>
          <w:rFonts w:ascii="Times New Roman" w:hAnsi="Times New Roman"/>
          <w:color w:val="000000"/>
          <w:sz w:val="24"/>
          <w:szCs w:val="21"/>
          <w:highlight w:val="none"/>
        </w:rPr>
        <w:t xml:space="preserve">见附件</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r>
      <w:r/>
    </w:p>
    <w:p>
      <w:pPr>
        <w:pStyle w:val="898"/>
        <w:ind w:left="480"/>
        <w:spacing w:line="400" w:lineRule="exact"/>
        <w:rPr>
          <w:rFonts w:ascii="Times New Roman" w:hAnsi="Times New Roman"/>
          <w:b/>
          <w:color w:val="000000"/>
          <w:sz w:val="24"/>
          <w:szCs w:val="21"/>
          <w:highlight w:val="none"/>
        </w:rPr>
      </w:pPr>
      <w:r>
        <w:rPr>
          <w:rFonts w:ascii="Times New Roman" w:hAnsi="Times New Roman"/>
          <w:b/>
          <w:color w:val="000000"/>
          <w:sz w:val="24"/>
          <w:szCs w:val="21"/>
          <w:highlight w:val="none"/>
        </w:rPr>
        <w:t xml:space="preserve">二</w:t>
      </w:r>
      <w:r>
        <w:rPr>
          <w:rFonts w:ascii="Times New Roman" w:hAnsi="Times New Roman"/>
          <w:b/>
          <w:color w:val="000000"/>
          <w:sz w:val="24"/>
          <w:szCs w:val="21"/>
          <w:highlight w:val="none"/>
        </w:rPr>
        <w:t xml:space="preserve">、资格审查内容</w:t>
      </w:r>
      <w:r>
        <w:rPr>
          <w:rFonts w:ascii="Times New Roman" w:hAnsi="Times New Roman"/>
          <w:b/>
          <w:color w:val="000000"/>
          <w:sz w:val="24"/>
          <w:szCs w:val="21"/>
          <w:highlight w:val="none"/>
        </w:rPr>
      </w:r>
      <w:r/>
    </w:p>
    <w:p>
      <w:pPr>
        <w:pStyle w:val="898"/>
        <w:ind w:left="480"/>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1</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t xml:space="preserve">法人或者其他组织的营业执照等证明文件，自然人的身份证明</w:t>
      </w:r>
      <w:r>
        <w:rPr>
          <w:rFonts w:ascii="Times New Roman" w:hAnsi="Times New Roman"/>
          <w:color w:val="000000"/>
          <w:sz w:val="24"/>
          <w:szCs w:val="21"/>
          <w:highlight w:val="none"/>
        </w:rPr>
      </w:r>
      <w:r/>
    </w:p>
    <w:p>
      <w:pPr>
        <w:pStyle w:val="898"/>
        <w:ind w:left="480"/>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t xml:space="preserve">上一年度的财务状况报告（供应商成立不满一年无需提供）</w:t>
      </w:r>
      <w:r>
        <w:rPr>
          <w:rFonts w:ascii="Times New Roman" w:hAnsi="Times New Roman"/>
          <w:color w:val="000000"/>
          <w:sz w:val="24"/>
          <w:szCs w:val="21"/>
          <w:highlight w:val="none"/>
        </w:rPr>
      </w:r>
      <w:r/>
    </w:p>
    <w:p>
      <w:pPr>
        <w:pStyle w:val="898"/>
        <w:ind w:left="480"/>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3</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t xml:space="preserve">依法缴纳税收和社会保障资金的相关材料（提供提交响应文件截止时间前</w:t>
      </w:r>
      <w:r>
        <w:rPr>
          <w:rFonts w:ascii="Times New Roman" w:hAnsi="Times New Roman"/>
          <w:color w:val="000000"/>
          <w:sz w:val="24"/>
          <w:szCs w:val="21"/>
          <w:highlight w:val="none"/>
        </w:rPr>
      </w:r>
      <w:r/>
    </w:p>
    <w:p>
      <w:pPr>
        <w:pStyle w:val="898"/>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一年内至少一个月依法缴纳税收及缴纳社会保障资金的证明材料。供应商依法享受缓缴、免缴税收、社会保障资金的提供证明材料。）</w:t>
      </w:r>
      <w:r>
        <w:rPr>
          <w:rFonts w:ascii="Times New Roman" w:hAnsi="Times New Roman"/>
          <w:color w:val="000000"/>
          <w:sz w:val="24"/>
          <w:szCs w:val="21"/>
          <w:highlight w:val="none"/>
        </w:rPr>
      </w:r>
      <w:r/>
    </w:p>
    <w:p>
      <w:pPr>
        <w:pStyle w:val="898"/>
        <w:ind w:left="480"/>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4</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t xml:space="preserve">具备履行合同所必需的设备和专业技术能力的书面声明（格式见</w:t>
      </w:r>
      <w:r>
        <w:rPr>
          <w:rFonts w:ascii="Times New Roman" w:hAnsi="Times New Roman"/>
          <w:color w:val="000000"/>
          <w:sz w:val="24"/>
          <w:szCs w:val="21"/>
          <w:highlight w:val="none"/>
        </w:rPr>
        <w:t xml:space="preserve">附件4</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r>
      <w:r/>
    </w:p>
    <w:p>
      <w:pPr>
        <w:pStyle w:val="898"/>
        <w:ind w:left="480"/>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5.参加政府采购活动前 3 年内在经营活动中没有重大违法记录的书面声明</w:t>
      </w:r>
      <w:r>
        <w:rPr>
          <w:rFonts w:ascii="Times New Roman" w:hAnsi="Times New Roman"/>
          <w:color w:val="000000"/>
          <w:sz w:val="24"/>
          <w:szCs w:val="21"/>
          <w:highlight w:val="none"/>
        </w:rPr>
      </w:r>
      <w:r/>
    </w:p>
    <w:p>
      <w:pPr>
        <w:pStyle w:val="898"/>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（格式见</w:t>
      </w:r>
      <w:r>
        <w:rPr>
          <w:rFonts w:ascii="Times New Roman" w:hAnsi="Times New Roman"/>
          <w:color w:val="000000"/>
          <w:sz w:val="24"/>
          <w:szCs w:val="21"/>
          <w:highlight w:val="none"/>
        </w:rPr>
        <w:t xml:space="preserve">附件5</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r>
      <w:r/>
    </w:p>
    <w:p>
      <w:pPr>
        <w:pStyle w:val="898"/>
        <w:ind w:firstLine="480"/>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6</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t xml:space="preserve">特定资格要求的证明文件（如果本项目对供应商</w:t>
      </w:r>
      <w:r>
        <w:rPr>
          <w:rFonts w:ascii="Times New Roman" w:hAnsi="Times New Roman"/>
          <w:color w:val="000000"/>
          <w:sz w:val="24"/>
          <w:szCs w:val="21"/>
          <w:highlight w:val="none"/>
        </w:rPr>
        <w:t xml:space="preserve">做出特定资格要求的</w:t>
      </w:r>
      <w:r>
        <w:rPr>
          <w:rFonts w:ascii="Times New Roman" w:hAnsi="Times New Roman"/>
          <w:color w:val="000000"/>
          <w:sz w:val="24"/>
          <w:szCs w:val="21"/>
          <w:highlight w:val="none"/>
        </w:rPr>
        <w:t xml:space="preserve">，必须提供）</w:t>
      </w:r>
      <w:r>
        <w:rPr>
          <w:rFonts w:ascii="Times New Roman" w:hAnsi="Times New Roman"/>
          <w:color w:val="000000"/>
          <w:sz w:val="24"/>
          <w:szCs w:val="21"/>
          <w:highlight w:val="none"/>
        </w:rPr>
      </w:r>
      <w:r/>
    </w:p>
    <w:p>
      <w:pPr>
        <w:pStyle w:val="898"/>
        <w:ind w:firstLine="480"/>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7.</w:t>
      </w:r>
      <w:r>
        <w:rPr>
          <w:color w:val="000000"/>
          <w:highlight w:val="none"/>
        </w:rPr>
        <w:t xml:space="preserve"> </w:t>
      </w:r>
      <w:r>
        <w:rPr>
          <w:rFonts w:ascii="Times New Roman" w:hAnsi="Times New Roman"/>
          <w:color w:val="000000"/>
          <w:sz w:val="24"/>
          <w:szCs w:val="2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Times New Roman" w:hAnsi="Times New Roman"/>
          <w:color w:val="000000"/>
          <w:sz w:val="24"/>
          <w:szCs w:val="21"/>
          <w:highlight w:val="none"/>
        </w:rPr>
      </w:r>
      <w:r/>
    </w:p>
    <w:p>
      <w:pPr>
        <w:pStyle w:val="898"/>
        <w:ind w:firstLine="480"/>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8.</w:t>
      </w:r>
      <w:r>
        <w:rPr>
          <w:rFonts w:ascii="Times New Roman" w:hAnsi="Times New Roman"/>
          <w:color w:val="000000"/>
          <w:sz w:val="24"/>
          <w:szCs w:val="21"/>
          <w:highlight w:val="none"/>
        </w:rPr>
        <w:t xml:space="preserve">法人授权书（格式见附件</w:t>
      </w:r>
      <w:r>
        <w:rPr>
          <w:rFonts w:ascii="Times New Roman" w:hAnsi="Times New Roman"/>
          <w:color w:val="000000"/>
          <w:sz w:val="24"/>
          <w:szCs w:val="21"/>
          <w:highlight w:val="none"/>
        </w:rPr>
        <w:t xml:space="preserve">6</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r>
      <w:r/>
    </w:p>
    <w:p>
      <w:pPr>
        <w:pStyle w:val="898"/>
        <w:ind w:firstLine="480"/>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9.</w:t>
      </w:r>
      <w:r>
        <w:rPr>
          <w:rFonts w:ascii="Times New Roman" w:hAnsi="Times New Roman"/>
          <w:color w:val="000000"/>
          <w:sz w:val="24"/>
          <w:szCs w:val="21"/>
          <w:highlight w:val="none"/>
        </w:rPr>
        <w:t xml:space="preserve">响应函（格式见附件</w:t>
      </w:r>
      <w:r>
        <w:rPr>
          <w:rFonts w:ascii="Times New Roman" w:hAnsi="Times New Roman"/>
          <w:color w:val="000000"/>
          <w:sz w:val="24"/>
          <w:szCs w:val="21"/>
          <w:highlight w:val="none"/>
        </w:rPr>
        <w:t xml:space="preserve">7</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r>
      <w:r/>
    </w:p>
    <w:p>
      <w:pPr>
        <w:pStyle w:val="898"/>
        <w:ind w:firstLine="480"/>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10.</w:t>
      </w:r>
      <w:r>
        <w:rPr>
          <w:rFonts w:ascii="Times New Roman" w:hAnsi="Times New Roman"/>
          <w:color w:val="000000"/>
          <w:sz w:val="24"/>
          <w:szCs w:val="21"/>
          <w:highlight w:val="none"/>
        </w:rPr>
        <w:t xml:space="preserve">中小微企业声明函（如果本项目</w:t>
      </w:r>
      <w:r>
        <w:rPr>
          <w:rFonts w:ascii="Times New Roman" w:hAnsi="Times New Roman"/>
          <w:color w:val="000000"/>
          <w:sz w:val="24"/>
          <w:szCs w:val="21"/>
          <w:highlight w:val="none"/>
        </w:rPr>
        <w:t xml:space="preserve">专门面向中小微型企业采购，则必须提供</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t xml:space="preserve">格式</w:t>
      </w:r>
      <w:r>
        <w:rPr>
          <w:rFonts w:ascii="Times New Roman" w:hAnsi="Times New Roman"/>
          <w:color w:val="000000"/>
          <w:sz w:val="24"/>
          <w:szCs w:val="21"/>
          <w:highlight w:val="none"/>
        </w:rPr>
        <w:t xml:space="preserve">见</w:t>
      </w:r>
      <w:r>
        <w:rPr>
          <w:rFonts w:ascii="Times New Roman" w:hAnsi="Times New Roman"/>
          <w:color w:val="000000"/>
          <w:sz w:val="24"/>
          <w:szCs w:val="21"/>
          <w:highlight w:val="none"/>
        </w:rPr>
        <w:t xml:space="preserve">附件8</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r>
      <w:r/>
    </w:p>
    <w:p>
      <w:pPr>
        <w:pStyle w:val="898"/>
        <w:ind w:firstLine="480"/>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1</w:t>
      </w:r>
      <w:r>
        <w:rPr>
          <w:rFonts w:ascii="Times New Roman" w:hAnsi="Times New Roman"/>
          <w:color w:val="000000"/>
          <w:sz w:val="24"/>
          <w:szCs w:val="21"/>
          <w:highlight w:val="none"/>
        </w:rPr>
        <w:t xml:space="preserve">1.</w:t>
      </w:r>
      <w:r>
        <w:rPr>
          <w:rFonts w:ascii="Times New Roman" w:hAnsi="Times New Roman"/>
          <w:color w:val="000000"/>
          <w:sz w:val="24"/>
          <w:szCs w:val="21"/>
          <w:highlight w:val="none"/>
        </w:rPr>
        <w:t xml:space="preserve">残疾人福利性单位声明函（如果本项目</w:t>
      </w:r>
      <w:r>
        <w:rPr>
          <w:rFonts w:ascii="Times New Roman" w:hAnsi="Times New Roman"/>
          <w:color w:val="000000"/>
          <w:sz w:val="24"/>
          <w:szCs w:val="21"/>
          <w:highlight w:val="none"/>
        </w:rPr>
        <w:t xml:space="preserve">专门面向中小微型企业采购，</w:t>
      </w:r>
      <w:r>
        <w:rPr>
          <w:rFonts w:ascii="Times New Roman" w:hAnsi="Times New Roman"/>
          <w:color w:val="000000"/>
          <w:sz w:val="24"/>
          <w:szCs w:val="21"/>
          <w:highlight w:val="none"/>
        </w:rPr>
        <w:t xml:space="preserve">供应商为</w:t>
      </w:r>
      <w:r>
        <w:rPr>
          <w:rFonts w:ascii="Times New Roman" w:hAnsi="Times New Roman"/>
          <w:color w:val="000000"/>
          <w:sz w:val="24"/>
          <w:szCs w:val="21"/>
          <w:highlight w:val="none"/>
        </w:rPr>
        <w:t xml:space="preserve">残疾人福利性单位并</w:t>
      </w:r>
      <w:r>
        <w:rPr>
          <w:rFonts w:ascii="Times New Roman" w:hAnsi="Times New Roman"/>
          <w:color w:val="000000"/>
          <w:sz w:val="24"/>
          <w:szCs w:val="21"/>
          <w:highlight w:val="none"/>
        </w:rPr>
        <w:t xml:space="preserve">提供本单位制造的货物，或者提供其他残疾人福利性单位制造的货物，</w:t>
      </w:r>
      <w:r>
        <w:rPr>
          <w:rFonts w:ascii="Times New Roman" w:hAnsi="Times New Roman"/>
          <w:color w:val="000000"/>
          <w:sz w:val="24"/>
          <w:szCs w:val="21"/>
          <w:highlight w:val="none"/>
        </w:rPr>
        <w:t xml:space="preserve">则必须提供</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t xml:space="preserve">格式</w:t>
      </w:r>
      <w:r>
        <w:rPr>
          <w:rFonts w:ascii="Times New Roman" w:hAnsi="Times New Roman"/>
          <w:color w:val="000000"/>
          <w:sz w:val="24"/>
          <w:szCs w:val="21"/>
          <w:highlight w:val="none"/>
        </w:rPr>
        <w:t xml:space="preserve">见</w:t>
      </w:r>
      <w:r>
        <w:rPr>
          <w:rFonts w:ascii="Times New Roman" w:hAnsi="Times New Roman"/>
          <w:color w:val="000000"/>
          <w:sz w:val="24"/>
          <w:szCs w:val="21"/>
          <w:highlight w:val="none"/>
        </w:rPr>
        <w:t xml:space="preserve">附件9</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r>
      <w:r/>
    </w:p>
    <w:p>
      <w:pPr>
        <w:pStyle w:val="898"/>
        <w:ind w:firstLine="480"/>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1</w:t>
      </w:r>
      <w:r>
        <w:rPr>
          <w:rFonts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.联合体协议（如果本项目接受联合体参与磋商</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t xml:space="preserve">供应商是联合体的，</w:t>
      </w:r>
      <w:r>
        <w:rPr>
          <w:rFonts w:ascii="Times New Roman" w:hAnsi="Times New Roman"/>
          <w:color w:val="000000"/>
          <w:sz w:val="24"/>
          <w:szCs w:val="21"/>
          <w:highlight w:val="none"/>
        </w:rPr>
        <w:t xml:space="preserve">则必须提供</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t xml:space="preserve">格式</w:t>
      </w:r>
      <w:r>
        <w:rPr>
          <w:rFonts w:ascii="Times New Roman" w:hAnsi="Times New Roman"/>
          <w:color w:val="000000"/>
          <w:sz w:val="24"/>
          <w:szCs w:val="21"/>
          <w:highlight w:val="none"/>
        </w:rPr>
        <w:t xml:space="preserve">见</w:t>
      </w:r>
      <w:r>
        <w:rPr>
          <w:rFonts w:ascii="Times New Roman" w:hAnsi="Times New Roman"/>
          <w:color w:val="000000"/>
          <w:sz w:val="24"/>
          <w:szCs w:val="21"/>
          <w:highlight w:val="none"/>
        </w:rPr>
        <w:t xml:space="preserve">附件10</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r>
      <w:r/>
    </w:p>
    <w:p>
      <w:pPr>
        <w:pStyle w:val="898"/>
        <w:ind w:left="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总备注：上述“资格审查内容”中1-6条、8、9条供应商必须在响应文件</w:t>
      </w:r>
      <w:r>
        <w:rPr>
          <w:rFonts w:ascii="Times New Roman" w:hAnsi="Times New Roman"/>
          <w:color w:val="000000"/>
          <w:sz w:val="24"/>
          <w:szCs w:val="24"/>
          <w:highlight w:val="none"/>
        </w:rPr>
      </w:r>
      <w:r/>
    </w:p>
    <w:p>
      <w:pPr>
        <w:pStyle w:val="898"/>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中提供相关材料，否则作无效响应处理。</w:t>
      </w:r>
      <w:r>
        <w:rPr>
          <w:rFonts w:ascii="Times New Roman" w:hAnsi="Times New Roman"/>
          <w:color w:val="000000"/>
          <w:sz w:val="24"/>
          <w:szCs w:val="24"/>
          <w:highlight w:val="none"/>
        </w:rPr>
      </w:r>
      <w:r/>
    </w:p>
    <w:p>
      <w:pPr>
        <w:pStyle w:val="898"/>
        <w:ind w:left="480"/>
        <w:spacing w:line="400" w:lineRule="exact"/>
        <w:rPr>
          <w:rFonts w:ascii="Times New Roman" w:hAnsi="Times New Roman"/>
          <w:b/>
          <w:color w:val="000000"/>
          <w:sz w:val="24"/>
          <w:szCs w:val="21"/>
          <w:highlight w:val="none"/>
        </w:rPr>
      </w:pPr>
      <w:r>
        <w:rPr>
          <w:rFonts w:ascii="Times New Roman" w:hAnsi="Times New Roman"/>
          <w:b/>
          <w:color w:val="000000"/>
          <w:sz w:val="24"/>
          <w:szCs w:val="21"/>
          <w:highlight w:val="none"/>
        </w:rPr>
        <w:t xml:space="preserve">三</w:t>
      </w:r>
      <w:r>
        <w:rPr>
          <w:rFonts w:ascii="Times New Roman" w:hAnsi="Times New Roman"/>
          <w:b/>
          <w:color w:val="000000"/>
          <w:sz w:val="24"/>
          <w:szCs w:val="21"/>
          <w:highlight w:val="none"/>
        </w:rPr>
        <w:t xml:space="preserve">、</w:t>
      </w:r>
      <w:r>
        <w:rPr>
          <w:rFonts w:ascii="Times New Roman" w:hAnsi="Times New Roman"/>
          <w:b/>
          <w:color w:val="000000"/>
          <w:sz w:val="24"/>
          <w:szCs w:val="21"/>
          <w:highlight w:val="none"/>
        </w:rPr>
        <w:t xml:space="preserve">符合性</w:t>
      </w:r>
      <w:r>
        <w:rPr>
          <w:rFonts w:ascii="Times New Roman" w:hAnsi="Times New Roman"/>
          <w:b/>
          <w:color w:val="000000"/>
          <w:sz w:val="24"/>
          <w:szCs w:val="21"/>
          <w:highlight w:val="none"/>
        </w:rPr>
        <w:t xml:space="preserve">审查内容</w:t>
      </w:r>
      <w:r>
        <w:rPr>
          <w:rFonts w:ascii="Times New Roman" w:hAnsi="Times New Roman"/>
          <w:b/>
          <w:color w:val="000000"/>
          <w:sz w:val="24"/>
          <w:szCs w:val="21"/>
          <w:highlight w:val="none"/>
        </w:rPr>
      </w:r>
      <w:r/>
    </w:p>
    <w:p>
      <w:pPr>
        <w:pStyle w:val="898"/>
        <w:ind w:firstLine="480"/>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供应商必须</w:t>
      </w:r>
      <w:r>
        <w:rPr>
          <w:rFonts w:ascii="Times New Roman" w:hAnsi="Times New Roman"/>
          <w:color w:val="000000"/>
          <w:sz w:val="24"/>
          <w:szCs w:val="21"/>
          <w:highlight w:val="none"/>
        </w:rPr>
        <w:t xml:space="preserve">对</w:t>
      </w:r>
      <w:r>
        <w:rPr>
          <w:rFonts w:ascii="Times New Roman" w:hAnsi="Times New Roman"/>
          <w:color w:val="000000"/>
          <w:sz w:val="24"/>
          <w:szCs w:val="21"/>
          <w:highlight w:val="none"/>
        </w:rPr>
        <w:t xml:space="preserve">磋商文件（含技术</w:t>
      </w:r>
      <w:r>
        <w:rPr>
          <w:rFonts w:ascii="Times New Roman" w:hAnsi="Times New Roman"/>
          <w:color w:val="000000"/>
          <w:sz w:val="24"/>
          <w:szCs w:val="21"/>
          <w:highlight w:val="none"/>
        </w:rPr>
        <w:t xml:space="preserve">要求和商务</w:t>
      </w:r>
      <w:r>
        <w:rPr>
          <w:rFonts w:ascii="Times New Roman" w:hAnsi="Times New Roman"/>
          <w:color w:val="000000"/>
          <w:sz w:val="24"/>
          <w:szCs w:val="21"/>
          <w:highlight w:val="none"/>
        </w:rPr>
        <w:t xml:space="preserve">要求）</w:t>
      </w:r>
      <w:r>
        <w:rPr>
          <w:rFonts w:ascii="Times New Roman" w:hAnsi="Times New Roman"/>
          <w:color w:val="000000"/>
          <w:sz w:val="24"/>
          <w:szCs w:val="21"/>
          <w:highlight w:val="none"/>
        </w:rPr>
        <w:t xml:space="preserve">中</w:t>
      </w:r>
      <w:r>
        <w:rPr>
          <w:rFonts w:ascii="Times New Roman" w:hAnsi="Times New Roman"/>
          <w:b/>
          <w:bCs/>
          <w:i/>
          <w:color w:val="000000"/>
          <w:sz w:val="24"/>
          <w:szCs w:val="21"/>
          <w:highlight w:val="none"/>
          <w:u w:val="single"/>
        </w:rPr>
        <w:t xml:space="preserve">斜体且有下划线部分</w:t>
      </w:r>
      <w:r>
        <w:rPr>
          <w:rFonts w:ascii="Times New Roman" w:hAnsi="Times New Roman"/>
          <w:b/>
          <w:bCs/>
          <w:color w:val="000000"/>
          <w:sz w:val="24"/>
          <w:szCs w:val="21"/>
          <w:highlight w:val="none"/>
        </w:rPr>
        <w:t xml:space="preserve">或加*号条款</w:t>
      </w:r>
      <w:r>
        <w:rPr>
          <w:rFonts w:ascii="Times New Roman" w:hAnsi="Times New Roman"/>
          <w:color w:val="000000"/>
          <w:sz w:val="24"/>
          <w:szCs w:val="21"/>
          <w:highlight w:val="none"/>
        </w:rPr>
        <w:t xml:space="preserve">的实质性要求</w:t>
      </w:r>
      <w:r>
        <w:rPr>
          <w:rFonts w:ascii="Times New Roman" w:hAnsi="Times New Roman"/>
          <w:color w:val="000000"/>
          <w:sz w:val="24"/>
          <w:szCs w:val="21"/>
          <w:highlight w:val="none"/>
        </w:rPr>
        <w:t xml:space="preserve">逐条</w:t>
      </w:r>
      <w:r>
        <w:rPr>
          <w:rFonts w:ascii="Times New Roman" w:hAnsi="Times New Roman"/>
          <w:color w:val="000000"/>
          <w:sz w:val="24"/>
          <w:szCs w:val="21"/>
          <w:highlight w:val="none"/>
        </w:rPr>
        <w:t xml:space="preserve">做出响应，并按照</w:t>
      </w:r>
      <w:r>
        <w:rPr>
          <w:rFonts w:ascii="Times New Roman" w:hAnsi="Times New Roman"/>
          <w:color w:val="000000"/>
          <w:sz w:val="24"/>
          <w:szCs w:val="21"/>
          <w:highlight w:val="none"/>
        </w:rPr>
        <w:t xml:space="preserve">磋商文件</w:t>
      </w:r>
      <w:r>
        <w:rPr>
          <w:rFonts w:ascii="Times New Roman" w:hAnsi="Times New Roman"/>
          <w:color w:val="000000"/>
          <w:sz w:val="24"/>
          <w:szCs w:val="21"/>
          <w:highlight w:val="none"/>
        </w:rPr>
        <w:t xml:space="preserve">要求提供</w:t>
      </w:r>
      <w:r>
        <w:rPr>
          <w:rFonts w:ascii="Times New Roman" w:hAnsi="Times New Roman"/>
          <w:color w:val="000000"/>
          <w:sz w:val="24"/>
          <w:szCs w:val="21"/>
          <w:highlight w:val="none"/>
        </w:rPr>
        <w:t xml:space="preserve">证明</w:t>
      </w:r>
      <w:r>
        <w:rPr>
          <w:rFonts w:ascii="Times New Roman" w:hAnsi="Times New Roman"/>
          <w:color w:val="000000"/>
          <w:sz w:val="24"/>
          <w:szCs w:val="21"/>
          <w:highlight w:val="none"/>
        </w:rPr>
        <w:t xml:space="preserve">材料</w:t>
      </w:r>
      <w:r>
        <w:rPr>
          <w:rFonts w:ascii="Times New Roman" w:hAnsi="Times New Roman"/>
          <w:color w:val="000000"/>
          <w:sz w:val="24"/>
          <w:szCs w:val="21"/>
          <w:highlight w:val="none"/>
        </w:rPr>
        <w:t xml:space="preserve">，否则做无效响应处理。（格式见</w:t>
      </w:r>
      <w:r>
        <w:rPr>
          <w:rFonts w:ascii="Times New Roman" w:hAnsi="Times New Roman"/>
          <w:color w:val="000000"/>
          <w:sz w:val="24"/>
          <w:szCs w:val="21"/>
          <w:highlight w:val="none"/>
        </w:rPr>
        <w:t xml:space="preserve">附件1</w:t>
      </w:r>
      <w:r>
        <w:rPr>
          <w:rFonts w:ascii="Times New Roman" w:hAnsi="Times New Roman"/>
          <w:color w:val="000000"/>
          <w:sz w:val="24"/>
          <w:szCs w:val="21"/>
          <w:highlight w:val="none"/>
        </w:rPr>
        <w:t xml:space="preserve">0）</w:t>
      </w:r>
      <w:r>
        <w:rPr>
          <w:rFonts w:ascii="Times New Roman" w:hAnsi="Times New Roman"/>
          <w:color w:val="000000"/>
          <w:sz w:val="24"/>
          <w:szCs w:val="21"/>
          <w:highlight w:val="none"/>
        </w:rPr>
      </w:r>
      <w:r/>
    </w:p>
    <w:p>
      <w:pPr>
        <w:pStyle w:val="898"/>
        <w:ind w:firstLine="480"/>
        <w:rPr>
          <w:rFonts w:ascii="Times New Roman" w:hAnsi="Times New Roman"/>
          <w:b/>
          <w:color w:val="000000"/>
          <w:sz w:val="24"/>
          <w:szCs w:val="21"/>
          <w:highlight w:val="none"/>
        </w:rPr>
      </w:pPr>
      <w:r>
        <w:rPr>
          <w:rFonts w:ascii="Times New Roman" w:hAnsi="Times New Roman"/>
          <w:b/>
          <w:color w:val="000000"/>
          <w:sz w:val="24"/>
          <w:szCs w:val="21"/>
          <w:highlight w:val="none"/>
        </w:rPr>
        <w:t xml:space="preserve">四、价格</w:t>
      </w:r>
      <w:r>
        <w:rPr>
          <w:rFonts w:ascii="Times New Roman" w:hAnsi="Times New Roman"/>
          <w:b/>
          <w:color w:val="000000"/>
          <w:sz w:val="24"/>
          <w:szCs w:val="21"/>
          <w:highlight w:val="none"/>
        </w:rPr>
        <w:t xml:space="preserve">扣除证明文件</w:t>
      </w:r>
      <w:r>
        <w:rPr>
          <w:rFonts w:ascii="Times New Roman" w:hAnsi="Times New Roman"/>
          <w:b/>
          <w:color w:val="000000"/>
          <w:sz w:val="24"/>
          <w:szCs w:val="21"/>
          <w:highlight w:val="none"/>
        </w:rPr>
      </w:r>
      <w:r/>
    </w:p>
    <w:p>
      <w:pPr>
        <w:pStyle w:val="898"/>
        <w:ind w:firstLine="480"/>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1.</w:t>
      </w:r>
      <w:r>
        <w:rPr>
          <w:rFonts w:ascii="Times New Roman" w:hAnsi="Times New Roman"/>
          <w:color w:val="000000"/>
          <w:sz w:val="24"/>
          <w:szCs w:val="21"/>
          <w:highlight w:val="none"/>
        </w:rPr>
        <w:t xml:space="preserve">中小微企业声明函（</w:t>
      </w:r>
      <w:r>
        <w:rPr>
          <w:rFonts w:ascii="Times New Roman" w:hAnsi="Times New Roman"/>
          <w:color w:val="000000"/>
          <w:sz w:val="24"/>
          <w:szCs w:val="21"/>
          <w:highlight w:val="none"/>
        </w:rPr>
        <w:t xml:space="preserve">格式</w:t>
      </w:r>
      <w:r>
        <w:rPr>
          <w:rFonts w:ascii="Times New Roman" w:hAnsi="Times New Roman"/>
          <w:color w:val="000000"/>
          <w:sz w:val="24"/>
          <w:szCs w:val="21"/>
          <w:highlight w:val="none"/>
        </w:rPr>
        <w:t xml:space="preserve">见</w:t>
      </w:r>
      <w:r>
        <w:rPr>
          <w:rFonts w:ascii="Times New Roman" w:hAnsi="Times New Roman"/>
          <w:color w:val="000000"/>
          <w:sz w:val="24"/>
          <w:szCs w:val="21"/>
          <w:highlight w:val="none"/>
        </w:rPr>
        <w:t xml:space="preserve">附件8</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r>
      <w:r/>
    </w:p>
    <w:p>
      <w:pPr>
        <w:pStyle w:val="898"/>
        <w:ind w:firstLine="480"/>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残疾人福利性单位声明函（</w:t>
      </w:r>
      <w:r>
        <w:rPr>
          <w:rFonts w:ascii="Times New Roman" w:hAnsi="Times New Roman"/>
          <w:color w:val="000000"/>
          <w:sz w:val="24"/>
          <w:szCs w:val="21"/>
          <w:highlight w:val="none"/>
        </w:rPr>
        <w:t xml:space="preserve">格式</w:t>
      </w:r>
      <w:r>
        <w:rPr>
          <w:rFonts w:ascii="Times New Roman" w:hAnsi="Times New Roman"/>
          <w:color w:val="000000"/>
          <w:sz w:val="24"/>
          <w:szCs w:val="21"/>
          <w:highlight w:val="none"/>
        </w:rPr>
        <w:t xml:space="preserve">见</w:t>
      </w:r>
      <w:r>
        <w:rPr>
          <w:rFonts w:ascii="Times New Roman" w:hAnsi="Times New Roman"/>
          <w:color w:val="000000"/>
          <w:sz w:val="24"/>
          <w:szCs w:val="21"/>
          <w:highlight w:val="none"/>
        </w:rPr>
        <w:t xml:space="preserve">附件9</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r>
      <w:r/>
    </w:p>
    <w:p>
      <w:pPr>
        <w:pStyle w:val="898"/>
        <w:rPr>
          <w:rFonts w:ascii="Times New Roman" w:hAnsi="Times New Roman"/>
          <w:b/>
          <w:color w:val="000000"/>
          <w:sz w:val="24"/>
          <w:szCs w:val="21"/>
          <w:highlight w:val="none"/>
        </w:rPr>
      </w:pPr>
      <w:r>
        <w:rPr>
          <w:rFonts w:ascii="Times New Roman" w:hAnsi="Times New Roman"/>
          <w:b/>
          <w:color w:val="000000"/>
          <w:sz w:val="24"/>
          <w:szCs w:val="21"/>
          <w:highlight w:val="none"/>
        </w:rPr>
      </w:r>
      <w:r/>
    </w:p>
    <w:p>
      <w:pPr>
        <w:pStyle w:val="898"/>
        <w:ind w:left="480"/>
        <w:rPr>
          <w:rFonts w:ascii="Times New Roman" w:hAnsi="Times New Roman"/>
          <w:b/>
          <w:color w:val="000000"/>
          <w:sz w:val="24"/>
          <w:szCs w:val="21"/>
          <w:highlight w:val="none"/>
        </w:rPr>
      </w:pPr>
      <w:r>
        <w:rPr>
          <w:rFonts w:ascii="Times New Roman" w:hAnsi="Times New Roman"/>
          <w:b/>
          <w:color w:val="000000"/>
          <w:sz w:val="24"/>
          <w:szCs w:val="21"/>
          <w:highlight w:val="none"/>
        </w:rPr>
      </w:r>
      <w:r/>
    </w:p>
    <w:p>
      <w:pPr>
        <w:pStyle w:val="898"/>
        <w:ind w:left="480"/>
        <w:rPr>
          <w:rFonts w:ascii="Times New Roman" w:hAnsi="Times New Roman"/>
          <w:b/>
          <w:color w:val="000000"/>
          <w:sz w:val="24"/>
          <w:szCs w:val="21"/>
          <w:highlight w:val="none"/>
        </w:rPr>
      </w:pPr>
      <w:r>
        <w:rPr>
          <w:rFonts w:ascii="Times New Roman" w:hAnsi="Times New Roman"/>
          <w:b/>
          <w:color w:val="000000"/>
          <w:sz w:val="24"/>
          <w:szCs w:val="21"/>
          <w:highlight w:val="none"/>
        </w:rPr>
        <w:t xml:space="preserve">附件1 分项报价表</w:t>
      </w:r>
      <w:r>
        <w:rPr>
          <w:rFonts w:ascii="Times New Roman" w:hAnsi="Times New Roman"/>
          <w:b/>
          <w:color w:val="000000"/>
          <w:sz w:val="24"/>
          <w:szCs w:val="24"/>
          <w:highlight w:val="none"/>
        </w:rPr>
        <w:t xml:space="preserve">（采购包号：**）</w:t>
      </w:r>
      <w:r>
        <w:rPr>
          <w:rFonts w:ascii="Times New Roman" w:hAnsi="Times New Roman"/>
          <w:b/>
          <w:color w:val="000000"/>
          <w:sz w:val="24"/>
          <w:szCs w:val="21"/>
          <w:highlight w:val="none"/>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694"/>
        <w:gridCol w:w="1596"/>
        <w:gridCol w:w="811"/>
        <w:gridCol w:w="1372"/>
        <w:gridCol w:w="1358"/>
      </w:tblGrid>
      <w:tr>
        <w:trPr>
          <w:cantSplit/>
          <w:trHeight w:val="544"/>
        </w:trPr>
        <w:tc>
          <w:tcPr>
            <w:tcW w:w="948" w:type="dxa"/>
            <w:vAlign w:val="center"/>
            <w:vMerge w:val="restart"/>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序号</w:t>
            </w:r>
            <w:r>
              <w:rPr>
                <w:rFonts w:ascii="Times New Roman" w:hAnsi="Times New Roman"/>
                <w:color w:val="000000"/>
                <w:sz w:val="24"/>
                <w:szCs w:val="24"/>
                <w:highlight w:val="none"/>
              </w:rPr>
            </w:r>
            <w:r/>
          </w:p>
        </w:tc>
        <w:tc>
          <w:tcPr>
            <w:tcW w:w="1274"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694"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596"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811"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372"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358"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r>
      <w:tr>
        <w:trPr>
          <w:cantSplit/>
          <w:trHeight w:val="294"/>
        </w:trPr>
        <w:tc>
          <w:tcPr>
            <w:tcW w:w="948" w:type="dxa"/>
            <w:vAlign w:val="center"/>
            <w:vMerge w:val="continue"/>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274"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分项服务名称</w:t>
            </w:r>
            <w:r>
              <w:rPr>
                <w:rFonts w:ascii="Times New Roman" w:hAnsi="Times New Roman"/>
                <w:color w:val="000000"/>
                <w:sz w:val="24"/>
                <w:szCs w:val="24"/>
                <w:highlight w:val="none"/>
              </w:rPr>
            </w:r>
            <w:r/>
          </w:p>
        </w:tc>
        <w:tc>
          <w:tcPr>
            <w:tcW w:w="1694"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分项单位</w:t>
            </w:r>
            <w:r>
              <w:rPr>
                <w:rFonts w:ascii="Times New Roman" w:hAnsi="Times New Roman"/>
                <w:color w:val="000000"/>
                <w:sz w:val="24"/>
                <w:szCs w:val="24"/>
                <w:highlight w:val="none"/>
              </w:rPr>
            </w:r>
            <w:r/>
          </w:p>
        </w:tc>
        <w:tc>
          <w:tcPr>
            <w:tcW w:w="1596"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交付期/服务期</w:t>
            </w:r>
            <w:r>
              <w:rPr>
                <w:rFonts w:ascii="Times New Roman" w:hAnsi="Times New Roman"/>
                <w:color w:val="000000"/>
                <w:sz w:val="24"/>
                <w:szCs w:val="24"/>
                <w:highlight w:val="none"/>
              </w:rPr>
            </w:r>
            <w:r/>
          </w:p>
        </w:tc>
        <w:tc>
          <w:tcPr>
            <w:tcW w:w="811"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数量</w:t>
            </w:r>
            <w:r>
              <w:rPr>
                <w:rFonts w:ascii="Times New Roman" w:hAnsi="Times New Roman"/>
                <w:color w:val="000000"/>
                <w:sz w:val="24"/>
                <w:szCs w:val="24"/>
                <w:highlight w:val="none"/>
              </w:rPr>
            </w:r>
            <w:r/>
          </w:p>
        </w:tc>
        <w:tc>
          <w:tcPr>
            <w:tcW w:w="1372"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分项</w:t>
            </w:r>
            <w:r>
              <w:rPr>
                <w:rFonts w:ascii="Times New Roman" w:hAnsi="Times New Roman"/>
                <w:color w:val="000000"/>
                <w:sz w:val="24"/>
                <w:szCs w:val="24"/>
                <w:highlight w:val="none"/>
              </w:rPr>
            </w:r>
            <w:r/>
          </w:p>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单价</w:t>
            </w:r>
            <w:r>
              <w:rPr>
                <w:rFonts w:ascii="Times New Roman" w:hAnsi="Times New Roman"/>
                <w:color w:val="000000"/>
                <w:sz w:val="24"/>
                <w:szCs w:val="24"/>
                <w:highlight w:val="none"/>
              </w:rPr>
            </w:r>
            <w:r/>
          </w:p>
        </w:tc>
        <w:tc>
          <w:tcPr>
            <w:tcW w:w="1358"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分项</w:t>
            </w:r>
            <w:r>
              <w:rPr>
                <w:rFonts w:ascii="Times New Roman" w:hAnsi="Times New Roman"/>
                <w:color w:val="000000"/>
                <w:sz w:val="24"/>
                <w:szCs w:val="24"/>
                <w:highlight w:val="none"/>
              </w:rPr>
            </w:r>
            <w:r/>
          </w:p>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总价</w:t>
            </w:r>
            <w:r>
              <w:rPr>
                <w:rFonts w:ascii="Times New Roman" w:hAnsi="Times New Roman"/>
                <w:color w:val="000000"/>
                <w:sz w:val="24"/>
                <w:szCs w:val="24"/>
                <w:highlight w:val="none"/>
              </w:rPr>
            </w:r>
            <w:r/>
          </w:p>
        </w:tc>
      </w:tr>
      <w:tr>
        <w:trPr>
          <w:cantSplit/>
          <w:trHeight w:val="654"/>
        </w:trPr>
        <w:tc>
          <w:tcPr>
            <w:tcW w:w="948"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274"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694"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596" w:type="dxa"/>
            <w:vAlign w:val="center"/>
            <w:textDirection w:val="lrTb"/>
            <w:noWrap w:val="false"/>
          </w:tcPr>
          <w:p>
            <w:pPr>
              <w:pStyle w:val="898"/>
              <w:jc w:val="center"/>
              <w:spacing w:line="0" w:lineRule="atLeast"/>
              <w:rPr>
                <w:rFonts w:ascii="Times New Roman" w:hAnsi="Times New Roman"/>
                <w:color w:val="000000"/>
                <w:sz w:val="18"/>
                <w:szCs w:val="18"/>
                <w:highlight w:val="none"/>
              </w:rPr>
            </w:pPr>
            <w:r>
              <w:rPr>
                <w:rFonts w:ascii="Times New Roman" w:hAnsi="Times New Roman"/>
                <w:color w:val="000000"/>
                <w:sz w:val="18"/>
                <w:szCs w:val="18"/>
                <w:highlight w:val="none"/>
              </w:rPr>
              <w:t xml:space="preserve">合同签</w:t>
            </w:r>
            <w:r>
              <w:rPr>
                <w:rFonts w:ascii="Times New Roman" w:hAnsi="Times New Roman"/>
                <w:color w:val="000000"/>
                <w:sz w:val="18"/>
                <w:szCs w:val="18"/>
                <w:highlight w:val="none"/>
              </w:rPr>
            </w:r>
            <w:r/>
          </w:p>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18"/>
                <w:szCs w:val="18"/>
                <w:highlight w:val="none"/>
              </w:rPr>
              <w:t xml:space="preserve">订后</w:t>
            </w:r>
            <w:r>
              <w:rPr>
                <w:rFonts w:ascii="Times New Roman" w:hAnsi="Times New Roman"/>
                <w:color w:val="000000"/>
                <w:sz w:val="18"/>
                <w:szCs w:val="18"/>
                <w:highlight w:val="none"/>
                <w:u w:val="single"/>
              </w:rPr>
              <w:t xml:space="preserve">  </w:t>
            </w:r>
            <w:r>
              <w:rPr>
                <w:rFonts w:ascii="Times New Roman" w:hAnsi="Times New Roman"/>
                <w:color w:val="000000"/>
                <w:sz w:val="18"/>
                <w:szCs w:val="18"/>
                <w:highlight w:val="none"/>
              </w:rPr>
              <w:t xml:space="preserve">日</w:t>
            </w:r>
            <w:r>
              <w:rPr>
                <w:rFonts w:ascii="Times New Roman" w:hAnsi="Times New Roman"/>
                <w:color w:val="000000"/>
                <w:sz w:val="24"/>
                <w:szCs w:val="24"/>
                <w:highlight w:val="none"/>
              </w:rPr>
            </w:r>
            <w:r/>
          </w:p>
        </w:tc>
        <w:tc>
          <w:tcPr>
            <w:tcW w:w="811"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372"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358"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654"/>
        </w:trPr>
        <w:tc>
          <w:tcPr>
            <w:tcW w:w="948"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274"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694"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596"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811"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372"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358"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654"/>
        </w:trPr>
        <w:tc>
          <w:tcPr>
            <w:tcW w:w="948"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274"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694"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596"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811"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372"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358"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654"/>
        </w:trPr>
        <w:tc>
          <w:tcPr>
            <w:tcW w:w="948"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tc>
        <w:tc>
          <w:tcPr>
            <w:tcW w:w="1274"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tc>
        <w:tc>
          <w:tcPr>
            <w:tcW w:w="1694"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596"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811"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372"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358"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87"/>
        </w:trPr>
        <w:tc>
          <w:tcPr>
            <w:gridSpan w:val="6"/>
            <w:tcW w:w="7695" w:type="dxa"/>
            <w:vAlign w:val="center"/>
            <w:textDirection w:val="lrTb"/>
            <w:noWrap w:val="false"/>
          </w:tcPr>
          <w:p>
            <w:pPr>
              <w:pStyle w:val="898"/>
              <w:jc w:val="center"/>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t xml:space="preserve">总报价（人民币：元）</w:t>
            </w:r>
            <w:r>
              <w:rPr>
                <w:rFonts w:ascii="Times New Roman" w:hAnsi="Times New Roman"/>
                <w:color w:val="000000"/>
                <w:sz w:val="24"/>
                <w:szCs w:val="24"/>
                <w:highlight w:val="none"/>
              </w:rPr>
            </w:r>
            <w:r/>
          </w:p>
        </w:tc>
        <w:tc>
          <w:tcPr>
            <w:tcW w:w="1358" w:type="dxa"/>
            <w:vAlign w:val="top"/>
            <w:textDirection w:val="lrTb"/>
            <w:noWrap w:val="false"/>
          </w:tcPr>
          <w:p>
            <w:pPr>
              <w:pStyle w:val="898"/>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pStyle w:val="898"/>
        <w:rPr>
          <w:rFonts w:ascii="Times New Roman" w:hAnsi="Times New Roman"/>
          <w:color w:val="000000"/>
          <w:sz w:val="24"/>
          <w:szCs w:val="24"/>
          <w:highlight w:val="none"/>
        </w:rPr>
      </w:pPr>
      <w:r>
        <w:rPr>
          <w:rFonts w:ascii="Times New Roman" w:hAnsi="Times New Roman"/>
          <w:color w:val="000000"/>
          <w:sz w:val="24"/>
          <w:szCs w:val="24"/>
          <w:highlight w:val="none"/>
        </w:rPr>
        <w:t xml:space="preserve">备注： </w:t>
      </w:r>
      <w:r>
        <w:rPr>
          <w:rFonts w:ascii="Times New Roman" w:hAnsi="Times New Roman"/>
          <w:color w:val="000000"/>
          <w:sz w:val="24"/>
          <w:szCs w:val="24"/>
          <w:highlight w:val="none"/>
        </w:rPr>
      </w:r>
      <w:r/>
    </w:p>
    <w:p>
      <w:pPr>
        <w:pStyle w:val="898"/>
        <w:numPr>
          <w:ilvl w:val="0"/>
          <w:numId w:val="0"/>
        </w:numPr>
        <w:spacing w:line="0" w:lineRule="atLeast"/>
        <w:rPr>
          <w:rFonts w:ascii="Times New Roman" w:hAnsi="Times New Roman"/>
          <w:color w:val="000000"/>
          <w:sz w:val="24"/>
          <w:szCs w:val="24"/>
          <w:highlight w:val="none"/>
        </w:rPr>
      </w:pPr>
      <w:r>
        <w:rPr>
          <w:rFonts w:ascii="Times New Roman" w:hAnsi="Times New Roman"/>
          <w:color w:val="000000"/>
          <w:sz w:val="24"/>
          <w:szCs w:val="24"/>
          <w:lang w:val="en-US" w:eastAsia="zh-CN" w:bidi="ar-SA"/>
        </w:rPr>
        <w:t xml:space="preserve">1.</w:t>
      </w:r>
      <w:r>
        <w:rPr>
          <w:rFonts w:ascii="Times New Roman" w:hAnsi="Times New Roman"/>
          <w:color w:val="000000"/>
          <w:sz w:val="24"/>
          <w:szCs w:val="24"/>
          <w:highlight w:val="none"/>
        </w:rPr>
        <w:t xml:space="preserve">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ascii="Times New Roman" w:hAnsi="Times New Roman"/>
          <w:color w:val="000000"/>
          <w:sz w:val="24"/>
          <w:szCs w:val="24"/>
          <w:highlight w:val="none"/>
        </w:rPr>
      </w:r>
      <w:r/>
    </w:p>
    <w:p>
      <w:pPr>
        <w:pStyle w:val="960"/>
        <w:spacing w:before="0" w:beforeAutospacing="0" w:after="0" w:afterAutospacing="0" w:line="460" w:lineRule="exact"/>
        <w:shd w:val="clear" w:color="auto" w:fill="ffffff"/>
        <w:rPr>
          <w:rFonts w:ascii="Times New Roman" w:hAnsi="Times New Roman"/>
          <w:b/>
          <w:bCs/>
          <w:color w:val="000000"/>
          <w:sz w:val="24"/>
          <w:szCs w:val="24"/>
          <w:highlight w:val="none"/>
        </w:rPr>
      </w:pPr>
      <w:r>
        <w:rPr>
          <w:rFonts w:hint="eastAsia" w:ascii="Times New Roman" w:hAnsi="Times New Roman" w:cs="Times New Roman"/>
          <w:b/>
          <w:bCs/>
          <w:color w:val="000000"/>
          <w:sz w:val="24"/>
          <w:szCs w:val="24"/>
          <w:highlight w:val="none"/>
          <w:lang w:val="en-US" w:eastAsia="zh-CN"/>
        </w:rPr>
        <w:t xml:space="preserve">2.本项目各分项服务的预算见“三、商务要求（二）报价要求及付款方式 1.报价要求（1）”</w:t>
      </w:r>
      <w:r>
        <w:rPr>
          <w:rFonts w:ascii="Times New Roman" w:hAnsi="Times New Roman"/>
          <w:b/>
          <w:bCs/>
          <w:color w:val="000000"/>
          <w:sz w:val="24"/>
          <w:szCs w:val="24"/>
          <w:highlight w:val="none"/>
        </w:rPr>
      </w:r>
      <w:r/>
    </w:p>
    <w:p>
      <w:pPr>
        <w:pStyle w:val="898"/>
        <w:spacing w:line="400" w:lineRule="exact"/>
        <w:rPr>
          <w:rFonts w:ascii="Times New Roman" w:hAnsi="Times New Roman"/>
          <w:color w:val="000000"/>
          <w:sz w:val="24"/>
          <w:szCs w:val="21"/>
          <w:highlight w:val="none"/>
        </w:rPr>
      </w:pP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rPr>
        <w:t xml:space="preserve">.</w:t>
      </w:r>
      <w:r>
        <w:rPr>
          <w:rFonts w:ascii="Times New Roman" w:hAnsi="Times New Roman"/>
          <w:color w:val="000000"/>
          <w:sz w:val="24"/>
          <w:szCs w:val="21"/>
          <w:highlight w:val="none"/>
        </w:rPr>
        <w:t xml:space="preserve">项目</w:t>
      </w:r>
      <w:r>
        <w:rPr>
          <w:rFonts w:ascii="Times New Roman" w:hAnsi="Times New Roman"/>
          <w:color w:val="000000"/>
          <w:sz w:val="24"/>
          <w:szCs w:val="21"/>
          <w:highlight w:val="none"/>
        </w:rPr>
        <w:t xml:space="preserve">经办人可以根据</w:t>
      </w:r>
      <w:r>
        <w:rPr>
          <w:rFonts w:ascii="Times New Roman" w:hAnsi="Times New Roman"/>
          <w:color w:val="000000"/>
          <w:sz w:val="24"/>
          <w:szCs w:val="21"/>
          <w:highlight w:val="none"/>
        </w:rPr>
        <w:t xml:space="preserve">项目</w:t>
      </w:r>
      <w:r>
        <w:rPr>
          <w:rFonts w:ascii="Times New Roman" w:hAnsi="Times New Roman"/>
          <w:color w:val="000000"/>
          <w:sz w:val="24"/>
          <w:szCs w:val="21"/>
          <w:highlight w:val="none"/>
        </w:rPr>
        <w:t xml:space="preserve">实际需要</w:t>
      </w:r>
      <w:r>
        <w:rPr>
          <w:rFonts w:ascii="Times New Roman" w:hAnsi="Times New Roman"/>
          <w:color w:val="000000"/>
          <w:sz w:val="24"/>
          <w:szCs w:val="21"/>
          <w:highlight w:val="none"/>
        </w:rPr>
        <w:t xml:space="preserve">对</w:t>
      </w:r>
      <w:r>
        <w:rPr>
          <w:rFonts w:ascii="Times New Roman" w:hAnsi="Times New Roman"/>
          <w:color w:val="000000"/>
          <w:sz w:val="24"/>
          <w:szCs w:val="21"/>
          <w:highlight w:val="none"/>
        </w:rPr>
        <w:t xml:space="preserve">表格结构进行</w:t>
      </w:r>
      <w:r>
        <w:rPr>
          <w:rFonts w:ascii="Times New Roman" w:hAnsi="Times New Roman"/>
          <w:color w:val="000000"/>
          <w:sz w:val="24"/>
          <w:szCs w:val="21"/>
          <w:highlight w:val="none"/>
        </w:rPr>
        <w:t xml:space="preserve">调整</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r>
      <w:r/>
    </w:p>
    <w:p>
      <w:pPr>
        <w:pStyle w:val="898"/>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898"/>
        <w:jc w:val="center"/>
        <w:rPr>
          <w:rFonts w:ascii="Times New Roman" w:hAnsi="Times New Roman" w:eastAsia="方正魏碑_GBK" w:cs="Times New Roman"/>
          <w:b/>
          <w:color w:val="000000"/>
          <w:sz w:val="24"/>
          <w:szCs w:val="24"/>
          <w:highlight w:val="none"/>
        </w:rPr>
      </w:pPr>
      <w:r>
        <w:rPr>
          <w:rFonts w:ascii="Times New Roman" w:hAnsi="Times New Roman" w:eastAsia="方正魏碑_GBK" w:cs="Times New Roman"/>
          <w:b/>
          <w:color w:val="000000"/>
          <w:sz w:val="24"/>
          <w:szCs w:val="24"/>
          <w:highlight w:val="none"/>
        </w:rPr>
        <w:t xml:space="preserve">人员工资、社会保险和公积金三项费用报价表（采购包号：**）</w:t>
      </w:r>
      <w:r>
        <w:rPr>
          <w:rFonts w:ascii="Times New Roman" w:hAnsi="Times New Roman" w:eastAsia="方正魏碑_GBK" w:cs="Times New Roman"/>
          <w:b/>
          <w:color w:val="000000"/>
          <w:sz w:val="24"/>
          <w:szCs w:val="24"/>
          <w:highlight w:val="none"/>
        </w:rPr>
      </w:r>
      <w:r/>
    </w:p>
    <w:tbl>
      <w:tblPr>
        <w:tblW w:w="488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1"/>
        <w:gridCol w:w="1413"/>
        <w:gridCol w:w="672"/>
        <w:gridCol w:w="897"/>
        <w:gridCol w:w="1043"/>
        <w:gridCol w:w="1055"/>
        <w:gridCol w:w="2682"/>
      </w:tblGrid>
      <w:tr>
        <w:trPr>
          <w:trHeight w:val="369"/>
        </w:trPr>
        <w:tc>
          <w:tcPr>
            <w:tcW w:w="343"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序号</w:t>
            </w:r>
            <w:r>
              <w:rPr>
                <w:rFonts w:ascii="Times New Roman" w:hAnsi="Times New Roman" w:eastAsia="方正魏碑_GBK" w:cs="Times New Roman"/>
                <w:b/>
                <w:bCs/>
                <w:color w:val="000000"/>
                <w:sz w:val="18"/>
                <w:szCs w:val="18"/>
                <w:highlight w:val="none"/>
              </w:rPr>
            </w:r>
            <w:r/>
          </w:p>
        </w:tc>
        <w:tc>
          <w:tcPr>
            <w:tcW w:w="848"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分项名称</w:t>
            </w:r>
            <w:r>
              <w:rPr>
                <w:rFonts w:ascii="Times New Roman" w:hAnsi="Times New Roman" w:eastAsia="方正魏碑_GBK" w:cs="Times New Roman"/>
                <w:b/>
                <w:bCs/>
                <w:color w:val="000000"/>
                <w:sz w:val="18"/>
                <w:szCs w:val="18"/>
                <w:highlight w:val="none"/>
              </w:rPr>
            </w:r>
            <w:r/>
          </w:p>
        </w:tc>
        <w:tc>
          <w:tcPr>
            <w:tcW w:w="403"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数量</w:t>
            </w:r>
            <w:r>
              <w:rPr>
                <w:rFonts w:ascii="Times New Roman" w:hAnsi="Times New Roman" w:eastAsia="方正魏碑_GBK" w:cs="Times New Roman"/>
                <w:b/>
                <w:bCs/>
                <w:color w:val="000000"/>
                <w:sz w:val="18"/>
                <w:szCs w:val="18"/>
                <w:highlight w:val="none"/>
              </w:rPr>
            </w:r>
            <w:r/>
          </w:p>
        </w:tc>
        <w:tc>
          <w:tcPr>
            <w:tcW w:w="538"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分项</w:t>
            </w:r>
            <w:r>
              <w:rPr>
                <w:rFonts w:ascii="Times New Roman" w:hAnsi="Times New Roman" w:eastAsia="方正魏碑_GBK" w:cs="Times New Roman"/>
                <w:b/>
                <w:bCs/>
                <w:color w:val="000000"/>
                <w:sz w:val="18"/>
                <w:szCs w:val="18"/>
                <w:highlight w:val="none"/>
              </w:rPr>
            </w:r>
            <w:r/>
          </w:p>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单价</w:t>
            </w:r>
            <w:r>
              <w:rPr>
                <w:rFonts w:ascii="Times New Roman" w:hAnsi="Times New Roman" w:eastAsia="方正魏碑_GBK" w:cs="Times New Roman"/>
                <w:b/>
                <w:bCs/>
                <w:color w:val="000000"/>
                <w:sz w:val="18"/>
                <w:szCs w:val="18"/>
                <w:highlight w:val="none"/>
              </w:rPr>
            </w:r>
            <w:r/>
          </w:p>
        </w:tc>
        <w:tc>
          <w:tcPr>
            <w:tcW w:w="626"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期 限</w:t>
            </w:r>
            <w:r>
              <w:rPr>
                <w:rFonts w:ascii="Times New Roman" w:hAnsi="Times New Roman" w:eastAsia="方正魏碑_GBK" w:cs="Times New Roman"/>
                <w:b/>
                <w:bCs/>
                <w:color w:val="000000"/>
                <w:sz w:val="18"/>
                <w:szCs w:val="18"/>
                <w:highlight w:val="none"/>
              </w:rPr>
            </w:r>
            <w:r/>
          </w:p>
        </w:tc>
        <w:tc>
          <w:tcPr>
            <w:tcW w:w="633"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分项</w:t>
            </w:r>
            <w:r>
              <w:rPr>
                <w:rFonts w:ascii="Times New Roman" w:hAnsi="Times New Roman" w:eastAsia="方正魏碑_GBK" w:cs="Times New Roman"/>
                <w:b/>
                <w:bCs/>
                <w:color w:val="000000"/>
                <w:sz w:val="18"/>
                <w:szCs w:val="18"/>
                <w:highlight w:val="none"/>
              </w:rPr>
            </w:r>
            <w:r/>
          </w:p>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总价1</w:t>
            </w:r>
            <w:r>
              <w:rPr>
                <w:rFonts w:ascii="Times New Roman" w:hAnsi="Times New Roman" w:eastAsia="方正魏碑_GBK" w:cs="Times New Roman"/>
                <w:b/>
                <w:bCs/>
                <w:color w:val="000000"/>
                <w:sz w:val="18"/>
                <w:szCs w:val="18"/>
                <w:highlight w:val="none"/>
              </w:rPr>
            </w:r>
            <w:r/>
          </w:p>
        </w:tc>
        <w:tc>
          <w:tcPr>
            <w:tcW w:w="1605" w:type="dxa"/>
            <w:vAlign w:val="center"/>
            <w:vMerge w:val="restart"/>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要求说明</w:t>
            </w:r>
            <w:r>
              <w:rPr>
                <w:rFonts w:ascii="Times New Roman" w:hAnsi="Times New Roman" w:eastAsia="方正魏碑_GBK" w:cs="Times New Roman"/>
                <w:b/>
                <w:bCs/>
                <w:color w:val="000000"/>
                <w:sz w:val="18"/>
                <w:szCs w:val="18"/>
                <w:highlight w:val="none"/>
              </w:rPr>
            </w:r>
            <w:r/>
          </w:p>
        </w:tc>
      </w:tr>
      <w:tr>
        <w:trPr>
          <w:trHeight w:val="369"/>
        </w:trPr>
        <w:tc>
          <w:tcPr>
            <w:tcW w:w="343"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1</w:t>
            </w:r>
            <w:r>
              <w:rPr>
                <w:rFonts w:ascii="Times New Roman" w:hAnsi="Times New Roman" w:eastAsia="方正魏碑_GBK" w:cs="Times New Roman"/>
                <w:b/>
                <w:bCs/>
                <w:color w:val="000000"/>
                <w:sz w:val="18"/>
                <w:szCs w:val="18"/>
                <w:highlight w:val="none"/>
              </w:rPr>
            </w:r>
            <w:r/>
          </w:p>
        </w:tc>
        <w:tc>
          <w:tcPr>
            <w:tcW w:w="848"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人员工资</w:t>
            </w:r>
            <w:r>
              <w:rPr>
                <w:rFonts w:ascii="Times New Roman" w:hAnsi="Times New Roman" w:eastAsia="方正魏碑_GBK" w:cs="Times New Roman"/>
                <w:b/>
                <w:bCs/>
                <w:color w:val="000000"/>
                <w:sz w:val="18"/>
                <w:szCs w:val="18"/>
                <w:highlight w:val="none"/>
              </w:rPr>
            </w:r>
            <w:r/>
          </w:p>
        </w:tc>
        <w:tc>
          <w:tcPr>
            <w:tcW w:w="403"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人数</w:t>
            </w:r>
            <w:r>
              <w:rPr>
                <w:rFonts w:ascii="Times New Roman" w:hAnsi="Times New Roman" w:eastAsia="方正魏碑_GBK" w:cs="Times New Roman"/>
                <w:b/>
                <w:bCs/>
                <w:color w:val="000000"/>
                <w:sz w:val="18"/>
                <w:szCs w:val="18"/>
                <w:highlight w:val="none"/>
              </w:rPr>
            </w:r>
            <w:r/>
          </w:p>
        </w:tc>
        <w:tc>
          <w:tcPr>
            <w:tcW w:w="538"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元/月·人</w:t>
            </w:r>
            <w:r>
              <w:rPr>
                <w:rFonts w:ascii="Times New Roman" w:hAnsi="Times New Roman" w:eastAsia="方正魏碑_GBK" w:cs="Times New Roman"/>
                <w:b/>
                <w:bCs/>
                <w:color w:val="000000"/>
                <w:sz w:val="18"/>
                <w:szCs w:val="18"/>
                <w:highlight w:val="none"/>
              </w:rPr>
            </w:r>
            <w:r/>
          </w:p>
        </w:tc>
        <w:tc>
          <w:tcPr>
            <w:tcW w:w="626"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月</w:t>
            </w:r>
            <w:r>
              <w:rPr>
                <w:rFonts w:ascii="Times New Roman" w:hAnsi="Times New Roman" w:eastAsia="方正魏碑_GBK" w:cs="Times New Roman"/>
                <w:b/>
                <w:bCs/>
                <w:color w:val="000000"/>
                <w:sz w:val="18"/>
                <w:szCs w:val="18"/>
                <w:highlight w:val="none"/>
              </w:rPr>
            </w:r>
            <w:r/>
          </w:p>
        </w:tc>
        <w:tc>
          <w:tcPr>
            <w:tcW w:w="633"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元</w:t>
            </w:r>
            <w:r>
              <w:rPr>
                <w:rFonts w:ascii="Times New Roman" w:hAnsi="Times New Roman" w:eastAsia="方正魏碑_GBK" w:cs="Times New Roman"/>
                <w:b/>
                <w:bCs/>
                <w:color w:val="000000"/>
                <w:sz w:val="18"/>
                <w:szCs w:val="18"/>
                <w:highlight w:val="none"/>
              </w:rPr>
            </w:r>
            <w:r/>
          </w:p>
        </w:tc>
        <w:tc>
          <w:tcPr>
            <w:tcW w:w="1605" w:type="dxa"/>
            <w:vAlign w:val="center"/>
            <w:vMerge w:val="continue"/>
            <w:textDirection w:val="lrTb"/>
            <w:noWrap w:val="false"/>
          </w:tcPr>
          <w:p>
            <w:pPr>
              <w:pStyle w:val="898"/>
              <w:jc w:val="left"/>
              <w:widowControl/>
              <w:rPr>
                <w:rFonts w:ascii="Times New Roman" w:hAnsi="Times New Roman" w:eastAsia="方正魏碑_GBK" w:cs="Times New Roman"/>
                <w:color w:val="000000"/>
                <w:highlight w:val="none"/>
              </w:rPr>
            </w:pPr>
            <w:r>
              <w:rPr>
                <w:rFonts w:ascii="Times New Roman" w:hAnsi="Times New Roman" w:eastAsia="方正魏碑_GBK" w:cs="Times New Roman"/>
                <w:color w:val="000000"/>
                <w:highlight w:val="none"/>
              </w:rPr>
            </w:r>
            <w:r/>
          </w:p>
        </w:tc>
      </w:tr>
      <w:tr>
        <w:trPr>
          <w:trHeight w:val="369"/>
        </w:trPr>
        <w:tc>
          <w:tcPr>
            <w:tcW w:w="343"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t xml:space="preserve">1.1</w:t>
            </w:r>
            <w:r>
              <w:rPr>
                <w:rFonts w:ascii="Times New Roman" w:hAnsi="Times New Roman" w:eastAsia="方正魏碑_GBK" w:cs="Times New Roman"/>
                <w:color w:val="000000"/>
                <w:sz w:val="18"/>
                <w:szCs w:val="18"/>
                <w:highlight w:val="none"/>
              </w:rPr>
            </w:r>
            <w:r/>
          </w:p>
        </w:tc>
        <w:tc>
          <w:tcPr>
            <w:tcW w:w="848"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t xml:space="preserve">岗位1（如：保洁员1）</w:t>
            </w:r>
            <w:r>
              <w:rPr>
                <w:rFonts w:ascii="Times New Roman" w:hAnsi="Times New Roman" w:eastAsia="方正魏碑_GBK" w:cs="Times New Roman"/>
                <w:color w:val="000000"/>
                <w:sz w:val="18"/>
                <w:szCs w:val="18"/>
                <w:highlight w:val="none"/>
              </w:rPr>
            </w:r>
            <w:r/>
          </w:p>
        </w:tc>
        <w:tc>
          <w:tcPr>
            <w:tcW w:w="403" w:type="dxa"/>
            <w:vAlign w:val="center"/>
            <w:textDirection w:val="lrTb"/>
            <w:noWrap w:val="false"/>
          </w:tcPr>
          <w:p>
            <w:pPr>
              <w:pStyle w:val="898"/>
              <w:jc w:val="center"/>
              <w:rPr>
                <w:rFonts w:ascii="Times New Roman" w:hAnsi="Times New Roman" w:eastAsia="方正魏碑_GBK" w:cs="Times New Roman"/>
                <w:bCs/>
                <w:color w:val="000000"/>
                <w:sz w:val="18"/>
                <w:szCs w:val="18"/>
                <w:highlight w:val="none"/>
              </w:rPr>
            </w:pPr>
            <w:r>
              <w:rPr>
                <w:rFonts w:ascii="Times New Roman" w:hAnsi="Times New Roman" w:eastAsia="方正魏碑_GBK" w:cs="Times New Roman"/>
                <w:bCs/>
                <w:color w:val="000000"/>
                <w:sz w:val="18"/>
                <w:szCs w:val="18"/>
                <w:highlight w:val="none"/>
              </w:rPr>
            </w:r>
            <w:r/>
          </w:p>
        </w:tc>
        <w:tc>
          <w:tcPr>
            <w:tcW w:w="538" w:type="dxa"/>
            <w:vAlign w:val="center"/>
            <w:textDirection w:val="lrTb"/>
            <w:noWrap w:val="false"/>
          </w:tcPr>
          <w:p>
            <w:pPr>
              <w:pStyle w:val="898"/>
              <w:jc w:val="center"/>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r>
            <w:r/>
          </w:p>
        </w:tc>
        <w:tc>
          <w:tcPr>
            <w:tcW w:w="626" w:type="dxa"/>
            <w:vAlign w:val="top"/>
            <w:textDirection w:val="lrTb"/>
            <w:noWrap w:val="false"/>
          </w:tcPr>
          <w:p>
            <w:pPr>
              <w:pStyle w:val="898"/>
              <w:jc w:val="center"/>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r>
            <w:r/>
          </w:p>
        </w:tc>
        <w:tc>
          <w:tcPr>
            <w:tcW w:w="633" w:type="dxa"/>
            <w:vAlign w:val="center"/>
            <w:textDirection w:val="lrTb"/>
            <w:noWrap w:val="false"/>
          </w:tcPr>
          <w:p>
            <w:pPr>
              <w:pStyle w:val="898"/>
              <w:jc w:val="center"/>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r>
            <w:r/>
          </w:p>
        </w:tc>
        <w:tc>
          <w:tcPr>
            <w:tcW w:w="1605" w:type="dxa"/>
            <w:vAlign w:val="center"/>
            <w:textDirection w:val="lrTb"/>
            <w:noWrap w:val="false"/>
          </w:tcPr>
          <w:p>
            <w:pPr>
              <w:pStyle w:val="898"/>
              <w:jc w:val="left"/>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r>
      <w:tr>
        <w:trPr>
          <w:trHeight w:val="369"/>
        </w:trPr>
        <w:tc>
          <w:tcPr>
            <w:tcW w:w="343"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t xml:space="preserve">1.2</w:t>
            </w:r>
            <w:r>
              <w:rPr>
                <w:rFonts w:ascii="Times New Roman" w:hAnsi="Times New Roman" w:eastAsia="方正魏碑_GBK" w:cs="Times New Roman"/>
                <w:color w:val="000000"/>
                <w:sz w:val="18"/>
                <w:szCs w:val="18"/>
                <w:highlight w:val="none"/>
              </w:rPr>
            </w:r>
            <w:r/>
          </w:p>
        </w:tc>
        <w:tc>
          <w:tcPr>
            <w:tcW w:w="848"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t xml:space="preserve">岗位2（如：保洁员2）</w:t>
            </w:r>
            <w:r>
              <w:rPr>
                <w:rFonts w:ascii="Times New Roman" w:hAnsi="Times New Roman" w:eastAsia="方正魏碑_GBK" w:cs="Times New Roman"/>
                <w:color w:val="000000"/>
                <w:sz w:val="18"/>
                <w:szCs w:val="18"/>
                <w:highlight w:val="none"/>
              </w:rPr>
            </w:r>
            <w:r/>
          </w:p>
        </w:tc>
        <w:tc>
          <w:tcPr>
            <w:tcW w:w="403" w:type="dxa"/>
            <w:vAlign w:val="center"/>
            <w:textDirection w:val="lrTb"/>
            <w:noWrap w:val="false"/>
          </w:tcPr>
          <w:p>
            <w:pPr>
              <w:pStyle w:val="898"/>
              <w:jc w:val="center"/>
              <w:rPr>
                <w:rFonts w:ascii="Times New Roman" w:hAnsi="Times New Roman" w:eastAsia="方正魏碑_GBK" w:cs="Times New Roman"/>
                <w:bCs/>
                <w:color w:val="000000"/>
                <w:sz w:val="18"/>
                <w:szCs w:val="18"/>
                <w:highlight w:val="none"/>
              </w:rPr>
            </w:pPr>
            <w:r>
              <w:rPr>
                <w:rFonts w:ascii="Times New Roman" w:hAnsi="Times New Roman" w:eastAsia="方正魏碑_GBK" w:cs="Times New Roman"/>
                <w:bCs/>
                <w:color w:val="000000"/>
                <w:sz w:val="18"/>
                <w:szCs w:val="18"/>
                <w:highlight w:val="none"/>
              </w:rPr>
            </w:r>
            <w:r/>
          </w:p>
        </w:tc>
        <w:tc>
          <w:tcPr>
            <w:tcW w:w="538" w:type="dxa"/>
            <w:vAlign w:val="center"/>
            <w:textDirection w:val="lrTb"/>
            <w:noWrap w:val="false"/>
          </w:tcPr>
          <w:p>
            <w:pPr>
              <w:pStyle w:val="898"/>
              <w:jc w:val="center"/>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r>
            <w:r/>
          </w:p>
        </w:tc>
        <w:tc>
          <w:tcPr>
            <w:tcW w:w="626" w:type="dxa"/>
            <w:vAlign w:val="top"/>
            <w:textDirection w:val="lrTb"/>
            <w:noWrap w:val="false"/>
          </w:tcPr>
          <w:p>
            <w:pPr>
              <w:pStyle w:val="898"/>
              <w:jc w:val="center"/>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r>
            <w:r/>
          </w:p>
        </w:tc>
        <w:tc>
          <w:tcPr>
            <w:tcW w:w="633" w:type="dxa"/>
            <w:vAlign w:val="center"/>
            <w:textDirection w:val="lrTb"/>
            <w:noWrap w:val="false"/>
          </w:tcPr>
          <w:p>
            <w:pPr>
              <w:pStyle w:val="898"/>
              <w:jc w:val="center"/>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r>
            <w:r/>
          </w:p>
        </w:tc>
        <w:tc>
          <w:tcPr>
            <w:tcW w:w="1605" w:type="dxa"/>
            <w:vAlign w:val="center"/>
            <w:textDirection w:val="lrTb"/>
            <w:noWrap w:val="false"/>
          </w:tcPr>
          <w:p>
            <w:pPr>
              <w:pStyle w:val="898"/>
              <w:jc w:val="left"/>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r>
      <w:tr>
        <w:trPr>
          <w:trHeight w:val="369"/>
        </w:trPr>
        <w:tc>
          <w:tcPr>
            <w:tcW w:w="343"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t xml:space="preserve">1.3</w:t>
            </w:r>
            <w:r>
              <w:rPr>
                <w:rFonts w:ascii="Times New Roman" w:hAnsi="Times New Roman" w:eastAsia="方正魏碑_GBK" w:cs="Times New Roman"/>
                <w:color w:val="000000"/>
                <w:sz w:val="18"/>
                <w:szCs w:val="18"/>
                <w:highlight w:val="none"/>
              </w:rPr>
            </w:r>
            <w:r/>
          </w:p>
        </w:tc>
        <w:tc>
          <w:tcPr>
            <w:tcW w:w="848"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t xml:space="preserve">……</w:t>
            </w:r>
            <w:r>
              <w:rPr>
                <w:rFonts w:ascii="Times New Roman" w:hAnsi="Times New Roman" w:eastAsia="方正魏碑_GBK" w:cs="Times New Roman"/>
                <w:color w:val="000000"/>
                <w:sz w:val="18"/>
                <w:szCs w:val="18"/>
                <w:highlight w:val="none"/>
              </w:rPr>
            </w:r>
            <w:r/>
          </w:p>
        </w:tc>
        <w:tc>
          <w:tcPr>
            <w:tcW w:w="403" w:type="dxa"/>
            <w:vAlign w:val="center"/>
            <w:textDirection w:val="lrTb"/>
            <w:noWrap w:val="false"/>
          </w:tcPr>
          <w:p>
            <w:pPr>
              <w:pStyle w:val="898"/>
              <w:jc w:val="center"/>
              <w:rPr>
                <w:rFonts w:ascii="Times New Roman" w:hAnsi="Times New Roman" w:eastAsia="方正魏碑_GBK" w:cs="Times New Roman"/>
                <w:bCs/>
                <w:color w:val="000000"/>
                <w:sz w:val="18"/>
                <w:szCs w:val="18"/>
                <w:highlight w:val="none"/>
              </w:rPr>
            </w:pPr>
            <w:r>
              <w:rPr>
                <w:rFonts w:ascii="Times New Roman" w:hAnsi="Times New Roman" w:eastAsia="方正魏碑_GBK" w:cs="Times New Roman"/>
                <w:bCs/>
                <w:color w:val="000000"/>
                <w:sz w:val="18"/>
                <w:szCs w:val="18"/>
                <w:highlight w:val="none"/>
              </w:rPr>
            </w:r>
            <w:r/>
          </w:p>
        </w:tc>
        <w:tc>
          <w:tcPr>
            <w:tcW w:w="538" w:type="dxa"/>
            <w:vAlign w:val="center"/>
            <w:textDirection w:val="lrTb"/>
            <w:noWrap w:val="false"/>
          </w:tcPr>
          <w:p>
            <w:pPr>
              <w:pStyle w:val="898"/>
              <w:jc w:val="center"/>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r>
            <w:r/>
          </w:p>
        </w:tc>
        <w:tc>
          <w:tcPr>
            <w:tcW w:w="626" w:type="dxa"/>
            <w:vAlign w:val="top"/>
            <w:textDirection w:val="lrTb"/>
            <w:noWrap w:val="false"/>
          </w:tcPr>
          <w:p>
            <w:pPr>
              <w:pStyle w:val="898"/>
              <w:jc w:val="center"/>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r>
            <w:r/>
          </w:p>
        </w:tc>
        <w:tc>
          <w:tcPr>
            <w:tcW w:w="633" w:type="dxa"/>
            <w:vAlign w:val="center"/>
            <w:textDirection w:val="lrTb"/>
            <w:noWrap w:val="false"/>
          </w:tcPr>
          <w:p>
            <w:pPr>
              <w:pStyle w:val="898"/>
              <w:jc w:val="center"/>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r>
            <w:r/>
          </w:p>
        </w:tc>
        <w:tc>
          <w:tcPr>
            <w:tcW w:w="1605" w:type="dxa"/>
            <w:vAlign w:val="center"/>
            <w:textDirection w:val="lrTb"/>
            <w:noWrap w:val="false"/>
          </w:tcPr>
          <w:p>
            <w:pPr>
              <w:pStyle w:val="898"/>
              <w:jc w:val="left"/>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r>
      <w:tr>
        <w:trPr>
          <w:trHeight w:val="369"/>
        </w:trPr>
        <w:tc>
          <w:tcPr>
            <w:gridSpan w:val="7"/>
            <w:tcW w:w="8333" w:type="dxa"/>
            <w:vAlign w:val="center"/>
            <w:textDirection w:val="lrTb"/>
            <w:noWrap w:val="false"/>
          </w:tcPr>
          <w:p>
            <w:pPr>
              <w:pStyle w:val="898"/>
              <w:jc w:val="left"/>
              <w:rPr>
                <w:rFonts w:ascii="Times New Roman" w:hAnsi="Times New Roman" w:eastAsia="方正魏碑_GBK" w:cs="Times New Roman"/>
                <w:b/>
                <w:color w:val="000000"/>
                <w:sz w:val="18"/>
                <w:szCs w:val="18"/>
                <w:highlight w:val="none"/>
              </w:rPr>
            </w:pPr>
            <w:r>
              <w:rPr>
                <w:rFonts w:ascii="Times New Roman" w:hAnsi="Times New Roman" w:eastAsia="方正魏碑_GBK" w:cs="Times New Roman"/>
                <w:b/>
                <w:color w:val="000000"/>
                <w:sz w:val="18"/>
                <w:szCs w:val="18"/>
                <w:highlight w:val="none"/>
              </w:rPr>
              <w:t xml:space="preserve">分项总价1 合计：</w:t>
            </w:r>
            <w:r>
              <w:rPr>
                <w:rFonts w:ascii="Times New Roman" w:hAnsi="Times New Roman" w:eastAsia="方正魏碑_GBK" w:cs="Times New Roman"/>
                <w:b/>
                <w:color w:val="000000"/>
                <w:sz w:val="18"/>
                <w:szCs w:val="18"/>
                <w:highlight w:val="none"/>
                <w:u w:val="single"/>
              </w:rPr>
              <w:t xml:space="preserve">         </w:t>
            </w:r>
            <w:r>
              <w:rPr>
                <w:rFonts w:ascii="Times New Roman" w:hAnsi="Times New Roman" w:eastAsia="方正魏碑_GBK" w:cs="Times New Roman"/>
                <w:b/>
                <w:color w:val="000000"/>
                <w:sz w:val="18"/>
                <w:szCs w:val="18"/>
                <w:highlight w:val="none"/>
              </w:rPr>
              <w:t xml:space="preserve">人民币（元）</w:t>
            </w:r>
            <w:r>
              <w:rPr>
                <w:rFonts w:ascii="Times New Roman" w:hAnsi="Times New Roman" w:eastAsia="方正魏碑_GBK" w:cs="Times New Roman"/>
                <w:b/>
                <w:color w:val="000000"/>
                <w:sz w:val="18"/>
                <w:szCs w:val="18"/>
                <w:highlight w:val="none"/>
              </w:rPr>
            </w:r>
            <w:r/>
          </w:p>
        </w:tc>
      </w:tr>
      <w:tr>
        <w:trPr>
          <w:trHeight w:val="369"/>
        </w:trPr>
        <w:tc>
          <w:tcPr>
            <w:tcW w:w="343"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序号</w:t>
            </w:r>
            <w:r>
              <w:rPr>
                <w:rFonts w:ascii="Times New Roman" w:hAnsi="Times New Roman" w:eastAsia="方正魏碑_GBK" w:cs="Times New Roman"/>
                <w:b/>
                <w:bCs/>
                <w:color w:val="000000"/>
                <w:sz w:val="18"/>
                <w:szCs w:val="18"/>
                <w:highlight w:val="none"/>
              </w:rPr>
            </w:r>
            <w:r/>
          </w:p>
        </w:tc>
        <w:tc>
          <w:tcPr>
            <w:tcW w:w="848"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分项名称</w:t>
            </w:r>
            <w:r>
              <w:rPr>
                <w:rFonts w:ascii="Times New Roman" w:hAnsi="Times New Roman" w:eastAsia="方正魏碑_GBK" w:cs="Times New Roman"/>
                <w:b/>
                <w:bCs/>
                <w:color w:val="000000"/>
                <w:sz w:val="18"/>
                <w:szCs w:val="18"/>
                <w:highlight w:val="none"/>
              </w:rPr>
            </w:r>
            <w:r/>
          </w:p>
        </w:tc>
        <w:tc>
          <w:tcPr>
            <w:tcW w:w="403"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数量</w:t>
            </w:r>
            <w:r>
              <w:rPr>
                <w:rFonts w:ascii="Times New Roman" w:hAnsi="Times New Roman" w:eastAsia="方正魏碑_GBK" w:cs="Times New Roman"/>
                <w:b/>
                <w:bCs/>
                <w:color w:val="000000"/>
                <w:sz w:val="18"/>
                <w:szCs w:val="18"/>
                <w:highlight w:val="none"/>
              </w:rPr>
            </w:r>
            <w:r/>
          </w:p>
        </w:tc>
        <w:tc>
          <w:tcPr>
            <w:tcW w:w="538"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分项</w:t>
            </w:r>
            <w:r>
              <w:rPr>
                <w:rFonts w:ascii="Times New Roman" w:hAnsi="Times New Roman" w:eastAsia="方正魏碑_GBK" w:cs="Times New Roman"/>
                <w:b/>
                <w:bCs/>
                <w:color w:val="000000"/>
                <w:sz w:val="18"/>
                <w:szCs w:val="18"/>
                <w:highlight w:val="none"/>
              </w:rPr>
            </w:r>
            <w:r/>
          </w:p>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单价</w:t>
            </w:r>
            <w:r>
              <w:rPr>
                <w:rFonts w:ascii="Times New Roman" w:hAnsi="Times New Roman" w:eastAsia="方正魏碑_GBK" w:cs="Times New Roman"/>
                <w:b/>
                <w:bCs/>
                <w:color w:val="000000"/>
                <w:sz w:val="18"/>
                <w:szCs w:val="18"/>
                <w:highlight w:val="none"/>
              </w:rPr>
            </w:r>
            <w:r/>
          </w:p>
        </w:tc>
        <w:tc>
          <w:tcPr>
            <w:tcW w:w="626"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 期 限</w:t>
            </w:r>
            <w:r>
              <w:rPr>
                <w:rFonts w:ascii="Times New Roman" w:hAnsi="Times New Roman" w:eastAsia="方正魏碑_GBK" w:cs="Times New Roman"/>
                <w:b/>
                <w:bCs/>
                <w:color w:val="000000"/>
                <w:sz w:val="18"/>
                <w:szCs w:val="18"/>
                <w:highlight w:val="none"/>
              </w:rPr>
            </w:r>
            <w:r/>
          </w:p>
        </w:tc>
        <w:tc>
          <w:tcPr>
            <w:tcW w:w="633"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分项</w:t>
            </w:r>
            <w:r>
              <w:rPr>
                <w:rFonts w:ascii="Times New Roman" w:hAnsi="Times New Roman" w:eastAsia="方正魏碑_GBK" w:cs="Times New Roman"/>
                <w:b/>
                <w:bCs/>
                <w:color w:val="000000"/>
                <w:sz w:val="18"/>
                <w:szCs w:val="18"/>
                <w:highlight w:val="none"/>
              </w:rPr>
            </w:r>
            <w:r/>
          </w:p>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总价2</w:t>
            </w:r>
            <w:r>
              <w:rPr>
                <w:rFonts w:ascii="Times New Roman" w:hAnsi="Times New Roman" w:eastAsia="方正魏碑_GBK" w:cs="Times New Roman"/>
                <w:b/>
                <w:bCs/>
                <w:color w:val="000000"/>
                <w:sz w:val="18"/>
                <w:szCs w:val="18"/>
                <w:highlight w:val="none"/>
              </w:rPr>
            </w:r>
            <w:r/>
          </w:p>
        </w:tc>
        <w:tc>
          <w:tcPr>
            <w:tcW w:w="1605" w:type="dxa"/>
            <w:vAlign w:val="center"/>
            <w:vMerge w:val="restart"/>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要求说明</w:t>
            </w:r>
            <w:r>
              <w:rPr>
                <w:rFonts w:ascii="Times New Roman" w:hAnsi="Times New Roman" w:eastAsia="方正魏碑_GBK" w:cs="Times New Roman"/>
                <w:b/>
                <w:bCs/>
                <w:color w:val="000000"/>
                <w:sz w:val="18"/>
                <w:szCs w:val="18"/>
                <w:highlight w:val="none"/>
              </w:rPr>
            </w:r>
            <w:r/>
          </w:p>
        </w:tc>
      </w:tr>
      <w:tr>
        <w:trPr>
          <w:trHeight w:val="628"/>
        </w:trPr>
        <w:tc>
          <w:tcPr>
            <w:tcW w:w="343"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2</w:t>
            </w:r>
            <w:r>
              <w:rPr>
                <w:rFonts w:ascii="Times New Roman" w:hAnsi="Times New Roman" w:eastAsia="方正魏碑_GBK" w:cs="Times New Roman"/>
                <w:b/>
                <w:bCs/>
                <w:color w:val="000000"/>
                <w:sz w:val="18"/>
                <w:szCs w:val="18"/>
                <w:highlight w:val="none"/>
              </w:rPr>
            </w:r>
            <w:r/>
          </w:p>
        </w:tc>
        <w:tc>
          <w:tcPr>
            <w:tcW w:w="848"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社会保险费用</w:t>
            </w:r>
            <w:r>
              <w:rPr>
                <w:rFonts w:ascii="Times New Roman" w:hAnsi="Times New Roman" w:eastAsia="方正魏碑_GBK" w:cs="Times New Roman"/>
                <w:b/>
                <w:bCs/>
                <w:color w:val="000000"/>
                <w:sz w:val="18"/>
                <w:szCs w:val="18"/>
                <w:highlight w:val="none"/>
              </w:rPr>
            </w:r>
            <w:r/>
          </w:p>
        </w:tc>
        <w:tc>
          <w:tcPr>
            <w:tcW w:w="403" w:type="dxa"/>
            <w:vAlign w:val="center"/>
            <w:textDirection w:val="lrTb"/>
            <w:noWrap w:val="false"/>
          </w:tcPr>
          <w:p>
            <w:pPr>
              <w:pStyle w:val="898"/>
              <w:jc w:val="center"/>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人数</w:t>
            </w:r>
            <w:r>
              <w:rPr>
                <w:rFonts w:ascii="Times New Roman" w:hAnsi="Times New Roman" w:eastAsia="方正魏碑_GBK" w:cs="Times New Roman"/>
                <w:b/>
                <w:bCs/>
                <w:color w:val="000000"/>
                <w:sz w:val="18"/>
                <w:szCs w:val="18"/>
                <w:highlight w:val="none"/>
              </w:rPr>
            </w:r>
            <w:r/>
          </w:p>
        </w:tc>
        <w:tc>
          <w:tcPr>
            <w:tcW w:w="538" w:type="dxa"/>
            <w:vAlign w:val="center"/>
            <w:textDirection w:val="lrTb"/>
            <w:noWrap w:val="false"/>
          </w:tcPr>
          <w:p>
            <w:pPr>
              <w:pStyle w:val="898"/>
              <w:jc w:val="center"/>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元/月·人</w:t>
            </w:r>
            <w:r>
              <w:rPr>
                <w:rFonts w:ascii="Times New Roman" w:hAnsi="Times New Roman" w:eastAsia="方正魏碑_GBK" w:cs="Times New Roman"/>
                <w:b/>
                <w:bCs/>
                <w:color w:val="000000"/>
                <w:sz w:val="18"/>
                <w:szCs w:val="18"/>
                <w:highlight w:val="none"/>
              </w:rPr>
            </w:r>
            <w:r/>
          </w:p>
        </w:tc>
        <w:tc>
          <w:tcPr>
            <w:tcW w:w="626"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月</w:t>
            </w:r>
            <w:r>
              <w:rPr>
                <w:rFonts w:ascii="Times New Roman" w:hAnsi="Times New Roman" w:eastAsia="方正魏碑_GBK" w:cs="Times New Roman"/>
                <w:b/>
                <w:bCs/>
                <w:color w:val="000000"/>
                <w:sz w:val="18"/>
                <w:szCs w:val="18"/>
                <w:highlight w:val="none"/>
              </w:rPr>
            </w:r>
            <w:r/>
          </w:p>
        </w:tc>
        <w:tc>
          <w:tcPr>
            <w:tcW w:w="633"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元</w:t>
            </w:r>
            <w:r>
              <w:rPr>
                <w:rFonts w:ascii="Times New Roman" w:hAnsi="Times New Roman" w:eastAsia="方正魏碑_GBK" w:cs="Times New Roman"/>
                <w:b/>
                <w:bCs/>
                <w:color w:val="000000"/>
                <w:sz w:val="18"/>
                <w:szCs w:val="18"/>
                <w:highlight w:val="none"/>
              </w:rPr>
            </w:r>
            <w:r/>
          </w:p>
        </w:tc>
        <w:tc>
          <w:tcPr>
            <w:tcW w:w="1605" w:type="dxa"/>
            <w:vAlign w:val="center"/>
            <w:vMerge w:val="continue"/>
            <w:textDirection w:val="lrTb"/>
            <w:noWrap w:val="false"/>
          </w:tcPr>
          <w:p>
            <w:pPr>
              <w:pStyle w:val="898"/>
              <w:jc w:val="left"/>
              <w:rPr>
                <w:rFonts w:ascii="Times New Roman" w:hAnsi="Times New Roman" w:eastAsia="方正魏碑_GBK" w:cs="Times New Roman"/>
                <w:i/>
                <w:color w:val="000000"/>
                <w:sz w:val="18"/>
                <w:szCs w:val="18"/>
                <w:highlight w:val="none"/>
                <w:u w:val="single"/>
              </w:rPr>
            </w:pPr>
            <w:r>
              <w:rPr>
                <w:rFonts w:ascii="Times New Roman" w:hAnsi="Times New Roman" w:eastAsia="方正魏碑_GBK" w:cs="Times New Roman"/>
                <w:i/>
                <w:color w:val="000000"/>
                <w:sz w:val="18"/>
                <w:szCs w:val="18"/>
                <w:highlight w:val="none"/>
                <w:u w:val="single"/>
              </w:rPr>
            </w:r>
            <w:r/>
          </w:p>
        </w:tc>
      </w:tr>
      <w:tr>
        <w:trPr>
          <w:trHeight w:val="563"/>
        </w:trPr>
        <w:tc>
          <w:tcPr>
            <w:tcW w:w="343"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t xml:space="preserve">2.1</w:t>
            </w:r>
            <w:r>
              <w:rPr>
                <w:rFonts w:ascii="Times New Roman" w:hAnsi="Times New Roman" w:eastAsia="方正魏碑_GBK" w:cs="Times New Roman"/>
                <w:color w:val="000000"/>
                <w:sz w:val="18"/>
                <w:szCs w:val="18"/>
                <w:highlight w:val="none"/>
              </w:rPr>
            </w:r>
            <w:r/>
          </w:p>
        </w:tc>
        <w:tc>
          <w:tcPr>
            <w:tcW w:w="848"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t xml:space="preserve">岗位1（如：保洁员1）</w:t>
            </w:r>
            <w:r>
              <w:rPr>
                <w:rFonts w:ascii="Times New Roman" w:hAnsi="Times New Roman" w:eastAsia="方正魏碑_GBK" w:cs="Times New Roman"/>
                <w:color w:val="000000"/>
                <w:sz w:val="18"/>
                <w:szCs w:val="18"/>
                <w:highlight w:val="none"/>
              </w:rPr>
            </w:r>
            <w:r/>
          </w:p>
        </w:tc>
        <w:tc>
          <w:tcPr>
            <w:tcW w:w="403"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538"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626"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633"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1605" w:type="dxa"/>
            <w:vAlign w:val="center"/>
            <w:vMerge w:val="restart"/>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t xml:space="preserve">该人员正常缴纳社会保险/</w:t>
            </w:r>
            <w:r>
              <w:rPr>
                <w:rFonts w:ascii="Times New Roman" w:hAnsi="Times New Roman" w:eastAsia="方正魏碑_GBK" w:cs="Times New Roman"/>
                <w:color w:val="000000"/>
                <w:sz w:val="18"/>
                <w:szCs w:val="18"/>
                <w:highlight w:val="none"/>
              </w:rPr>
            </w:r>
            <w:r/>
          </w:p>
          <w:p>
            <w:pPr>
              <w:pStyle w:val="898"/>
              <w:jc w:val="left"/>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iCs/>
                <w:color w:val="000000"/>
                <w:sz w:val="18"/>
                <w:szCs w:val="18"/>
                <w:highlight w:val="none"/>
              </w:rPr>
              <w:t xml:space="preserve">如该人员依法享受社会保险费用缴纳减免政策，请在此框内进行说明</w:t>
            </w:r>
            <w:r>
              <w:rPr>
                <w:rFonts w:ascii="Times New Roman" w:hAnsi="Times New Roman" w:eastAsia="方正魏碑_GBK" w:cs="Times New Roman"/>
                <w:color w:val="000000"/>
                <w:sz w:val="18"/>
                <w:szCs w:val="18"/>
                <w:highlight w:val="none"/>
              </w:rPr>
            </w:r>
            <w:r/>
          </w:p>
        </w:tc>
      </w:tr>
      <w:tr>
        <w:trPr>
          <w:trHeight w:val="261"/>
        </w:trPr>
        <w:tc>
          <w:tcPr>
            <w:tcW w:w="343"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t xml:space="preserve">2.2</w:t>
            </w:r>
            <w:r>
              <w:rPr>
                <w:rFonts w:ascii="Times New Roman" w:hAnsi="Times New Roman" w:eastAsia="方正魏碑_GBK" w:cs="Times New Roman"/>
                <w:color w:val="000000"/>
                <w:sz w:val="18"/>
                <w:szCs w:val="18"/>
                <w:highlight w:val="none"/>
              </w:rPr>
            </w:r>
            <w:r/>
          </w:p>
        </w:tc>
        <w:tc>
          <w:tcPr>
            <w:tcW w:w="848"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t xml:space="preserve">岗位2（如：保洁员2）</w:t>
            </w:r>
            <w:r>
              <w:rPr>
                <w:rFonts w:ascii="Times New Roman" w:hAnsi="Times New Roman" w:eastAsia="方正魏碑_GBK" w:cs="Times New Roman"/>
                <w:color w:val="000000"/>
                <w:sz w:val="18"/>
                <w:szCs w:val="18"/>
                <w:highlight w:val="none"/>
              </w:rPr>
            </w:r>
            <w:r/>
          </w:p>
        </w:tc>
        <w:tc>
          <w:tcPr>
            <w:tcW w:w="403"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538"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626"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633"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1605" w:type="dxa"/>
            <w:vAlign w:val="center"/>
            <w:vMerge w:val="continue"/>
            <w:textDirection w:val="lrTb"/>
            <w:noWrap w:val="false"/>
          </w:tcPr>
          <w:p>
            <w:pPr>
              <w:pStyle w:val="898"/>
              <w:jc w:val="left"/>
              <w:widowControl/>
              <w:rPr>
                <w:rFonts w:ascii="Times New Roman" w:hAnsi="Times New Roman" w:eastAsia="方正魏碑_GBK" w:cs="Times New Roman"/>
                <w:i/>
                <w:color w:val="000000"/>
                <w:sz w:val="18"/>
                <w:szCs w:val="18"/>
                <w:highlight w:val="none"/>
                <w:u w:val="single"/>
              </w:rPr>
            </w:pPr>
            <w:r>
              <w:rPr>
                <w:rFonts w:ascii="Times New Roman" w:hAnsi="Times New Roman" w:eastAsia="方正魏碑_GBK" w:cs="Times New Roman"/>
                <w:i/>
                <w:color w:val="000000"/>
                <w:sz w:val="18"/>
                <w:szCs w:val="18"/>
                <w:highlight w:val="none"/>
                <w:u w:val="single"/>
              </w:rPr>
            </w:r>
            <w:r/>
          </w:p>
        </w:tc>
      </w:tr>
      <w:tr>
        <w:trPr>
          <w:trHeight w:val="261"/>
        </w:trPr>
        <w:tc>
          <w:tcPr>
            <w:tcW w:w="343"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848"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t xml:space="preserve">……</w:t>
            </w:r>
            <w:r>
              <w:rPr>
                <w:rFonts w:ascii="Times New Roman" w:hAnsi="Times New Roman" w:eastAsia="方正魏碑_GBK" w:cs="Times New Roman"/>
                <w:color w:val="000000"/>
                <w:sz w:val="18"/>
                <w:szCs w:val="18"/>
                <w:highlight w:val="none"/>
              </w:rPr>
            </w:r>
            <w:r/>
          </w:p>
        </w:tc>
        <w:tc>
          <w:tcPr>
            <w:tcW w:w="403"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538"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626"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633"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1605" w:type="dxa"/>
            <w:vAlign w:val="center"/>
            <w:textDirection w:val="lrTb"/>
            <w:noWrap w:val="false"/>
          </w:tcPr>
          <w:p>
            <w:pPr>
              <w:pStyle w:val="898"/>
              <w:jc w:val="left"/>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r>
      <w:tr>
        <w:trPr>
          <w:trHeight w:val="261"/>
        </w:trPr>
        <w:tc>
          <w:tcPr>
            <w:gridSpan w:val="7"/>
            <w:tcW w:w="8333" w:type="dxa"/>
            <w:vAlign w:val="center"/>
            <w:textDirection w:val="lrTb"/>
            <w:noWrap w:val="false"/>
          </w:tcPr>
          <w:p>
            <w:pPr>
              <w:pStyle w:val="898"/>
              <w:jc w:val="left"/>
              <w:rPr>
                <w:rFonts w:ascii="Times New Roman" w:hAnsi="Times New Roman" w:eastAsia="方正魏碑_GBK" w:cs="Times New Roman"/>
                <w:b/>
                <w:color w:val="000000"/>
                <w:sz w:val="18"/>
                <w:szCs w:val="18"/>
                <w:highlight w:val="none"/>
              </w:rPr>
            </w:pPr>
            <w:r>
              <w:rPr>
                <w:rFonts w:ascii="Times New Roman" w:hAnsi="Times New Roman" w:eastAsia="方正魏碑_GBK" w:cs="Times New Roman"/>
                <w:b/>
                <w:color w:val="000000"/>
                <w:sz w:val="18"/>
                <w:szCs w:val="18"/>
                <w:highlight w:val="none"/>
              </w:rPr>
              <w:t xml:space="preserve">分项总价2 合计：</w:t>
            </w:r>
            <w:r>
              <w:rPr>
                <w:rFonts w:ascii="Times New Roman" w:hAnsi="Times New Roman" w:eastAsia="方正魏碑_GBK" w:cs="Times New Roman"/>
                <w:b/>
                <w:color w:val="000000"/>
                <w:sz w:val="18"/>
                <w:szCs w:val="18"/>
                <w:highlight w:val="none"/>
                <w:u w:val="single"/>
              </w:rPr>
              <w:t xml:space="preserve">         </w:t>
            </w:r>
            <w:r>
              <w:rPr>
                <w:rFonts w:ascii="Times New Roman" w:hAnsi="Times New Roman" w:eastAsia="方正魏碑_GBK" w:cs="Times New Roman"/>
                <w:b/>
                <w:color w:val="000000"/>
                <w:sz w:val="18"/>
                <w:szCs w:val="18"/>
                <w:highlight w:val="none"/>
              </w:rPr>
              <w:t xml:space="preserve">人民币（元）</w:t>
            </w:r>
            <w:r>
              <w:rPr>
                <w:rFonts w:ascii="Times New Roman" w:hAnsi="Times New Roman" w:eastAsia="方正魏碑_GBK" w:cs="Times New Roman"/>
                <w:b/>
                <w:color w:val="000000"/>
                <w:sz w:val="18"/>
                <w:szCs w:val="18"/>
                <w:highlight w:val="none"/>
              </w:rPr>
            </w:r>
            <w:r/>
          </w:p>
        </w:tc>
      </w:tr>
      <w:tr>
        <w:trPr>
          <w:trHeight w:val="261"/>
        </w:trPr>
        <w:tc>
          <w:tcPr>
            <w:tcW w:w="343"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序号</w:t>
            </w:r>
            <w:r>
              <w:rPr>
                <w:rFonts w:ascii="Times New Roman" w:hAnsi="Times New Roman" w:eastAsia="方正魏碑_GBK" w:cs="Times New Roman"/>
                <w:b/>
                <w:bCs/>
                <w:color w:val="000000"/>
                <w:sz w:val="18"/>
                <w:szCs w:val="18"/>
                <w:highlight w:val="none"/>
              </w:rPr>
            </w:r>
            <w:r/>
          </w:p>
        </w:tc>
        <w:tc>
          <w:tcPr>
            <w:tcW w:w="848"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分项名称</w:t>
            </w:r>
            <w:r>
              <w:rPr>
                <w:rFonts w:ascii="Times New Roman" w:hAnsi="Times New Roman" w:eastAsia="方正魏碑_GBK" w:cs="Times New Roman"/>
                <w:b/>
                <w:bCs/>
                <w:color w:val="000000"/>
                <w:sz w:val="18"/>
                <w:szCs w:val="18"/>
                <w:highlight w:val="none"/>
              </w:rPr>
            </w:r>
            <w:r/>
          </w:p>
        </w:tc>
        <w:tc>
          <w:tcPr>
            <w:tcW w:w="403"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数量</w:t>
            </w:r>
            <w:r>
              <w:rPr>
                <w:rFonts w:ascii="Times New Roman" w:hAnsi="Times New Roman" w:eastAsia="方正魏碑_GBK" w:cs="Times New Roman"/>
                <w:b/>
                <w:bCs/>
                <w:color w:val="000000"/>
                <w:sz w:val="18"/>
                <w:szCs w:val="18"/>
                <w:highlight w:val="none"/>
              </w:rPr>
            </w:r>
            <w:r/>
          </w:p>
        </w:tc>
        <w:tc>
          <w:tcPr>
            <w:tcW w:w="538"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分项</w:t>
            </w:r>
            <w:r>
              <w:rPr>
                <w:rFonts w:ascii="Times New Roman" w:hAnsi="Times New Roman" w:eastAsia="方正魏碑_GBK" w:cs="Times New Roman"/>
                <w:b/>
                <w:bCs/>
                <w:color w:val="000000"/>
                <w:sz w:val="18"/>
                <w:szCs w:val="18"/>
                <w:highlight w:val="none"/>
              </w:rPr>
            </w:r>
            <w:r/>
          </w:p>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单价</w:t>
            </w:r>
            <w:r>
              <w:rPr>
                <w:rFonts w:ascii="Times New Roman" w:hAnsi="Times New Roman" w:eastAsia="方正魏碑_GBK" w:cs="Times New Roman"/>
                <w:b/>
                <w:bCs/>
                <w:color w:val="000000"/>
                <w:sz w:val="18"/>
                <w:szCs w:val="18"/>
                <w:highlight w:val="none"/>
              </w:rPr>
            </w:r>
            <w:r/>
          </w:p>
        </w:tc>
        <w:tc>
          <w:tcPr>
            <w:tcW w:w="626"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期 限</w:t>
            </w:r>
            <w:r>
              <w:rPr>
                <w:rFonts w:ascii="Times New Roman" w:hAnsi="Times New Roman" w:eastAsia="方正魏碑_GBK" w:cs="Times New Roman"/>
                <w:b/>
                <w:bCs/>
                <w:color w:val="000000"/>
                <w:sz w:val="18"/>
                <w:szCs w:val="18"/>
                <w:highlight w:val="none"/>
              </w:rPr>
            </w:r>
            <w:r/>
          </w:p>
        </w:tc>
        <w:tc>
          <w:tcPr>
            <w:tcW w:w="633"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分项</w:t>
            </w:r>
            <w:r>
              <w:rPr>
                <w:rFonts w:ascii="Times New Roman" w:hAnsi="Times New Roman" w:eastAsia="方正魏碑_GBK" w:cs="Times New Roman"/>
                <w:b/>
                <w:bCs/>
                <w:color w:val="000000"/>
                <w:sz w:val="18"/>
                <w:szCs w:val="18"/>
                <w:highlight w:val="none"/>
              </w:rPr>
            </w:r>
            <w:r/>
          </w:p>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总价3</w:t>
            </w:r>
            <w:r>
              <w:rPr>
                <w:rFonts w:ascii="Times New Roman" w:hAnsi="Times New Roman" w:eastAsia="方正魏碑_GBK" w:cs="Times New Roman"/>
                <w:b/>
                <w:bCs/>
                <w:color w:val="000000"/>
                <w:sz w:val="18"/>
                <w:szCs w:val="18"/>
                <w:highlight w:val="none"/>
              </w:rPr>
            </w:r>
            <w:r/>
          </w:p>
        </w:tc>
        <w:tc>
          <w:tcPr>
            <w:tcW w:w="1605" w:type="dxa"/>
            <w:vAlign w:val="center"/>
            <w:vMerge w:val="restart"/>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要求说明</w:t>
            </w:r>
            <w:r>
              <w:rPr>
                <w:rFonts w:ascii="Times New Roman" w:hAnsi="Times New Roman" w:eastAsia="方正魏碑_GBK" w:cs="Times New Roman"/>
                <w:b/>
                <w:bCs/>
                <w:color w:val="000000"/>
                <w:sz w:val="18"/>
                <w:szCs w:val="18"/>
                <w:highlight w:val="none"/>
              </w:rPr>
            </w:r>
            <w:r/>
          </w:p>
        </w:tc>
      </w:tr>
      <w:tr>
        <w:trPr>
          <w:trHeight w:val="261"/>
        </w:trPr>
        <w:tc>
          <w:tcPr>
            <w:tcW w:w="343" w:type="dxa"/>
            <w:vAlign w:val="center"/>
            <w:textDirection w:val="lrTb"/>
            <w:noWrap w:val="false"/>
          </w:tcPr>
          <w:p>
            <w:pPr>
              <w:pStyle w:val="898"/>
              <w:jc w:val="center"/>
              <w:widowControl/>
              <w:rPr>
                <w:rFonts w:ascii="Times New Roman" w:hAnsi="Times New Roman" w:eastAsia="方正魏碑_GBK" w:cs="Times New Roman"/>
                <w:b/>
                <w:color w:val="000000"/>
                <w:sz w:val="18"/>
                <w:szCs w:val="18"/>
                <w:highlight w:val="none"/>
              </w:rPr>
            </w:pPr>
            <w:r>
              <w:rPr>
                <w:rFonts w:ascii="Times New Roman" w:hAnsi="Times New Roman" w:eastAsia="方正魏碑_GBK" w:cs="Times New Roman"/>
                <w:b/>
                <w:color w:val="000000"/>
                <w:sz w:val="18"/>
                <w:szCs w:val="18"/>
                <w:highlight w:val="none"/>
              </w:rPr>
              <w:t xml:space="preserve">3</w:t>
            </w:r>
            <w:r>
              <w:rPr>
                <w:rFonts w:ascii="Times New Roman" w:hAnsi="Times New Roman" w:eastAsia="方正魏碑_GBK" w:cs="Times New Roman"/>
                <w:b/>
                <w:color w:val="000000"/>
                <w:sz w:val="18"/>
                <w:szCs w:val="18"/>
                <w:highlight w:val="none"/>
              </w:rPr>
            </w:r>
            <w:r/>
          </w:p>
        </w:tc>
        <w:tc>
          <w:tcPr>
            <w:tcW w:w="848" w:type="dxa"/>
            <w:vAlign w:val="center"/>
            <w:textDirection w:val="lrTb"/>
            <w:noWrap w:val="false"/>
          </w:tcPr>
          <w:p>
            <w:pPr>
              <w:pStyle w:val="898"/>
              <w:jc w:val="center"/>
              <w:widowControl/>
              <w:rPr>
                <w:rFonts w:ascii="Times New Roman" w:hAnsi="Times New Roman" w:eastAsia="方正魏碑_GBK" w:cs="Times New Roman"/>
                <w:b/>
                <w:color w:val="000000"/>
                <w:sz w:val="18"/>
                <w:szCs w:val="18"/>
                <w:highlight w:val="none"/>
              </w:rPr>
            </w:pPr>
            <w:r>
              <w:rPr>
                <w:rFonts w:ascii="Times New Roman" w:hAnsi="Times New Roman" w:eastAsia="方正魏碑_GBK" w:cs="Times New Roman"/>
                <w:b/>
                <w:color w:val="000000"/>
                <w:sz w:val="18"/>
                <w:szCs w:val="18"/>
                <w:highlight w:val="none"/>
              </w:rPr>
              <w:t xml:space="preserve">住房公积金</w:t>
            </w:r>
            <w:r>
              <w:rPr>
                <w:rFonts w:ascii="Times New Roman" w:hAnsi="Times New Roman" w:eastAsia="方正魏碑_GBK" w:cs="Times New Roman"/>
                <w:b/>
                <w:color w:val="000000"/>
                <w:sz w:val="18"/>
                <w:szCs w:val="18"/>
                <w:highlight w:val="none"/>
              </w:rPr>
            </w:r>
            <w:r/>
          </w:p>
        </w:tc>
        <w:tc>
          <w:tcPr>
            <w:tcW w:w="403" w:type="dxa"/>
            <w:vAlign w:val="center"/>
            <w:textDirection w:val="lrTb"/>
            <w:noWrap w:val="false"/>
          </w:tcPr>
          <w:p>
            <w:pPr>
              <w:pStyle w:val="898"/>
              <w:jc w:val="center"/>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人数</w:t>
            </w:r>
            <w:r>
              <w:rPr>
                <w:rFonts w:ascii="Times New Roman" w:hAnsi="Times New Roman" w:eastAsia="方正魏碑_GBK" w:cs="Times New Roman"/>
                <w:b/>
                <w:bCs/>
                <w:color w:val="000000"/>
                <w:sz w:val="18"/>
                <w:szCs w:val="18"/>
                <w:highlight w:val="none"/>
              </w:rPr>
            </w:r>
            <w:r/>
          </w:p>
        </w:tc>
        <w:tc>
          <w:tcPr>
            <w:tcW w:w="538" w:type="dxa"/>
            <w:vAlign w:val="center"/>
            <w:textDirection w:val="lrTb"/>
            <w:noWrap w:val="false"/>
          </w:tcPr>
          <w:p>
            <w:pPr>
              <w:pStyle w:val="898"/>
              <w:jc w:val="center"/>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元/月·人</w:t>
            </w:r>
            <w:r>
              <w:rPr>
                <w:rFonts w:ascii="Times New Roman" w:hAnsi="Times New Roman" w:eastAsia="方正魏碑_GBK" w:cs="Times New Roman"/>
                <w:b/>
                <w:bCs/>
                <w:color w:val="000000"/>
                <w:sz w:val="18"/>
                <w:szCs w:val="18"/>
                <w:highlight w:val="none"/>
              </w:rPr>
            </w:r>
            <w:r/>
          </w:p>
        </w:tc>
        <w:tc>
          <w:tcPr>
            <w:tcW w:w="626"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月</w:t>
            </w:r>
            <w:r>
              <w:rPr>
                <w:rFonts w:ascii="Times New Roman" w:hAnsi="Times New Roman" w:eastAsia="方正魏碑_GBK" w:cs="Times New Roman"/>
                <w:b/>
                <w:bCs/>
                <w:color w:val="000000"/>
                <w:sz w:val="18"/>
                <w:szCs w:val="18"/>
                <w:highlight w:val="none"/>
              </w:rPr>
            </w:r>
            <w:r/>
          </w:p>
        </w:tc>
        <w:tc>
          <w:tcPr>
            <w:tcW w:w="633" w:type="dxa"/>
            <w:vAlign w:val="center"/>
            <w:textDirection w:val="lrTb"/>
            <w:noWrap w:val="false"/>
          </w:tcPr>
          <w:p>
            <w:pPr>
              <w:pStyle w:val="898"/>
              <w:jc w:val="center"/>
              <w:widowControl/>
              <w:rPr>
                <w:rFonts w:ascii="Times New Roman" w:hAnsi="Times New Roman" w:eastAsia="方正魏碑_GBK" w:cs="Times New Roman"/>
                <w:b/>
                <w:bCs/>
                <w:color w:val="000000"/>
                <w:sz w:val="18"/>
                <w:szCs w:val="18"/>
                <w:highlight w:val="none"/>
              </w:rPr>
            </w:pPr>
            <w:r>
              <w:rPr>
                <w:rFonts w:ascii="Times New Roman" w:hAnsi="Times New Roman" w:eastAsia="方正魏碑_GBK" w:cs="Times New Roman"/>
                <w:b/>
                <w:bCs/>
                <w:color w:val="000000"/>
                <w:sz w:val="18"/>
                <w:szCs w:val="18"/>
                <w:highlight w:val="none"/>
              </w:rPr>
              <w:t xml:space="preserve">元</w:t>
            </w:r>
            <w:r>
              <w:rPr>
                <w:rFonts w:ascii="Times New Roman" w:hAnsi="Times New Roman" w:eastAsia="方正魏碑_GBK" w:cs="Times New Roman"/>
                <w:b/>
                <w:bCs/>
                <w:color w:val="000000"/>
                <w:sz w:val="18"/>
                <w:szCs w:val="18"/>
                <w:highlight w:val="none"/>
              </w:rPr>
            </w:r>
            <w:r/>
          </w:p>
        </w:tc>
        <w:tc>
          <w:tcPr>
            <w:tcW w:w="1605" w:type="dxa"/>
            <w:vAlign w:val="center"/>
            <w:vMerge w:val="continue"/>
            <w:textDirection w:val="lrTb"/>
            <w:noWrap w:val="false"/>
          </w:tcPr>
          <w:p>
            <w:pPr>
              <w:pStyle w:val="898"/>
              <w:jc w:val="left"/>
              <w:widowControl/>
              <w:rPr>
                <w:rFonts w:ascii="Times New Roman" w:hAnsi="Times New Roman" w:eastAsia="方正魏碑_GBK" w:cs="Times New Roman"/>
                <w:i/>
                <w:color w:val="000000"/>
                <w:sz w:val="18"/>
                <w:szCs w:val="18"/>
                <w:highlight w:val="none"/>
                <w:u w:val="single"/>
              </w:rPr>
            </w:pPr>
            <w:r>
              <w:rPr>
                <w:rFonts w:ascii="Times New Roman" w:hAnsi="Times New Roman" w:eastAsia="方正魏碑_GBK" w:cs="Times New Roman"/>
                <w:i/>
                <w:color w:val="000000"/>
                <w:sz w:val="18"/>
                <w:szCs w:val="18"/>
                <w:highlight w:val="none"/>
                <w:u w:val="single"/>
              </w:rPr>
            </w:r>
            <w:r/>
          </w:p>
        </w:tc>
      </w:tr>
      <w:tr>
        <w:trPr>
          <w:trHeight w:val="369"/>
        </w:trPr>
        <w:tc>
          <w:tcPr>
            <w:tcW w:w="343"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t xml:space="preserve">3.1</w:t>
            </w:r>
            <w:r>
              <w:rPr>
                <w:rFonts w:ascii="Times New Roman" w:hAnsi="Times New Roman" w:eastAsia="方正魏碑_GBK" w:cs="Times New Roman"/>
                <w:color w:val="000000"/>
                <w:sz w:val="18"/>
                <w:szCs w:val="18"/>
                <w:highlight w:val="none"/>
              </w:rPr>
            </w:r>
            <w:r/>
          </w:p>
        </w:tc>
        <w:tc>
          <w:tcPr>
            <w:tcW w:w="848"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t xml:space="preserve">岗位1（如：保洁员1）</w:t>
            </w:r>
            <w:r>
              <w:rPr>
                <w:rFonts w:ascii="Times New Roman" w:hAnsi="Times New Roman" w:eastAsia="方正魏碑_GBK" w:cs="Times New Roman"/>
                <w:color w:val="000000"/>
                <w:sz w:val="18"/>
                <w:szCs w:val="18"/>
                <w:highlight w:val="none"/>
              </w:rPr>
            </w:r>
            <w:r/>
          </w:p>
        </w:tc>
        <w:tc>
          <w:tcPr>
            <w:tcW w:w="403"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538"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626" w:type="dxa"/>
            <w:vAlign w:val="top"/>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633"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1605" w:type="dxa"/>
            <w:vAlign w:val="center"/>
            <w:vMerge w:val="restart"/>
            <w:textDirection w:val="lrTb"/>
            <w:noWrap w:val="false"/>
          </w:tcPr>
          <w:p>
            <w:pPr>
              <w:pStyle w:val="898"/>
              <w:jc w:val="center"/>
              <w:widowControl/>
              <w:rPr>
                <w:rFonts w:ascii="Times New Roman" w:hAnsi="Times New Roman" w:eastAsia="方正魏碑_GBK" w:cs="Times New Roman"/>
                <w:i/>
                <w:color w:val="000000"/>
                <w:sz w:val="18"/>
                <w:szCs w:val="18"/>
                <w:highlight w:val="none"/>
                <w:u w:val="single"/>
              </w:rPr>
            </w:pPr>
            <w:r>
              <w:rPr>
                <w:rFonts w:ascii="Times New Roman" w:hAnsi="Times New Roman" w:eastAsia="方正魏碑_GBK" w:cs="Times New Roman"/>
                <w:color w:val="000000"/>
                <w:sz w:val="18"/>
                <w:szCs w:val="18"/>
                <w:highlight w:val="none"/>
              </w:rPr>
              <w:t xml:space="preserve">该人员正常缴存住房公积金/</w:t>
            </w:r>
            <w:r>
              <w:rPr>
                <w:rFonts w:ascii="Times New Roman" w:hAnsi="Times New Roman" w:eastAsia="方正魏碑_GBK" w:cs="Times New Roman"/>
                <w:i/>
                <w:color w:val="000000"/>
                <w:sz w:val="18"/>
                <w:szCs w:val="18"/>
                <w:highlight w:val="none"/>
                <w:u w:val="single"/>
              </w:rPr>
            </w:r>
            <w:r/>
          </w:p>
          <w:p>
            <w:pPr>
              <w:pStyle w:val="898"/>
              <w:jc w:val="left"/>
              <w:rPr>
                <w:rFonts w:ascii="Times New Roman" w:hAnsi="Times New Roman" w:eastAsia="方正魏碑_GBK" w:cs="Times New Roman"/>
                <w:i/>
                <w:color w:val="000000"/>
                <w:sz w:val="18"/>
                <w:szCs w:val="18"/>
                <w:highlight w:val="none"/>
                <w:u w:val="single"/>
              </w:rPr>
            </w:pPr>
            <w:r>
              <w:rPr>
                <w:rFonts w:ascii="Times New Roman" w:hAnsi="Times New Roman" w:eastAsia="方正魏碑_GBK" w:cs="Times New Roman"/>
                <w:iCs/>
                <w:color w:val="000000"/>
                <w:sz w:val="18"/>
                <w:szCs w:val="18"/>
                <w:highlight w:val="none"/>
              </w:rPr>
              <w:t xml:space="preserve">如该人员依法享受住房公积金缴存减免政策，请在此框内进行说明</w:t>
            </w:r>
            <w:r>
              <w:rPr>
                <w:rFonts w:ascii="Times New Roman" w:hAnsi="Times New Roman" w:eastAsia="方正魏碑_GBK" w:cs="Times New Roman"/>
                <w:i/>
                <w:color w:val="000000"/>
                <w:sz w:val="18"/>
                <w:szCs w:val="18"/>
                <w:highlight w:val="none"/>
                <w:u w:val="single"/>
              </w:rPr>
            </w:r>
            <w:r/>
          </w:p>
        </w:tc>
      </w:tr>
      <w:tr>
        <w:trPr>
          <w:trHeight w:val="369"/>
        </w:trPr>
        <w:tc>
          <w:tcPr>
            <w:tcW w:w="343"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t xml:space="preserve">3.2</w:t>
            </w:r>
            <w:r>
              <w:rPr>
                <w:rFonts w:ascii="Times New Roman" w:hAnsi="Times New Roman" w:eastAsia="方正魏碑_GBK" w:cs="Times New Roman"/>
                <w:color w:val="000000"/>
                <w:sz w:val="18"/>
                <w:szCs w:val="18"/>
                <w:highlight w:val="none"/>
              </w:rPr>
            </w:r>
            <w:r/>
          </w:p>
        </w:tc>
        <w:tc>
          <w:tcPr>
            <w:tcW w:w="848"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t xml:space="preserve">岗位2（如：保洁员2）</w:t>
            </w:r>
            <w:r>
              <w:rPr>
                <w:rFonts w:ascii="Times New Roman" w:hAnsi="Times New Roman" w:eastAsia="方正魏碑_GBK" w:cs="Times New Roman"/>
                <w:color w:val="000000"/>
                <w:sz w:val="18"/>
                <w:szCs w:val="18"/>
                <w:highlight w:val="none"/>
              </w:rPr>
            </w:r>
            <w:r/>
          </w:p>
        </w:tc>
        <w:tc>
          <w:tcPr>
            <w:tcW w:w="403"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538"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626" w:type="dxa"/>
            <w:vAlign w:val="top"/>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633"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1605" w:type="dxa"/>
            <w:vAlign w:val="center"/>
            <w:vMerge w:val="continue"/>
            <w:textDirection w:val="lrTb"/>
            <w:noWrap w:val="false"/>
          </w:tcPr>
          <w:p>
            <w:pPr>
              <w:pStyle w:val="898"/>
              <w:jc w:val="left"/>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r>
      <w:tr>
        <w:trPr>
          <w:trHeight w:val="369"/>
        </w:trPr>
        <w:tc>
          <w:tcPr>
            <w:tcW w:w="343"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848"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t xml:space="preserve">……</w:t>
            </w:r>
            <w:r>
              <w:rPr>
                <w:rFonts w:ascii="Times New Roman" w:hAnsi="Times New Roman" w:eastAsia="方正魏碑_GBK" w:cs="Times New Roman"/>
                <w:color w:val="000000"/>
                <w:sz w:val="18"/>
                <w:szCs w:val="18"/>
                <w:highlight w:val="none"/>
              </w:rPr>
            </w:r>
            <w:r/>
          </w:p>
        </w:tc>
        <w:tc>
          <w:tcPr>
            <w:tcW w:w="403"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538"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626" w:type="dxa"/>
            <w:vAlign w:val="top"/>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633" w:type="dxa"/>
            <w:vAlign w:val="center"/>
            <w:textDirection w:val="lrTb"/>
            <w:noWrap w:val="false"/>
          </w:tcPr>
          <w:p>
            <w:pPr>
              <w:pStyle w:val="898"/>
              <w:jc w:val="center"/>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c>
          <w:tcPr>
            <w:tcW w:w="1605" w:type="dxa"/>
            <w:vAlign w:val="center"/>
            <w:textDirection w:val="lrTb"/>
            <w:noWrap w:val="false"/>
          </w:tcPr>
          <w:p>
            <w:pPr>
              <w:pStyle w:val="898"/>
              <w:jc w:val="left"/>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color w:val="000000"/>
                <w:sz w:val="18"/>
                <w:szCs w:val="18"/>
                <w:highlight w:val="none"/>
              </w:rPr>
            </w:r>
            <w:r/>
          </w:p>
        </w:tc>
      </w:tr>
      <w:tr>
        <w:trPr>
          <w:trHeight w:val="369"/>
        </w:trPr>
        <w:tc>
          <w:tcPr>
            <w:gridSpan w:val="7"/>
            <w:tcW w:w="8333" w:type="dxa"/>
            <w:vAlign w:val="center"/>
            <w:textDirection w:val="lrTb"/>
            <w:noWrap w:val="false"/>
          </w:tcPr>
          <w:p>
            <w:pPr>
              <w:pStyle w:val="898"/>
              <w:jc w:val="left"/>
              <w:widowControl/>
              <w:rPr>
                <w:rFonts w:ascii="Times New Roman" w:hAnsi="Times New Roman" w:eastAsia="方正魏碑_GBK" w:cs="Times New Roman"/>
                <w:color w:val="000000"/>
                <w:sz w:val="18"/>
                <w:szCs w:val="18"/>
                <w:highlight w:val="none"/>
              </w:rPr>
            </w:pPr>
            <w:r>
              <w:rPr>
                <w:rFonts w:ascii="Times New Roman" w:hAnsi="Times New Roman" w:eastAsia="方正魏碑_GBK" w:cs="Times New Roman"/>
                <w:b/>
                <w:color w:val="000000"/>
                <w:sz w:val="18"/>
                <w:szCs w:val="18"/>
                <w:highlight w:val="none"/>
              </w:rPr>
              <w:t xml:space="preserve">分项总价3 合计：</w:t>
            </w:r>
            <w:r>
              <w:rPr>
                <w:rFonts w:ascii="Times New Roman" w:hAnsi="Times New Roman" w:eastAsia="方正魏碑_GBK" w:cs="Times New Roman"/>
                <w:b/>
                <w:color w:val="000000"/>
                <w:sz w:val="18"/>
                <w:szCs w:val="18"/>
                <w:highlight w:val="none"/>
                <w:u w:val="single"/>
              </w:rPr>
              <w:t xml:space="preserve">         </w:t>
            </w:r>
            <w:r>
              <w:rPr>
                <w:rFonts w:ascii="Times New Roman" w:hAnsi="Times New Roman" w:eastAsia="方正魏碑_GBK" w:cs="Times New Roman"/>
                <w:b/>
                <w:color w:val="000000"/>
                <w:sz w:val="18"/>
                <w:szCs w:val="18"/>
                <w:highlight w:val="none"/>
              </w:rPr>
              <w:t xml:space="preserve">人民币（元）</w:t>
            </w:r>
            <w:r>
              <w:rPr>
                <w:rFonts w:ascii="Times New Roman" w:hAnsi="Times New Roman" w:eastAsia="方正魏碑_GBK" w:cs="Times New Roman"/>
                <w:color w:val="000000"/>
                <w:sz w:val="18"/>
                <w:szCs w:val="18"/>
                <w:highlight w:val="none"/>
              </w:rPr>
            </w:r>
            <w:r/>
          </w:p>
        </w:tc>
      </w:tr>
    </w:tbl>
    <w:p>
      <w:pPr>
        <w:pStyle w:val="898"/>
        <w:spacing w:line="400" w:lineRule="exact"/>
        <w:rPr>
          <w:rFonts w:ascii="Times New Roman" w:hAnsi="Times New Roman" w:eastAsia="方正魏碑_GBK" w:cs="Times New Roman"/>
          <w:color w:val="000000"/>
          <w:sz w:val="24"/>
          <w:szCs w:val="24"/>
          <w:highlight w:val="none"/>
        </w:rPr>
      </w:pPr>
      <w:r>
        <w:rPr>
          <w:rFonts w:ascii="Times New Roman" w:hAnsi="Times New Roman" w:eastAsia="方正魏碑_GBK" w:cs="Times New Roman"/>
          <w:color w:val="000000"/>
          <w:sz w:val="24"/>
          <w:szCs w:val="24"/>
          <w:highlight w:val="none"/>
        </w:rPr>
        <w:t xml:space="preserve">备注：</w:t>
      </w:r>
      <w:r>
        <w:rPr>
          <w:rFonts w:ascii="Times New Roman" w:hAnsi="Times New Roman" w:eastAsia="方正魏碑_GBK" w:cs="Times New Roman"/>
          <w:color w:val="000000"/>
          <w:sz w:val="24"/>
          <w:szCs w:val="24"/>
          <w:highlight w:val="none"/>
        </w:rPr>
      </w:r>
      <w:r/>
    </w:p>
    <w:p>
      <w:pPr>
        <w:pStyle w:val="898"/>
        <w:spacing w:line="400" w:lineRule="exact"/>
        <w:rPr>
          <w:rFonts w:ascii="Times New Roman" w:hAnsi="Times New Roman" w:eastAsia="方正魏碑_GBK" w:cs="Times New Roman"/>
          <w:iCs/>
          <w:color w:val="000000"/>
          <w:sz w:val="24"/>
          <w:szCs w:val="24"/>
          <w:highlight w:val="none"/>
        </w:rPr>
      </w:pPr>
      <w:r>
        <w:rPr>
          <w:rFonts w:ascii="Times New Roman" w:hAnsi="Times New Roman" w:eastAsia="方正魏碑_GBK" w:cs="Times New Roman"/>
          <w:iCs/>
          <w:color w:val="000000"/>
          <w:sz w:val="24"/>
          <w:szCs w:val="24"/>
          <w:highlight w:val="none"/>
        </w:rPr>
        <w:t xml:space="preserve">1.本表仅适用物业管理服务品目政府采购项目，供应商需在投标（响应）文件中填报此表。</w:t>
      </w:r>
      <w:r>
        <w:rPr>
          <w:rFonts w:ascii="Times New Roman" w:hAnsi="Times New Roman" w:eastAsia="方正魏碑_GBK" w:cs="Times New Roman"/>
          <w:iCs/>
          <w:color w:val="000000"/>
          <w:sz w:val="24"/>
          <w:szCs w:val="24"/>
          <w:highlight w:val="none"/>
        </w:rPr>
      </w:r>
      <w:r/>
    </w:p>
    <w:p>
      <w:pPr>
        <w:pStyle w:val="898"/>
        <w:spacing w:line="400" w:lineRule="exact"/>
        <w:rPr>
          <w:rFonts w:ascii="Times New Roman" w:hAnsi="Times New Roman" w:eastAsia="方正魏碑_GBK" w:cs="Times New Roman"/>
          <w:i/>
          <w:color w:val="000000"/>
          <w:sz w:val="24"/>
          <w:szCs w:val="24"/>
          <w:highlight w:val="none"/>
          <w:u w:val="single"/>
        </w:rPr>
      </w:pPr>
      <w:r>
        <w:rPr>
          <w:rFonts w:ascii="Times New Roman" w:hAnsi="Times New Roman" w:eastAsia="方正魏碑_GBK" w:cs="Times New Roman"/>
          <w:i/>
          <w:color w:val="000000"/>
          <w:sz w:val="24"/>
          <w:szCs w:val="24"/>
          <w:highlight w:val="none"/>
          <w:u w:val="single"/>
        </w:rPr>
        <w:t xml:space="preserve">2.供应商在投标（响应）文件中响应的拟投入本项目的服务人员不得是全日制在校学生。</w:t>
      </w:r>
      <w:r>
        <w:rPr>
          <w:rFonts w:ascii="Times New Roman" w:hAnsi="Times New Roman" w:eastAsia="方正魏碑_GBK" w:cs="Times New Roman"/>
          <w:i/>
          <w:color w:val="000000"/>
          <w:sz w:val="24"/>
          <w:szCs w:val="24"/>
          <w:highlight w:val="none"/>
          <w:u w:val="single"/>
        </w:rPr>
      </w:r>
      <w:r/>
    </w:p>
    <w:p>
      <w:pPr>
        <w:pStyle w:val="898"/>
        <w:spacing w:line="400" w:lineRule="exact"/>
        <w:rPr>
          <w:rFonts w:ascii="Times New Roman" w:hAnsi="Times New Roman" w:eastAsia="方正魏碑_GBK" w:cs="Times New Roman"/>
          <w:b/>
          <w:bCs/>
          <w:color w:val="000000"/>
          <w:sz w:val="28"/>
          <w:szCs w:val="28"/>
          <w:highlight w:val="none"/>
        </w:rPr>
      </w:pPr>
      <w:r>
        <w:rPr>
          <w:rFonts w:ascii="Times New Roman" w:hAnsi="Times New Roman" w:eastAsia="方正魏碑_GBK" w:cs="Times New Roman"/>
          <w:b/>
          <w:bCs/>
          <w:color w:val="000000"/>
          <w:sz w:val="28"/>
          <w:szCs w:val="28"/>
          <w:highlight w:val="none"/>
        </w:rPr>
      </w:r>
      <w:r/>
    </w:p>
    <w:p>
      <w:pPr>
        <w:pStyle w:val="898"/>
        <w:rPr>
          <w:color w:val="000000"/>
          <w:highlight w:val="none"/>
        </w:rPr>
      </w:pPr>
      <w:r>
        <w:rPr>
          <w:color w:val="000000"/>
          <w:highlight w:val="none"/>
        </w:rPr>
      </w:r>
      <w:r/>
    </w:p>
    <w:p>
      <w:pPr>
        <w:pStyle w:val="898"/>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jc w:val="center"/>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附件</w:t>
      </w:r>
      <w:r>
        <w:rPr>
          <w:rFonts w:ascii="Times New Roman" w:hAnsi="Times New Roman"/>
          <w:b/>
          <w:color w:val="000000"/>
          <w:sz w:val="24"/>
          <w:szCs w:val="24"/>
          <w:highlight w:val="none"/>
        </w:rPr>
        <w:t xml:space="preserve">2 </w:t>
      </w:r>
      <w:r>
        <w:rPr>
          <w:rFonts w:ascii="Times New Roman" w:hAnsi="Times New Roman"/>
          <w:b/>
          <w:color w:val="000000"/>
          <w:sz w:val="24"/>
          <w:szCs w:val="24"/>
          <w:highlight w:val="none"/>
        </w:rPr>
        <w:t xml:space="preserve">技术要求响应及偏离表（采购包号：**）</w:t>
      </w:r>
      <w:r>
        <w:rPr>
          <w:rFonts w:ascii="Times New Roman" w:hAnsi="Times New Roman"/>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序号</w:t>
            </w:r>
            <w:r>
              <w:rPr>
                <w:rFonts w:ascii="Times New Roman" w:hAnsi="Times New Roman"/>
                <w:color w:val="000000"/>
                <w:sz w:val="24"/>
                <w:szCs w:val="24"/>
                <w:highlight w:val="none"/>
              </w:rPr>
            </w:r>
            <w:r/>
          </w:p>
        </w:tc>
        <w:tc>
          <w:tcPr>
            <w:tcW w:w="3063" w:type="dxa"/>
            <w:vAlign w:val="center"/>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技术要求</w:t>
            </w:r>
            <w:r>
              <w:rPr>
                <w:rFonts w:ascii="Times New Roman" w:hAnsi="Times New Roman"/>
                <w:color w:val="000000"/>
                <w:sz w:val="24"/>
                <w:szCs w:val="24"/>
                <w:highlight w:val="none"/>
              </w:rPr>
            </w:r>
            <w:r/>
          </w:p>
        </w:tc>
        <w:tc>
          <w:tcPr>
            <w:tcW w:w="3191" w:type="dxa"/>
            <w:vAlign w:val="center"/>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响应情况</w:t>
            </w:r>
            <w:r>
              <w:rPr>
                <w:rFonts w:ascii="Times New Roman" w:hAnsi="Times New Roman"/>
                <w:color w:val="000000"/>
                <w:sz w:val="24"/>
                <w:szCs w:val="24"/>
                <w:highlight w:val="none"/>
              </w:rPr>
            </w:r>
            <w:r/>
          </w:p>
        </w:tc>
        <w:tc>
          <w:tcPr>
            <w:tcW w:w="2128" w:type="dxa"/>
            <w:vAlign w:val="center"/>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超出、符合或偏离</w:t>
            </w:r>
            <w:r>
              <w:rPr>
                <w:rFonts w:ascii="Times New Roman" w:hAnsi="Times New Roman"/>
                <w:color w:val="000000"/>
                <w:sz w:val="24"/>
                <w:szCs w:val="24"/>
                <w:highlight w:val="none"/>
              </w:rPr>
            </w:r>
            <w:r/>
          </w:p>
        </w:tc>
      </w:tr>
      <w:tr>
        <w:trPr>
          <w:cantSplit/>
          <w:trHeight w:val="640"/>
        </w:trPr>
        <w:tc>
          <w:tcPr>
            <w:tcW w:w="545"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3063"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3191"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28"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640"/>
        </w:trPr>
        <w:tc>
          <w:tcPr>
            <w:tcW w:w="545"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3063"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tc>
        <w:tc>
          <w:tcPr>
            <w:tcW w:w="3191"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28"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pStyle w:val="898"/>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附件</w:t>
      </w: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-1  证明</w:t>
      </w:r>
      <w:r>
        <w:rPr>
          <w:rFonts w:ascii="Times New Roman" w:hAnsi="Times New Roman"/>
          <w:color w:val="000000"/>
          <w:sz w:val="24"/>
          <w:szCs w:val="24"/>
          <w:highlight w:val="none"/>
        </w:rPr>
        <w:t xml:space="preserve">材料</w:t>
      </w:r>
      <w:r>
        <w:rPr>
          <w:rFonts w:ascii="Times New Roman" w:hAnsi="Times New Roman"/>
          <w:color w:val="000000"/>
          <w:sz w:val="24"/>
          <w:szCs w:val="24"/>
          <w:highlight w:val="none"/>
        </w:rPr>
        <w:t xml:space="preserve">1，证明</w:t>
      </w:r>
      <w:r>
        <w:rPr>
          <w:rFonts w:ascii="Times New Roman" w:hAnsi="Times New Roman"/>
          <w:color w:val="000000"/>
          <w:sz w:val="24"/>
          <w:szCs w:val="24"/>
          <w:highlight w:val="none"/>
        </w:rPr>
        <w:t xml:space="preserve">材料</w:t>
      </w: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898"/>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备注</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898"/>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eastAsia="方正魏碑_GBK" w:cs="Times New Roman"/>
          <w:color w:val="000000"/>
          <w:sz w:val="30"/>
          <w:szCs w:val="30"/>
          <w:highlight w:val="none"/>
        </w:rPr>
        <w:t xml:space="preserve">供应商需对磋商文件技术要求中的非实质性要求（</w:t>
      </w:r>
      <w:r>
        <w:rPr>
          <w:rFonts w:ascii="Times New Roman" w:hAnsi="Times New Roman" w:eastAsia="方正魏碑_GBK" w:cs="Times New Roman"/>
          <w:b/>
          <w:color w:val="000000"/>
          <w:sz w:val="30"/>
          <w:szCs w:val="30"/>
          <w:highlight w:val="none"/>
        </w:rPr>
        <w:t xml:space="preserve">未加</w:t>
      </w:r>
      <w:r>
        <w:rPr>
          <w:rFonts w:ascii="Times New Roman" w:hAnsi="Times New Roman" w:eastAsia="方正魏碑_GBK" w:cs="Times New Roman"/>
          <w:b/>
          <w:i/>
          <w:color w:val="000000"/>
          <w:sz w:val="30"/>
          <w:szCs w:val="30"/>
          <w:highlight w:val="none"/>
          <w:u w:val="single"/>
        </w:rPr>
        <w:t xml:space="preserve">斜体下划线</w:t>
      </w:r>
      <w:r>
        <w:rPr>
          <w:rFonts w:ascii="Times New Roman" w:hAnsi="Times New Roman" w:eastAsia="方正魏碑_GBK" w:cs="Times New Roman"/>
          <w:b/>
          <w:iCs/>
          <w:color w:val="000000"/>
          <w:sz w:val="30"/>
          <w:szCs w:val="30"/>
          <w:highlight w:val="none"/>
        </w:rPr>
        <w:t xml:space="preserve">部分</w:t>
      </w:r>
      <w:r>
        <w:rPr>
          <w:rFonts w:ascii="Times New Roman" w:hAnsi="Times New Roman" w:eastAsia="方正魏碑_GBK" w:cs="Times New Roman"/>
          <w:b/>
          <w:color w:val="000000"/>
          <w:sz w:val="30"/>
          <w:szCs w:val="30"/>
          <w:highlight w:val="none"/>
        </w:rPr>
        <w:t xml:space="preserve">或未加*号条款</w:t>
      </w:r>
      <w:r>
        <w:rPr>
          <w:rFonts w:ascii="Times New Roman" w:hAnsi="Times New Roman" w:eastAsia="方正魏碑_GBK" w:cs="Times New Roman"/>
          <w:color w:val="000000"/>
          <w:sz w:val="30"/>
          <w:szCs w:val="30"/>
          <w:highlight w:val="none"/>
        </w:rPr>
        <w:t xml:space="preserve">）</w:t>
      </w:r>
      <w:r>
        <w:rPr>
          <w:rFonts w:ascii="Times New Roman" w:hAnsi="Times New Roman"/>
          <w:color w:val="000000"/>
          <w:sz w:val="24"/>
          <w:szCs w:val="24"/>
          <w:highlight w:val="none"/>
        </w:rPr>
        <w:t xml:space="preserve">逐条做出明确响应</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898"/>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2.如果磋商</w:t>
      </w:r>
      <w:r>
        <w:rPr>
          <w:rFonts w:ascii="Times New Roman" w:hAnsi="Times New Roman"/>
          <w:color w:val="000000"/>
          <w:sz w:val="24"/>
          <w:szCs w:val="24"/>
          <w:highlight w:val="none"/>
        </w:rPr>
        <w:t xml:space="preserve">文件要求提供</w:t>
      </w:r>
      <w:r>
        <w:rPr>
          <w:rFonts w:ascii="Times New Roman" w:hAnsi="Times New Roman"/>
          <w:color w:val="000000"/>
          <w:sz w:val="24"/>
          <w:szCs w:val="24"/>
          <w:highlight w:val="none"/>
        </w:rPr>
        <w:t xml:space="preserve">证明</w:t>
      </w:r>
      <w:r>
        <w:rPr>
          <w:rFonts w:ascii="Times New Roman" w:hAnsi="Times New Roman"/>
          <w:color w:val="000000"/>
          <w:sz w:val="24"/>
          <w:szCs w:val="24"/>
          <w:highlight w:val="none"/>
        </w:rPr>
        <w:t xml:space="preserve">材料，</w:t>
      </w:r>
      <w:r>
        <w:rPr>
          <w:rFonts w:ascii="Times New Roman" w:hAnsi="Times New Roman"/>
          <w:color w:val="000000"/>
          <w:sz w:val="24"/>
          <w:szCs w:val="24"/>
          <w:highlight w:val="none"/>
        </w:rPr>
        <w:t xml:space="preserve">供应商需</w:t>
      </w:r>
      <w:r>
        <w:rPr>
          <w:rFonts w:ascii="Times New Roman" w:hAnsi="Times New Roman"/>
          <w:color w:val="000000"/>
          <w:sz w:val="24"/>
          <w:szCs w:val="24"/>
          <w:highlight w:val="none"/>
        </w:rPr>
        <w:t xml:space="preserve">将证明材料</w:t>
      </w:r>
      <w:r>
        <w:rPr>
          <w:rFonts w:ascii="Times New Roman" w:hAnsi="Times New Roman"/>
          <w:color w:val="000000"/>
          <w:sz w:val="24"/>
          <w:szCs w:val="24"/>
          <w:highlight w:val="none"/>
        </w:rPr>
        <w:t xml:space="preserve">列于</w:t>
      </w:r>
      <w:r>
        <w:rPr>
          <w:rFonts w:ascii="Times New Roman" w:hAnsi="Times New Roman"/>
          <w:color w:val="000000"/>
          <w:sz w:val="24"/>
          <w:szCs w:val="24"/>
          <w:highlight w:val="none"/>
        </w:rPr>
        <w:t xml:space="preserve">该表之下。</w:t>
      </w:r>
      <w:r>
        <w:rPr>
          <w:rFonts w:ascii="Times New Roman" w:hAnsi="Times New Roman"/>
          <w:color w:val="000000"/>
          <w:sz w:val="24"/>
          <w:szCs w:val="24"/>
          <w:highlight w:val="none"/>
        </w:rPr>
      </w:r>
      <w:r/>
    </w:p>
    <w:p>
      <w:pPr>
        <w:pStyle w:val="898"/>
        <w:ind w:left="480"/>
        <w:rPr>
          <w:rFonts w:ascii="Times New Roman" w:hAnsi="Times New Roman"/>
          <w:b/>
          <w:i/>
          <w:color w:val="000000"/>
          <w:sz w:val="24"/>
          <w:szCs w:val="21"/>
          <w:highlight w:val="none"/>
          <w:u w:val="single"/>
        </w:rPr>
      </w:pPr>
      <w:r>
        <w:rPr>
          <w:rFonts w:ascii="Times New Roman" w:hAnsi="Times New Roman"/>
          <w:b/>
          <w:i/>
          <w:color w:val="000000"/>
          <w:sz w:val="24"/>
          <w:szCs w:val="21"/>
          <w:highlight w:val="none"/>
          <w:u w:val="single"/>
        </w:rPr>
      </w:r>
      <w:r/>
    </w:p>
    <w:p>
      <w:pPr>
        <w:pStyle w:val="898"/>
        <w:jc w:val="center"/>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附件</w:t>
      </w:r>
      <w:r>
        <w:rPr>
          <w:rFonts w:ascii="Times New Roman" w:hAnsi="Times New Roman"/>
          <w:b/>
          <w:color w:val="000000"/>
          <w:sz w:val="24"/>
          <w:szCs w:val="24"/>
          <w:highlight w:val="none"/>
        </w:rPr>
        <w:t xml:space="preserve">3 </w:t>
      </w:r>
      <w:r>
        <w:rPr>
          <w:rFonts w:ascii="Times New Roman" w:hAnsi="Times New Roman"/>
          <w:b/>
          <w:color w:val="000000"/>
          <w:sz w:val="24"/>
          <w:szCs w:val="24"/>
          <w:highlight w:val="none"/>
        </w:rPr>
        <w:t xml:space="preserve">商务要求响应及偏离表（采购包号：**）</w:t>
      </w:r>
      <w:r>
        <w:rPr>
          <w:rFonts w:ascii="Times New Roman" w:hAnsi="Times New Roman"/>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序号</w:t>
            </w:r>
            <w:r>
              <w:rPr>
                <w:rFonts w:ascii="Times New Roman" w:hAnsi="Times New Roman"/>
                <w:color w:val="000000"/>
                <w:sz w:val="24"/>
                <w:szCs w:val="24"/>
                <w:highlight w:val="none"/>
              </w:rPr>
            </w:r>
            <w:r/>
          </w:p>
        </w:tc>
        <w:tc>
          <w:tcPr>
            <w:tcW w:w="3063" w:type="dxa"/>
            <w:vAlign w:val="center"/>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商务要求</w:t>
            </w:r>
            <w:r>
              <w:rPr>
                <w:rFonts w:ascii="Times New Roman" w:hAnsi="Times New Roman"/>
                <w:color w:val="000000"/>
                <w:sz w:val="24"/>
                <w:szCs w:val="24"/>
                <w:highlight w:val="none"/>
              </w:rPr>
            </w:r>
            <w:r/>
          </w:p>
        </w:tc>
        <w:tc>
          <w:tcPr>
            <w:tcW w:w="3191" w:type="dxa"/>
            <w:vAlign w:val="center"/>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响应情况</w:t>
            </w:r>
            <w:r>
              <w:rPr>
                <w:rFonts w:ascii="Times New Roman" w:hAnsi="Times New Roman"/>
                <w:color w:val="000000"/>
                <w:sz w:val="24"/>
                <w:szCs w:val="24"/>
                <w:highlight w:val="none"/>
              </w:rPr>
            </w:r>
            <w:r/>
          </w:p>
        </w:tc>
        <w:tc>
          <w:tcPr>
            <w:tcW w:w="2128" w:type="dxa"/>
            <w:vAlign w:val="center"/>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超出、符合或偏离</w:t>
            </w:r>
            <w:r>
              <w:rPr>
                <w:rFonts w:ascii="Times New Roman" w:hAnsi="Times New Roman"/>
                <w:color w:val="000000"/>
                <w:sz w:val="24"/>
                <w:szCs w:val="24"/>
                <w:highlight w:val="none"/>
              </w:rPr>
            </w:r>
            <w:r/>
          </w:p>
        </w:tc>
      </w:tr>
      <w:tr>
        <w:trPr>
          <w:cantSplit/>
          <w:trHeight w:val="640"/>
        </w:trPr>
        <w:tc>
          <w:tcPr>
            <w:tcW w:w="545"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3063"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3191"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28"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640"/>
        </w:trPr>
        <w:tc>
          <w:tcPr>
            <w:tcW w:w="545"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3063"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tc>
        <w:tc>
          <w:tcPr>
            <w:tcW w:w="3191"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28"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pStyle w:val="898"/>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附件</w:t>
      </w: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t xml:space="preserve">-1  证明</w:t>
      </w:r>
      <w:r>
        <w:rPr>
          <w:rFonts w:ascii="Times New Roman" w:hAnsi="Times New Roman"/>
          <w:color w:val="000000"/>
          <w:sz w:val="24"/>
          <w:szCs w:val="24"/>
          <w:highlight w:val="none"/>
        </w:rPr>
        <w:t xml:space="preserve">材料</w:t>
      </w:r>
      <w:r>
        <w:rPr>
          <w:rFonts w:ascii="Times New Roman" w:hAnsi="Times New Roman"/>
          <w:color w:val="000000"/>
          <w:sz w:val="24"/>
          <w:szCs w:val="24"/>
          <w:highlight w:val="none"/>
        </w:rPr>
        <w:t xml:space="preserve">1，证明</w:t>
      </w:r>
      <w:r>
        <w:rPr>
          <w:rFonts w:ascii="Times New Roman" w:hAnsi="Times New Roman"/>
          <w:color w:val="000000"/>
          <w:sz w:val="24"/>
          <w:szCs w:val="24"/>
          <w:highlight w:val="none"/>
        </w:rPr>
        <w:t xml:space="preserve">材料</w:t>
      </w: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898"/>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备注</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898"/>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eastAsia="方正魏碑_GBK" w:cs="Times New Roman"/>
          <w:color w:val="000000"/>
          <w:sz w:val="30"/>
          <w:szCs w:val="30"/>
          <w:highlight w:val="none"/>
        </w:rPr>
        <w:t xml:space="preserve">供应商需对磋商文件商务要求中的非实质性要求（</w:t>
      </w:r>
      <w:r>
        <w:rPr>
          <w:rFonts w:ascii="Times New Roman" w:hAnsi="Times New Roman" w:eastAsia="方正魏碑_GBK" w:cs="Times New Roman"/>
          <w:b/>
          <w:color w:val="000000"/>
          <w:sz w:val="30"/>
          <w:szCs w:val="30"/>
          <w:highlight w:val="none"/>
        </w:rPr>
        <w:t xml:space="preserve">未加</w:t>
      </w:r>
      <w:r>
        <w:rPr>
          <w:rFonts w:ascii="Times New Roman" w:hAnsi="Times New Roman" w:eastAsia="方正魏碑_GBK" w:cs="Times New Roman"/>
          <w:b/>
          <w:i/>
          <w:color w:val="000000"/>
          <w:sz w:val="30"/>
          <w:szCs w:val="30"/>
          <w:highlight w:val="none"/>
          <w:u w:val="single"/>
        </w:rPr>
        <w:t xml:space="preserve">斜体下划线</w:t>
      </w:r>
      <w:r>
        <w:rPr>
          <w:rFonts w:ascii="Times New Roman" w:hAnsi="Times New Roman" w:eastAsia="方正魏碑_GBK" w:cs="Times New Roman"/>
          <w:b/>
          <w:iCs/>
          <w:color w:val="000000"/>
          <w:sz w:val="30"/>
          <w:szCs w:val="30"/>
          <w:highlight w:val="none"/>
        </w:rPr>
        <w:t xml:space="preserve">部分</w:t>
      </w:r>
      <w:r>
        <w:rPr>
          <w:rFonts w:ascii="Times New Roman" w:hAnsi="Times New Roman" w:eastAsia="方正魏碑_GBK" w:cs="Times New Roman"/>
          <w:b/>
          <w:color w:val="000000"/>
          <w:sz w:val="30"/>
          <w:szCs w:val="30"/>
          <w:highlight w:val="none"/>
        </w:rPr>
        <w:t xml:space="preserve">或未加*号条款</w:t>
      </w:r>
      <w:r>
        <w:rPr>
          <w:rFonts w:ascii="Times New Roman" w:hAnsi="Times New Roman" w:eastAsia="方正魏碑_GBK" w:cs="Times New Roman"/>
          <w:color w:val="000000"/>
          <w:sz w:val="30"/>
          <w:szCs w:val="30"/>
          <w:highlight w:val="none"/>
        </w:rPr>
        <w:t xml:space="preserve">）</w:t>
      </w:r>
      <w:r>
        <w:rPr>
          <w:rFonts w:ascii="Times New Roman" w:hAnsi="Times New Roman"/>
          <w:color w:val="000000"/>
          <w:sz w:val="24"/>
          <w:szCs w:val="24"/>
          <w:highlight w:val="none"/>
        </w:rPr>
        <w:t xml:space="preserve">逐条做出明确响应</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898"/>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2.如果磋商</w:t>
      </w:r>
      <w:r>
        <w:rPr>
          <w:rFonts w:ascii="Times New Roman" w:hAnsi="Times New Roman"/>
          <w:color w:val="000000"/>
          <w:sz w:val="24"/>
          <w:szCs w:val="24"/>
          <w:highlight w:val="none"/>
        </w:rPr>
        <w:t xml:space="preserve">文件要求提供</w:t>
      </w:r>
      <w:r>
        <w:rPr>
          <w:rFonts w:ascii="Times New Roman" w:hAnsi="Times New Roman"/>
          <w:color w:val="000000"/>
          <w:sz w:val="24"/>
          <w:szCs w:val="24"/>
          <w:highlight w:val="none"/>
        </w:rPr>
        <w:t xml:space="preserve">证明</w:t>
      </w:r>
      <w:r>
        <w:rPr>
          <w:rFonts w:ascii="Times New Roman" w:hAnsi="Times New Roman"/>
          <w:color w:val="000000"/>
          <w:sz w:val="24"/>
          <w:szCs w:val="24"/>
          <w:highlight w:val="none"/>
        </w:rPr>
        <w:t xml:space="preserve">材料，</w:t>
      </w:r>
      <w:r>
        <w:rPr>
          <w:rFonts w:ascii="Times New Roman" w:hAnsi="Times New Roman"/>
          <w:color w:val="000000"/>
          <w:sz w:val="24"/>
          <w:szCs w:val="24"/>
          <w:highlight w:val="none"/>
        </w:rPr>
        <w:t xml:space="preserve">供应商需</w:t>
      </w:r>
      <w:r>
        <w:rPr>
          <w:rFonts w:ascii="Times New Roman" w:hAnsi="Times New Roman"/>
          <w:color w:val="000000"/>
          <w:sz w:val="24"/>
          <w:szCs w:val="24"/>
          <w:highlight w:val="none"/>
        </w:rPr>
        <w:t xml:space="preserve">将证明材料</w:t>
      </w:r>
      <w:r>
        <w:rPr>
          <w:rFonts w:ascii="Times New Roman" w:hAnsi="Times New Roman"/>
          <w:color w:val="000000"/>
          <w:sz w:val="24"/>
          <w:szCs w:val="24"/>
          <w:highlight w:val="none"/>
        </w:rPr>
        <w:t xml:space="preserve">列于</w:t>
      </w:r>
      <w:r>
        <w:rPr>
          <w:rFonts w:ascii="Times New Roman" w:hAnsi="Times New Roman"/>
          <w:color w:val="000000"/>
          <w:sz w:val="24"/>
          <w:szCs w:val="24"/>
          <w:highlight w:val="none"/>
        </w:rPr>
        <w:t xml:space="preserve">该表之下。</w:t>
      </w:r>
      <w:r>
        <w:rPr>
          <w:rFonts w:ascii="Times New Roman" w:hAnsi="Times New Roman"/>
          <w:color w:val="000000"/>
          <w:sz w:val="24"/>
          <w:szCs w:val="24"/>
          <w:highlight w:val="none"/>
        </w:rPr>
      </w:r>
      <w:r/>
    </w:p>
    <w:p>
      <w:pPr>
        <w:pStyle w:val="898"/>
        <w:rPr>
          <w:rFonts w:ascii="Times New Roman" w:hAnsi="Times New Roman"/>
          <w:b/>
          <w:color w:val="000000"/>
          <w:sz w:val="24"/>
          <w:szCs w:val="21"/>
          <w:highlight w:val="none"/>
        </w:rPr>
      </w:pPr>
      <w:r>
        <w:rPr>
          <w:rFonts w:ascii="Times New Roman" w:hAnsi="Times New Roman"/>
          <w:b/>
          <w:color w:val="000000"/>
          <w:sz w:val="24"/>
          <w:szCs w:val="21"/>
          <w:highlight w:val="none"/>
        </w:rPr>
      </w:r>
      <w:r/>
    </w:p>
    <w:p>
      <w:pPr>
        <w:pStyle w:val="898"/>
        <w:ind w:left="480"/>
        <w:rPr>
          <w:rFonts w:ascii="Times New Roman" w:hAnsi="Times New Roman"/>
          <w:b/>
          <w:color w:val="000000"/>
          <w:sz w:val="24"/>
          <w:szCs w:val="21"/>
          <w:highlight w:val="none"/>
        </w:rPr>
      </w:pPr>
      <w:r>
        <w:rPr>
          <w:rFonts w:ascii="Times New Roman" w:hAnsi="Times New Roman"/>
          <w:b/>
          <w:color w:val="000000"/>
          <w:sz w:val="24"/>
          <w:szCs w:val="21"/>
          <w:highlight w:val="none"/>
        </w:rPr>
      </w:r>
      <w:r/>
    </w:p>
    <w:p>
      <w:pPr>
        <w:pStyle w:val="898"/>
        <w:ind w:left="480"/>
        <w:rPr>
          <w:rFonts w:ascii="Times New Roman" w:hAnsi="Times New Roman"/>
          <w:b/>
          <w:color w:val="000000"/>
          <w:sz w:val="24"/>
          <w:szCs w:val="21"/>
          <w:highlight w:val="none"/>
        </w:rPr>
      </w:pPr>
      <w:r>
        <w:rPr>
          <w:rFonts w:ascii="Times New Roman" w:hAnsi="Times New Roman"/>
          <w:b/>
          <w:color w:val="000000"/>
          <w:sz w:val="24"/>
          <w:szCs w:val="21"/>
          <w:highlight w:val="none"/>
        </w:rPr>
      </w:r>
      <w:r/>
    </w:p>
    <w:p>
      <w:pPr>
        <w:pStyle w:val="898"/>
        <w:ind w:left="480"/>
        <w:rPr>
          <w:rFonts w:ascii="Times New Roman" w:hAnsi="Times New Roman"/>
          <w:b/>
          <w:color w:val="000000"/>
          <w:sz w:val="24"/>
          <w:szCs w:val="21"/>
          <w:highlight w:val="none"/>
        </w:rPr>
      </w:pPr>
      <w:r>
        <w:rPr>
          <w:rFonts w:ascii="Times New Roman" w:hAnsi="Times New Roman"/>
          <w:b/>
          <w:color w:val="000000"/>
          <w:sz w:val="24"/>
          <w:szCs w:val="21"/>
          <w:highlight w:val="none"/>
        </w:rPr>
        <w:t xml:space="preserve">附件</w:t>
      </w:r>
      <w:r>
        <w:rPr>
          <w:rFonts w:ascii="Times New Roman" w:hAnsi="Times New Roman"/>
          <w:b/>
          <w:color w:val="000000"/>
          <w:sz w:val="24"/>
          <w:szCs w:val="21"/>
          <w:highlight w:val="none"/>
        </w:rPr>
        <w:t xml:space="preserve">4</w:t>
      </w:r>
      <w:r>
        <w:rPr>
          <w:rFonts w:ascii="Times New Roman" w:hAnsi="Times New Roman"/>
          <w:b/>
          <w:color w:val="000000"/>
          <w:sz w:val="24"/>
          <w:szCs w:val="21"/>
          <w:highlight w:val="none"/>
        </w:rPr>
        <w:t xml:space="preserve"> 具备履行合同所必需的设备和专业技术能力的书面声明</w:t>
      </w:r>
      <w:r>
        <w:rPr>
          <w:rFonts w:ascii="Times New Roman" w:hAnsi="Times New Roman"/>
          <w:b/>
          <w:color w:val="000000"/>
          <w:sz w:val="24"/>
          <w:szCs w:val="21"/>
          <w:highlight w:val="none"/>
        </w:rPr>
      </w:r>
      <w:r/>
    </w:p>
    <w:p>
      <w:pPr>
        <w:pStyle w:val="898"/>
        <w:ind w:firstLine="492"/>
        <w:spacing w:line="460" w:lineRule="exact"/>
        <w:rPr>
          <w:rFonts w:ascii="Times New Roman" w:hAnsi="Times New Roman"/>
          <w:bCs/>
          <w:color w:val="000000"/>
          <w:sz w:val="24"/>
          <w:szCs w:val="21"/>
          <w:highlight w:val="none"/>
        </w:rPr>
      </w:pPr>
      <w:r>
        <w:rPr>
          <w:rFonts w:ascii="Times New Roman" w:hAnsi="Times New Roman"/>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ascii="Times New Roman" w:hAnsi="Times New Roman"/>
          <w:bCs/>
          <w:color w:val="000000"/>
          <w:sz w:val="24"/>
          <w:szCs w:val="21"/>
          <w:highlight w:val="none"/>
        </w:rPr>
      </w:r>
      <w:r/>
    </w:p>
    <w:p>
      <w:pPr>
        <w:pStyle w:val="898"/>
        <w:ind w:firstLine="492"/>
        <w:spacing w:line="460" w:lineRule="exact"/>
        <w:rPr>
          <w:rFonts w:ascii="Times New Roman" w:hAnsi="Times New Roman"/>
          <w:bCs/>
          <w:color w:val="000000"/>
          <w:sz w:val="24"/>
          <w:szCs w:val="21"/>
          <w:highlight w:val="none"/>
        </w:rPr>
      </w:pPr>
      <w:r>
        <w:rPr>
          <w:rFonts w:ascii="Times New Roman" w:hAnsi="Times New Roman"/>
          <w:bCs/>
          <w:color w:val="000000"/>
          <w:sz w:val="24"/>
          <w:szCs w:val="21"/>
          <w:highlight w:val="none"/>
        </w:rPr>
        <w:t xml:space="preserve">主要设备有：</w:t>
      </w:r>
      <w:r>
        <w:rPr>
          <w:rFonts w:ascii="Times New Roman" w:hAnsi="Times New Roman"/>
          <w:bCs/>
          <w:color w:val="000000"/>
          <w:sz w:val="24"/>
          <w:szCs w:val="21"/>
          <w:highlight w:val="none"/>
          <w:u w:val="single"/>
        </w:rPr>
        <w:t xml:space="preserve">  </w:t>
      </w:r>
      <w:r>
        <w:rPr>
          <w:rFonts w:ascii="Times New Roman" w:hAnsi="Times New Roman"/>
          <w:bCs/>
          <w:color w:val="000000"/>
          <w:sz w:val="24"/>
          <w:szCs w:val="21"/>
          <w:highlight w:val="none"/>
          <w:u w:val="single"/>
        </w:rPr>
        <w:t xml:space="preserve">    </w:t>
      </w:r>
      <w:r>
        <w:rPr>
          <w:rFonts w:ascii="Times New Roman" w:hAnsi="Times New Roman"/>
          <w:bCs/>
          <w:color w:val="000000"/>
          <w:sz w:val="24"/>
          <w:szCs w:val="21"/>
          <w:highlight w:val="none"/>
        </w:rPr>
        <w:t xml:space="preserve">。</w:t>
      </w:r>
      <w:r>
        <w:rPr>
          <w:rFonts w:ascii="Times New Roman" w:hAnsi="Times New Roman"/>
          <w:bCs/>
          <w:color w:val="000000"/>
          <w:sz w:val="24"/>
          <w:szCs w:val="21"/>
          <w:highlight w:val="none"/>
        </w:rPr>
      </w:r>
      <w:r/>
    </w:p>
    <w:p>
      <w:pPr>
        <w:pStyle w:val="898"/>
        <w:ind w:firstLine="492"/>
        <w:spacing w:line="460" w:lineRule="exact"/>
        <w:rPr>
          <w:rFonts w:ascii="Times New Roman" w:hAnsi="Times New Roman"/>
          <w:bCs/>
          <w:color w:val="000000"/>
          <w:sz w:val="24"/>
          <w:szCs w:val="21"/>
          <w:highlight w:val="none"/>
        </w:rPr>
      </w:pPr>
      <w:r>
        <w:rPr>
          <w:rFonts w:ascii="Times New Roman" w:hAnsi="Times New Roman"/>
          <w:bCs/>
          <w:color w:val="000000"/>
          <w:sz w:val="24"/>
          <w:szCs w:val="21"/>
          <w:highlight w:val="none"/>
        </w:rPr>
        <w:t xml:space="preserve">主要专业技术能力有：</w:t>
      </w:r>
      <w:r>
        <w:rPr>
          <w:rFonts w:ascii="Times New Roman" w:hAnsi="Times New Roman"/>
          <w:bCs/>
          <w:color w:val="000000"/>
          <w:sz w:val="24"/>
          <w:szCs w:val="21"/>
          <w:highlight w:val="none"/>
          <w:u w:val="single"/>
        </w:rPr>
        <w:t xml:space="preserve">   </w:t>
      </w:r>
      <w:r>
        <w:rPr>
          <w:rFonts w:ascii="Times New Roman" w:hAnsi="Times New Roman"/>
          <w:bCs/>
          <w:color w:val="000000"/>
          <w:sz w:val="24"/>
          <w:szCs w:val="21"/>
          <w:highlight w:val="none"/>
          <w:u w:val="single"/>
        </w:rPr>
        <w:t xml:space="preserve">      </w:t>
      </w:r>
      <w:r>
        <w:rPr>
          <w:rFonts w:ascii="Times New Roman" w:hAnsi="Times New Roman"/>
          <w:bCs/>
          <w:color w:val="000000"/>
          <w:sz w:val="24"/>
          <w:szCs w:val="21"/>
          <w:highlight w:val="none"/>
        </w:rPr>
        <w:t xml:space="preserve">。</w:t>
      </w:r>
      <w:r>
        <w:rPr>
          <w:rFonts w:ascii="Times New Roman" w:hAnsi="Times New Roman"/>
          <w:bCs/>
          <w:color w:val="000000"/>
          <w:sz w:val="24"/>
          <w:szCs w:val="21"/>
          <w:highlight w:val="none"/>
        </w:rPr>
      </w:r>
      <w:r/>
    </w:p>
    <w:p>
      <w:pPr>
        <w:pStyle w:val="898"/>
        <w:ind w:firstLine="492"/>
        <w:spacing w:line="460" w:lineRule="exact"/>
        <w:rPr>
          <w:rFonts w:ascii="Times New Roman" w:hAnsi="Times New Roman"/>
          <w:bCs/>
          <w:color w:val="000000"/>
          <w:sz w:val="24"/>
          <w:szCs w:val="21"/>
          <w:highlight w:val="none"/>
        </w:rPr>
      </w:pPr>
      <w:r>
        <w:rPr>
          <w:rFonts w:ascii="Times New Roman" w:hAnsi="Times New Roman"/>
          <w:bCs/>
          <w:color w:val="000000"/>
          <w:sz w:val="24"/>
          <w:szCs w:val="21"/>
          <w:highlight w:val="none"/>
        </w:rPr>
      </w:r>
      <w:r/>
    </w:p>
    <w:p>
      <w:pPr>
        <w:pStyle w:val="898"/>
        <w:ind w:left="480"/>
        <w:rPr>
          <w:rFonts w:ascii="Times New Roman" w:hAnsi="Times New Roman"/>
          <w:b/>
          <w:color w:val="000000"/>
          <w:sz w:val="24"/>
          <w:szCs w:val="21"/>
          <w:highlight w:val="none"/>
        </w:rPr>
      </w:pPr>
      <w:r>
        <w:rPr>
          <w:rFonts w:ascii="Times New Roman" w:hAnsi="Times New Roman"/>
          <w:b/>
          <w:color w:val="000000"/>
          <w:sz w:val="24"/>
          <w:szCs w:val="21"/>
          <w:highlight w:val="none"/>
        </w:rPr>
        <w:t xml:space="preserve">附件</w:t>
      </w:r>
      <w:r>
        <w:rPr>
          <w:rFonts w:ascii="Times New Roman" w:hAnsi="Times New Roman"/>
          <w:b/>
          <w:color w:val="000000"/>
          <w:sz w:val="24"/>
          <w:szCs w:val="21"/>
          <w:highlight w:val="none"/>
        </w:rPr>
        <w:t xml:space="preserve">5 </w:t>
      </w:r>
      <w:r>
        <w:rPr>
          <w:rFonts w:ascii="Times New Roman" w:hAnsi="Times New Roman"/>
          <w:b/>
          <w:color w:val="000000"/>
          <w:sz w:val="24"/>
          <w:szCs w:val="21"/>
          <w:highlight w:val="none"/>
        </w:rPr>
        <w:t xml:space="preserve">参加政府采购活动前 3 年内在经营活动中没有重大违法记录的书面声明</w:t>
      </w:r>
      <w:r>
        <w:rPr>
          <w:rFonts w:ascii="Times New Roman" w:hAnsi="Times New Roman"/>
          <w:b/>
          <w:color w:val="000000"/>
          <w:sz w:val="24"/>
          <w:szCs w:val="21"/>
          <w:highlight w:val="none"/>
        </w:rPr>
      </w:r>
      <w:r/>
    </w:p>
    <w:p>
      <w:pPr>
        <w:pStyle w:val="898"/>
        <w:ind w:firstLine="480"/>
        <w:spacing w:line="460" w:lineRule="exact"/>
        <w:rPr>
          <w:rFonts w:ascii="Times New Roman" w:hAnsi="Times New Roman"/>
          <w:bCs/>
          <w:color w:val="000000"/>
          <w:sz w:val="24"/>
          <w:szCs w:val="21"/>
          <w:highlight w:val="none"/>
        </w:rPr>
      </w:pPr>
      <w:r>
        <w:rPr>
          <w:rFonts w:ascii="Times New Roman" w:hAnsi="Times New Roman"/>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Times New Roman" w:hAnsi="Times New Roman"/>
          <w:bCs/>
          <w:color w:val="000000"/>
          <w:sz w:val="24"/>
          <w:szCs w:val="21"/>
          <w:highlight w:val="none"/>
        </w:rPr>
      </w:r>
      <w:r/>
    </w:p>
    <w:p>
      <w:pPr>
        <w:pStyle w:val="898"/>
        <w:ind w:firstLine="492"/>
        <w:spacing w:line="460" w:lineRule="exact"/>
        <w:rPr>
          <w:rFonts w:ascii="Times New Roman" w:hAnsi="Times New Roman"/>
          <w:bCs/>
          <w:color w:val="000000"/>
          <w:sz w:val="24"/>
          <w:szCs w:val="21"/>
          <w:highlight w:val="none"/>
        </w:rPr>
      </w:pPr>
      <w:r>
        <w:rPr>
          <w:rFonts w:ascii="Times New Roman" w:hAnsi="Times New Roman"/>
          <w:bCs/>
          <w:color w:val="000000"/>
          <w:sz w:val="24"/>
          <w:szCs w:val="21"/>
          <w:highlight w:val="none"/>
        </w:rPr>
      </w:r>
      <w:r/>
    </w:p>
    <w:p>
      <w:pPr>
        <w:pStyle w:val="898"/>
        <w:rPr>
          <w:rFonts w:ascii="Times New Roman" w:hAnsi="Times New Roman"/>
          <w:b/>
          <w:color w:val="000000"/>
          <w:sz w:val="24"/>
          <w:szCs w:val="21"/>
          <w:highlight w:val="none"/>
        </w:rPr>
      </w:pPr>
      <w:r/>
      <w:bookmarkEnd w:id="188"/>
      <w:r/>
      <w:bookmarkEnd w:id="189"/>
      <w:r/>
      <w:bookmarkEnd w:id="190"/>
      <w:r/>
      <w:bookmarkStart w:id="191" w:name="_Toc120614284"/>
      <w:r>
        <w:rPr>
          <w:rFonts w:ascii="Times New Roman" w:hAnsi="Times New Roman"/>
          <w:b/>
          <w:color w:val="000000"/>
          <w:sz w:val="24"/>
          <w:szCs w:val="21"/>
          <w:highlight w:val="none"/>
        </w:rPr>
      </w:r>
      <w:r/>
    </w:p>
    <w:p>
      <w:pPr>
        <w:pStyle w:val="898"/>
        <w:jc w:val="center"/>
        <w:rPr>
          <w:rFonts w:ascii="Times New Roman" w:hAnsi="Times New Roman"/>
          <w:b/>
          <w:color w:val="000000"/>
          <w:sz w:val="24"/>
          <w:szCs w:val="21"/>
          <w:highlight w:val="none"/>
        </w:rPr>
      </w:pPr>
      <w:r>
        <w:rPr>
          <w:rFonts w:ascii="Times New Roman" w:hAnsi="Times New Roman"/>
          <w:b/>
          <w:color w:val="000000"/>
          <w:sz w:val="24"/>
          <w:szCs w:val="21"/>
          <w:highlight w:val="none"/>
        </w:rPr>
        <w:t xml:space="preserve">附件</w:t>
      </w:r>
      <w:r>
        <w:rPr>
          <w:rFonts w:ascii="Times New Roman" w:hAnsi="Times New Roman"/>
          <w:b/>
          <w:color w:val="000000"/>
          <w:sz w:val="24"/>
          <w:szCs w:val="21"/>
          <w:highlight w:val="none"/>
        </w:rPr>
        <w:t xml:space="preserve">6</w:t>
      </w:r>
      <w:r>
        <w:rPr>
          <w:rFonts w:ascii="Times New Roman" w:hAnsi="Times New Roman"/>
          <w:b/>
          <w:color w:val="000000"/>
          <w:sz w:val="24"/>
          <w:szCs w:val="21"/>
          <w:highlight w:val="none"/>
        </w:rPr>
        <w:t xml:space="preserve"> </w:t>
      </w:r>
      <w:r>
        <w:rPr>
          <w:rFonts w:ascii="Times New Roman" w:hAnsi="Times New Roman"/>
          <w:b/>
          <w:color w:val="000000"/>
          <w:sz w:val="24"/>
          <w:szCs w:val="21"/>
          <w:highlight w:val="none"/>
        </w:rPr>
        <w:t xml:space="preserve"> </w:t>
      </w:r>
      <w:r>
        <w:rPr>
          <w:rFonts w:ascii="Times New Roman" w:hAnsi="Times New Roman"/>
          <w:b/>
          <w:color w:val="000000"/>
          <w:sz w:val="24"/>
          <w:szCs w:val="21"/>
          <w:highlight w:val="none"/>
        </w:rPr>
        <w:t xml:space="preserve"> 法人授权书</w:t>
      </w:r>
      <w:r>
        <w:rPr>
          <w:rFonts w:ascii="Times New Roman" w:hAnsi="Times New Roman"/>
          <w:b/>
          <w:color w:val="000000"/>
          <w:sz w:val="24"/>
          <w:szCs w:val="21"/>
          <w:highlight w:val="none"/>
        </w:rPr>
      </w:r>
      <w:r/>
    </w:p>
    <w:p>
      <w:pPr>
        <w:pStyle w:val="898"/>
        <w:ind w:firstLine="480"/>
        <w:spacing w:line="0" w:lineRule="atLeast"/>
        <w:tabs>
          <w:tab w:val="left" w:pos="360" w:leader="none"/>
        </w:tabs>
        <w:rPr>
          <w:color w:val="000000"/>
          <w:sz w:val="24"/>
          <w:szCs w:val="24"/>
          <w:highlight w:val="none"/>
        </w:rPr>
      </w:pPr>
      <w:r>
        <w:rPr>
          <w:color w:val="000000"/>
          <w:sz w:val="24"/>
          <w:szCs w:val="24"/>
          <w:highlight w:val="none"/>
        </w:rPr>
        <w:t xml:space="preserve">本授权书声明：____________（供应商名称）授权________________（被授权人的姓名）为我方就JSZC-</w:t>
      </w:r>
      <w:r>
        <w:rPr>
          <w:color w:val="000000"/>
          <w:sz w:val="24"/>
          <w:szCs w:val="24"/>
          <w:highlight w:val="none"/>
        </w:rPr>
        <w:t xml:space="preserve">320000-</w:t>
      </w:r>
      <w:r>
        <w:rPr>
          <w:color w:val="000000"/>
          <w:sz w:val="24"/>
          <w:szCs w:val="24"/>
          <w:highlight w:val="none"/>
          <w:u w:val="single"/>
        </w:rPr>
        <w:t xml:space="preserve">***</w:t>
      </w:r>
      <w:r>
        <w:rPr>
          <w:color w:val="000000"/>
          <w:sz w:val="24"/>
          <w:szCs w:val="24"/>
          <w:highlight w:val="none"/>
          <w:u w:val="single"/>
        </w:rPr>
        <w:t xml:space="preserve">*</w:t>
      </w:r>
      <w:r>
        <w:rPr>
          <w:color w:val="000000"/>
          <w:sz w:val="24"/>
          <w:szCs w:val="24"/>
          <w:highlight w:val="none"/>
        </w:rPr>
        <w:t xml:space="preserve">号项目采购活动的合法代理人，以本单位名义全权处理一切与该项目采购有关的事务。</w:t>
      </w:r>
      <w:r>
        <w:rPr>
          <w:color w:val="000000"/>
          <w:sz w:val="24"/>
          <w:szCs w:val="24"/>
          <w:highlight w:val="none"/>
        </w:rPr>
      </w:r>
      <w:r/>
    </w:p>
    <w:p>
      <w:pPr>
        <w:pStyle w:val="898"/>
        <w:ind w:firstLine="480"/>
        <w:spacing w:line="0" w:lineRule="atLeast"/>
        <w:tabs>
          <w:tab w:val="left" w:pos="360" w:leader="none"/>
        </w:tabs>
        <w:rPr>
          <w:color w:val="000000"/>
          <w:sz w:val="24"/>
          <w:szCs w:val="24"/>
          <w:highlight w:val="none"/>
        </w:rPr>
      </w:pPr>
      <w:r>
        <w:rPr>
          <w:color w:val="000000"/>
          <w:sz w:val="24"/>
          <w:szCs w:val="24"/>
          <w:highlight w:val="none"/>
        </w:rPr>
        <w:t xml:space="preserve">本授权书于______年____月____日起生效，特此声明。</w:t>
      </w:r>
      <w:r>
        <w:rPr>
          <w:color w:val="000000"/>
          <w:sz w:val="24"/>
          <w:szCs w:val="24"/>
          <w:highlight w:val="none"/>
        </w:rPr>
      </w:r>
      <w:r/>
    </w:p>
    <w:p>
      <w:pPr>
        <w:pStyle w:val="898"/>
        <w:spacing w:line="0" w:lineRule="atLeast"/>
        <w:tabs>
          <w:tab w:val="left" w:pos="360" w:leader="none"/>
        </w:tabs>
        <w:rPr>
          <w:color w:val="000000"/>
          <w:sz w:val="24"/>
          <w:szCs w:val="24"/>
          <w:highlight w:val="none"/>
          <w:u w:val="single"/>
        </w:rPr>
      </w:pPr>
      <w:r>
        <w:rPr>
          <w:color w:val="000000"/>
          <w:sz w:val="24"/>
          <w:szCs w:val="24"/>
          <w:highlight w:val="none"/>
        </w:rPr>
        <w:t xml:space="preserve">    被授权人身份证号码：</w:t>
      </w:r>
      <w:r>
        <w:rPr>
          <w:color w:val="000000"/>
          <w:sz w:val="24"/>
          <w:szCs w:val="24"/>
          <w:highlight w:val="none"/>
          <w:u w:val="single"/>
        </w:rPr>
        <w:t xml:space="preserve">                              </w:t>
      </w:r>
      <w:r>
        <w:rPr>
          <w:color w:val="000000"/>
          <w:sz w:val="24"/>
          <w:szCs w:val="24"/>
          <w:highlight w:val="none"/>
          <w:u w:val="single"/>
        </w:rPr>
      </w:r>
      <w:r/>
    </w:p>
    <w:p>
      <w:pPr>
        <w:pStyle w:val="898"/>
        <w:ind w:firstLine="480"/>
        <w:spacing w:line="0" w:lineRule="atLeast"/>
        <w:tabs>
          <w:tab w:val="left" w:pos="360" w:leader="none"/>
        </w:tabs>
        <w:rPr>
          <w:color w:val="000000"/>
          <w:sz w:val="24"/>
          <w:szCs w:val="24"/>
          <w:highlight w:val="none"/>
          <w:u w:val="single"/>
        </w:rPr>
      </w:pPr>
      <w:r>
        <w:rPr>
          <w:color w:val="000000"/>
          <w:sz w:val="24"/>
          <w:szCs w:val="24"/>
          <w:highlight w:val="none"/>
        </w:rPr>
        <w:t xml:space="preserve">被授权人联系电话：（手机）</w:t>
      </w:r>
      <w:r>
        <w:rPr>
          <w:color w:val="000000"/>
          <w:sz w:val="24"/>
          <w:szCs w:val="24"/>
          <w:highlight w:val="none"/>
          <w:u w:val="single"/>
        </w:rPr>
        <w:t xml:space="preserve">                          </w:t>
      </w:r>
      <w:r>
        <w:rPr>
          <w:color w:val="000000"/>
          <w:sz w:val="24"/>
          <w:szCs w:val="24"/>
          <w:highlight w:val="none"/>
          <w:u w:val="single"/>
        </w:rPr>
      </w:r>
      <w:r/>
    </w:p>
    <w:p>
      <w:pPr>
        <w:pStyle w:val="898"/>
        <w:ind w:firstLine="480"/>
        <w:spacing w:line="0" w:lineRule="atLeast"/>
        <w:tabs>
          <w:tab w:val="left" w:pos="360" w:leader="none"/>
        </w:tabs>
        <w:rPr>
          <w:color w:val="000000"/>
          <w:sz w:val="24"/>
          <w:szCs w:val="24"/>
          <w:highlight w:val="none"/>
          <w:u w:val="single"/>
        </w:rPr>
      </w:pPr>
      <w:r>
        <w:rPr>
          <w:color w:val="000000"/>
          <w:sz w:val="24"/>
          <w:szCs w:val="24"/>
          <w:highlight w:val="none"/>
        </w:rPr>
        <w:t xml:space="preserve">被授权人电子邮箱：</w:t>
      </w:r>
      <w:r>
        <w:rPr>
          <w:color w:val="000000"/>
          <w:sz w:val="24"/>
          <w:szCs w:val="24"/>
          <w:highlight w:val="none"/>
          <w:u w:val="single"/>
        </w:rPr>
        <w:t xml:space="preserve">                </w:t>
      </w:r>
      <w:r>
        <w:rPr>
          <w:color w:val="000000"/>
          <w:sz w:val="24"/>
          <w:szCs w:val="24"/>
          <w:highlight w:val="none"/>
          <w:u w:val="single"/>
        </w:rPr>
      </w:r>
      <w:r/>
    </w:p>
    <w:p>
      <w:pPr>
        <w:pStyle w:val="898"/>
        <w:ind w:firstLine="480"/>
        <w:spacing w:line="0" w:lineRule="atLeast"/>
        <w:tabs>
          <w:tab w:val="left" w:pos="360" w:leader="none"/>
        </w:tabs>
        <w:rPr>
          <w:color w:val="000000"/>
          <w:sz w:val="24"/>
          <w:szCs w:val="24"/>
          <w:highlight w:val="none"/>
          <w:u w:val="single"/>
        </w:rPr>
      </w:pPr>
      <w:r>
        <w:rPr>
          <w:color w:val="000000"/>
          <w:sz w:val="24"/>
          <w:szCs w:val="24"/>
          <w:highlight w:val="none"/>
        </w:rPr>
        <w:t xml:space="preserve">授权单位名称：</w:t>
      </w:r>
      <w:r>
        <w:rPr>
          <w:color w:val="000000"/>
          <w:sz w:val="24"/>
          <w:szCs w:val="24"/>
          <w:highlight w:val="none"/>
          <w:u w:val="single"/>
        </w:rPr>
        <w:t xml:space="preserve">（加盖CA电子公章）</w:t>
      </w:r>
      <w:r>
        <w:rPr>
          <w:color w:val="000000"/>
          <w:sz w:val="24"/>
          <w:szCs w:val="24"/>
          <w:highlight w:val="none"/>
          <w:u w:val="single"/>
        </w:rPr>
      </w:r>
      <w:r/>
    </w:p>
    <w:p>
      <w:pPr>
        <w:pStyle w:val="898"/>
        <w:ind w:firstLine="480"/>
        <w:spacing w:line="0" w:lineRule="atLeast"/>
        <w:tabs>
          <w:tab w:val="left" w:pos="360" w:leader="none"/>
        </w:tabs>
        <w:rPr>
          <w:color w:val="000000"/>
          <w:sz w:val="24"/>
          <w:szCs w:val="24"/>
          <w:highlight w:val="none"/>
          <w:u w:val="single"/>
        </w:rPr>
      </w:pPr>
      <w:r>
        <w:rPr>
          <w:color w:val="000000"/>
          <w:sz w:val="24"/>
          <w:szCs w:val="24"/>
          <w:highlight w:val="none"/>
        </w:rPr>
        <w:t xml:space="preserve">单位地址：</w:t>
      </w:r>
      <w:r>
        <w:rPr>
          <w:color w:val="000000"/>
          <w:sz w:val="24"/>
          <w:szCs w:val="24"/>
          <w:highlight w:val="none"/>
          <w:u w:val="single"/>
        </w:rPr>
        <w:t xml:space="preserve">                                         </w:t>
      </w:r>
      <w:r>
        <w:rPr>
          <w:color w:val="000000"/>
          <w:sz w:val="24"/>
          <w:szCs w:val="24"/>
          <w:highlight w:val="none"/>
          <w:u w:val="single"/>
        </w:rPr>
      </w:r>
      <w:r/>
    </w:p>
    <w:p>
      <w:pPr>
        <w:pStyle w:val="898"/>
        <w:ind w:firstLine="480"/>
        <w:spacing w:line="0" w:lineRule="atLeast"/>
        <w:tabs>
          <w:tab w:val="left" w:pos="360" w:leader="none"/>
        </w:tabs>
        <w:rPr>
          <w:color w:val="000000"/>
          <w:sz w:val="24"/>
          <w:szCs w:val="24"/>
          <w:highlight w:val="none"/>
          <w:u w:val="single"/>
        </w:rPr>
      </w:pPr>
      <w:r>
        <w:rPr>
          <w:color w:val="000000"/>
          <w:sz w:val="24"/>
          <w:szCs w:val="24"/>
          <w:highlight w:val="none"/>
        </w:rPr>
        <w:t xml:space="preserve">日期：</w:t>
      </w:r>
      <w:bookmarkStart w:id="192" w:name="_Hlt26955070"/>
      <w:r/>
      <w:bookmarkEnd w:id="192"/>
      <w:r/>
      <w:bookmarkStart w:id="193" w:name="_Hlt26671380"/>
      <w:r/>
      <w:bookmarkEnd w:id="193"/>
      <w:r/>
      <w:bookmarkStart w:id="194" w:name="_格式3__银行出具的资信证明"/>
      <w:r/>
      <w:bookmarkEnd w:id="194"/>
      <w:r>
        <w:rPr>
          <w:color w:val="000000"/>
          <w:sz w:val="24"/>
          <w:szCs w:val="24"/>
          <w:highlight w:val="none"/>
          <w:u w:val="single"/>
        </w:rPr>
        <w:t xml:space="preserve">                                         </w:t>
      </w:r>
      <w:r>
        <w:rPr>
          <w:color w:val="000000"/>
          <w:sz w:val="24"/>
          <w:szCs w:val="24"/>
          <w:highlight w:val="none"/>
          <w:u w:val="single"/>
        </w:rPr>
      </w:r>
      <w:r/>
    </w:p>
    <w:p>
      <w:pPr>
        <w:pStyle w:val="898"/>
        <w:ind w:firstLine="360"/>
        <w:spacing w:line="0" w:lineRule="atLeas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ind w:firstLine="480"/>
        <w:tabs>
          <w:tab w:val="left" w:pos="360" w:leader="none"/>
        </w:tabs>
        <w:rPr>
          <w:color w:val="000000"/>
          <w:sz w:val="24"/>
          <w:szCs w:val="24"/>
          <w:highlight w:val="none"/>
          <w:u w:val="single"/>
        </w:rPr>
      </w:pPr>
      <w:r>
        <w:rPr>
          <w:color w:val="000000"/>
          <w:sz w:val="24"/>
          <w:szCs w:val="24"/>
          <w:highlight w:val="none"/>
          <w:u w:val="single"/>
        </w:rPr>
      </w:r>
      <w:r/>
    </w:p>
    <w:p>
      <w:pPr>
        <w:pStyle w:val="898"/>
        <w:ind w:firstLine="480"/>
        <w:tabs>
          <w:tab w:val="left" w:pos="360" w:leader="none"/>
        </w:tabs>
        <w:rPr>
          <w:color w:val="000000"/>
          <w:sz w:val="24"/>
          <w:szCs w:val="24"/>
          <w:highlight w:val="none"/>
        </w:rPr>
      </w:pPr>
      <w:r>
        <w:rPr>
          <w:color w:val="000000"/>
          <w:sz w:val="24"/>
          <w:szCs w:val="24"/>
          <w:highlight w:val="none"/>
        </w:rPr>
      </w:r>
      <w:r/>
    </w:p>
    <w:p>
      <w:pPr>
        <w:pStyle w:val="898"/>
        <w:ind w:firstLine="480"/>
        <w:tabs>
          <w:tab w:val="left" w:pos="360" w:leader="none"/>
        </w:tabs>
        <w:rPr>
          <w:color w:val="000000"/>
          <w:sz w:val="24"/>
          <w:szCs w:val="24"/>
          <w:highlight w:val="none"/>
        </w:rPr>
      </w:pPr>
      <w:r>
        <w:rPr>
          <w:color w:val="000000"/>
          <w:sz w:val="24"/>
          <w:szCs w:val="24"/>
          <w:highlight w:val="none"/>
        </w:rPr>
      </w:r>
      <w:r/>
    </w:p>
    <w:p>
      <w:pPr>
        <w:pStyle w:val="898"/>
        <w:ind w:firstLine="480"/>
        <w:tabs>
          <w:tab w:val="left" w:pos="360" w:leader="none"/>
        </w:tabs>
        <w:rPr>
          <w:color w:val="000000"/>
          <w:sz w:val="24"/>
          <w:szCs w:val="24"/>
          <w:highlight w:val="none"/>
        </w:rPr>
      </w:pPr>
      <w:r>
        <w:rPr>
          <w:color w:val="000000"/>
          <w:sz w:val="24"/>
          <w:szCs w:val="24"/>
          <w:highlight w:val="none"/>
        </w:rPr>
      </w:r>
      <w:r/>
    </w:p>
    <w:p>
      <w:pPr>
        <w:pStyle w:val="898"/>
        <w:ind w:firstLine="420"/>
        <w:rPr>
          <w:i/>
          <w:color w:val="000000"/>
          <w:sz w:val="24"/>
          <w:szCs w:val="24"/>
          <w:highlight w:val="none"/>
          <w:u w:val="single"/>
        </w:rPr>
      </w:pPr>
      <w:r>
        <w:rPr>
          <w:i/>
          <w:color w:val="000000"/>
          <w:sz w:val="24"/>
          <w:szCs w:val="24"/>
          <w:highlight w:val="none"/>
          <w:u w:val="singl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rPr>
          <w:color w:val="000000"/>
          <w:szCs w:val="21"/>
          <w:highlight w:val="none"/>
        </w:rPr>
      </w:pPr>
      <w:r>
        <w:rPr>
          <w:color w:val="000000"/>
          <w:szCs w:val="21"/>
          <w:highlight w:val="none"/>
        </w:rPr>
      </w:r>
      <w:r/>
    </w:p>
    <w:p>
      <w:pPr>
        <w:pStyle w:val="898"/>
        <w:jc w:val="center"/>
        <w:rPr>
          <w:rFonts w:ascii="Times New Roman" w:hAnsi="Times New Roman" w:eastAsia="黑体"/>
          <w:b/>
          <w:i/>
          <w:color w:val="000000"/>
          <w:sz w:val="32"/>
          <w:szCs w:val="32"/>
          <w:highlight w:val="none"/>
          <w:u w:val="single"/>
        </w:rPr>
      </w:pPr>
      <w:r>
        <w:rPr>
          <w:rFonts w:ascii="Times New Roman" w:hAnsi="Times New Roman"/>
          <w:b/>
          <w:color w:val="000000"/>
          <w:sz w:val="24"/>
          <w:szCs w:val="21"/>
          <w:highlight w:val="none"/>
        </w:rPr>
        <w:t xml:space="preserve">附件</w:t>
      </w:r>
      <w:r>
        <w:rPr>
          <w:rFonts w:ascii="Times New Roman" w:hAnsi="Times New Roman"/>
          <w:b/>
          <w:color w:val="000000"/>
          <w:sz w:val="24"/>
          <w:szCs w:val="21"/>
          <w:highlight w:val="none"/>
        </w:rPr>
        <w:t xml:space="preserve">7</w:t>
      </w:r>
      <w:r>
        <w:rPr>
          <w:rFonts w:ascii="Times New Roman" w:hAnsi="Times New Roman"/>
          <w:b/>
          <w:color w:val="000000"/>
          <w:sz w:val="24"/>
          <w:szCs w:val="21"/>
          <w:highlight w:val="none"/>
        </w:rPr>
        <w:t xml:space="preserve"> </w:t>
      </w:r>
      <w:r>
        <w:rPr>
          <w:rFonts w:ascii="Times New Roman" w:hAnsi="Times New Roman"/>
          <w:b/>
          <w:color w:val="000000"/>
          <w:sz w:val="24"/>
          <w:szCs w:val="21"/>
          <w:highlight w:val="none"/>
        </w:rPr>
        <w:t xml:space="preserve">  </w:t>
      </w:r>
      <w:r>
        <w:rPr>
          <w:rFonts w:ascii="Times New Roman" w:hAnsi="Times New Roman"/>
          <w:b/>
          <w:color w:val="000000"/>
          <w:sz w:val="24"/>
          <w:szCs w:val="21"/>
          <w:highlight w:val="none"/>
        </w:rPr>
        <w:t xml:space="preserve">磋商响应函</w:t>
      </w:r>
      <w:r>
        <w:rPr>
          <w:rFonts w:ascii="Times New Roman" w:hAnsi="Times New Roman" w:eastAsia="黑体"/>
          <w:b/>
          <w:i/>
          <w:color w:val="000000"/>
          <w:sz w:val="32"/>
          <w:szCs w:val="32"/>
          <w:highlight w:val="none"/>
          <w:u w:val="single"/>
        </w:rPr>
      </w:r>
      <w:r/>
    </w:p>
    <w:p>
      <w:pPr>
        <w:pStyle w:val="898"/>
        <w:jc w:val="left"/>
        <w:spacing w:line="42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致：江苏省政府采购中心</w:t>
      </w:r>
      <w:r>
        <w:rPr>
          <w:rFonts w:ascii="Times New Roman" w:hAnsi="Times New Roman"/>
          <w:color w:val="000000"/>
          <w:sz w:val="24"/>
          <w:szCs w:val="21"/>
          <w:highlight w:val="none"/>
        </w:rPr>
      </w:r>
      <w:r/>
    </w:p>
    <w:p>
      <w:pPr>
        <w:pStyle w:val="898"/>
        <w:ind w:firstLine="480"/>
        <w:jc w:val="left"/>
        <w:spacing w:line="42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根据贵方的JSZC-</w:t>
      </w:r>
      <w:r>
        <w:rPr>
          <w:rFonts w:ascii="Times New Roman" w:hAnsi="Times New Roman"/>
          <w:color w:val="000000"/>
          <w:sz w:val="24"/>
          <w:szCs w:val="21"/>
          <w:highlight w:val="none"/>
        </w:rPr>
        <w:t xml:space="preserve">320000-</w:t>
      </w:r>
      <w:r>
        <w:rPr>
          <w:rFonts w:ascii="Times New Roman" w:hAnsi="Times New Roman"/>
          <w:color w:val="000000"/>
          <w:sz w:val="24"/>
          <w:szCs w:val="21"/>
          <w:highlight w:val="none"/>
          <w:u w:val="single"/>
        </w:rPr>
        <w:t xml:space="preserve">****</w:t>
      </w:r>
      <w:r>
        <w:rPr>
          <w:rFonts w:ascii="Times New Roman" w:hAnsi="Times New Roman"/>
          <w:color w:val="000000"/>
          <w:sz w:val="24"/>
          <w:szCs w:val="21"/>
          <w:highlight w:val="none"/>
        </w:rPr>
        <w:t xml:space="preserve">号磋商文件，正式授权下述签字人______(姓名)代表我方______________（供应商的名称），全权处理本次项目磋商的有关事宜。</w:t>
      </w:r>
      <w:r>
        <w:rPr>
          <w:rFonts w:ascii="Times New Roman" w:hAnsi="Times New Roman"/>
          <w:color w:val="000000"/>
          <w:sz w:val="24"/>
          <w:szCs w:val="21"/>
          <w:highlight w:val="none"/>
        </w:rPr>
      </w:r>
      <w:r/>
    </w:p>
    <w:p>
      <w:pPr>
        <w:pStyle w:val="898"/>
        <w:ind w:firstLine="480"/>
        <w:jc w:val="left"/>
        <w:spacing w:line="42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据此函，__________签字人兹宣布同意如下：</w:t>
      </w:r>
      <w:r>
        <w:rPr>
          <w:rFonts w:ascii="Times New Roman" w:hAnsi="Times New Roman"/>
          <w:color w:val="000000"/>
          <w:sz w:val="24"/>
          <w:szCs w:val="21"/>
          <w:highlight w:val="none"/>
        </w:rPr>
      </w:r>
      <w:r/>
    </w:p>
    <w:p>
      <w:pPr>
        <w:pStyle w:val="898"/>
        <w:ind w:firstLine="480"/>
        <w:jc w:val="left"/>
        <w:spacing w:line="42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1.按磋商文件规定的各项要求，向买方提供所需货物、服务（包含与货物相关的服务及与服务相关的货物）。</w:t>
      </w:r>
      <w:r>
        <w:rPr>
          <w:rFonts w:ascii="Times New Roman" w:hAnsi="Times New Roman"/>
          <w:color w:val="000000"/>
          <w:sz w:val="24"/>
          <w:szCs w:val="21"/>
          <w:highlight w:val="none"/>
        </w:rPr>
      </w:r>
      <w:r/>
    </w:p>
    <w:p>
      <w:pPr>
        <w:pStyle w:val="898"/>
        <w:ind w:firstLine="480"/>
        <w:jc w:val="left"/>
        <w:spacing w:line="42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2.我们完全理解贵方不一定将合同授予最低报价的供应商。</w:t>
      </w:r>
      <w:r>
        <w:rPr>
          <w:rFonts w:ascii="Times New Roman" w:hAnsi="Times New Roman"/>
          <w:color w:val="000000"/>
          <w:sz w:val="24"/>
          <w:szCs w:val="21"/>
          <w:highlight w:val="none"/>
        </w:rPr>
      </w:r>
      <w:r/>
    </w:p>
    <w:p>
      <w:pPr>
        <w:pStyle w:val="898"/>
        <w:ind w:firstLine="480"/>
        <w:jc w:val="left"/>
        <w:spacing w:line="42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3.我们已详细审核全部磋商文件及其有效补充文件，我们知道必须放弃提出含糊不清或误解问题的权利。</w:t>
      </w:r>
      <w:r>
        <w:rPr>
          <w:rFonts w:ascii="Times New Roman" w:hAnsi="Times New Roman"/>
          <w:color w:val="000000"/>
          <w:sz w:val="24"/>
          <w:szCs w:val="21"/>
          <w:highlight w:val="none"/>
        </w:rPr>
      </w:r>
      <w:r/>
    </w:p>
    <w:p>
      <w:pPr>
        <w:pStyle w:val="898"/>
        <w:ind w:firstLine="480"/>
        <w:jc w:val="left"/>
        <w:spacing w:line="42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4.我们同意从规定的开标日期起遵循本响应文件，并在规定的磋商有效期期满之前均具有约束力。</w:t>
      </w:r>
      <w:r>
        <w:rPr>
          <w:rFonts w:ascii="Times New Roman" w:hAnsi="Times New Roman"/>
          <w:color w:val="000000"/>
          <w:sz w:val="24"/>
          <w:szCs w:val="21"/>
          <w:highlight w:val="none"/>
        </w:rPr>
      </w:r>
      <w:r/>
    </w:p>
    <w:p>
      <w:pPr>
        <w:pStyle w:val="898"/>
        <w:ind w:firstLine="480"/>
        <w:jc w:val="left"/>
        <w:spacing w:line="42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5</w:t>
      </w:r>
      <w:r>
        <w:rPr>
          <w:rFonts w:ascii="Times New Roman" w:hAnsi="Times New Roman"/>
          <w:color w:val="000000"/>
          <w:sz w:val="24"/>
          <w:szCs w:val="21"/>
          <w:highlight w:val="none"/>
        </w:rPr>
        <w:t xml:space="preserve">.同意向贵方提供贵方可能另外要求的与磋商有关的任何证据或资料，并保证我方已提供和将要提供的文件是真实的、准确的。</w:t>
      </w:r>
      <w:r>
        <w:rPr>
          <w:rFonts w:ascii="Times New Roman" w:hAnsi="Times New Roman"/>
          <w:color w:val="000000"/>
          <w:sz w:val="24"/>
          <w:szCs w:val="21"/>
          <w:highlight w:val="none"/>
        </w:rPr>
      </w:r>
      <w:r/>
    </w:p>
    <w:p>
      <w:pPr>
        <w:pStyle w:val="898"/>
        <w:ind w:firstLine="480"/>
        <w:jc w:val="left"/>
        <w:spacing w:line="42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6</w:t>
      </w:r>
      <w:r>
        <w:rPr>
          <w:rFonts w:ascii="Times New Roman" w:hAnsi="Times New Roman"/>
          <w:color w:val="000000"/>
          <w:sz w:val="24"/>
          <w:szCs w:val="21"/>
          <w:highlight w:val="none"/>
        </w:rPr>
        <w:t xml:space="preserve">.一旦我方成交,我方将根据磋商文件的规定，严格履行合同的责任和义务,并保证在磋商文件规定的时间完成项目，交付买方验收、使用。</w:t>
      </w:r>
      <w:r>
        <w:rPr>
          <w:rFonts w:ascii="Times New Roman" w:hAnsi="Times New Roman"/>
          <w:color w:val="000000"/>
          <w:sz w:val="24"/>
          <w:szCs w:val="21"/>
          <w:highlight w:val="none"/>
        </w:rPr>
      </w:r>
      <w:r/>
    </w:p>
    <w:p>
      <w:pPr>
        <w:pStyle w:val="898"/>
        <w:ind w:left="425"/>
        <w:jc w:val="left"/>
        <w:spacing w:line="42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7</w:t>
      </w:r>
      <w:r>
        <w:rPr>
          <w:rFonts w:ascii="Times New Roman" w:hAnsi="Times New Roman"/>
          <w:color w:val="000000"/>
          <w:sz w:val="24"/>
          <w:szCs w:val="21"/>
          <w:highlight w:val="none"/>
        </w:rPr>
        <w:t xml:space="preserve">.我方与本磋商有关的正式通讯地址为：</w:t>
      </w:r>
      <w:r>
        <w:rPr>
          <w:rFonts w:ascii="Times New Roman" w:hAnsi="Times New Roman"/>
          <w:color w:val="000000"/>
          <w:sz w:val="24"/>
          <w:szCs w:val="21"/>
          <w:highlight w:val="none"/>
        </w:rPr>
      </w:r>
      <w:r/>
    </w:p>
    <w:p>
      <w:pPr>
        <w:pStyle w:val="898"/>
        <w:ind w:left="420" w:firstLine="480"/>
        <w:jc w:val="left"/>
        <w:spacing w:line="42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地          址：</w:t>
      </w:r>
      <w:r>
        <w:rPr>
          <w:rFonts w:ascii="Times New Roman" w:hAnsi="Times New Roman"/>
          <w:color w:val="000000"/>
          <w:sz w:val="24"/>
          <w:szCs w:val="21"/>
          <w:highlight w:val="none"/>
        </w:rPr>
      </w:r>
      <w:r/>
    </w:p>
    <w:p>
      <w:pPr>
        <w:pStyle w:val="898"/>
        <w:ind w:left="420" w:firstLine="480"/>
        <w:jc w:val="left"/>
        <w:spacing w:line="42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邮          编：</w:t>
      </w:r>
      <w:r>
        <w:rPr>
          <w:rFonts w:ascii="Times New Roman" w:hAnsi="Times New Roman"/>
          <w:color w:val="000000"/>
          <w:sz w:val="24"/>
          <w:szCs w:val="21"/>
          <w:highlight w:val="none"/>
        </w:rPr>
      </w:r>
      <w:r/>
    </w:p>
    <w:p>
      <w:pPr>
        <w:pStyle w:val="898"/>
        <w:ind w:left="420" w:firstLine="480"/>
        <w:jc w:val="left"/>
        <w:spacing w:line="42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电          话：</w:t>
      </w:r>
      <w:r>
        <w:rPr>
          <w:rFonts w:ascii="Times New Roman" w:hAnsi="Times New Roman"/>
          <w:color w:val="000000"/>
          <w:sz w:val="24"/>
          <w:szCs w:val="21"/>
          <w:highlight w:val="none"/>
        </w:rPr>
      </w:r>
      <w:r/>
    </w:p>
    <w:p>
      <w:pPr>
        <w:pStyle w:val="898"/>
        <w:ind w:left="420" w:firstLine="480"/>
        <w:jc w:val="left"/>
        <w:spacing w:line="42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传          真：</w:t>
      </w:r>
      <w:r>
        <w:rPr>
          <w:rFonts w:ascii="Times New Roman" w:hAnsi="Times New Roman"/>
          <w:color w:val="000000"/>
          <w:sz w:val="24"/>
          <w:szCs w:val="21"/>
          <w:highlight w:val="none"/>
        </w:rPr>
      </w:r>
      <w:r/>
    </w:p>
    <w:p>
      <w:pPr>
        <w:pStyle w:val="898"/>
        <w:ind w:left="420" w:firstLine="480"/>
        <w:jc w:val="left"/>
        <w:spacing w:line="42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供应商开户行：</w:t>
      </w:r>
      <w:r>
        <w:rPr>
          <w:rFonts w:ascii="Times New Roman" w:hAnsi="Times New Roman"/>
          <w:color w:val="000000"/>
          <w:sz w:val="24"/>
          <w:szCs w:val="21"/>
          <w:highlight w:val="none"/>
        </w:rPr>
      </w:r>
      <w:r/>
    </w:p>
    <w:p>
      <w:pPr>
        <w:pStyle w:val="898"/>
        <w:ind w:left="420" w:firstLine="480"/>
        <w:jc w:val="left"/>
        <w:spacing w:line="42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账          号： </w:t>
      </w:r>
      <w:r>
        <w:rPr>
          <w:rFonts w:ascii="Times New Roman" w:hAnsi="Times New Roman"/>
          <w:color w:val="000000"/>
          <w:sz w:val="24"/>
          <w:szCs w:val="21"/>
          <w:highlight w:val="none"/>
        </w:rPr>
      </w:r>
      <w:r/>
    </w:p>
    <w:p>
      <w:pPr>
        <w:pStyle w:val="898"/>
        <w:ind w:left="420" w:firstLine="480"/>
        <w:jc w:val="left"/>
        <w:spacing w:line="420" w:lineRule="exact"/>
        <w:rPr>
          <w:rFonts w:ascii="Times New Roman" w:hAnsi="Times New Roman"/>
          <w:color w:val="000000"/>
          <w:sz w:val="24"/>
          <w:szCs w:val="21"/>
          <w:highlight w:val="none"/>
        </w:rPr>
      </w:pPr>
      <w:r>
        <w:rPr>
          <w:rFonts w:ascii="Times New Roman" w:hAnsi="Times New Roman"/>
          <w:color w:val="000000"/>
          <w:sz w:val="24"/>
          <w:szCs w:val="21"/>
          <w:highlight w:val="none"/>
        </w:rPr>
        <w:t xml:space="preserve">日           期：________年____月____日</w:t>
      </w:r>
      <w:r>
        <w:rPr>
          <w:rFonts w:ascii="Times New Roman" w:hAnsi="Times New Roman"/>
          <w:color w:val="000000"/>
          <w:sz w:val="24"/>
          <w:szCs w:val="21"/>
          <w:highlight w:val="none"/>
        </w:rPr>
      </w:r>
      <w:r/>
    </w:p>
    <w:p>
      <w:pPr>
        <w:pStyle w:val="898"/>
        <w:spacing w:line="560" w:lineRule="exact"/>
        <w:rPr>
          <w:rFonts w:ascii="Times New Roman" w:hAnsi="Times New Roman" w:eastAsia="黑体"/>
          <w:b/>
          <w:color w:val="000000"/>
          <w:sz w:val="32"/>
          <w:szCs w:val="32"/>
          <w:highlight w:val="none"/>
        </w:rPr>
      </w:pPr>
      <w:r>
        <w:rPr>
          <w:rFonts w:ascii="Times New Roman" w:hAnsi="Times New Roman" w:eastAsia="黑体"/>
          <w:b/>
          <w:color w:val="000000"/>
          <w:sz w:val="32"/>
          <w:szCs w:val="32"/>
          <w:highlight w:val="none"/>
        </w:rPr>
      </w:r>
      <w:r/>
    </w:p>
    <w:p>
      <w:pPr>
        <w:pStyle w:val="898"/>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 </w:t>
      </w:r>
      <w:r>
        <w:rPr>
          <w:rFonts w:ascii="Times New Roman" w:hAnsi="Times New Roman"/>
          <w:color w:val="000000"/>
          <w:sz w:val="24"/>
          <w:szCs w:val="24"/>
          <w:highlight w:val="none"/>
        </w:rPr>
      </w:r>
      <w:r/>
    </w:p>
    <w:p>
      <w:pPr>
        <w:pStyle w:val="898"/>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spacing w:line="46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36"/>
        <w:rPr>
          <w:rFonts w:ascii="Times New Roman" w:hAnsi="Times New Roman" w:cs="Times New Roman"/>
          <w:color w:val="000000"/>
          <w:highlight w:val="none"/>
        </w:rPr>
      </w:pPr>
      <w:r>
        <w:rPr>
          <w:rFonts w:ascii="Times New Roman" w:hAnsi="Times New Roman" w:cs="Times New Roman"/>
          <w:color w:val="000000"/>
          <w:highlight w:val="none"/>
        </w:rPr>
      </w:r>
      <w:r/>
    </w:p>
    <w:p>
      <w:pPr>
        <w:pStyle w:val="898"/>
        <w:jc w:val="center"/>
        <w:rPr>
          <w:rFonts w:ascii="Times New Roman" w:hAnsi="Times New Roman" w:eastAsia="黑体"/>
          <w:b/>
          <w:color w:val="000000"/>
          <w:sz w:val="32"/>
          <w:szCs w:val="32"/>
          <w:highlight w:val="none"/>
        </w:rPr>
      </w:pPr>
      <w:r>
        <w:rPr>
          <w:rFonts w:ascii="Times New Roman" w:hAnsi="Times New Roman"/>
          <w:b/>
          <w:color w:val="000000"/>
          <w:sz w:val="24"/>
          <w:szCs w:val="21"/>
          <w:highlight w:val="none"/>
        </w:rPr>
        <w:t xml:space="preserve">附件</w:t>
      </w:r>
      <w:r>
        <w:rPr>
          <w:rFonts w:ascii="Times New Roman" w:hAnsi="Times New Roman"/>
          <w:b/>
          <w:color w:val="000000"/>
          <w:sz w:val="24"/>
          <w:szCs w:val="21"/>
          <w:highlight w:val="none"/>
        </w:rPr>
        <w:t xml:space="preserve">8</w:t>
      </w:r>
      <w:r>
        <w:rPr>
          <w:rFonts w:ascii="Times New Roman" w:hAnsi="Times New Roman"/>
          <w:b/>
          <w:color w:val="000000"/>
          <w:sz w:val="24"/>
          <w:szCs w:val="21"/>
          <w:highlight w:val="none"/>
        </w:rPr>
        <w:t xml:space="preserve"> 中小微企业声明函（服务类</w:t>
      </w:r>
      <w:r>
        <w:rPr>
          <w:rFonts w:ascii="Times New Roman" w:hAnsi="Times New Roman"/>
          <w:b/>
          <w:color w:val="000000"/>
          <w:sz w:val="24"/>
          <w:szCs w:val="21"/>
          <w:highlight w:val="none"/>
        </w:rPr>
        <w:t xml:space="preserve">项目</w:t>
      </w:r>
      <w:r>
        <w:rPr>
          <w:rFonts w:ascii="Times New Roman" w:hAnsi="Times New Roman"/>
          <w:b/>
          <w:color w:val="000000"/>
          <w:sz w:val="24"/>
          <w:szCs w:val="21"/>
          <w:highlight w:val="none"/>
        </w:rPr>
        <w:t xml:space="preserve">）（采购包号：**）</w:t>
      </w:r>
      <w:r>
        <w:rPr>
          <w:rFonts w:ascii="Times New Roman" w:hAnsi="Times New Roman" w:eastAsia="黑体"/>
          <w:b/>
          <w:color w:val="000000"/>
          <w:sz w:val="32"/>
          <w:szCs w:val="32"/>
          <w:highlight w:val="none"/>
        </w:rPr>
      </w:r>
      <w:r/>
    </w:p>
    <w:p>
      <w:pPr>
        <w:pStyle w:val="898"/>
        <w:ind w:firstLine="36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本公司（联合体）郑重声明，根据《政府采购促进中小企业发展管理办法》(财库〔2020〕46号)的规定，本公司（联合体）参加江苏省政府采购中心组织的</w:t>
      </w:r>
      <w:r>
        <w:rPr>
          <w:rFonts w:ascii="Times New Roman" w:hAnsi="Times New Roman"/>
          <w:color w:val="000000"/>
          <w:sz w:val="24"/>
          <w:szCs w:val="24"/>
          <w:highlight w:val="none"/>
          <w:u w:val="single"/>
        </w:rPr>
        <w:t xml:space="preserve">（单位名称）</w:t>
      </w:r>
      <w:r>
        <w:rPr>
          <w:rFonts w:ascii="Times New Roman" w:hAnsi="Times New Roman"/>
          <w:color w:val="000000"/>
          <w:sz w:val="24"/>
          <w:szCs w:val="24"/>
          <w:highlight w:val="none"/>
        </w:rPr>
        <w:t xml:space="preserve">采购编号为</w:t>
      </w:r>
      <w:r>
        <w:rPr>
          <w:rFonts w:ascii="Times New Roman" w:hAnsi="Times New Roman"/>
          <w:color w:val="000000"/>
          <w:sz w:val="24"/>
          <w:szCs w:val="21"/>
          <w:highlight w:val="none"/>
        </w:rPr>
        <w:t xml:space="preserve">JSZC-</w:t>
      </w:r>
      <w:r>
        <w:rPr>
          <w:rFonts w:ascii="Times New Roman" w:hAnsi="Times New Roman"/>
          <w:color w:val="000000"/>
          <w:sz w:val="24"/>
          <w:szCs w:val="21"/>
          <w:highlight w:val="none"/>
        </w:rPr>
        <w:t xml:space="preserve">320000-</w:t>
      </w:r>
      <w:r>
        <w:rPr>
          <w:rFonts w:ascii="Times New Roman" w:hAnsi="Times New Roman"/>
          <w:color w:val="000000"/>
          <w:sz w:val="24"/>
          <w:szCs w:val="21"/>
          <w:highlight w:val="none"/>
          <w:u w:val="single"/>
        </w:rPr>
        <w:t xml:space="preserve">****</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u w:val="single"/>
        </w:rPr>
        <w:t xml:space="preserve">（项目名称）（采购包号：**）</w:t>
      </w:r>
      <w:r>
        <w:rPr>
          <w:rFonts w:ascii="Times New Roman" w:hAnsi="Times New Roman"/>
          <w:color w:val="000000"/>
          <w:sz w:val="24"/>
          <w:szCs w:val="24"/>
          <w:highlight w:val="none"/>
        </w:rPr>
        <w:t xml:space="preserve">的采购活动，服务全部由符合政策的中小微企业承接。相关企业（含联合体中的中小微企业、签订采购包意向协议的中小微企业）的具体情况如下：</w:t>
      </w:r>
      <w:r>
        <w:rPr>
          <w:rFonts w:ascii="Times New Roman" w:hAnsi="Times New Roman"/>
          <w:color w:val="000000"/>
          <w:sz w:val="24"/>
          <w:szCs w:val="24"/>
          <w:highlight w:val="none"/>
        </w:rPr>
      </w:r>
      <w:r/>
    </w:p>
    <w:p>
      <w:pPr>
        <w:pStyle w:val="898"/>
        <w:ind w:firstLine="360"/>
        <w:spacing w:line="400" w:lineRule="exact"/>
        <w:rPr>
          <w:rFonts w:ascii="Times New Roman" w:hAnsi="Times New Roman"/>
          <w:i/>
          <w:color w:val="000000"/>
          <w:sz w:val="24"/>
          <w:szCs w:val="24"/>
          <w:highlight w:val="none"/>
          <w:u w:val="singl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u w:val="single"/>
        </w:rPr>
        <w:t xml:space="preserve">（标的名称）</w:t>
      </w:r>
      <w:r>
        <w:rPr>
          <w:rFonts w:ascii="Times New Roman" w:hAnsi="Times New Roman"/>
          <w:i/>
          <w:color w:val="000000"/>
          <w:sz w:val="24"/>
          <w:szCs w:val="24"/>
          <w:highlight w:val="none"/>
        </w:rPr>
        <w:t xml:space="preserve">，</w:t>
      </w:r>
      <w:r>
        <w:rPr>
          <w:rFonts w:ascii="Times New Roman" w:hAnsi="Times New Roman"/>
          <w:color w:val="000000"/>
          <w:sz w:val="24"/>
          <w:szCs w:val="24"/>
          <w:highlight w:val="none"/>
        </w:rPr>
        <w:t xml:space="preserve">属</w:t>
      </w:r>
      <w:r>
        <w:rPr>
          <w:rFonts w:ascii="Times New Roman" w:hAnsi="Times New Roman"/>
          <w:color w:val="000000"/>
          <w:sz w:val="24"/>
          <w:szCs w:val="24"/>
          <w:highlight w:val="none"/>
          <w:u w:val="single"/>
        </w:rPr>
        <w:t xml:space="preserve">（供应商填写磋商文件中明确的所属行业）</w:t>
      </w:r>
      <w:r>
        <w:rPr>
          <w:rFonts w:ascii="Times New Roman" w:hAnsi="Times New Roman"/>
          <w:color w:val="000000"/>
          <w:sz w:val="24"/>
          <w:szCs w:val="24"/>
          <w:highlight w:val="none"/>
        </w:rPr>
        <w:t xml:space="preserve">行业；承接企业为</w:t>
      </w:r>
      <w:r>
        <w:rPr>
          <w:rFonts w:ascii="Times New Roman" w:hAnsi="Times New Roman"/>
          <w:color w:val="000000"/>
          <w:sz w:val="24"/>
          <w:szCs w:val="24"/>
          <w:highlight w:val="none"/>
          <w:u w:val="single"/>
        </w:rPr>
        <w:t xml:space="preserve">（企业名称）</w:t>
      </w:r>
      <w:r>
        <w:rPr>
          <w:rFonts w:ascii="Times New Roman" w:hAnsi="Times New Roman"/>
          <w:color w:val="000000"/>
          <w:sz w:val="24"/>
          <w:szCs w:val="24"/>
          <w:highlight w:val="none"/>
        </w:rPr>
        <w:t xml:space="preserve">，从业人员</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人，营业收入为</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万元，资产总额为</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万元</w:t>
      </w:r>
      <w:r>
        <w:rPr>
          <w:rFonts w:ascii="Times New Roman" w:hAnsi="Times New Roman"/>
          <w:color w:val="000000"/>
          <w:sz w:val="24"/>
          <w:szCs w:val="24"/>
          <w:highlight w:val="none"/>
          <w:vertAlign w:val="superscript"/>
        </w:rPr>
        <w:t xml:space="preserve">1</w:t>
      </w:r>
      <w:r>
        <w:rPr>
          <w:rFonts w:ascii="Times New Roman" w:hAnsi="Times New Roman"/>
          <w:color w:val="000000"/>
          <w:sz w:val="24"/>
          <w:szCs w:val="24"/>
          <w:highlight w:val="none"/>
        </w:rPr>
        <w:t xml:space="preserve">，属于</w:t>
      </w:r>
      <w:r>
        <w:rPr>
          <w:rFonts w:ascii="Times New Roman" w:hAnsi="Times New Roman"/>
          <w:color w:val="000000"/>
          <w:sz w:val="24"/>
          <w:szCs w:val="24"/>
          <w:highlight w:val="none"/>
          <w:u w:val="single"/>
        </w:rPr>
        <w:t xml:space="preserve">（□中型企业 □小型企业 □微型企业）；</w:t>
      </w:r>
      <w:r>
        <w:rPr>
          <w:rFonts w:ascii="Times New Roman" w:hAnsi="Times New Roman"/>
          <w:i/>
          <w:color w:val="000000"/>
          <w:sz w:val="24"/>
          <w:szCs w:val="24"/>
          <w:highlight w:val="none"/>
          <w:u w:val="single"/>
        </w:rPr>
      </w:r>
      <w:r/>
    </w:p>
    <w:p>
      <w:pPr>
        <w:pStyle w:val="898"/>
        <w:ind w:firstLine="360"/>
        <w:spacing w:line="400" w:lineRule="exact"/>
        <w:rPr>
          <w:rFonts w:ascii="Times New Roman" w:hAnsi="Times New Roman"/>
          <w:i/>
          <w:color w:val="000000"/>
          <w:sz w:val="24"/>
          <w:szCs w:val="24"/>
          <w:highlight w:val="none"/>
          <w:u w:val="singl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u w:val="single"/>
        </w:rPr>
        <w:t xml:space="preserve">（标的名称）</w:t>
      </w:r>
      <w:r>
        <w:rPr>
          <w:rFonts w:ascii="Times New Roman" w:hAnsi="Times New Roman"/>
          <w:i/>
          <w:color w:val="000000"/>
          <w:sz w:val="24"/>
          <w:szCs w:val="24"/>
          <w:highlight w:val="none"/>
        </w:rPr>
        <w:t xml:space="preserve">，</w:t>
      </w:r>
      <w:r>
        <w:rPr>
          <w:rFonts w:ascii="Times New Roman" w:hAnsi="Times New Roman"/>
          <w:color w:val="000000"/>
          <w:sz w:val="24"/>
          <w:szCs w:val="24"/>
          <w:highlight w:val="none"/>
        </w:rPr>
        <w:t xml:space="preserve">属于</w:t>
      </w:r>
      <w:r>
        <w:rPr>
          <w:rFonts w:ascii="Times New Roman" w:hAnsi="Times New Roman"/>
          <w:color w:val="000000"/>
          <w:sz w:val="24"/>
          <w:szCs w:val="24"/>
          <w:highlight w:val="none"/>
          <w:u w:val="single"/>
        </w:rPr>
        <w:t xml:space="preserve">（供应商填写磋商文件中明确的所属行业）</w:t>
      </w:r>
      <w:r>
        <w:rPr>
          <w:rFonts w:ascii="Times New Roman" w:hAnsi="Times New Roman"/>
          <w:color w:val="000000"/>
          <w:sz w:val="24"/>
          <w:szCs w:val="24"/>
          <w:highlight w:val="none"/>
        </w:rPr>
        <w:t xml:space="preserve">行业；承接企业为</w:t>
      </w:r>
      <w:r>
        <w:rPr>
          <w:rFonts w:ascii="Times New Roman" w:hAnsi="Times New Roman"/>
          <w:color w:val="000000"/>
          <w:sz w:val="24"/>
          <w:szCs w:val="24"/>
          <w:highlight w:val="none"/>
          <w:u w:val="single"/>
        </w:rPr>
        <w:t xml:space="preserve">（企业名称）</w:t>
      </w:r>
      <w:r>
        <w:rPr>
          <w:rFonts w:ascii="Times New Roman" w:hAnsi="Times New Roman"/>
          <w:color w:val="000000"/>
          <w:sz w:val="24"/>
          <w:szCs w:val="24"/>
          <w:highlight w:val="none"/>
        </w:rPr>
        <w:t xml:space="preserve">，从业人员</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人，营业收入为</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万元，资产总额为</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万元</w:t>
      </w:r>
      <w:r>
        <w:rPr>
          <w:rFonts w:ascii="Times New Roman" w:hAnsi="Times New Roman"/>
          <w:color w:val="000000"/>
          <w:sz w:val="24"/>
          <w:szCs w:val="24"/>
          <w:highlight w:val="none"/>
          <w:vertAlign w:val="superscript"/>
        </w:rPr>
        <w:t xml:space="preserve">1</w:t>
      </w:r>
      <w:r>
        <w:rPr>
          <w:rFonts w:ascii="Times New Roman" w:hAnsi="Times New Roman"/>
          <w:color w:val="000000"/>
          <w:sz w:val="24"/>
          <w:szCs w:val="24"/>
          <w:highlight w:val="none"/>
        </w:rPr>
        <w:t xml:space="preserve">，属于</w:t>
      </w:r>
      <w:r>
        <w:rPr>
          <w:rFonts w:ascii="Times New Roman" w:hAnsi="Times New Roman"/>
          <w:color w:val="000000"/>
          <w:sz w:val="24"/>
          <w:szCs w:val="24"/>
          <w:highlight w:val="none"/>
          <w:u w:val="single"/>
        </w:rPr>
        <w:t xml:space="preserve">（□中型企业 □小型企业 □微型企业）；</w:t>
      </w:r>
      <w:r>
        <w:rPr>
          <w:rFonts w:ascii="Times New Roman" w:hAnsi="Times New Roman"/>
          <w:i/>
          <w:color w:val="000000"/>
          <w:sz w:val="24"/>
          <w:szCs w:val="24"/>
          <w:highlight w:val="none"/>
          <w:u w:val="single"/>
        </w:rPr>
      </w:r>
      <w:r/>
    </w:p>
    <w:p>
      <w:pPr>
        <w:pStyle w:val="898"/>
        <w:ind w:firstLine="36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898"/>
        <w:ind w:firstLine="36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以上企业，不属于大企业的分支机构，不存在控股股东为大企业的情形，也不存在与大企业的负责人为同一人的情形。</w:t>
      </w:r>
      <w:r>
        <w:rPr>
          <w:rFonts w:ascii="Times New Roman" w:hAnsi="Times New Roman"/>
          <w:color w:val="000000"/>
          <w:sz w:val="24"/>
          <w:szCs w:val="24"/>
          <w:highlight w:val="none"/>
        </w:rPr>
      </w:r>
      <w:r/>
    </w:p>
    <w:p>
      <w:pPr>
        <w:pStyle w:val="898"/>
        <w:ind w:firstLine="36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本企业对上述声明内容的真实性负责。如有虚假，将依法承担相应责任</w:t>
      </w:r>
      <w:r>
        <w:rPr>
          <w:rFonts w:ascii="Times New Roman" w:hAnsi="Times New Roman"/>
          <w:color w:val="000000"/>
          <w:sz w:val="24"/>
          <w:szCs w:val="24"/>
          <w:highlight w:val="none"/>
        </w:rPr>
      </w:r>
      <w:r/>
    </w:p>
    <w:p>
      <w:pPr>
        <w:pStyle w:val="898"/>
        <w:ind w:right="72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ind w:right="180" w:firstLine="360"/>
        <w:jc w:val="right"/>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企业名称（加盖CA电子公章）：</w:t>
      </w:r>
      <w:r>
        <w:rPr>
          <w:rFonts w:ascii="Times New Roman" w:hAnsi="Times New Roman"/>
          <w:color w:val="000000"/>
          <w:sz w:val="24"/>
          <w:szCs w:val="24"/>
          <w:highlight w:val="none"/>
        </w:rPr>
      </w:r>
      <w:r/>
    </w:p>
    <w:p>
      <w:pPr>
        <w:pStyle w:val="898"/>
        <w:ind w:right="480" w:firstLine="540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日  期：</w:t>
      </w:r>
      <w:r>
        <w:rPr>
          <w:rFonts w:ascii="Times New Roman" w:hAnsi="Times New Roman"/>
          <w:color w:val="000000"/>
          <w:sz w:val="24"/>
          <w:szCs w:val="24"/>
          <w:highlight w:val="none"/>
        </w:rPr>
      </w:r>
      <w:r/>
    </w:p>
    <w:p>
      <w:pPr>
        <w:pStyle w:val="898"/>
        <w:ind w:firstLine="24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备注：1.从业人员、营业收入、资产总额填报上一年度数据，无上一年度数据的新成立企业可不填报。</w:t>
      </w:r>
      <w:r>
        <w:rPr>
          <w:rFonts w:ascii="Times New Roman" w:hAnsi="Times New Roman"/>
          <w:color w:val="000000"/>
          <w:sz w:val="24"/>
          <w:szCs w:val="24"/>
          <w:highlight w:val="none"/>
        </w:rPr>
      </w:r>
      <w:r/>
    </w:p>
    <w:p>
      <w:pPr>
        <w:pStyle w:val="898"/>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2.专门</w:t>
      </w:r>
      <w:r>
        <w:rPr>
          <w:rFonts w:ascii="Times New Roman" w:hAnsi="Times New Roman"/>
          <w:color w:val="000000"/>
          <w:sz w:val="24"/>
          <w:szCs w:val="24"/>
          <w:highlight w:val="none"/>
        </w:rPr>
        <w:t xml:space="preserve">面向中小微型企业</w:t>
      </w:r>
      <w:r>
        <w:rPr>
          <w:rFonts w:ascii="Times New Roman" w:hAnsi="Times New Roman"/>
          <w:color w:val="000000"/>
          <w:sz w:val="24"/>
          <w:szCs w:val="24"/>
          <w:highlight w:val="none"/>
        </w:rPr>
        <w:t xml:space="preserve">采购</w:t>
      </w:r>
      <w:r>
        <w:rPr>
          <w:rFonts w:ascii="Times New Roman" w:hAnsi="Times New Roman"/>
          <w:color w:val="000000"/>
          <w:sz w:val="24"/>
          <w:szCs w:val="24"/>
          <w:highlight w:val="none"/>
        </w:rPr>
        <w:t xml:space="preserve">的项目，</w:t>
      </w:r>
      <w:r>
        <w:rPr>
          <w:rFonts w:ascii="Times New Roman" w:hAnsi="Times New Roman"/>
          <w:color w:val="000000"/>
          <w:sz w:val="24"/>
          <w:szCs w:val="24"/>
          <w:highlight w:val="none"/>
        </w:rPr>
        <w:t xml:space="preserve">供应商如不提供此声明函，则</w:t>
      </w:r>
      <w:r>
        <w:rPr>
          <w:rFonts w:ascii="Times New Roman" w:hAnsi="Times New Roman"/>
          <w:color w:val="000000"/>
          <w:sz w:val="24"/>
          <w:szCs w:val="24"/>
          <w:highlight w:val="none"/>
        </w:rPr>
        <w:t xml:space="preserve">不能通过资格审查；</w:t>
      </w:r>
      <w:r>
        <w:rPr>
          <w:rFonts w:ascii="Times New Roman" w:hAnsi="Times New Roman"/>
          <w:color w:val="000000"/>
          <w:sz w:val="24"/>
          <w:szCs w:val="24"/>
          <w:highlight w:val="none"/>
        </w:rPr>
        <w:t xml:space="preserve">非专门</w:t>
      </w:r>
      <w:r>
        <w:rPr>
          <w:rFonts w:ascii="Times New Roman" w:hAnsi="Times New Roman"/>
          <w:color w:val="000000"/>
          <w:sz w:val="24"/>
          <w:szCs w:val="24"/>
          <w:highlight w:val="none"/>
        </w:rPr>
        <w:t xml:space="preserve">面向中小微型企业</w:t>
      </w:r>
      <w:r>
        <w:rPr>
          <w:rFonts w:ascii="Times New Roman" w:hAnsi="Times New Roman"/>
          <w:color w:val="000000"/>
          <w:sz w:val="24"/>
          <w:szCs w:val="24"/>
          <w:highlight w:val="none"/>
        </w:rPr>
        <w:t xml:space="preserve">采购</w:t>
      </w:r>
      <w:r>
        <w:rPr>
          <w:rFonts w:ascii="Times New Roman" w:hAnsi="Times New Roman"/>
          <w:color w:val="000000"/>
          <w:sz w:val="24"/>
          <w:szCs w:val="24"/>
          <w:highlight w:val="none"/>
        </w:rPr>
        <w:t xml:space="preserve">的项目，</w:t>
      </w:r>
      <w:r>
        <w:rPr>
          <w:rFonts w:ascii="Times New Roman" w:hAnsi="Times New Roman"/>
          <w:color w:val="000000"/>
          <w:sz w:val="24"/>
          <w:szCs w:val="24"/>
          <w:highlight w:val="none"/>
        </w:rPr>
        <w:t xml:space="preserve">供应商如不提供此声明函，价格将不做相应扣除。</w:t>
      </w:r>
      <w:r>
        <w:rPr>
          <w:rFonts w:ascii="Times New Roman" w:hAnsi="Times New Roman"/>
          <w:color w:val="000000"/>
          <w:sz w:val="24"/>
          <w:szCs w:val="24"/>
          <w:highlight w:val="none"/>
        </w:rPr>
      </w:r>
      <w:r/>
    </w:p>
    <w:p>
      <w:pPr>
        <w:pStyle w:val="898"/>
        <w:ind w:left="540" w:hanging="12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3.供应商应对照《工业和信息化部、国家统计局、国家发展和改革委员会、</w:t>
      </w:r>
      <w:r>
        <w:rPr>
          <w:rFonts w:ascii="Times New Roman" w:hAnsi="Times New Roman"/>
          <w:color w:val="000000"/>
          <w:sz w:val="24"/>
          <w:szCs w:val="24"/>
          <w:highlight w:val="none"/>
        </w:rPr>
      </w:r>
      <w:r/>
    </w:p>
    <w:p>
      <w:pPr>
        <w:pStyle w:val="898"/>
        <w:spacing w:line="400" w:lineRule="exact"/>
        <w:rPr>
          <w:rFonts w:ascii="Times New Roman" w:hAnsi="Times New Roman" w:eastAsia="黑体"/>
          <w:b/>
          <w:color w:val="000000"/>
          <w:sz w:val="32"/>
          <w:szCs w:val="32"/>
          <w:highlight w:val="none"/>
        </w:rPr>
      </w:pPr>
      <w:r>
        <w:rPr>
          <w:rFonts w:ascii="Times New Roman" w:hAnsi="Times New Roman"/>
          <w:color w:val="000000"/>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Times New Roman" w:hAnsi="Times New Roman"/>
          <w:color w:val="000000"/>
          <w:sz w:val="24"/>
          <w:szCs w:val="24"/>
          <w:highlight w:val="none"/>
        </w:rPr>
        <w:t xml:space="preserve">自行勾选</w:t>
      </w:r>
      <w:r>
        <w:rPr>
          <w:rFonts w:ascii="Times New Roman" w:hAnsi="Times New Roman"/>
          <w:color w:val="000000"/>
          <w:sz w:val="24"/>
          <w:szCs w:val="24"/>
          <w:highlight w:val="none"/>
        </w:rPr>
        <w:t xml:space="preserve">承接企业</w:t>
      </w:r>
      <w:r>
        <w:rPr>
          <w:rFonts w:ascii="Times New Roman" w:hAnsi="Times New Roman"/>
          <w:color w:val="000000"/>
          <w:sz w:val="24"/>
          <w:szCs w:val="24"/>
          <w:highlight w:val="none"/>
        </w:rPr>
        <w:t xml:space="preserve">的企业</w:t>
      </w:r>
      <w:r>
        <w:rPr>
          <w:rFonts w:ascii="Times New Roman" w:hAnsi="Times New Roman"/>
          <w:color w:val="000000"/>
          <w:sz w:val="24"/>
          <w:szCs w:val="24"/>
          <w:highlight w:val="none"/>
        </w:rPr>
        <w:t xml:space="preserve">规模类型</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  </w:t>
      </w:r>
      <w:r>
        <w:rPr>
          <w:rFonts w:ascii="Times New Roman" w:hAnsi="Times New Roman"/>
          <w:color w:val="000000"/>
          <w:sz w:val="24"/>
          <w:szCs w:val="24"/>
          <w:highlight w:val="none"/>
        </w:rPr>
        <w:t xml:space="preserve"> </w:t>
      </w:r>
      <w:r>
        <w:rPr>
          <w:rFonts w:ascii="Times New Roman" w:hAnsi="Times New Roman" w:eastAsia="黑体"/>
          <w:b/>
          <w:color w:val="000000"/>
          <w:sz w:val="32"/>
          <w:szCs w:val="32"/>
          <w:highlight w:val="none"/>
        </w:rPr>
      </w:r>
      <w:r/>
    </w:p>
    <w:p>
      <w:pPr>
        <w:pStyle w:val="898"/>
        <w:spacing w:line="400" w:lineRule="exact"/>
        <w:rPr>
          <w:rFonts w:ascii="Times New Roman" w:hAnsi="Times New Roman" w:eastAsia="黑体"/>
          <w:b/>
          <w:color w:val="000000"/>
          <w:sz w:val="32"/>
          <w:szCs w:val="32"/>
          <w:highlight w:val="none"/>
        </w:rPr>
      </w:pPr>
      <w:r>
        <w:rPr>
          <w:rFonts w:ascii="Times New Roman" w:hAnsi="Times New Roman" w:eastAsia="黑体"/>
          <w:b/>
          <w:color w:val="000000"/>
          <w:sz w:val="32"/>
          <w:szCs w:val="32"/>
          <w:highlight w:val="none"/>
        </w:rPr>
      </w:r>
      <w:r/>
    </w:p>
    <w:p>
      <w:pPr>
        <w:pStyle w:val="898"/>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898"/>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898"/>
        <w:spacing w:line="400" w:lineRule="exact"/>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898"/>
        <w:spacing w:line="588"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附件</w:t>
      </w:r>
      <w:r>
        <w:rPr>
          <w:rFonts w:ascii="Times New Roman" w:hAnsi="Times New Roman"/>
          <w:b/>
          <w:color w:val="000000"/>
          <w:sz w:val="24"/>
          <w:szCs w:val="24"/>
          <w:highlight w:val="none"/>
        </w:rPr>
        <w:t xml:space="preserve">9</w:t>
      </w:r>
      <w:r>
        <w:rPr>
          <w:rFonts w:ascii="Times New Roman" w:hAnsi="Times New Roman"/>
          <w:b/>
          <w:color w:val="000000"/>
          <w:sz w:val="24"/>
          <w:szCs w:val="24"/>
          <w:highlight w:val="none"/>
        </w:rPr>
        <w:t xml:space="preserve"> 残疾人福利性单位声明函</w:t>
      </w:r>
      <w:r>
        <w:rPr>
          <w:rFonts w:ascii="Times New Roman" w:hAnsi="Times New Roman"/>
          <w:b/>
          <w:color w:val="000000"/>
          <w:sz w:val="24"/>
          <w:szCs w:val="21"/>
          <w:highlight w:val="none"/>
        </w:rPr>
        <w:t xml:space="preserve">（服务类</w:t>
      </w:r>
      <w:r>
        <w:rPr>
          <w:rFonts w:ascii="Times New Roman" w:hAnsi="Times New Roman"/>
          <w:b/>
          <w:color w:val="000000"/>
          <w:sz w:val="24"/>
          <w:szCs w:val="21"/>
          <w:highlight w:val="none"/>
        </w:rPr>
        <w:t xml:space="preserve">项目</w:t>
      </w:r>
      <w:r>
        <w:rPr>
          <w:rFonts w:ascii="Times New Roman" w:hAnsi="Times New Roman"/>
          <w:b/>
          <w:color w:val="000000"/>
          <w:sz w:val="24"/>
          <w:szCs w:val="21"/>
          <w:highlight w:val="none"/>
        </w:rPr>
        <w:t xml:space="preserve">）</w:t>
      </w:r>
      <w:r>
        <w:rPr>
          <w:rFonts w:ascii="Times New Roman" w:hAnsi="Times New Roman"/>
          <w:b/>
          <w:color w:val="000000"/>
          <w:sz w:val="24"/>
          <w:szCs w:val="24"/>
          <w:highlight w:val="none"/>
        </w:rPr>
        <w:t xml:space="preserve">（采购包号：**）</w:t>
      </w:r>
      <w:r>
        <w:rPr>
          <w:rFonts w:ascii="Times New Roman" w:hAnsi="Times New Roman"/>
          <w:b/>
          <w:color w:val="000000"/>
          <w:sz w:val="24"/>
          <w:szCs w:val="24"/>
          <w:highlight w:val="none"/>
        </w:rPr>
      </w:r>
      <w:r/>
    </w:p>
    <w:p>
      <w:pPr>
        <w:pStyle w:val="898"/>
        <w:ind w:firstLine="480"/>
        <w:spacing w:line="0" w:lineRule="atLeast"/>
        <w:rPr>
          <w:rFonts w:ascii="Times New Roman" w:hAnsi="Times New Roman"/>
          <w:color w:val="000000"/>
          <w:sz w:val="24"/>
          <w:szCs w:val="21"/>
          <w:highlight w:val="none"/>
        </w:rPr>
      </w:pPr>
      <w:r>
        <w:rPr>
          <w:rFonts w:ascii="Times New Roman" w:hAnsi="Times New Roman"/>
          <w:color w:val="000000"/>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w:t>
      </w:r>
      <w:r>
        <w:rPr>
          <w:rFonts w:ascii="Times New Roman" w:hAnsi="Times New Roman"/>
          <w:color w:val="000000"/>
          <w:sz w:val="24"/>
          <w:szCs w:val="21"/>
          <w:highlight w:val="none"/>
        </w:rPr>
        <w:t xml:space="preserve">320000-</w:t>
      </w:r>
      <w:r>
        <w:rPr>
          <w:rFonts w:ascii="Times New Roman" w:hAnsi="Times New Roman"/>
          <w:color w:val="000000"/>
          <w:sz w:val="24"/>
          <w:szCs w:val="21"/>
          <w:highlight w:val="none"/>
          <w:u w:val="single"/>
        </w:rPr>
        <w:t xml:space="preserve">****</w:t>
      </w:r>
      <w:r>
        <w:rPr>
          <w:rFonts w:ascii="Times New Roman" w:hAnsi="Times New Roman"/>
          <w:color w:val="000000"/>
          <w:sz w:val="24"/>
          <w:szCs w:val="21"/>
          <w:highlight w:val="none"/>
        </w:rPr>
        <w:t xml:space="preserve">的</w:t>
      </w:r>
      <w:r>
        <w:rPr>
          <w:rFonts w:ascii="Times New Roman" w:hAnsi="Times New Roman"/>
          <w:color w:val="000000"/>
          <w:sz w:val="24"/>
          <w:szCs w:val="21"/>
          <w:highlight w:val="none"/>
          <w:u w:val="single"/>
        </w:rPr>
        <w:t xml:space="preserve">       </w:t>
      </w:r>
      <w:r>
        <w:rPr>
          <w:rFonts w:ascii="Times New Roman" w:hAnsi="Times New Roman"/>
          <w:color w:val="000000"/>
          <w:sz w:val="24"/>
          <w:szCs w:val="21"/>
          <w:highlight w:val="none"/>
        </w:rPr>
        <w:t xml:space="preserve">项目（采购包号：**）采购活动由本单位提供服务。</w:t>
      </w:r>
      <w:r>
        <w:rPr>
          <w:rFonts w:ascii="Times New Roman" w:hAnsi="Times New Roman"/>
          <w:color w:val="000000"/>
          <w:sz w:val="24"/>
          <w:szCs w:val="21"/>
          <w:highlight w:val="none"/>
        </w:rPr>
      </w:r>
      <w:r/>
    </w:p>
    <w:p>
      <w:pPr>
        <w:pStyle w:val="898"/>
        <w:ind w:firstLine="480"/>
        <w:spacing w:line="0" w:lineRule="atLeast"/>
        <w:rPr>
          <w:rFonts w:ascii="Times New Roman" w:hAnsi="Times New Roman"/>
          <w:color w:val="000000"/>
          <w:sz w:val="24"/>
          <w:szCs w:val="21"/>
          <w:highlight w:val="none"/>
        </w:rPr>
      </w:pPr>
      <w:r>
        <w:rPr>
          <w:rFonts w:ascii="Times New Roman" w:hAnsi="Times New Roman"/>
          <w:color w:val="000000"/>
          <w:sz w:val="24"/>
          <w:szCs w:val="21"/>
          <w:highlight w:val="none"/>
        </w:rPr>
        <w:t xml:space="preserve">本单位对上述声明的真实性负责。如有虚假，将依法承担相应责任。</w:t>
      </w:r>
      <w:r>
        <w:rPr>
          <w:rFonts w:ascii="Times New Roman" w:hAnsi="Times New Roman"/>
          <w:color w:val="000000"/>
          <w:sz w:val="24"/>
          <w:szCs w:val="21"/>
          <w:highlight w:val="none"/>
        </w:rPr>
      </w:r>
      <w:r/>
    </w:p>
    <w:p>
      <w:pPr>
        <w:pStyle w:val="898"/>
        <w:ind w:firstLine="480"/>
        <w:spacing w:line="0" w:lineRule="atLeast"/>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898"/>
        <w:ind w:firstLine="480"/>
        <w:spacing w:line="0" w:lineRule="atLeast"/>
        <w:rPr>
          <w:rFonts w:ascii="Times New Roman" w:hAnsi="Times New Roman"/>
          <w:color w:val="000000"/>
          <w:sz w:val="24"/>
          <w:szCs w:val="21"/>
          <w:highlight w:val="none"/>
        </w:rPr>
      </w:pPr>
      <w:r>
        <w:rPr>
          <w:rFonts w:ascii="Times New Roman" w:hAnsi="Times New Roman"/>
          <w:color w:val="000000"/>
          <w:sz w:val="24"/>
          <w:szCs w:val="21"/>
          <w:highlight w:val="none"/>
        </w:rPr>
        <w:t xml:space="preserve">备注：</w:t>
      </w:r>
      <w:r>
        <w:rPr>
          <w:rFonts w:ascii="Times New Roman" w:hAnsi="Times New Roman"/>
          <w:color w:val="000000"/>
          <w:sz w:val="24"/>
          <w:szCs w:val="21"/>
          <w:highlight w:val="none"/>
        </w:rPr>
      </w:r>
      <w:r/>
    </w:p>
    <w:p>
      <w:pPr>
        <w:pStyle w:val="898"/>
        <w:ind w:firstLine="480"/>
        <w:spacing w:line="0" w:lineRule="atLeast"/>
        <w:rPr>
          <w:rFonts w:ascii="Times New Roman" w:hAnsi="Times New Roman"/>
          <w:color w:val="000000"/>
          <w:sz w:val="24"/>
          <w:szCs w:val="21"/>
          <w:highlight w:val="none"/>
        </w:rPr>
      </w:pPr>
      <w:r>
        <w:rPr>
          <w:rFonts w:ascii="Times New Roman" w:hAnsi="Times New Roman"/>
          <w:color w:val="000000"/>
          <w:sz w:val="24"/>
          <w:szCs w:val="21"/>
          <w:highlight w:val="none"/>
        </w:rPr>
        <w:t xml:space="preserve">1</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t xml:space="preserve">专门面向中小微型企业采购的</w:t>
      </w:r>
      <w:r>
        <w:rPr>
          <w:rFonts w:ascii="Times New Roman" w:hAnsi="Times New Roman"/>
          <w:color w:val="000000"/>
          <w:sz w:val="24"/>
          <w:szCs w:val="21"/>
          <w:highlight w:val="none"/>
        </w:rPr>
        <w:t xml:space="preserve">项目</w:t>
      </w:r>
      <w:r>
        <w:rPr>
          <w:rFonts w:ascii="Times New Roman" w:hAnsi="Times New Roman"/>
          <w:color w:val="000000"/>
          <w:sz w:val="24"/>
          <w:szCs w:val="21"/>
          <w:highlight w:val="none"/>
        </w:rPr>
        <w:t xml:space="preserve">，供应商为残疾人福利性单位并提供服务的必须提供此</w:t>
      </w:r>
      <w:r>
        <w:rPr>
          <w:rFonts w:ascii="Times New Roman" w:hAnsi="Times New Roman"/>
          <w:color w:val="000000"/>
          <w:sz w:val="24"/>
          <w:szCs w:val="21"/>
          <w:highlight w:val="none"/>
        </w:rPr>
        <w:t xml:space="preserve">声明函</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t xml:space="preserve">否则将</w:t>
      </w:r>
      <w:r>
        <w:rPr>
          <w:rFonts w:ascii="Times New Roman" w:hAnsi="Times New Roman"/>
          <w:color w:val="000000"/>
          <w:sz w:val="24"/>
          <w:szCs w:val="21"/>
          <w:highlight w:val="none"/>
        </w:rPr>
        <w:t xml:space="preserve">不能</w:t>
      </w:r>
      <w:r>
        <w:rPr>
          <w:rFonts w:ascii="Times New Roman" w:hAnsi="Times New Roman"/>
          <w:color w:val="000000"/>
          <w:sz w:val="24"/>
          <w:szCs w:val="21"/>
          <w:highlight w:val="none"/>
        </w:rPr>
        <w:t xml:space="preserve">通过资格审查</w:t>
      </w:r>
      <w:r>
        <w:rPr>
          <w:rFonts w:ascii="Times New Roman" w:hAnsi="Times New Roman"/>
          <w:color w:val="000000"/>
          <w:sz w:val="24"/>
          <w:szCs w:val="21"/>
          <w:highlight w:val="none"/>
        </w:rPr>
        <w:t xml:space="preserve">。</w:t>
      </w:r>
      <w:r>
        <w:rPr>
          <w:rFonts w:ascii="Times New Roman" w:hAnsi="Times New Roman"/>
          <w:color w:val="000000"/>
          <w:sz w:val="24"/>
          <w:szCs w:val="21"/>
          <w:highlight w:val="none"/>
        </w:rPr>
      </w:r>
      <w:r/>
    </w:p>
    <w:p>
      <w:pPr>
        <w:pStyle w:val="898"/>
        <w:ind w:firstLine="480"/>
        <w:spacing w:line="0" w:lineRule="atLeast"/>
        <w:rPr>
          <w:rFonts w:ascii="Times New Roman" w:hAnsi="Times New Roman"/>
          <w:color w:val="000000"/>
          <w:sz w:val="24"/>
          <w:szCs w:val="21"/>
          <w:highlight w:val="none"/>
        </w:rPr>
      </w:pPr>
      <w:r>
        <w:rPr>
          <w:rFonts w:ascii="Times New Roman" w:hAnsi="Times New Roman"/>
          <w:color w:val="000000"/>
          <w:sz w:val="24"/>
          <w:szCs w:val="21"/>
          <w:highlight w:val="none"/>
        </w:rPr>
        <w:t xml:space="preserve">2. 非专门面向中小微型企业采购的</w:t>
      </w:r>
      <w:r>
        <w:rPr>
          <w:rFonts w:ascii="Times New Roman" w:hAnsi="Times New Roman"/>
          <w:color w:val="000000"/>
          <w:sz w:val="24"/>
          <w:szCs w:val="21"/>
          <w:highlight w:val="none"/>
        </w:rPr>
        <w:t xml:space="preserve">项目</w:t>
      </w:r>
      <w:r>
        <w:rPr>
          <w:rFonts w:ascii="Times New Roman" w:hAnsi="Times New Roman"/>
          <w:color w:val="000000"/>
          <w:sz w:val="24"/>
          <w:szCs w:val="21"/>
          <w:highlight w:val="none"/>
        </w:rPr>
        <w:t xml:space="preserve">，供应商如不提供此声明函，价格将不做相应扣除。</w:t>
      </w:r>
      <w:r>
        <w:rPr>
          <w:rFonts w:ascii="Times New Roman" w:hAnsi="Times New Roman"/>
          <w:color w:val="000000"/>
          <w:sz w:val="24"/>
          <w:szCs w:val="21"/>
          <w:highlight w:val="none"/>
        </w:rPr>
      </w:r>
      <w:r/>
    </w:p>
    <w:p>
      <w:pPr>
        <w:pStyle w:val="898"/>
        <w:ind w:firstLine="480"/>
        <w:spacing w:line="0" w:lineRule="atLeast"/>
        <w:rPr>
          <w:rFonts w:ascii="Times New Roman" w:hAnsi="Times New Roman"/>
          <w:color w:val="000000"/>
          <w:sz w:val="24"/>
          <w:szCs w:val="21"/>
          <w:highlight w:val="none"/>
        </w:rPr>
      </w:pPr>
      <w:r>
        <w:rPr>
          <w:rFonts w:ascii="Times New Roman" w:hAnsi="Times New Roman"/>
          <w:color w:val="000000"/>
          <w:sz w:val="24"/>
          <w:szCs w:val="21"/>
          <w:highlight w:val="none"/>
        </w:rPr>
        <w:t xml:space="preserve">3</w:t>
      </w:r>
      <w:r>
        <w:rPr>
          <w:rFonts w:ascii="Times New Roman" w:hAnsi="Times New Roman"/>
          <w:color w:val="000000"/>
          <w:sz w:val="24"/>
          <w:szCs w:val="21"/>
          <w:highlight w:val="none"/>
        </w:rPr>
        <w:t xml:space="preserve">.中标</w:t>
      </w:r>
      <w:r>
        <w:rPr>
          <w:rFonts w:ascii="Times New Roman" w:hAnsi="Times New Roman"/>
          <w:color w:val="000000"/>
          <w:sz w:val="24"/>
          <w:highlight w:val="none"/>
        </w:rPr>
        <w:t xml:space="preserve">/成交</w:t>
      </w:r>
      <w:r>
        <w:rPr>
          <w:rFonts w:ascii="Times New Roman" w:hAnsi="Times New Roman"/>
          <w:color w:val="000000"/>
          <w:sz w:val="24"/>
          <w:szCs w:val="21"/>
          <w:highlight w:val="none"/>
        </w:rPr>
        <w:t xml:space="preserve">供应商为残疾人福利性单位的，此声明函将随中标</w:t>
      </w:r>
      <w:r>
        <w:rPr>
          <w:rFonts w:ascii="Times New Roman" w:hAnsi="Times New Roman"/>
          <w:color w:val="000000"/>
          <w:sz w:val="24"/>
          <w:highlight w:val="none"/>
        </w:rPr>
        <w:t xml:space="preserve">/成交</w:t>
      </w:r>
      <w:r>
        <w:rPr>
          <w:rFonts w:ascii="Times New Roman" w:hAnsi="Times New Roman"/>
          <w:color w:val="000000"/>
          <w:sz w:val="24"/>
          <w:szCs w:val="21"/>
          <w:highlight w:val="none"/>
        </w:rPr>
        <w:t xml:space="preserve">结果同时公告，接受社会监督）</w:t>
      </w:r>
      <w:r>
        <w:rPr>
          <w:rFonts w:ascii="Times New Roman" w:hAnsi="Times New Roman"/>
          <w:color w:val="000000"/>
          <w:sz w:val="24"/>
          <w:szCs w:val="21"/>
          <w:highlight w:val="none"/>
        </w:rPr>
      </w:r>
      <w:r/>
    </w:p>
    <w:p>
      <w:pPr>
        <w:pStyle w:val="898"/>
        <w:ind w:right="1559" w:firstLine="624"/>
        <w:jc w:val="center"/>
        <w:spacing w:line="0" w:lineRule="atLeast"/>
        <w:tabs>
          <w:tab w:val="left" w:pos="4860" w:leader="none"/>
        </w:tabs>
        <w:rPr>
          <w:rFonts w:ascii="Times New Roman" w:hAnsi="Times New Roman"/>
          <w:color w:val="000000"/>
          <w:sz w:val="24"/>
          <w:szCs w:val="21"/>
          <w:highlight w:val="none"/>
        </w:rPr>
      </w:pPr>
      <w:r>
        <w:rPr>
          <w:rFonts w:ascii="Times New Roman" w:eastAsia="仿宋_GB2312"/>
          <w:color w:val="000000"/>
          <w:spacing w:val="6"/>
          <w:sz w:val="30"/>
          <w:szCs w:val="30"/>
          <w:highlight w:val="none"/>
        </w:rPr>
        <w:t xml:space="preserve">             </w:t>
      </w:r>
      <w:r>
        <w:rPr>
          <w:rFonts w:ascii="Times New Roman" w:hAnsi="Times New Roman"/>
          <w:color w:val="000000"/>
          <w:sz w:val="24"/>
          <w:szCs w:val="21"/>
          <w:highlight w:val="none"/>
        </w:rPr>
        <w:t xml:space="preserve">     </w:t>
      </w:r>
      <w:r>
        <w:rPr>
          <w:rFonts w:ascii="Times New Roman" w:hAnsi="Times New Roman"/>
          <w:color w:val="000000"/>
          <w:sz w:val="24"/>
          <w:szCs w:val="21"/>
          <w:highlight w:val="none"/>
        </w:rPr>
      </w:r>
      <w:r/>
    </w:p>
    <w:p>
      <w:pPr>
        <w:pStyle w:val="898"/>
        <w:ind w:right="1559" w:firstLine="480"/>
        <w:jc w:val="center"/>
        <w:spacing w:line="0" w:lineRule="atLeast"/>
        <w:tabs>
          <w:tab w:val="left" w:pos="4860" w:leader="none"/>
        </w:tabs>
        <w:rPr>
          <w:rFonts w:ascii="Times New Roman" w:hAnsi="Times New Roman"/>
          <w:color w:val="000000"/>
          <w:sz w:val="24"/>
          <w:szCs w:val="21"/>
          <w:highlight w:val="none"/>
        </w:rPr>
      </w:pPr>
      <w:r>
        <w:rPr>
          <w:rFonts w:ascii="Times New Roman" w:hAnsi="Times New Roman"/>
          <w:color w:val="000000"/>
          <w:sz w:val="24"/>
          <w:szCs w:val="21"/>
          <w:highlight w:val="none"/>
        </w:rPr>
        <w:t xml:space="preserve">                        </w:t>
      </w:r>
      <w:r>
        <w:rPr>
          <w:rFonts w:ascii="Times New Roman" w:hAnsi="Times New Roman"/>
          <w:color w:val="000000"/>
          <w:sz w:val="24"/>
          <w:szCs w:val="21"/>
          <w:highlight w:val="none"/>
        </w:rPr>
        <w:t xml:space="preserve">供应商全称（加盖CA电子公章）：</w:t>
      </w:r>
      <w:r>
        <w:rPr>
          <w:rFonts w:ascii="Times New Roman" w:hAnsi="Times New Roman"/>
          <w:color w:val="000000"/>
          <w:sz w:val="24"/>
          <w:szCs w:val="21"/>
          <w:highlight w:val="none"/>
        </w:rPr>
      </w:r>
      <w:r/>
    </w:p>
    <w:p>
      <w:pPr>
        <w:pStyle w:val="898"/>
        <w:ind w:right="1559" w:firstLine="480"/>
        <w:jc w:val="center"/>
        <w:spacing w:line="0" w:lineRule="atLeast"/>
        <w:tabs>
          <w:tab w:val="left" w:pos="4860" w:leader="none"/>
        </w:tabs>
        <w:rPr>
          <w:rFonts w:ascii="Times New Roman" w:hAnsi="Times New Roman"/>
          <w:color w:val="000000"/>
          <w:sz w:val="24"/>
          <w:szCs w:val="21"/>
          <w:highlight w:val="none"/>
        </w:rPr>
      </w:pPr>
      <w:r>
        <w:rPr>
          <w:rFonts w:ascii="Times New Roman" w:hAnsi="Times New Roman"/>
          <w:color w:val="000000"/>
          <w:sz w:val="24"/>
          <w:szCs w:val="21"/>
          <w:highlight w:val="none"/>
        </w:rPr>
        <w:t xml:space="preserve">    日  期：</w:t>
      </w:r>
      <w:r>
        <w:rPr>
          <w:rFonts w:ascii="Times New Roman" w:hAnsi="Times New Roman"/>
          <w:color w:val="000000"/>
          <w:sz w:val="24"/>
          <w:szCs w:val="21"/>
          <w:highlight w:val="none"/>
        </w:rPr>
      </w:r>
      <w:r/>
    </w:p>
    <w:p>
      <w:pPr>
        <w:pStyle w:val="898"/>
        <w:spacing w:line="0" w:lineRule="atLeast"/>
        <w:rPr>
          <w:rFonts w:ascii="Times New Roman" w:hAnsi="Times New Roman"/>
          <w:b/>
          <w:color w:val="000000"/>
          <w:sz w:val="24"/>
          <w:szCs w:val="24"/>
          <w:highlight w:val="none"/>
        </w:rPr>
      </w:pPr>
      <w:r>
        <w:rPr>
          <w:rFonts w:ascii="Times New Roman" w:hAnsi="Times New Roman"/>
          <w:b/>
          <w:color w:val="000000"/>
          <w:sz w:val="24"/>
          <w:szCs w:val="24"/>
          <w:highlight w:val="none"/>
        </w:rPr>
      </w:r>
      <w:r/>
    </w:p>
    <w:p>
      <w:pPr>
        <w:pStyle w:val="898"/>
        <w:jc w:val="center"/>
        <w:spacing w:line="0" w:lineRule="atLeast"/>
        <w:rPr>
          <w:rFonts w:ascii="Times New Roman" w:hAnsi="Times New Roman"/>
          <w:b/>
          <w:color w:val="000000"/>
          <w:sz w:val="24"/>
          <w:szCs w:val="24"/>
          <w:highlight w:val="none"/>
        </w:rPr>
      </w:pPr>
      <w:r>
        <w:rPr>
          <w:rFonts w:ascii="Times New Roman" w:hAnsi="Times New Roman"/>
          <w:b/>
          <w:color w:val="000000"/>
          <w:sz w:val="24"/>
          <w:szCs w:val="24"/>
          <w:highlight w:val="none"/>
        </w:rPr>
      </w:r>
      <w:r/>
    </w:p>
    <w:p>
      <w:pPr>
        <w:pStyle w:val="898"/>
        <w:jc w:val="center"/>
        <w:spacing w:line="0" w:lineRule="atLeast"/>
        <w:rPr>
          <w:rFonts w:ascii="Times New Roman" w:hAnsi="Times New Roman"/>
          <w:b/>
          <w:color w:val="000000"/>
          <w:sz w:val="24"/>
          <w:szCs w:val="24"/>
          <w:highlight w:val="none"/>
        </w:rPr>
      </w:pPr>
      <w:r>
        <w:rPr>
          <w:rFonts w:ascii="Times New Roman" w:hAnsi="Times New Roman"/>
          <w:b/>
          <w:color w:val="000000"/>
          <w:sz w:val="24"/>
          <w:szCs w:val="24"/>
          <w:highlight w:val="none"/>
        </w:rPr>
      </w:r>
      <w:r/>
    </w:p>
    <w:p>
      <w:pPr>
        <w:pStyle w:val="898"/>
        <w:spacing w:line="560" w:lineRule="exact"/>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898"/>
        <w:spacing w:line="560" w:lineRule="exact"/>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898"/>
        <w:jc w:val="center"/>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附件</w:t>
      </w:r>
      <w:r>
        <w:rPr>
          <w:rFonts w:ascii="Times New Roman" w:hAnsi="Times New Roman"/>
          <w:b/>
          <w:color w:val="000000"/>
          <w:sz w:val="24"/>
          <w:szCs w:val="24"/>
          <w:highlight w:val="none"/>
        </w:rPr>
        <w:t xml:space="preserve">1</w:t>
      </w:r>
      <w:r>
        <w:rPr>
          <w:rFonts w:ascii="Times New Roman" w:hAnsi="Times New Roman"/>
          <w:b/>
          <w:color w:val="000000"/>
          <w:sz w:val="24"/>
          <w:szCs w:val="24"/>
          <w:highlight w:val="none"/>
        </w:rPr>
        <w:t xml:space="preserve">0实质性要求响应及偏离表（采购包号：**）</w:t>
      </w:r>
      <w:r>
        <w:rPr>
          <w:rFonts w:ascii="Times New Roman" w:hAnsi="Times New Roman"/>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序号</w:t>
            </w:r>
            <w:r>
              <w:rPr>
                <w:rFonts w:ascii="Times New Roman" w:hAnsi="Times New Roman"/>
                <w:color w:val="000000"/>
                <w:sz w:val="24"/>
                <w:szCs w:val="24"/>
                <w:highlight w:val="none"/>
              </w:rPr>
            </w:r>
            <w:r/>
          </w:p>
        </w:tc>
        <w:tc>
          <w:tcPr>
            <w:tcW w:w="3609" w:type="dxa"/>
            <w:vAlign w:val="center"/>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1"/>
                <w:highlight w:val="none"/>
              </w:rPr>
              <w:t xml:space="preserve">磋商文件（含技术</w:t>
            </w:r>
            <w:r>
              <w:rPr>
                <w:rFonts w:ascii="Times New Roman" w:hAnsi="Times New Roman"/>
                <w:color w:val="000000"/>
                <w:sz w:val="24"/>
                <w:szCs w:val="21"/>
                <w:highlight w:val="none"/>
              </w:rPr>
              <w:t xml:space="preserve">要求和商务</w:t>
            </w:r>
            <w:r>
              <w:rPr>
                <w:rFonts w:ascii="Times New Roman" w:hAnsi="Times New Roman"/>
                <w:color w:val="000000"/>
                <w:sz w:val="24"/>
                <w:szCs w:val="21"/>
                <w:highlight w:val="none"/>
              </w:rPr>
              <w:t xml:space="preserve">要求）</w:t>
            </w:r>
            <w:r>
              <w:rPr>
                <w:rFonts w:ascii="Times New Roman" w:hAnsi="Times New Roman"/>
                <w:color w:val="000000"/>
                <w:sz w:val="24"/>
                <w:szCs w:val="21"/>
                <w:highlight w:val="none"/>
              </w:rPr>
              <w:t xml:space="preserve">中</w:t>
            </w:r>
            <w:r>
              <w:rPr>
                <w:rFonts w:ascii="Times New Roman" w:hAnsi="Times New Roman"/>
                <w:color w:val="000000"/>
                <w:sz w:val="24"/>
                <w:szCs w:val="24"/>
                <w:highlight w:val="none"/>
              </w:rPr>
              <w:t xml:space="preserve">的实质性要求</w:t>
            </w:r>
            <w:r>
              <w:rPr>
                <w:rFonts w:ascii="Times New Roman" w:hAnsi="Times New Roman"/>
                <w:b/>
                <w:bCs/>
                <w:color w:val="000000"/>
                <w:sz w:val="24"/>
                <w:szCs w:val="24"/>
                <w:highlight w:val="none"/>
              </w:rPr>
              <w:t xml:space="preserve">（</w:t>
            </w:r>
            <w:r>
              <w:rPr>
                <w:rFonts w:ascii="Times New Roman" w:hAnsi="Times New Roman"/>
                <w:b/>
                <w:bCs/>
                <w:i/>
                <w:color w:val="000000"/>
                <w:sz w:val="24"/>
                <w:szCs w:val="21"/>
                <w:highlight w:val="none"/>
                <w:u w:val="single"/>
              </w:rPr>
              <w:t xml:space="preserve">斜体且有下划线部分</w:t>
            </w:r>
            <w:r>
              <w:rPr>
                <w:rFonts w:ascii="Times New Roman" w:hAnsi="Times New Roman"/>
                <w:b/>
                <w:bCs/>
                <w:color w:val="000000"/>
                <w:sz w:val="24"/>
                <w:szCs w:val="21"/>
                <w:highlight w:val="none"/>
              </w:rPr>
              <w:t xml:space="preserve">或加*号条款）</w:t>
            </w:r>
            <w:r>
              <w:rPr>
                <w:rFonts w:ascii="Times New Roman" w:hAnsi="Times New Roman"/>
                <w:color w:val="000000"/>
                <w:sz w:val="24"/>
                <w:szCs w:val="24"/>
                <w:highlight w:val="none"/>
              </w:rPr>
            </w:r>
            <w:r/>
          </w:p>
        </w:tc>
        <w:tc>
          <w:tcPr>
            <w:tcW w:w="3317" w:type="dxa"/>
            <w:vAlign w:val="center"/>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响应情况</w:t>
            </w:r>
            <w:r>
              <w:rPr>
                <w:rFonts w:ascii="Times New Roman" w:hAnsi="Times New Roman"/>
                <w:color w:val="000000"/>
                <w:sz w:val="24"/>
                <w:szCs w:val="24"/>
                <w:highlight w:val="none"/>
              </w:rPr>
            </w:r>
            <w:r/>
          </w:p>
        </w:tc>
        <w:tc>
          <w:tcPr>
            <w:tcW w:w="1526" w:type="dxa"/>
            <w:vAlign w:val="center"/>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超出、符合或偏离</w:t>
            </w:r>
            <w:r>
              <w:rPr>
                <w:rFonts w:ascii="Times New Roman" w:hAnsi="Times New Roman"/>
                <w:color w:val="000000"/>
                <w:sz w:val="24"/>
                <w:szCs w:val="24"/>
                <w:highlight w:val="none"/>
              </w:rPr>
            </w:r>
            <w:r/>
          </w:p>
        </w:tc>
      </w:tr>
      <w:tr>
        <w:trPr>
          <w:cantSplit/>
          <w:trHeight w:val="640"/>
        </w:trPr>
        <w:tc>
          <w:tcPr>
            <w:tcW w:w="545"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3609"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3317"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526"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640"/>
        </w:trPr>
        <w:tc>
          <w:tcPr>
            <w:tcW w:w="545"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3609"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3317"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526"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640"/>
        </w:trPr>
        <w:tc>
          <w:tcPr>
            <w:tcW w:w="545"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3609"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tc>
        <w:tc>
          <w:tcPr>
            <w:tcW w:w="3317"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526" w:type="dxa"/>
            <w:vAlign w:val="top"/>
            <w:textDirection w:val="lrTb"/>
            <w:noWrap w:val="false"/>
          </w:tcPr>
          <w:p>
            <w:pPr>
              <w:pStyle w:val="898"/>
              <w:jc w:val="center"/>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pStyle w:val="898"/>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附件</w:t>
      </w:r>
      <w:r>
        <w:rPr>
          <w:rFonts w:ascii="Times New Roman" w:hAnsi="Times New Roman"/>
          <w:color w:val="000000"/>
          <w:sz w:val="24"/>
          <w:szCs w:val="24"/>
          <w:highlight w:val="none"/>
        </w:rPr>
        <w:t xml:space="preserve">11-1 </w:t>
      </w:r>
      <w:r>
        <w:rPr>
          <w:rFonts w:ascii="Times New Roman" w:hAnsi="Times New Roman"/>
          <w:color w:val="000000"/>
          <w:sz w:val="24"/>
          <w:szCs w:val="24"/>
          <w:highlight w:val="none"/>
        </w:rPr>
        <w:t xml:space="preserve">证明</w:t>
      </w:r>
      <w:r>
        <w:rPr>
          <w:rFonts w:ascii="Times New Roman" w:hAnsi="Times New Roman"/>
          <w:color w:val="000000"/>
          <w:sz w:val="24"/>
          <w:szCs w:val="24"/>
          <w:highlight w:val="none"/>
        </w:rPr>
        <w:t xml:space="preserve">材料</w:t>
      </w:r>
      <w:r>
        <w:rPr>
          <w:rFonts w:ascii="Times New Roman" w:hAnsi="Times New Roman"/>
          <w:color w:val="000000"/>
          <w:sz w:val="24"/>
          <w:szCs w:val="24"/>
          <w:highlight w:val="none"/>
        </w:rPr>
        <w:t xml:space="preserve">1，证明</w:t>
      </w:r>
      <w:r>
        <w:rPr>
          <w:rFonts w:ascii="Times New Roman" w:hAnsi="Times New Roman"/>
          <w:color w:val="000000"/>
          <w:sz w:val="24"/>
          <w:szCs w:val="24"/>
          <w:highlight w:val="none"/>
        </w:rPr>
        <w:t xml:space="preserve">材料</w:t>
      </w: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898"/>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备注</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898"/>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供应商</w:t>
      </w:r>
      <w:r>
        <w:rPr>
          <w:rFonts w:ascii="Times New Roman" w:hAnsi="Times New Roman"/>
          <w:color w:val="000000"/>
          <w:sz w:val="24"/>
          <w:szCs w:val="24"/>
          <w:highlight w:val="none"/>
        </w:rPr>
        <w:t xml:space="preserve">必须对</w:t>
      </w:r>
      <w:r>
        <w:rPr>
          <w:rFonts w:ascii="Times New Roman" w:hAnsi="Times New Roman"/>
          <w:color w:val="000000"/>
          <w:sz w:val="24"/>
          <w:szCs w:val="21"/>
          <w:highlight w:val="none"/>
        </w:rPr>
        <w:t xml:space="preserve">磋商文件（含技术</w:t>
      </w:r>
      <w:r>
        <w:rPr>
          <w:rFonts w:ascii="Times New Roman" w:hAnsi="Times New Roman"/>
          <w:color w:val="000000"/>
          <w:sz w:val="24"/>
          <w:szCs w:val="21"/>
          <w:highlight w:val="none"/>
        </w:rPr>
        <w:t xml:space="preserve">要求和商务</w:t>
      </w:r>
      <w:r>
        <w:rPr>
          <w:rFonts w:ascii="Times New Roman" w:hAnsi="Times New Roman"/>
          <w:color w:val="000000"/>
          <w:sz w:val="24"/>
          <w:szCs w:val="21"/>
          <w:highlight w:val="none"/>
        </w:rPr>
        <w:t xml:space="preserve">要求）</w:t>
      </w:r>
      <w:r>
        <w:rPr>
          <w:rFonts w:ascii="Times New Roman" w:hAnsi="Times New Roman"/>
          <w:color w:val="000000"/>
          <w:sz w:val="24"/>
          <w:szCs w:val="21"/>
          <w:highlight w:val="none"/>
        </w:rPr>
        <w:t xml:space="preserve">中</w:t>
      </w:r>
      <w:r>
        <w:rPr>
          <w:rFonts w:ascii="Times New Roman" w:hAnsi="Times New Roman"/>
          <w:color w:val="000000"/>
          <w:sz w:val="24"/>
          <w:szCs w:val="24"/>
          <w:highlight w:val="none"/>
        </w:rPr>
        <w:t xml:space="preserve">的实质性要求</w:t>
      </w:r>
      <w:r>
        <w:rPr>
          <w:rFonts w:ascii="Times New Roman" w:hAnsi="Times New Roman"/>
          <w:b/>
          <w:bCs/>
          <w:color w:val="000000"/>
          <w:sz w:val="24"/>
          <w:szCs w:val="24"/>
          <w:highlight w:val="none"/>
        </w:rPr>
        <w:t xml:space="preserve">（</w:t>
      </w:r>
      <w:r>
        <w:rPr>
          <w:rFonts w:ascii="Times New Roman" w:hAnsi="Times New Roman"/>
          <w:b/>
          <w:bCs/>
          <w:i/>
          <w:color w:val="000000"/>
          <w:sz w:val="24"/>
          <w:szCs w:val="21"/>
          <w:highlight w:val="none"/>
          <w:u w:val="single"/>
        </w:rPr>
        <w:t xml:space="preserve">斜体且有下划线部分</w:t>
      </w:r>
      <w:r>
        <w:rPr>
          <w:rFonts w:ascii="Times New Roman" w:hAnsi="Times New Roman"/>
          <w:b/>
          <w:bCs/>
          <w:color w:val="000000"/>
          <w:sz w:val="24"/>
          <w:szCs w:val="21"/>
          <w:highlight w:val="none"/>
        </w:rPr>
        <w:t xml:space="preserve">或加*号条款）</w:t>
      </w:r>
      <w:r>
        <w:rPr>
          <w:rFonts w:ascii="Times New Roman" w:hAnsi="Times New Roman"/>
          <w:color w:val="000000"/>
          <w:sz w:val="24"/>
          <w:szCs w:val="24"/>
          <w:highlight w:val="none"/>
        </w:rPr>
        <w:t xml:space="preserve">逐条做出明确响应</w:t>
      </w:r>
      <w:r>
        <w:rPr>
          <w:rFonts w:ascii="Times New Roman" w:hAnsi="Times New Roman"/>
          <w:color w:val="000000"/>
          <w:sz w:val="24"/>
          <w:szCs w:val="24"/>
          <w:highlight w:val="none"/>
        </w:rPr>
        <w:t xml:space="preserve">，否则做无效响应处理。</w:t>
      </w:r>
      <w:r>
        <w:rPr>
          <w:rFonts w:ascii="Times New Roman" w:hAnsi="Times New Roman"/>
          <w:color w:val="000000"/>
          <w:sz w:val="24"/>
          <w:szCs w:val="24"/>
          <w:highlight w:val="none"/>
        </w:rPr>
      </w:r>
      <w:r/>
    </w:p>
    <w:p>
      <w:pPr>
        <w:pStyle w:val="898"/>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2.如果</w:t>
      </w:r>
      <w:r>
        <w:rPr>
          <w:rFonts w:ascii="Times New Roman" w:hAnsi="Times New Roman"/>
          <w:color w:val="000000"/>
          <w:sz w:val="24"/>
          <w:szCs w:val="24"/>
          <w:highlight w:val="none"/>
        </w:rPr>
        <w:t xml:space="preserve">磋商</w:t>
      </w:r>
      <w:r>
        <w:rPr>
          <w:rFonts w:ascii="Times New Roman" w:hAnsi="Times New Roman"/>
          <w:color w:val="000000"/>
          <w:sz w:val="24"/>
          <w:szCs w:val="24"/>
          <w:highlight w:val="none"/>
        </w:rPr>
        <w:t xml:space="preserve">文件</w:t>
      </w:r>
      <w:r>
        <w:rPr>
          <w:rFonts w:ascii="Times New Roman" w:hAnsi="Times New Roman"/>
          <w:color w:val="000000"/>
          <w:sz w:val="24"/>
          <w:szCs w:val="24"/>
          <w:highlight w:val="none"/>
        </w:rPr>
        <w:t xml:space="preserve">要求提供</w:t>
      </w:r>
      <w:r>
        <w:rPr>
          <w:rFonts w:ascii="Times New Roman" w:hAnsi="Times New Roman"/>
          <w:color w:val="000000"/>
          <w:sz w:val="24"/>
          <w:szCs w:val="24"/>
          <w:highlight w:val="none"/>
        </w:rPr>
        <w:t xml:space="preserve">证明</w:t>
      </w:r>
      <w:r>
        <w:rPr>
          <w:rFonts w:ascii="Times New Roman" w:hAnsi="Times New Roman"/>
          <w:color w:val="000000"/>
          <w:sz w:val="24"/>
          <w:szCs w:val="24"/>
          <w:highlight w:val="none"/>
        </w:rPr>
        <w:t xml:space="preserve">材料，供应商必须将</w:t>
      </w:r>
      <w:r>
        <w:rPr>
          <w:rFonts w:ascii="Times New Roman" w:hAnsi="Times New Roman"/>
          <w:color w:val="000000"/>
          <w:sz w:val="24"/>
          <w:szCs w:val="24"/>
          <w:highlight w:val="none"/>
        </w:rPr>
        <w:t xml:space="preserve">证明材料列于</w:t>
      </w:r>
      <w:r>
        <w:rPr>
          <w:rFonts w:ascii="Times New Roman" w:hAnsi="Times New Roman"/>
          <w:color w:val="000000"/>
          <w:sz w:val="24"/>
          <w:szCs w:val="24"/>
          <w:highlight w:val="none"/>
        </w:rPr>
        <w:t xml:space="preserve">该表之下。</w:t>
      </w:r>
      <w:r>
        <w:rPr>
          <w:rFonts w:ascii="Times New Roman" w:hAnsi="Times New Roman"/>
          <w:color w:val="000000"/>
          <w:sz w:val="24"/>
          <w:szCs w:val="24"/>
          <w:highlight w:val="none"/>
        </w:rPr>
      </w:r>
      <w:r/>
    </w:p>
    <w:p>
      <w:pPr>
        <w:pStyle w:val="898"/>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3.供应商未对实质性要求逐条作出明确响应的，或未按磋商文件要求提供证明材料的，该采购包作无效响应处理。</w:t>
      </w:r>
      <w:r>
        <w:rPr>
          <w:rFonts w:ascii="Times New Roman" w:hAnsi="Times New Roman"/>
          <w:color w:val="000000"/>
          <w:sz w:val="24"/>
          <w:szCs w:val="24"/>
          <w:highlight w:val="none"/>
        </w:rPr>
      </w:r>
      <w:r/>
    </w:p>
    <w:p>
      <w:pPr>
        <w:pStyle w:val="898"/>
        <w:spacing w:line="460" w:lineRule="exact"/>
        <w:rPr>
          <w:rFonts w:ascii="Times New Roman" w:hAnsi="Times New Roman"/>
          <w:bCs/>
          <w:color w:val="000000"/>
          <w:sz w:val="24"/>
          <w:szCs w:val="21"/>
          <w:highlight w:val="none"/>
        </w:rPr>
      </w:pPr>
      <w:r>
        <w:rPr>
          <w:rFonts w:ascii="Times New Roman" w:hAnsi="Times New Roman"/>
          <w:bCs/>
          <w:color w:val="000000"/>
          <w:sz w:val="24"/>
          <w:szCs w:val="21"/>
          <w:highlight w:val="none"/>
        </w:rPr>
      </w:r>
      <w:r/>
    </w:p>
    <w:p>
      <w:pPr>
        <w:pStyle w:val="898"/>
        <w:spacing w:line="460" w:lineRule="exact"/>
        <w:rPr>
          <w:rFonts w:ascii="Times New Roman" w:hAnsi="Times New Roman"/>
          <w:bCs/>
          <w:color w:val="000000"/>
          <w:sz w:val="24"/>
          <w:szCs w:val="21"/>
          <w:highlight w:val="none"/>
        </w:rPr>
      </w:pPr>
      <w:r>
        <w:rPr>
          <w:rFonts w:ascii="Times New Roman" w:hAnsi="Times New Roman"/>
          <w:bCs/>
          <w:color w:val="000000"/>
          <w:sz w:val="24"/>
          <w:szCs w:val="21"/>
          <w:highlight w:val="none"/>
        </w:rPr>
      </w:r>
      <w:r/>
    </w:p>
    <w:p>
      <w:pPr>
        <w:pStyle w:val="898"/>
        <w:spacing w:line="460" w:lineRule="exact"/>
        <w:rPr>
          <w:rFonts w:ascii="Times New Roman" w:hAnsi="Times New Roman"/>
          <w:bCs/>
          <w:color w:val="000000"/>
          <w:sz w:val="24"/>
          <w:szCs w:val="21"/>
          <w:highlight w:val="none"/>
        </w:rPr>
      </w:pPr>
      <w:r>
        <w:rPr>
          <w:rFonts w:ascii="Times New Roman" w:hAnsi="Times New Roman"/>
          <w:bCs/>
          <w:color w:val="000000"/>
          <w:sz w:val="24"/>
          <w:szCs w:val="21"/>
          <w:highlight w:val="none"/>
        </w:rPr>
      </w:r>
      <w:r/>
    </w:p>
    <w:p>
      <w:pPr>
        <w:pStyle w:val="898"/>
        <w:spacing w:line="460" w:lineRule="exact"/>
        <w:rPr>
          <w:rFonts w:ascii="Times New Roman" w:hAnsi="Times New Roman"/>
          <w:bCs/>
          <w:color w:val="000000"/>
          <w:sz w:val="24"/>
          <w:szCs w:val="21"/>
          <w:highlight w:val="none"/>
        </w:rPr>
      </w:pPr>
      <w:r>
        <w:rPr>
          <w:rFonts w:ascii="Times New Roman" w:hAnsi="Times New Roman"/>
          <w:bCs/>
          <w:color w:val="000000"/>
          <w:sz w:val="24"/>
          <w:szCs w:val="21"/>
          <w:highlight w:val="none"/>
        </w:rPr>
      </w:r>
      <w:r/>
    </w:p>
    <w:p>
      <w:pPr>
        <w:pStyle w:val="898"/>
        <w:spacing w:line="460" w:lineRule="exact"/>
        <w:rPr>
          <w:rFonts w:ascii="Times New Roman" w:hAnsi="Times New Roman"/>
          <w:bCs/>
          <w:color w:val="000000"/>
          <w:sz w:val="24"/>
          <w:szCs w:val="21"/>
          <w:highlight w:val="none"/>
        </w:rPr>
      </w:pPr>
      <w:r>
        <w:rPr>
          <w:rFonts w:ascii="Times New Roman" w:hAnsi="Times New Roman"/>
          <w:bCs/>
          <w:color w:val="000000"/>
          <w:sz w:val="24"/>
          <w:szCs w:val="21"/>
          <w:highlight w:val="none"/>
        </w:rPr>
      </w:r>
      <w:r/>
    </w:p>
    <w:p>
      <w:pPr>
        <w:pStyle w:val="898"/>
        <w:spacing w:line="460" w:lineRule="exact"/>
        <w:rPr>
          <w:rFonts w:ascii="Times New Roman" w:hAnsi="Times New Roman"/>
          <w:bCs/>
          <w:color w:val="000000"/>
          <w:sz w:val="24"/>
          <w:szCs w:val="21"/>
          <w:highlight w:val="none"/>
        </w:rPr>
      </w:pPr>
      <w:r>
        <w:rPr>
          <w:rFonts w:ascii="Times New Roman" w:hAnsi="Times New Roman"/>
          <w:bCs/>
          <w:color w:val="000000"/>
          <w:sz w:val="24"/>
          <w:szCs w:val="21"/>
          <w:highlight w:val="none"/>
        </w:rPr>
      </w:r>
      <w:r/>
    </w:p>
    <w:p>
      <w:pPr>
        <w:pStyle w:val="898"/>
        <w:spacing w:line="460" w:lineRule="exact"/>
        <w:rPr>
          <w:rFonts w:ascii="Times New Roman" w:hAnsi="Times New Roman"/>
          <w:bCs/>
          <w:color w:val="000000"/>
          <w:sz w:val="24"/>
          <w:szCs w:val="21"/>
          <w:highlight w:val="none"/>
        </w:rPr>
      </w:pPr>
      <w:r>
        <w:rPr>
          <w:rFonts w:ascii="Times New Roman" w:hAnsi="Times New Roman"/>
          <w:bCs/>
          <w:color w:val="000000"/>
          <w:sz w:val="24"/>
          <w:szCs w:val="21"/>
          <w:highlight w:val="none"/>
        </w:rPr>
      </w:r>
      <w:r/>
    </w:p>
    <w:p>
      <w:pPr>
        <w:pStyle w:val="898"/>
        <w:spacing w:line="460" w:lineRule="exact"/>
        <w:rPr>
          <w:rFonts w:ascii="Times New Roman" w:hAnsi="Times New Roman"/>
          <w:bCs/>
          <w:color w:val="000000"/>
          <w:sz w:val="24"/>
          <w:szCs w:val="21"/>
          <w:highlight w:val="none"/>
        </w:rPr>
      </w:pPr>
      <w:r>
        <w:rPr>
          <w:rFonts w:ascii="Times New Roman" w:hAnsi="Times New Roman"/>
          <w:bCs/>
          <w:color w:val="000000"/>
          <w:sz w:val="24"/>
          <w:szCs w:val="21"/>
          <w:highlight w:val="none"/>
        </w:rPr>
      </w:r>
      <w:r/>
    </w:p>
    <w:p>
      <w:pPr>
        <w:pStyle w:val="898"/>
        <w:spacing w:line="460" w:lineRule="exact"/>
        <w:rPr>
          <w:rFonts w:ascii="Times New Roman" w:hAnsi="Times New Roman"/>
          <w:bCs/>
          <w:color w:val="000000"/>
          <w:sz w:val="24"/>
          <w:szCs w:val="21"/>
          <w:highlight w:val="none"/>
        </w:rPr>
      </w:pPr>
      <w:r>
        <w:rPr>
          <w:rFonts w:ascii="Times New Roman" w:hAnsi="Times New Roman"/>
          <w:bCs/>
          <w:color w:val="000000"/>
          <w:sz w:val="24"/>
          <w:szCs w:val="21"/>
          <w:highlight w:val="none"/>
        </w:rPr>
      </w:r>
      <w:r/>
    </w:p>
    <w:p>
      <w:pPr>
        <w:pStyle w:val="898"/>
        <w:spacing w:line="460" w:lineRule="exact"/>
        <w:rPr>
          <w:rFonts w:ascii="Times New Roman" w:hAnsi="Times New Roman"/>
          <w:bCs/>
          <w:color w:val="000000"/>
          <w:sz w:val="24"/>
          <w:szCs w:val="21"/>
          <w:highlight w:val="none"/>
        </w:rPr>
      </w:pPr>
      <w:r>
        <w:rPr>
          <w:rFonts w:ascii="Times New Roman" w:hAnsi="Times New Roman"/>
          <w:bCs/>
          <w:color w:val="000000"/>
          <w:sz w:val="24"/>
          <w:szCs w:val="21"/>
          <w:highlight w:val="none"/>
        </w:rPr>
      </w:r>
      <w:r/>
    </w:p>
    <w:p>
      <w:pPr>
        <w:pStyle w:val="898"/>
        <w:spacing w:line="460" w:lineRule="exact"/>
        <w:rPr>
          <w:rFonts w:ascii="Times New Roman" w:hAnsi="Times New Roman"/>
          <w:bCs/>
          <w:color w:val="000000"/>
          <w:sz w:val="24"/>
          <w:szCs w:val="21"/>
          <w:highlight w:val="none"/>
        </w:rPr>
      </w:pPr>
      <w:r>
        <w:rPr>
          <w:rFonts w:ascii="Times New Roman" w:hAnsi="Times New Roman"/>
          <w:bCs/>
          <w:color w:val="000000"/>
          <w:sz w:val="24"/>
          <w:szCs w:val="21"/>
          <w:highlight w:val="none"/>
        </w:rPr>
      </w:r>
      <w:r/>
    </w:p>
    <w:p>
      <w:pPr>
        <w:pStyle w:val="898"/>
        <w:spacing w:line="460" w:lineRule="exact"/>
        <w:rPr>
          <w:rFonts w:ascii="Times New Roman" w:hAnsi="Times New Roman"/>
          <w:bCs/>
          <w:color w:val="000000"/>
          <w:sz w:val="24"/>
          <w:szCs w:val="21"/>
          <w:highlight w:val="none"/>
        </w:rPr>
      </w:pPr>
      <w:r>
        <w:rPr>
          <w:rFonts w:ascii="Times New Roman" w:hAnsi="Times New Roman"/>
          <w:bCs/>
          <w:color w:val="000000"/>
          <w:sz w:val="24"/>
          <w:szCs w:val="21"/>
          <w:highlight w:val="none"/>
        </w:rPr>
      </w:r>
      <w:r/>
    </w:p>
    <w:p>
      <w:pPr>
        <w:pStyle w:val="898"/>
        <w:spacing w:line="460" w:lineRule="exact"/>
        <w:rPr>
          <w:rFonts w:ascii="Times New Roman" w:hAnsi="Times New Roman"/>
          <w:bCs/>
          <w:color w:val="000000"/>
          <w:sz w:val="24"/>
          <w:szCs w:val="21"/>
          <w:highlight w:val="none"/>
        </w:rPr>
      </w:pPr>
      <w:r>
        <w:rPr>
          <w:rFonts w:ascii="Times New Roman" w:hAnsi="Times New Roman"/>
          <w:bCs/>
          <w:color w:val="000000"/>
          <w:sz w:val="24"/>
          <w:szCs w:val="21"/>
          <w:highlight w:val="none"/>
        </w:rPr>
      </w:r>
      <w:r/>
    </w:p>
    <w:p>
      <w:pPr>
        <w:pStyle w:val="898"/>
        <w:spacing w:line="460" w:lineRule="exact"/>
        <w:rPr>
          <w:rFonts w:ascii="Times New Roman" w:hAnsi="Times New Roman"/>
          <w:bCs/>
          <w:color w:val="000000"/>
          <w:sz w:val="24"/>
          <w:szCs w:val="21"/>
          <w:highlight w:val="none"/>
        </w:rPr>
      </w:pPr>
      <w:r>
        <w:rPr>
          <w:rFonts w:ascii="Times New Roman" w:hAnsi="Times New Roman"/>
          <w:bCs/>
          <w:color w:val="000000"/>
          <w:sz w:val="24"/>
          <w:szCs w:val="21"/>
          <w:highlight w:val="none"/>
        </w:rPr>
      </w:r>
      <w:r/>
    </w:p>
    <w:p>
      <w:pPr>
        <w:pStyle w:val="898"/>
        <w:spacing w:line="460" w:lineRule="exact"/>
        <w:rPr>
          <w:rFonts w:ascii="Times New Roman" w:hAnsi="Times New Roman"/>
          <w:bCs/>
          <w:color w:val="000000"/>
          <w:sz w:val="24"/>
          <w:szCs w:val="21"/>
          <w:highlight w:val="none"/>
        </w:rPr>
      </w:pPr>
      <w:r>
        <w:rPr>
          <w:rFonts w:ascii="Times New Roman" w:hAnsi="Times New Roman"/>
          <w:bCs/>
          <w:color w:val="000000"/>
          <w:sz w:val="24"/>
          <w:szCs w:val="21"/>
          <w:highlight w:val="none"/>
        </w:rPr>
      </w:r>
      <w:r/>
    </w:p>
    <w:p>
      <w:pPr>
        <w:pStyle w:val="898"/>
        <w:jc w:val="center"/>
        <w:rPr>
          <w:rFonts w:ascii="Times New Roman" w:hAnsi="Times New Roman" w:cs="Times New Roman"/>
          <w:b/>
          <w:bCs/>
          <w:color w:val="000000"/>
          <w:sz w:val="32"/>
          <w:szCs w:val="32"/>
          <w:highlight w:val="none"/>
        </w:rPr>
      </w:pPr>
      <w:r/>
      <w:bookmarkEnd w:id="173"/>
      <w:r/>
      <w:bookmarkEnd w:id="174"/>
      <w:r/>
      <w:bookmarkEnd w:id="191"/>
      <w:r>
        <w:rPr>
          <w:rFonts w:ascii="Times New Roman" w:hAnsi="Times New Roman" w:cs="Times New Roman"/>
          <w:b/>
          <w:bCs/>
          <w:color w:val="000000"/>
          <w:sz w:val="32"/>
          <w:szCs w:val="32"/>
          <w:highlight w:val="none"/>
        </w:rPr>
        <w:br w:type="page" w:clear="all"/>
      </w:r>
      <w:r>
        <w:rPr>
          <w:rFonts w:ascii="Times New Roman" w:hAnsi="Times New Roman" w:cs="Times New Roman"/>
          <w:b/>
          <w:bCs/>
          <w:color w:val="000000"/>
          <w:sz w:val="32"/>
          <w:szCs w:val="32"/>
          <w:highlight w:val="none"/>
        </w:rPr>
        <w:t xml:space="preserve">质疑函范本</w:t>
      </w:r>
      <w:r>
        <w:rPr>
          <w:rFonts w:ascii="Times New Roman" w:hAnsi="Times New Roman" w:cs="Times New Roman"/>
          <w:b/>
          <w:bCs/>
          <w:color w:val="000000"/>
          <w:sz w:val="32"/>
          <w:szCs w:val="32"/>
          <w:highlight w:val="none"/>
        </w:rPr>
      </w:r>
      <w:r/>
    </w:p>
    <w:p>
      <w:pPr>
        <w:pStyle w:val="898"/>
        <w:spacing w:before="312"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一、质疑供应商基本信息</w:t>
      </w:r>
      <w:r>
        <w:rPr>
          <w:rFonts w:ascii="Times New Roman" w:hAnsi="Times New Roman" w:cs="Times New Roman"/>
          <w:bCs/>
          <w:color w:val="000000"/>
          <w:sz w:val="24"/>
          <w:szCs w:val="24"/>
          <w:highlight w:val="none"/>
        </w:rPr>
      </w:r>
      <w:r/>
    </w:p>
    <w:p>
      <w:pPr>
        <w:pStyle w:val="898"/>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质疑供应商：</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98"/>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地址：</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邮编：</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98"/>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联系人：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联系电话：</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98"/>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授权代表：</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98"/>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联系电话：</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98"/>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地址：</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邮编：</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98"/>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二、质疑项目基本情况</w:t>
      </w:r>
      <w:r>
        <w:rPr>
          <w:rFonts w:ascii="Times New Roman" w:hAnsi="Times New Roman" w:cs="Times New Roman"/>
          <w:bCs/>
          <w:color w:val="000000"/>
          <w:sz w:val="24"/>
          <w:szCs w:val="24"/>
          <w:highlight w:val="none"/>
        </w:rPr>
      </w:r>
      <w:r/>
    </w:p>
    <w:p>
      <w:pPr>
        <w:pStyle w:val="898"/>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质疑项目的名称：</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98"/>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质疑项目的编号：</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包号：</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98"/>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采购人名称：</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98"/>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采购文件获取日期：</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98"/>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三、质疑事项具体内容</w:t>
      </w:r>
      <w:r>
        <w:rPr>
          <w:rFonts w:ascii="Times New Roman" w:hAnsi="Times New Roman" w:cs="Times New Roman"/>
          <w:bCs/>
          <w:color w:val="000000"/>
          <w:sz w:val="24"/>
          <w:szCs w:val="24"/>
          <w:highlight w:val="none"/>
        </w:rPr>
      </w:r>
      <w:r/>
    </w:p>
    <w:p>
      <w:pPr>
        <w:pStyle w:val="898"/>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质疑事项1：</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98"/>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事实依据：</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98"/>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98"/>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法律依据：</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98"/>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98"/>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质疑事项2</w:t>
      </w:r>
      <w:r>
        <w:rPr>
          <w:rFonts w:ascii="Times New Roman" w:hAnsi="Times New Roman" w:cs="Times New Roman"/>
          <w:color w:val="000000"/>
          <w:sz w:val="24"/>
          <w:szCs w:val="24"/>
          <w:highlight w:val="none"/>
          <w:u w:val="single"/>
        </w:rPr>
      </w:r>
      <w:r/>
    </w:p>
    <w:p>
      <w:pPr>
        <w:pStyle w:val="898"/>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898"/>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四、与质疑事项相关的质疑请求</w:t>
      </w:r>
      <w:r>
        <w:rPr>
          <w:rFonts w:ascii="Times New Roman" w:hAnsi="Times New Roman" w:cs="Times New Roman"/>
          <w:bCs/>
          <w:color w:val="000000"/>
          <w:sz w:val="24"/>
          <w:szCs w:val="24"/>
          <w:highlight w:val="none"/>
        </w:rPr>
      </w:r>
      <w:r/>
    </w:p>
    <w:p>
      <w:pPr>
        <w:pStyle w:val="898"/>
        <w:spacing w:line="360" w:lineRule="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请求：</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98"/>
        <w:rPr>
          <w:rFonts w:ascii="Times New Roman" w:hAnsi="Times New Roman"/>
          <w:color w:val="000000"/>
          <w:sz w:val="24"/>
          <w:szCs w:val="24"/>
          <w:highlight w:val="none"/>
        </w:rPr>
      </w:pPr>
      <w:r>
        <w:rPr>
          <w:rFonts w:ascii="Times New Roman" w:hAnsi="Times New Roman"/>
          <w:color w:val="000000"/>
          <w:sz w:val="24"/>
          <w:szCs w:val="24"/>
          <w:highlight w:val="none"/>
        </w:rPr>
        <w:t xml:space="preserve">签字(签章)：                   公章：                      </w:t>
      </w:r>
      <w:r>
        <w:rPr>
          <w:rFonts w:ascii="Times New Roman" w:hAnsi="Times New Roman"/>
          <w:color w:val="000000"/>
          <w:sz w:val="24"/>
          <w:szCs w:val="24"/>
          <w:highlight w:val="none"/>
        </w:rPr>
      </w:r>
      <w:r/>
    </w:p>
    <w:p>
      <w:pPr>
        <w:pStyle w:val="898"/>
        <w:rPr>
          <w:rFonts w:ascii="Times New Roman" w:hAnsi="Times New Roman"/>
          <w:color w:val="000000"/>
          <w:sz w:val="24"/>
          <w:szCs w:val="24"/>
          <w:highlight w:val="none"/>
        </w:rPr>
      </w:pPr>
      <w:r>
        <w:rPr>
          <w:rFonts w:ascii="Times New Roman" w:hAnsi="Times New Roman"/>
          <w:color w:val="000000"/>
          <w:sz w:val="24"/>
          <w:szCs w:val="24"/>
          <w:highlight w:val="none"/>
        </w:rPr>
        <w:t xml:space="preserve">日期：    </w:t>
      </w:r>
      <w:r>
        <w:rPr>
          <w:rFonts w:ascii="Times New Roman" w:hAnsi="Times New Roman"/>
          <w:color w:val="000000"/>
          <w:sz w:val="24"/>
          <w:szCs w:val="24"/>
          <w:highlight w:val="none"/>
        </w:rPr>
      </w:r>
      <w:r/>
    </w:p>
    <w:p>
      <w:pPr>
        <w:pStyle w:val="898"/>
        <w:spacing w:line="40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质疑函制作说明：</w:t>
      </w:r>
      <w:r>
        <w:rPr>
          <w:rFonts w:ascii="Times New Roman" w:hAnsi="Times New Roman"/>
          <w:b/>
          <w:color w:val="000000"/>
          <w:sz w:val="24"/>
          <w:szCs w:val="24"/>
          <w:highlight w:val="none"/>
        </w:rPr>
      </w:r>
      <w:r/>
    </w:p>
    <w:p>
      <w:pPr>
        <w:pStyle w:val="898"/>
        <w:ind w:firstLine="480"/>
        <w:jc w:val="left"/>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1.供应商提出质疑时，应提交质疑函和必要的证明材料。</w:t>
      </w:r>
      <w:r>
        <w:rPr>
          <w:rFonts w:ascii="Times New Roman" w:hAnsi="Times New Roman"/>
          <w:color w:val="000000"/>
          <w:sz w:val="24"/>
          <w:szCs w:val="24"/>
          <w:highlight w:val="none"/>
        </w:rPr>
      </w:r>
      <w:r/>
    </w:p>
    <w:p>
      <w:pPr>
        <w:pStyle w:val="898"/>
        <w:ind w:firstLine="480"/>
        <w:jc w:val="left"/>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2.质疑供应商若委托代理人进行质疑的，质疑函应按要求列明“授权代表”的有关内容，并在附件中提交由质疑</w:t>
      </w:r>
      <w:r>
        <w:rPr>
          <w:rFonts w:ascii="Times New Roman" w:hAnsi="Times New Roman" w:cs="Times New Roman"/>
          <w:color w:val="000000"/>
          <w:sz w:val="24"/>
          <w:szCs w:val="24"/>
          <w:highlight w:val="none"/>
        </w:rPr>
        <w:t xml:space="preserve">供应商签署的授权委托书。授权委托书应载明代理人的姓名或者名称、代理事项、具体权限、期限和相关事项。</w:t>
      </w:r>
      <w:r>
        <w:rPr>
          <w:rFonts w:ascii="Times New Roman" w:hAnsi="Times New Roman"/>
          <w:color w:val="000000"/>
          <w:sz w:val="24"/>
          <w:szCs w:val="24"/>
          <w:highlight w:val="none"/>
        </w:rPr>
      </w:r>
      <w:r/>
    </w:p>
    <w:p>
      <w:pPr>
        <w:pStyle w:val="898"/>
        <w:ind w:firstLine="480"/>
        <w:jc w:val="left"/>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3.质疑供应商若对项目的某一采购包进行质疑，质疑函中应列明具体采购包号。</w:t>
      </w:r>
      <w:r>
        <w:rPr>
          <w:rFonts w:ascii="Times New Roman" w:hAnsi="Times New Roman"/>
          <w:color w:val="000000"/>
          <w:sz w:val="24"/>
          <w:szCs w:val="24"/>
          <w:highlight w:val="none"/>
        </w:rPr>
      </w:r>
      <w:r/>
    </w:p>
    <w:p>
      <w:pPr>
        <w:pStyle w:val="898"/>
        <w:ind w:firstLine="480"/>
        <w:jc w:val="left"/>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4.质疑函的质疑事项应具体、明确，并有必要的事实依据和法律依据。</w:t>
      </w:r>
      <w:r>
        <w:rPr>
          <w:rFonts w:ascii="Times New Roman" w:hAnsi="Times New Roman"/>
          <w:color w:val="000000"/>
          <w:sz w:val="24"/>
          <w:szCs w:val="24"/>
          <w:highlight w:val="none"/>
        </w:rPr>
      </w:r>
      <w:r/>
    </w:p>
    <w:p>
      <w:pPr>
        <w:pStyle w:val="898"/>
        <w:ind w:firstLine="480"/>
        <w:jc w:val="left"/>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5.质疑函的质疑请求应与质疑事项相关。</w:t>
      </w:r>
      <w:r>
        <w:rPr>
          <w:rFonts w:ascii="Times New Roman" w:hAnsi="Times New Roman"/>
          <w:color w:val="000000"/>
          <w:sz w:val="24"/>
          <w:szCs w:val="24"/>
          <w:highlight w:val="none"/>
        </w:rPr>
      </w:r>
      <w:r/>
    </w:p>
    <w:p>
      <w:pPr>
        <w:pStyle w:val="898"/>
        <w:ind w:firstLine="480"/>
        <w:jc w:val="left"/>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color w:val="000000"/>
          <w:sz w:val="24"/>
          <w:szCs w:val="24"/>
          <w:highlight w:val="none"/>
        </w:rPr>
      </w:r>
      <w:r/>
    </w:p>
    <w:p>
      <w:pPr>
        <w:pStyle w:val="898"/>
        <w:ind w:firstLine="480"/>
        <w:jc w:val="left"/>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ind w:firstLine="480"/>
        <w:jc w:val="left"/>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ind w:firstLine="480"/>
        <w:jc w:val="left"/>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ind w:firstLine="480"/>
        <w:jc w:val="left"/>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ind w:firstLine="480"/>
        <w:jc w:val="left"/>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ind w:firstLine="480"/>
        <w:jc w:val="left"/>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ind w:firstLine="480"/>
        <w:jc w:val="left"/>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8"/>
        <w:ind w:firstLine="480"/>
        <w:jc w:val="left"/>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仿宋">
    <w:panose1 w:val="02010609060101010101"/>
  </w:font>
  <w:font w:name="Symbol">
    <w:panose1 w:val="05050102010706020507"/>
  </w:font>
  <w:font w:name="华文楷体">
    <w:panose1 w:val="02010600040101010101"/>
  </w:font>
  <w:font w:name="Wingdings">
    <w:panose1 w:val="05000000000000000000"/>
  </w:font>
  <w:font w:name="Tahoma">
    <w:panose1 w:val="020B0604030504040204"/>
  </w:font>
  <w:font w:name="Calibri">
    <w:panose1 w:val="020F050202020403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1</w:t>
    </w:r>
    <w:r>
      <w:fldChar w:fldCharType="end"/>
    </w:r>
    <w:r>
      <w:rPr>
        <w:rStyle w:val="971"/>
      </w:rPr>
    </w:r>
    <w:r/>
  </w:p>
  <w:p>
    <w:pPr>
      <w:pStyle w:val="94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2689515</wp:posOffset>
              </wp:positionH>
              <wp:positionV relativeFrom="paragraph">
                <wp:posOffset>-86994</wp:posOffset>
              </wp:positionV>
              <wp:extent cx="963911" cy="284773"/>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963911" cy="284772"/>
                      </a:xfrm>
                      <a:prstGeom prst="rect">
                        <a:avLst/>
                      </a:prstGeom>
                      <a:noFill/>
                      <a:ln>
                        <a:noFill/>
                      </a:ln>
                    </wps:spPr>
                    <wps:txbx>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898"/>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argin-left:211.8pt;mso-position-horizontal:absolute;mso-position-vertical-relative:text;margin-top:-6.8pt;mso-position-vertical:absolute;width:75.9pt;height:22.4pt;mso-wrap-distance-left:9.0pt;mso-wrap-distance-top:0.0pt;mso-wrap-distance-right:9.0pt;mso-wrap-distance-bottom:0.0pt;visibility:visible;" filled="f" stroked="f">
              <v:textbox inset="0,0,0,0">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898"/>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7"/>
      <w:isLgl w:val="false"/>
      <w:suff w:val="tab"/>
      <w:lvlText w:val="附录%1."/>
      <w:lvlJc w:val="left"/>
      <w:pPr>
        <w:pStyle w:val="89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4"/>
      <w:isLgl w:val="false"/>
      <w:suff w:val="tab"/>
      <w:lvlText w:val="%1."/>
      <w:lvlJc w:val="left"/>
      <w:pPr>
        <w:pStyle w:val="898"/>
        <w:ind w:left="709" w:hanging="709"/>
        <w:tabs>
          <w:tab w:val="num" w:pos="709" w:leader="none"/>
        </w:tabs>
      </w:pPr>
      <w:rPr>
        <w:rFonts w:hint="eastAsia"/>
      </w:rPr>
    </w:lvl>
    <w:lvl w:ilvl="1">
      <w:start w:val="1"/>
      <w:numFmt w:val="decimal"/>
      <w:isLgl w:val="false"/>
      <w:suff w:val="tab"/>
      <w:lvlText w:val="%1.%2"/>
      <w:lvlJc w:val="left"/>
      <w:pPr>
        <w:pStyle w:val="898"/>
        <w:ind w:left="709" w:hanging="709"/>
        <w:tabs>
          <w:tab w:val="num" w:pos="709" w:leader="none"/>
        </w:tabs>
      </w:pPr>
      <w:rPr>
        <w:rFonts w:hint="eastAsia"/>
      </w:rPr>
    </w:lvl>
    <w:lvl w:ilvl="2">
      <w:start w:val="1"/>
      <w:numFmt w:val="decimal"/>
      <w:isLgl w:val="false"/>
      <w:suff w:val="tab"/>
      <w:lvlText w:val="%1.%2.%3."/>
      <w:lvlJc w:val="left"/>
      <w:pPr>
        <w:pStyle w:val="898"/>
        <w:ind w:left="425" w:hanging="425"/>
        <w:tabs>
          <w:tab w:val="num" w:pos="425" w:leader="none"/>
        </w:tabs>
      </w:pPr>
      <w:rPr>
        <w:rFonts w:hint="eastAsia"/>
      </w:rPr>
    </w:lvl>
    <w:lvl w:ilvl="3">
      <w:start w:val="1"/>
      <w:numFmt w:val="decimal"/>
      <w:isLgl w:val="false"/>
      <w:suff w:val="tab"/>
      <w:lvlText w:val="%1.%2.%3.%4."/>
      <w:lvlJc w:val="left"/>
      <w:pPr>
        <w:pStyle w:val="898"/>
        <w:ind w:left="851" w:hanging="851"/>
        <w:tabs>
          <w:tab w:val="num" w:pos="851" w:leader="none"/>
        </w:tabs>
      </w:pPr>
      <w:rPr>
        <w:rFonts w:hint="eastAsia"/>
      </w:rPr>
    </w:lvl>
    <w:lvl w:ilvl="4">
      <w:start w:val="1"/>
      <w:numFmt w:val="decimal"/>
      <w:isLgl w:val="false"/>
      <w:suff w:val="tab"/>
      <w:lvlText w:val="%1.%2.%3.%4.%5."/>
      <w:lvlJc w:val="left"/>
      <w:pPr>
        <w:pStyle w:val="898"/>
        <w:ind w:left="992" w:hanging="992"/>
        <w:tabs>
          <w:tab w:val="num" w:pos="992" w:leader="none"/>
        </w:tabs>
      </w:pPr>
      <w:rPr>
        <w:rFonts w:hint="eastAsia"/>
      </w:rPr>
    </w:lvl>
    <w:lvl w:ilvl="5">
      <w:start w:val="1"/>
      <w:numFmt w:val="decimal"/>
      <w:isLgl w:val="false"/>
      <w:suff w:val="tab"/>
      <w:lvlText w:val="%1.%2.%3.%4.%5.%6."/>
      <w:lvlJc w:val="left"/>
      <w:pPr>
        <w:pStyle w:val="898"/>
        <w:ind w:left="1134" w:hanging="1134"/>
        <w:tabs>
          <w:tab w:val="num" w:pos="1134" w:leader="none"/>
        </w:tabs>
      </w:pPr>
      <w:rPr>
        <w:rFonts w:hint="eastAsia"/>
      </w:rPr>
    </w:lvl>
    <w:lvl w:ilvl="6">
      <w:start w:val="1"/>
      <w:numFmt w:val="decimal"/>
      <w:isLgl w:val="false"/>
      <w:suff w:val="tab"/>
      <w:lvlText w:val="%1.%2.%3.%4.%5.%6.%7."/>
      <w:lvlJc w:val="left"/>
      <w:pPr>
        <w:pStyle w:val="898"/>
        <w:ind w:left="1276" w:hanging="1276"/>
        <w:tabs>
          <w:tab w:val="num" w:pos="1276" w:leader="none"/>
        </w:tabs>
      </w:pPr>
      <w:rPr>
        <w:rFonts w:hint="eastAsia"/>
      </w:rPr>
    </w:lvl>
    <w:lvl w:ilvl="7">
      <w:start w:val="1"/>
      <w:numFmt w:val="decimal"/>
      <w:isLgl w:val="false"/>
      <w:suff w:val="tab"/>
      <w:lvlText w:val="%1.%2.%3.%4.%5.%6.%7.%8."/>
      <w:lvlJc w:val="left"/>
      <w:pPr>
        <w:pStyle w:val="898"/>
        <w:ind w:left="1418" w:hanging="1418"/>
        <w:tabs>
          <w:tab w:val="num" w:pos="1418" w:leader="none"/>
        </w:tabs>
      </w:pPr>
      <w:rPr>
        <w:rFonts w:hint="eastAsia"/>
      </w:rPr>
    </w:lvl>
    <w:lvl w:ilvl="8">
      <w:start w:val="1"/>
      <w:numFmt w:val="decimal"/>
      <w:isLgl w:val="false"/>
      <w:suff w:val="tab"/>
      <w:lvlText w:val="%1.%2.%3.%4.%5.%6.%7.%8.%9."/>
      <w:lvlJc w:val="left"/>
      <w:pPr>
        <w:pStyle w:val="898"/>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98"/>
        <w:ind w:left="0" w:firstLine="0"/>
      </w:pPr>
      <w:rPr>
        <w:rFonts w:hint="eastAsia"/>
      </w:rPr>
    </w:lvl>
    <w:lvl w:ilvl="1">
      <w:start w:val="1"/>
      <w:numFmt w:val="decimal"/>
      <w:isLgl w:val="false"/>
      <w:suff w:val="nothing"/>
      <w:lvlText w:val="%2、"/>
      <w:lvlJc w:val="left"/>
      <w:pPr>
        <w:pStyle w:val="898"/>
        <w:ind w:left="0" w:firstLine="0"/>
      </w:pPr>
      <w:rPr>
        <w:rFonts w:hint="eastAsia"/>
      </w:rPr>
    </w:lvl>
    <w:lvl w:ilvl="2">
      <w:start w:val="1"/>
      <w:numFmt w:val="decimal"/>
      <w:isLgl w:val="false"/>
      <w:suff w:val="nothing"/>
      <w:lvlText w:val="%2.%3 "/>
      <w:lvlJc w:val="left"/>
      <w:pPr>
        <w:pStyle w:val="898"/>
        <w:ind w:left="0" w:firstLine="0"/>
      </w:pPr>
      <w:rPr>
        <w:rFonts w:hint="eastAsia"/>
      </w:rPr>
    </w:lvl>
    <w:lvl w:ilvl="3">
      <w:start w:val="1"/>
      <w:numFmt w:val="decimal"/>
      <w:isLgl w:val="false"/>
      <w:suff w:val="nothing"/>
      <w:lvlText w:val="%2.%3.%4 "/>
      <w:lvlJc w:val="left"/>
      <w:pPr>
        <w:pStyle w:val="898"/>
        <w:ind w:left="0" w:firstLine="0"/>
      </w:pPr>
      <w:rPr>
        <w:rFonts w:hint="eastAsia"/>
      </w:rPr>
    </w:lvl>
    <w:lvl w:ilvl="4">
      <w:start w:val="1"/>
      <w:numFmt w:val="decimal"/>
      <w:isLgl w:val="false"/>
      <w:suff w:val="nothing"/>
      <w:lvlText w:val="%2.%3.%4.%5 "/>
      <w:lvlJc w:val="left"/>
      <w:pPr>
        <w:pStyle w:val="898"/>
        <w:ind w:left="0" w:firstLine="0"/>
      </w:pPr>
      <w:rPr>
        <w:rFonts w:hint="eastAsia"/>
      </w:rPr>
    </w:lvl>
    <w:lvl w:ilvl="5">
      <w:start w:val="1"/>
      <w:numFmt w:val="decimal"/>
      <w:pStyle w:val="904"/>
      <w:isLgl w:val="false"/>
      <w:suff w:val="nothing"/>
      <w:lvlText w:val=""/>
      <w:lvlJc w:val="left"/>
      <w:pPr>
        <w:pStyle w:val="898"/>
        <w:ind w:left="0" w:firstLine="0"/>
      </w:pPr>
      <w:rPr>
        <w:rFonts w:hint="eastAsia"/>
      </w:rPr>
    </w:lvl>
    <w:lvl w:ilvl="6">
      <w:start w:val="1"/>
      <w:numFmt w:val="decimal"/>
      <w:pStyle w:val="905"/>
      <w:isLgl w:val="false"/>
      <w:suff w:val="nothing"/>
      <w:lvlText w:val=""/>
      <w:lvlJc w:val="left"/>
      <w:pPr>
        <w:pStyle w:val="898"/>
        <w:ind w:left="0" w:firstLine="0"/>
      </w:pPr>
      <w:rPr>
        <w:rFonts w:hint="eastAsia"/>
      </w:rPr>
    </w:lvl>
    <w:lvl w:ilvl="7">
      <w:start w:val="1"/>
      <w:numFmt w:val="decimal"/>
      <w:pStyle w:val="906"/>
      <w:isLgl w:val="false"/>
      <w:suff w:val="nothing"/>
      <w:lvlText w:val=""/>
      <w:lvlJc w:val="left"/>
      <w:pPr>
        <w:pStyle w:val="898"/>
        <w:ind w:left="0" w:firstLine="0"/>
      </w:pPr>
      <w:rPr>
        <w:rFonts w:hint="eastAsia"/>
      </w:rPr>
    </w:lvl>
    <w:lvl w:ilvl="8">
      <w:start w:val="1"/>
      <w:numFmt w:val="decimal"/>
      <w:pStyle w:val="907"/>
      <w:isLgl w:val="false"/>
      <w:suff w:val="nothing"/>
      <w:lvlText w:val=""/>
      <w:lvlJc w:val="left"/>
      <w:pPr>
        <w:pStyle w:val="898"/>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name w:val="Heading 1"/>
    <w:basedOn w:val="898"/>
    <w:next w:val="898"/>
    <w:link w:val="721"/>
    <w:uiPriority w:val="9"/>
    <w:qFormat/>
    <w:pPr>
      <w:keepLines/>
      <w:keepNext/>
      <w:spacing w:before="480" w:after="200"/>
      <w:outlineLvl w:val="0"/>
    </w:pPr>
    <w:rPr>
      <w:rFonts w:ascii="Arial" w:hAnsi="Arial" w:eastAsia="Arial" w:cs="Arial"/>
      <w:sz w:val="40"/>
      <w:szCs w:val="40"/>
    </w:rPr>
  </w:style>
  <w:style w:type="character" w:styleId="721">
    <w:name w:val="Heading 1 Char"/>
    <w:link w:val="720"/>
    <w:uiPriority w:val="9"/>
    <w:rPr>
      <w:rFonts w:ascii="Arial" w:hAnsi="Arial" w:eastAsia="Arial" w:cs="Arial"/>
      <w:sz w:val="40"/>
      <w:szCs w:val="40"/>
    </w:rPr>
  </w:style>
  <w:style w:type="paragraph" w:styleId="722">
    <w:name w:val="Heading 2"/>
    <w:basedOn w:val="898"/>
    <w:next w:val="898"/>
    <w:link w:val="723"/>
    <w:uiPriority w:val="9"/>
    <w:unhideWhenUsed/>
    <w:qFormat/>
    <w:pPr>
      <w:keepLines/>
      <w:keepNext/>
      <w:spacing w:before="360" w:after="200"/>
      <w:outlineLvl w:val="1"/>
    </w:pPr>
    <w:rPr>
      <w:rFonts w:ascii="Arial" w:hAnsi="Arial" w:eastAsia="Arial" w:cs="Arial"/>
      <w:sz w:val="34"/>
    </w:rPr>
  </w:style>
  <w:style w:type="character" w:styleId="723">
    <w:name w:val="Heading 2 Char"/>
    <w:link w:val="722"/>
    <w:uiPriority w:val="9"/>
    <w:rPr>
      <w:rFonts w:ascii="Arial" w:hAnsi="Arial" w:eastAsia="Arial" w:cs="Arial"/>
      <w:sz w:val="34"/>
    </w:rPr>
  </w:style>
  <w:style w:type="paragraph" w:styleId="724">
    <w:name w:val="Heading 3"/>
    <w:basedOn w:val="898"/>
    <w:next w:val="898"/>
    <w:link w:val="725"/>
    <w:uiPriority w:val="9"/>
    <w:unhideWhenUsed/>
    <w:qFormat/>
    <w:pPr>
      <w:keepLines/>
      <w:keepNext/>
      <w:spacing w:before="320" w:after="200"/>
      <w:outlineLvl w:val="2"/>
    </w:pPr>
    <w:rPr>
      <w:rFonts w:ascii="Arial" w:hAnsi="Arial" w:eastAsia="Arial" w:cs="Arial"/>
      <w:sz w:val="30"/>
      <w:szCs w:val="30"/>
    </w:rPr>
  </w:style>
  <w:style w:type="character" w:styleId="725">
    <w:name w:val="Heading 3 Char"/>
    <w:link w:val="724"/>
    <w:uiPriority w:val="9"/>
    <w:rPr>
      <w:rFonts w:ascii="Arial" w:hAnsi="Arial" w:eastAsia="Arial" w:cs="Arial"/>
      <w:sz w:val="30"/>
      <w:szCs w:val="30"/>
    </w:rPr>
  </w:style>
  <w:style w:type="paragraph" w:styleId="726">
    <w:name w:val="Heading 4"/>
    <w:basedOn w:val="898"/>
    <w:next w:val="898"/>
    <w:link w:val="727"/>
    <w:uiPriority w:val="9"/>
    <w:unhideWhenUsed/>
    <w:qFormat/>
    <w:pPr>
      <w:keepLines/>
      <w:keepNext/>
      <w:spacing w:before="320" w:after="200"/>
      <w:outlineLvl w:val="3"/>
    </w:pPr>
    <w:rPr>
      <w:rFonts w:ascii="Arial" w:hAnsi="Arial" w:eastAsia="Arial" w:cs="Arial"/>
      <w:b/>
      <w:bCs/>
      <w:sz w:val="26"/>
      <w:szCs w:val="26"/>
    </w:rPr>
  </w:style>
  <w:style w:type="character" w:styleId="727">
    <w:name w:val="Heading 4 Char"/>
    <w:link w:val="726"/>
    <w:uiPriority w:val="9"/>
    <w:rPr>
      <w:rFonts w:ascii="Arial" w:hAnsi="Arial" w:eastAsia="Arial" w:cs="Arial"/>
      <w:b/>
      <w:bCs/>
      <w:sz w:val="26"/>
      <w:szCs w:val="26"/>
    </w:rPr>
  </w:style>
  <w:style w:type="paragraph" w:styleId="728">
    <w:name w:val="Heading 5"/>
    <w:basedOn w:val="898"/>
    <w:next w:val="898"/>
    <w:link w:val="729"/>
    <w:uiPriority w:val="9"/>
    <w:unhideWhenUsed/>
    <w:qFormat/>
    <w:pPr>
      <w:keepLines/>
      <w:keepNext/>
      <w:spacing w:before="320" w:after="200"/>
      <w:outlineLvl w:val="4"/>
    </w:pPr>
    <w:rPr>
      <w:rFonts w:ascii="Arial" w:hAnsi="Arial" w:eastAsia="Arial" w:cs="Arial"/>
      <w:b/>
      <w:bCs/>
      <w:sz w:val="24"/>
      <w:szCs w:val="24"/>
    </w:rPr>
  </w:style>
  <w:style w:type="character" w:styleId="729">
    <w:name w:val="Heading 5 Char"/>
    <w:link w:val="728"/>
    <w:uiPriority w:val="9"/>
    <w:rPr>
      <w:rFonts w:ascii="Arial" w:hAnsi="Arial" w:eastAsia="Arial" w:cs="Arial"/>
      <w:b/>
      <w:bCs/>
      <w:sz w:val="24"/>
      <w:szCs w:val="24"/>
    </w:rPr>
  </w:style>
  <w:style w:type="paragraph" w:styleId="730">
    <w:name w:val="Heading 6"/>
    <w:basedOn w:val="898"/>
    <w:next w:val="898"/>
    <w:link w:val="731"/>
    <w:uiPriority w:val="9"/>
    <w:unhideWhenUsed/>
    <w:qFormat/>
    <w:pPr>
      <w:keepLines/>
      <w:keepNext/>
      <w:spacing w:before="320" w:after="200"/>
      <w:outlineLvl w:val="5"/>
    </w:pPr>
    <w:rPr>
      <w:rFonts w:ascii="Arial" w:hAnsi="Arial" w:eastAsia="Arial" w:cs="Arial"/>
      <w:b/>
      <w:bCs/>
      <w:sz w:val="22"/>
      <w:szCs w:val="22"/>
    </w:rPr>
  </w:style>
  <w:style w:type="character" w:styleId="731">
    <w:name w:val="Heading 6 Char"/>
    <w:link w:val="730"/>
    <w:uiPriority w:val="9"/>
    <w:rPr>
      <w:rFonts w:ascii="Arial" w:hAnsi="Arial" w:eastAsia="Arial" w:cs="Arial"/>
      <w:b/>
      <w:bCs/>
      <w:sz w:val="22"/>
      <w:szCs w:val="22"/>
    </w:rPr>
  </w:style>
  <w:style w:type="paragraph" w:styleId="732">
    <w:name w:val="Heading 7"/>
    <w:basedOn w:val="898"/>
    <w:next w:val="898"/>
    <w:link w:val="733"/>
    <w:uiPriority w:val="9"/>
    <w:unhideWhenUsed/>
    <w:qFormat/>
    <w:pPr>
      <w:keepLines/>
      <w:keepNext/>
      <w:spacing w:before="320" w:after="200"/>
      <w:outlineLvl w:val="6"/>
    </w:pPr>
    <w:rPr>
      <w:rFonts w:ascii="Arial" w:hAnsi="Arial" w:eastAsia="Arial" w:cs="Arial"/>
      <w:b/>
      <w:bCs/>
      <w:i/>
      <w:iCs/>
      <w:sz w:val="22"/>
      <w:szCs w:val="22"/>
    </w:rPr>
  </w:style>
  <w:style w:type="character" w:styleId="733">
    <w:name w:val="Heading 7 Char"/>
    <w:link w:val="732"/>
    <w:uiPriority w:val="9"/>
    <w:rPr>
      <w:rFonts w:ascii="Arial" w:hAnsi="Arial" w:eastAsia="Arial" w:cs="Arial"/>
      <w:b/>
      <w:bCs/>
      <w:i/>
      <w:iCs/>
      <w:sz w:val="22"/>
      <w:szCs w:val="22"/>
    </w:rPr>
  </w:style>
  <w:style w:type="paragraph" w:styleId="734">
    <w:name w:val="Heading 8"/>
    <w:basedOn w:val="898"/>
    <w:next w:val="898"/>
    <w:link w:val="735"/>
    <w:uiPriority w:val="9"/>
    <w:unhideWhenUsed/>
    <w:qFormat/>
    <w:pPr>
      <w:keepLines/>
      <w:keepNext/>
      <w:spacing w:before="320" w:after="200"/>
      <w:outlineLvl w:val="7"/>
    </w:pPr>
    <w:rPr>
      <w:rFonts w:ascii="Arial" w:hAnsi="Arial" w:eastAsia="Arial" w:cs="Arial"/>
      <w:i/>
      <w:iCs/>
      <w:sz w:val="22"/>
      <w:szCs w:val="22"/>
    </w:rPr>
  </w:style>
  <w:style w:type="character" w:styleId="735">
    <w:name w:val="Heading 8 Char"/>
    <w:link w:val="734"/>
    <w:uiPriority w:val="9"/>
    <w:rPr>
      <w:rFonts w:ascii="Arial" w:hAnsi="Arial" w:eastAsia="Arial" w:cs="Arial"/>
      <w:i/>
      <w:iCs/>
      <w:sz w:val="22"/>
      <w:szCs w:val="22"/>
    </w:rPr>
  </w:style>
  <w:style w:type="paragraph" w:styleId="736">
    <w:name w:val="Heading 9"/>
    <w:basedOn w:val="898"/>
    <w:next w:val="898"/>
    <w:link w:val="737"/>
    <w:uiPriority w:val="9"/>
    <w:unhideWhenUsed/>
    <w:qFormat/>
    <w:pPr>
      <w:keepLines/>
      <w:keepNext/>
      <w:spacing w:before="320" w:after="200"/>
      <w:outlineLvl w:val="8"/>
    </w:pPr>
    <w:rPr>
      <w:rFonts w:ascii="Arial" w:hAnsi="Arial" w:eastAsia="Arial" w:cs="Arial"/>
      <w:i/>
      <w:iCs/>
      <w:sz w:val="21"/>
      <w:szCs w:val="21"/>
    </w:rPr>
  </w:style>
  <w:style w:type="character" w:styleId="737">
    <w:name w:val="Heading 9 Char"/>
    <w:link w:val="736"/>
    <w:uiPriority w:val="9"/>
    <w:rPr>
      <w:rFonts w:ascii="Arial" w:hAnsi="Arial" w:eastAsia="Arial" w:cs="Arial"/>
      <w:i/>
      <w:iCs/>
      <w:sz w:val="21"/>
      <w:szCs w:val="21"/>
    </w:rPr>
  </w:style>
  <w:style w:type="paragraph" w:styleId="738">
    <w:name w:val="List Paragraph"/>
    <w:basedOn w:val="898"/>
    <w:uiPriority w:val="34"/>
    <w:qFormat/>
    <w:pPr>
      <w:contextualSpacing/>
      <w:ind w:left="720"/>
    </w:pPr>
  </w:style>
  <w:style w:type="paragraph" w:styleId="739">
    <w:name w:val="No Spacing"/>
    <w:uiPriority w:val="1"/>
    <w:qFormat/>
    <w:pPr>
      <w:spacing w:before="0" w:after="0" w:line="240" w:lineRule="auto"/>
    </w:pPr>
  </w:style>
  <w:style w:type="paragraph" w:styleId="740">
    <w:name w:val="Title"/>
    <w:basedOn w:val="898"/>
    <w:next w:val="898"/>
    <w:link w:val="741"/>
    <w:uiPriority w:val="10"/>
    <w:qFormat/>
    <w:pPr>
      <w:contextualSpacing/>
      <w:spacing w:before="300" w:after="200"/>
    </w:pPr>
    <w:rPr>
      <w:sz w:val="48"/>
      <w:szCs w:val="48"/>
    </w:rPr>
  </w:style>
  <w:style w:type="character" w:styleId="741">
    <w:name w:val="Title Char"/>
    <w:link w:val="740"/>
    <w:uiPriority w:val="10"/>
    <w:rPr>
      <w:sz w:val="48"/>
      <w:szCs w:val="48"/>
    </w:rPr>
  </w:style>
  <w:style w:type="paragraph" w:styleId="742">
    <w:name w:val="Subtitle"/>
    <w:basedOn w:val="898"/>
    <w:next w:val="898"/>
    <w:link w:val="743"/>
    <w:uiPriority w:val="11"/>
    <w:qFormat/>
    <w:pPr>
      <w:spacing w:before="200" w:after="200"/>
    </w:pPr>
    <w:rPr>
      <w:sz w:val="24"/>
      <w:szCs w:val="24"/>
    </w:rPr>
  </w:style>
  <w:style w:type="character" w:styleId="743">
    <w:name w:val="Subtitle Char"/>
    <w:link w:val="742"/>
    <w:uiPriority w:val="11"/>
    <w:rPr>
      <w:sz w:val="24"/>
      <w:szCs w:val="24"/>
    </w:rPr>
  </w:style>
  <w:style w:type="paragraph" w:styleId="744">
    <w:name w:val="Quote"/>
    <w:basedOn w:val="898"/>
    <w:next w:val="898"/>
    <w:link w:val="745"/>
    <w:uiPriority w:val="29"/>
    <w:qFormat/>
    <w:pPr>
      <w:ind w:left="720" w:right="720"/>
    </w:pPr>
    <w:rPr>
      <w:i/>
    </w:rPr>
  </w:style>
  <w:style w:type="character" w:styleId="745">
    <w:name w:val="Quote Char"/>
    <w:link w:val="744"/>
    <w:uiPriority w:val="29"/>
    <w:rPr>
      <w:i/>
    </w:rPr>
  </w:style>
  <w:style w:type="paragraph" w:styleId="746">
    <w:name w:val="Intense Quote"/>
    <w:basedOn w:val="898"/>
    <w:next w:val="898"/>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paragraph" w:styleId="748">
    <w:name w:val="Header"/>
    <w:basedOn w:val="898"/>
    <w:link w:val="749"/>
    <w:uiPriority w:val="99"/>
    <w:unhideWhenUsed/>
    <w:pPr>
      <w:spacing w:after="0" w:line="240" w:lineRule="auto"/>
      <w:tabs>
        <w:tab w:val="center" w:pos="7143" w:leader="none"/>
        <w:tab w:val="right" w:pos="14287" w:leader="none"/>
      </w:tabs>
    </w:pPr>
  </w:style>
  <w:style w:type="character" w:styleId="749">
    <w:name w:val="Header Char"/>
    <w:link w:val="748"/>
    <w:uiPriority w:val="99"/>
  </w:style>
  <w:style w:type="paragraph" w:styleId="750">
    <w:name w:val="Footer"/>
    <w:basedOn w:val="898"/>
    <w:link w:val="753"/>
    <w:uiPriority w:val="99"/>
    <w:unhideWhenUsed/>
    <w:pPr>
      <w:spacing w:after="0" w:line="240" w:lineRule="auto"/>
      <w:tabs>
        <w:tab w:val="center" w:pos="7143" w:leader="none"/>
        <w:tab w:val="right" w:pos="14287" w:leader="none"/>
      </w:tabs>
    </w:pPr>
  </w:style>
  <w:style w:type="character" w:styleId="751">
    <w:name w:val="Footer Char"/>
    <w:link w:val="750"/>
    <w:uiPriority w:val="99"/>
  </w:style>
  <w:style w:type="paragraph" w:styleId="752">
    <w:name w:val="Caption"/>
    <w:basedOn w:val="898"/>
    <w:next w:val="898"/>
    <w:uiPriority w:val="35"/>
    <w:semiHidden/>
    <w:unhideWhenUsed/>
    <w:qFormat/>
    <w:pPr>
      <w:spacing w:line="276" w:lineRule="auto"/>
    </w:pPr>
    <w:rPr>
      <w:b/>
      <w:bCs/>
      <w:color w:val="4f81bd" w:themeColor="accent1"/>
      <w:sz w:val="18"/>
      <w:szCs w:val="18"/>
    </w:rPr>
  </w:style>
  <w:style w:type="character" w:styleId="753">
    <w:name w:val="Caption Char"/>
    <w:basedOn w:val="752"/>
    <w:link w:val="750"/>
    <w:uiPriority w:val="99"/>
  </w:style>
  <w:style w:type="table" w:styleId="7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0">
    <w:name w:val="Hyperlink"/>
    <w:uiPriority w:val="99"/>
    <w:unhideWhenUsed/>
    <w:rPr>
      <w:color w:val="0000ff" w:themeColor="hyperlink"/>
      <w:u w:val="single"/>
    </w:rPr>
  </w:style>
  <w:style w:type="paragraph" w:styleId="881">
    <w:name w:val="footnote text"/>
    <w:basedOn w:val="898"/>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uiPriority w:val="99"/>
    <w:unhideWhenUsed/>
    <w:rPr>
      <w:vertAlign w:val="superscript"/>
    </w:rPr>
  </w:style>
  <w:style w:type="paragraph" w:styleId="884">
    <w:name w:val="endnote text"/>
    <w:basedOn w:val="898"/>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next w:val="898"/>
    <w:link w:val="898"/>
    <w:qFormat/>
    <w:pPr>
      <w:jc w:val="both"/>
      <w:widowControl w:val="off"/>
    </w:pPr>
    <w:rPr>
      <w:sz w:val="21"/>
      <w:szCs w:val="22"/>
      <w:lang w:val="en-US" w:eastAsia="zh-CN" w:bidi="ar-SA"/>
    </w:rPr>
  </w:style>
  <w:style w:type="paragraph" w:styleId="899">
    <w:name w:val="标题 1"/>
    <w:basedOn w:val="898"/>
    <w:next w:val="898"/>
    <w:link w:val="910"/>
    <w:qFormat/>
    <w:pPr>
      <w:jc w:val="center"/>
      <w:keepNext/>
      <w:outlineLvl w:val="0"/>
    </w:pPr>
    <w:rPr>
      <w:rFonts w:ascii="楷体_GB2312" w:eastAsia="黑体"/>
      <w:sz w:val="44"/>
      <w:szCs w:val="28"/>
    </w:rPr>
  </w:style>
  <w:style w:type="paragraph" w:styleId="900">
    <w:name w:val="标题 2"/>
    <w:basedOn w:val="898"/>
    <w:next w:val="912"/>
    <w:link w:val="911"/>
    <w:qFormat/>
    <w:pPr>
      <w:jc w:val="left"/>
      <w:keepLines/>
      <w:keepNext/>
      <w:spacing w:line="360" w:lineRule="auto"/>
      <w:outlineLvl w:val="1"/>
    </w:pPr>
    <w:rPr>
      <w:rFonts w:ascii="Arial" w:hAnsi="Arial" w:cs="Arial"/>
      <w:b/>
      <w:bCs/>
      <w:sz w:val="32"/>
      <w:szCs w:val="44"/>
    </w:rPr>
  </w:style>
  <w:style w:type="paragraph" w:styleId="901">
    <w:name w:val="标题 3"/>
    <w:basedOn w:val="898"/>
    <w:next w:val="912"/>
    <w:link w:val="914"/>
    <w:qFormat/>
    <w:pPr>
      <w:keepLines/>
      <w:keepNext/>
      <w:spacing w:line="560" w:lineRule="exact"/>
      <w:outlineLvl w:val="2"/>
    </w:pPr>
    <w:rPr>
      <w:b/>
      <w:bCs/>
      <w:sz w:val="30"/>
      <w:szCs w:val="32"/>
    </w:rPr>
  </w:style>
  <w:style w:type="paragraph" w:styleId="902">
    <w:name w:val="标题 4"/>
    <w:basedOn w:val="898"/>
    <w:next w:val="898"/>
    <w:link w:val="915"/>
    <w:qFormat/>
    <w:pPr>
      <w:keepLines/>
      <w:keepNext/>
      <w:spacing w:line="460" w:lineRule="exact"/>
      <w:outlineLvl w:val="3"/>
    </w:pPr>
    <w:rPr>
      <w:rFonts w:cs="Arial"/>
      <w:b/>
      <w:bCs/>
      <w:sz w:val="28"/>
      <w:szCs w:val="28"/>
    </w:rPr>
  </w:style>
  <w:style w:type="paragraph" w:styleId="903">
    <w:name w:val="标题 5"/>
    <w:basedOn w:val="898"/>
    <w:next w:val="912"/>
    <w:link w:val="916"/>
    <w:qFormat/>
    <w:pPr>
      <w:keepNext/>
      <w:spacing w:line="460" w:lineRule="exact"/>
      <w:outlineLvl w:val="4"/>
    </w:pPr>
    <w:rPr>
      <w:rFonts w:ascii="宋体"/>
      <w:b/>
      <w:color w:val="000000"/>
      <w:sz w:val="24"/>
      <w:szCs w:val="28"/>
    </w:rPr>
  </w:style>
  <w:style w:type="paragraph" w:styleId="904">
    <w:name w:val="标题 6"/>
    <w:basedOn w:val="898"/>
    <w:next w:val="898"/>
    <w:link w:val="917"/>
    <w:qFormat/>
    <w:pPr>
      <w:numPr>
        <w:ilvl w:val="5"/>
        <w:numId w:val="1"/>
      </w:numPr>
      <w:keepLines/>
      <w:keepNext/>
      <w:spacing w:line="460" w:lineRule="exact"/>
      <w:outlineLvl w:val="5"/>
    </w:pPr>
    <w:rPr>
      <w:rFonts w:ascii="Arial" w:hAnsi="Arial" w:eastAsia="黑体" w:cs="Times New Roman"/>
      <w:b/>
      <w:bCs/>
      <w:sz w:val="24"/>
      <w:szCs w:val="24"/>
    </w:rPr>
  </w:style>
  <w:style w:type="paragraph" w:styleId="905">
    <w:name w:val="标题 7"/>
    <w:basedOn w:val="898"/>
    <w:next w:val="898"/>
    <w:link w:val="91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6">
    <w:name w:val="标题 8"/>
    <w:basedOn w:val="898"/>
    <w:next w:val="898"/>
    <w:link w:val="91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7">
    <w:name w:val="标题 9"/>
    <w:basedOn w:val="898"/>
    <w:next w:val="898"/>
    <w:link w:val="92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8">
    <w:name w:val="默认段落字体"/>
    <w:next w:val="908"/>
    <w:link w:val="898"/>
    <w:uiPriority w:val="1"/>
    <w:unhideWhenUsed/>
  </w:style>
  <w:style w:type="table" w:styleId="909">
    <w:name w:val="普通表格"/>
    <w:next w:val="909"/>
    <w:link w:val="898"/>
    <w:uiPriority w:val="99"/>
    <w:unhideWhenUsed/>
    <w:tblPr/>
  </w:style>
  <w:style w:type="character" w:styleId="910">
    <w:name w:val="标题 1 字符"/>
    <w:next w:val="910"/>
    <w:link w:val="899"/>
    <w:rPr>
      <w:rFonts w:ascii="楷体_GB2312" w:eastAsia="黑体"/>
      <w:sz w:val="44"/>
      <w:szCs w:val="28"/>
    </w:rPr>
  </w:style>
  <w:style w:type="character" w:styleId="911">
    <w:name w:val="标题 2 字符"/>
    <w:next w:val="911"/>
    <w:link w:val="900"/>
    <w:rPr>
      <w:rFonts w:ascii="Arial" w:hAnsi="Arial" w:cs="Arial"/>
      <w:b/>
      <w:bCs/>
      <w:sz w:val="32"/>
      <w:szCs w:val="44"/>
    </w:rPr>
  </w:style>
  <w:style w:type="paragraph" w:styleId="912">
    <w:name w:val="正文缩进"/>
    <w:basedOn w:val="898"/>
    <w:next w:val="912"/>
    <w:link w:val="913"/>
    <w:pPr>
      <w:ind w:firstLine="420"/>
    </w:pPr>
    <w:rPr>
      <w:szCs w:val="21"/>
    </w:rPr>
  </w:style>
  <w:style w:type="character" w:styleId="913">
    <w:name w:val="正文缩进 字符"/>
    <w:next w:val="913"/>
    <w:link w:val="912"/>
    <w:rPr>
      <w:szCs w:val="21"/>
    </w:rPr>
  </w:style>
  <w:style w:type="character" w:styleId="914">
    <w:name w:val="标题 3 字符"/>
    <w:next w:val="914"/>
    <w:link w:val="901"/>
    <w:rPr>
      <w:b/>
      <w:bCs/>
      <w:sz w:val="30"/>
      <w:szCs w:val="32"/>
    </w:rPr>
  </w:style>
  <w:style w:type="character" w:styleId="915">
    <w:name w:val="标题 4 字符"/>
    <w:next w:val="915"/>
    <w:link w:val="902"/>
    <w:rPr>
      <w:rFonts w:cs="Arial"/>
      <w:b/>
      <w:bCs/>
      <w:sz w:val="28"/>
      <w:szCs w:val="28"/>
    </w:rPr>
  </w:style>
  <w:style w:type="character" w:styleId="916">
    <w:name w:val="标题 5 字符"/>
    <w:next w:val="916"/>
    <w:link w:val="903"/>
    <w:rPr>
      <w:rFonts w:ascii="宋体"/>
      <w:b/>
      <w:color w:val="000000"/>
      <w:sz w:val="24"/>
      <w:szCs w:val="28"/>
    </w:rPr>
  </w:style>
  <w:style w:type="character" w:styleId="917">
    <w:name w:val="标题 6 字符"/>
    <w:next w:val="917"/>
    <w:link w:val="904"/>
    <w:rPr>
      <w:rFonts w:ascii="Arial" w:hAnsi="Arial" w:eastAsia="黑体"/>
      <w:b/>
      <w:bCs/>
      <w:sz w:val="24"/>
      <w:szCs w:val="24"/>
    </w:rPr>
  </w:style>
  <w:style w:type="character" w:styleId="918">
    <w:name w:val="标题 7 字符"/>
    <w:next w:val="918"/>
    <w:link w:val="905"/>
    <w:rPr>
      <w:rFonts w:ascii="Times New Roman" w:hAnsi="Times New Roman" w:eastAsia="宋体" w:cs="Times New Roman"/>
      <w:b/>
      <w:bCs/>
      <w:sz w:val="24"/>
      <w:szCs w:val="24"/>
    </w:rPr>
  </w:style>
  <w:style w:type="character" w:styleId="919">
    <w:name w:val="标题 8 字符"/>
    <w:next w:val="919"/>
    <w:link w:val="906"/>
    <w:rPr>
      <w:rFonts w:ascii="Arial" w:hAnsi="Arial" w:eastAsia="黑体" w:cs="Times New Roman"/>
      <w:sz w:val="24"/>
      <w:szCs w:val="24"/>
    </w:rPr>
  </w:style>
  <w:style w:type="character" w:styleId="920">
    <w:name w:val="标题 9 字符"/>
    <w:next w:val="920"/>
    <w:link w:val="907"/>
    <w:rPr>
      <w:rFonts w:ascii="Arial" w:hAnsi="Arial" w:eastAsia="黑体" w:cs="Times New Roman"/>
      <w:szCs w:val="21"/>
    </w:rPr>
  </w:style>
  <w:style w:type="paragraph" w:styleId="921">
    <w:name w:val="列表 3"/>
    <w:basedOn w:val="898"/>
    <w:next w:val="921"/>
    <w:link w:val="898"/>
    <w:pPr>
      <w:ind w:left="100" w:hanging="200"/>
    </w:pPr>
    <w:rPr>
      <w:rFonts w:ascii="Times New Roman" w:hAnsi="Times New Roman" w:eastAsia="宋体" w:cs="Times New Roman"/>
      <w:szCs w:val="21"/>
    </w:rPr>
  </w:style>
  <w:style w:type="paragraph" w:styleId="922">
    <w:name w:val="目录 7"/>
    <w:basedOn w:val="898"/>
    <w:next w:val="898"/>
    <w:link w:val="898"/>
    <w:semiHidden/>
    <w:pPr>
      <w:ind w:left="1260"/>
      <w:jc w:val="left"/>
    </w:pPr>
    <w:rPr>
      <w:rFonts w:ascii="Times New Roman" w:hAnsi="Times New Roman" w:eastAsia="宋体" w:cs="Times New Roman"/>
      <w:szCs w:val="21"/>
    </w:rPr>
  </w:style>
  <w:style w:type="paragraph" w:styleId="923">
    <w:name w:val="文档结构图"/>
    <w:basedOn w:val="898"/>
    <w:next w:val="923"/>
    <w:link w:val="924"/>
    <w:semiHidden/>
    <w:pPr>
      <w:shd w:val="clear" w:color="auto" w:fill="000080"/>
    </w:pPr>
    <w:rPr>
      <w:rFonts w:ascii="Times New Roman" w:hAnsi="Times New Roman" w:eastAsia="宋体" w:cs="Times New Roman"/>
      <w:szCs w:val="21"/>
    </w:rPr>
  </w:style>
  <w:style w:type="character" w:styleId="924">
    <w:name w:val="文档结构图 字符"/>
    <w:next w:val="924"/>
    <w:link w:val="923"/>
    <w:semiHidden/>
    <w:rPr>
      <w:rFonts w:ascii="Times New Roman" w:hAnsi="Times New Roman" w:eastAsia="宋体" w:cs="Times New Roman"/>
      <w:szCs w:val="21"/>
      <w:shd w:val="clear" w:color="auto" w:fill="000080"/>
    </w:rPr>
  </w:style>
  <w:style w:type="paragraph" w:styleId="925">
    <w:name w:val="批注文字"/>
    <w:basedOn w:val="898"/>
    <w:next w:val="925"/>
    <w:link w:val="926"/>
    <w:unhideWhenUsed/>
    <w:pPr>
      <w:jc w:val="left"/>
    </w:pPr>
  </w:style>
  <w:style w:type="character" w:styleId="926">
    <w:name w:val="批注文字 字符"/>
    <w:next w:val="926"/>
    <w:link w:val="925"/>
    <w:uiPriority w:val="99"/>
    <w:semiHidden/>
  </w:style>
  <w:style w:type="paragraph" w:styleId="927">
    <w:name w:val="正文文本 3"/>
    <w:basedOn w:val="898"/>
    <w:next w:val="927"/>
    <w:link w:val="928"/>
    <w:rPr>
      <w:rFonts w:ascii="仿宋_GB2312" w:hAnsi="Arial" w:eastAsia="仿宋_GB2312" w:cs="Times New Roman"/>
      <w:sz w:val="32"/>
      <w:szCs w:val="32"/>
    </w:rPr>
  </w:style>
  <w:style w:type="character" w:styleId="928">
    <w:name w:val="正文文本 3 字符"/>
    <w:next w:val="928"/>
    <w:link w:val="927"/>
    <w:rPr>
      <w:rFonts w:ascii="仿宋_GB2312" w:hAnsi="Arial" w:eastAsia="仿宋_GB2312" w:cs="Times New Roman"/>
      <w:sz w:val="32"/>
      <w:szCs w:val="32"/>
    </w:rPr>
  </w:style>
  <w:style w:type="paragraph" w:styleId="929">
    <w:name w:val="正文文本"/>
    <w:basedOn w:val="898"/>
    <w:next w:val="929"/>
    <w:link w:val="930"/>
    <w:rPr>
      <w:rFonts w:ascii="楷体_GB2312" w:hAnsi="Arial" w:eastAsia="楷体_GB2312" w:cs="Times New Roman"/>
      <w:sz w:val="28"/>
      <w:szCs w:val="28"/>
    </w:rPr>
  </w:style>
  <w:style w:type="character" w:styleId="930">
    <w:name w:val="正文文本 字符"/>
    <w:next w:val="930"/>
    <w:link w:val="929"/>
    <w:rPr>
      <w:rFonts w:ascii="楷体_GB2312" w:hAnsi="Arial" w:eastAsia="楷体_GB2312" w:cs="Times New Roman"/>
      <w:sz w:val="28"/>
      <w:szCs w:val="28"/>
    </w:rPr>
  </w:style>
  <w:style w:type="paragraph" w:styleId="931">
    <w:name w:val="正文文本缩进"/>
    <w:basedOn w:val="898"/>
    <w:next w:val="931"/>
    <w:link w:val="932"/>
    <w:unhideWhenUsed/>
    <w:pPr>
      <w:ind w:left="420"/>
      <w:spacing w:after="120"/>
    </w:pPr>
  </w:style>
  <w:style w:type="character" w:styleId="932">
    <w:name w:val="正文文本缩进 字符"/>
    <w:next w:val="932"/>
    <w:link w:val="931"/>
    <w:uiPriority w:val="99"/>
    <w:semiHidden/>
  </w:style>
  <w:style w:type="paragraph" w:styleId="933">
    <w:name w:val="列表 2"/>
    <w:basedOn w:val="898"/>
    <w:next w:val="933"/>
    <w:link w:val="898"/>
    <w:pPr>
      <w:ind w:left="100" w:hanging="200"/>
    </w:pPr>
    <w:rPr>
      <w:rFonts w:ascii="Times New Roman" w:hAnsi="Times New Roman" w:eastAsia="宋体" w:cs="Times New Roman"/>
      <w:szCs w:val="21"/>
    </w:rPr>
  </w:style>
  <w:style w:type="paragraph" w:styleId="934">
    <w:name w:val="目录 5"/>
    <w:basedOn w:val="898"/>
    <w:next w:val="898"/>
    <w:link w:val="898"/>
    <w:semiHidden/>
    <w:pPr>
      <w:ind w:left="840"/>
      <w:jc w:val="left"/>
    </w:pPr>
    <w:rPr>
      <w:rFonts w:ascii="Times New Roman" w:hAnsi="Times New Roman" w:eastAsia="宋体" w:cs="Times New Roman"/>
      <w:szCs w:val="21"/>
    </w:rPr>
  </w:style>
  <w:style w:type="paragraph" w:styleId="935">
    <w:name w:val="目录 3"/>
    <w:basedOn w:val="898"/>
    <w:next w:val="898"/>
    <w:link w:val="898"/>
    <w:semiHidden/>
    <w:pPr>
      <w:ind w:left="420"/>
      <w:jc w:val="left"/>
    </w:pPr>
    <w:rPr>
      <w:rFonts w:ascii="Times New Roman" w:hAnsi="Times New Roman" w:eastAsia="宋体" w:cs="Times New Roman"/>
      <w:i/>
      <w:iCs/>
      <w:szCs w:val="24"/>
    </w:rPr>
  </w:style>
  <w:style w:type="paragraph" w:styleId="936">
    <w:name w:val="纯文本"/>
    <w:basedOn w:val="898"/>
    <w:next w:val="936"/>
    <w:link w:val="937"/>
    <w:qFormat/>
    <w:rPr>
      <w:rFonts w:ascii="宋体" w:hAnsi="Courier New" w:eastAsia="宋体" w:cs="Courier New"/>
      <w:szCs w:val="21"/>
    </w:rPr>
  </w:style>
  <w:style w:type="character" w:styleId="937">
    <w:name w:val="纯文本 字符"/>
    <w:next w:val="937"/>
    <w:link w:val="936"/>
    <w:rPr>
      <w:rFonts w:ascii="宋体" w:hAnsi="Courier New" w:eastAsia="宋体" w:cs="Courier New"/>
      <w:szCs w:val="21"/>
    </w:rPr>
  </w:style>
  <w:style w:type="paragraph" w:styleId="938">
    <w:name w:val="目录 8"/>
    <w:basedOn w:val="898"/>
    <w:next w:val="898"/>
    <w:link w:val="898"/>
    <w:semiHidden/>
    <w:pPr>
      <w:ind w:left="1470"/>
      <w:jc w:val="left"/>
    </w:pPr>
    <w:rPr>
      <w:rFonts w:ascii="Times New Roman" w:hAnsi="Times New Roman" w:eastAsia="宋体" w:cs="Times New Roman"/>
      <w:szCs w:val="21"/>
    </w:rPr>
  </w:style>
  <w:style w:type="paragraph" w:styleId="939">
    <w:name w:val="日期"/>
    <w:basedOn w:val="898"/>
    <w:next w:val="898"/>
    <w:link w:val="940"/>
    <w:rPr>
      <w:rFonts w:ascii="Times New Roman" w:hAnsi="Times New Roman" w:eastAsia="宋体" w:cs="Times New Roman"/>
      <w:sz w:val="24"/>
      <w:szCs w:val="24"/>
    </w:rPr>
  </w:style>
  <w:style w:type="character" w:styleId="940">
    <w:name w:val="日期 字符"/>
    <w:next w:val="940"/>
    <w:link w:val="939"/>
    <w:rPr>
      <w:rFonts w:ascii="Times New Roman" w:hAnsi="Times New Roman" w:eastAsia="宋体" w:cs="Times New Roman"/>
      <w:sz w:val="24"/>
      <w:szCs w:val="24"/>
    </w:rPr>
  </w:style>
  <w:style w:type="paragraph" w:styleId="941">
    <w:name w:val="正文文本缩进 2"/>
    <w:basedOn w:val="898"/>
    <w:next w:val="941"/>
    <w:link w:val="942"/>
    <w:pPr>
      <w:ind w:left="630" w:firstLine="645"/>
    </w:pPr>
    <w:rPr>
      <w:rFonts w:ascii="Arial" w:hAnsi="Arial" w:eastAsia="仿宋_GB2312" w:cs="Arial"/>
      <w:sz w:val="32"/>
      <w:szCs w:val="32"/>
    </w:rPr>
  </w:style>
  <w:style w:type="character" w:styleId="942">
    <w:name w:val="正文文本缩进 2 字符"/>
    <w:next w:val="942"/>
    <w:link w:val="941"/>
    <w:rPr>
      <w:rFonts w:ascii="Arial" w:hAnsi="Arial" w:eastAsia="仿宋_GB2312" w:cs="Arial"/>
      <w:sz w:val="32"/>
      <w:szCs w:val="32"/>
    </w:rPr>
  </w:style>
  <w:style w:type="paragraph" w:styleId="943">
    <w:name w:val="批注框文本"/>
    <w:basedOn w:val="898"/>
    <w:next w:val="943"/>
    <w:link w:val="944"/>
    <w:semiHidden/>
    <w:rPr>
      <w:rFonts w:ascii="Times New Roman" w:hAnsi="Times New Roman" w:eastAsia="宋体" w:cs="Times New Roman"/>
      <w:sz w:val="18"/>
      <w:szCs w:val="18"/>
    </w:rPr>
  </w:style>
  <w:style w:type="character" w:styleId="944">
    <w:name w:val="批注框文本 字符"/>
    <w:next w:val="944"/>
    <w:link w:val="943"/>
    <w:semiHidden/>
    <w:rPr>
      <w:rFonts w:ascii="Times New Roman" w:hAnsi="Times New Roman" w:eastAsia="宋体" w:cs="Times New Roman"/>
      <w:sz w:val="18"/>
      <w:szCs w:val="18"/>
    </w:rPr>
  </w:style>
  <w:style w:type="paragraph" w:styleId="945">
    <w:name w:val="页脚"/>
    <w:basedOn w:val="898"/>
    <w:next w:val="945"/>
    <w:link w:val="946"/>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6">
    <w:name w:val="页脚 字符"/>
    <w:next w:val="946"/>
    <w:link w:val="945"/>
    <w:uiPriority w:val="99"/>
    <w:rPr>
      <w:rFonts w:ascii="Times New Roman" w:hAnsi="Times New Roman" w:eastAsia="宋体" w:cs="Times New Roman"/>
      <w:sz w:val="18"/>
      <w:szCs w:val="18"/>
    </w:rPr>
  </w:style>
  <w:style w:type="paragraph" w:styleId="947">
    <w:name w:val="页眉"/>
    <w:basedOn w:val="898"/>
    <w:next w:val="947"/>
    <w:link w:val="94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8">
    <w:name w:val="页眉 字符"/>
    <w:next w:val="948"/>
    <w:link w:val="947"/>
    <w:rPr>
      <w:rFonts w:ascii="Times New Roman" w:hAnsi="Times New Roman" w:eastAsia="宋体" w:cs="Times New Roman"/>
      <w:sz w:val="18"/>
      <w:szCs w:val="18"/>
    </w:rPr>
  </w:style>
  <w:style w:type="paragraph" w:styleId="949">
    <w:name w:val="目录 1"/>
    <w:basedOn w:val="898"/>
    <w:next w:val="898"/>
    <w:link w:val="89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0">
    <w:name w:val="目录 4"/>
    <w:basedOn w:val="898"/>
    <w:next w:val="898"/>
    <w:link w:val="898"/>
    <w:semiHidden/>
    <w:pPr>
      <w:ind w:left="630"/>
      <w:jc w:val="left"/>
    </w:pPr>
    <w:rPr>
      <w:rFonts w:ascii="Times New Roman" w:hAnsi="Times New Roman" w:eastAsia="宋体" w:cs="Times New Roman"/>
      <w:szCs w:val="21"/>
    </w:rPr>
  </w:style>
  <w:style w:type="paragraph" w:styleId="951">
    <w:name w:val="列表"/>
    <w:basedOn w:val="898"/>
    <w:next w:val="951"/>
    <w:link w:val="898"/>
    <w:pPr>
      <w:ind w:left="200" w:hanging="200"/>
    </w:pPr>
    <w:rPr>
      <w:rFonts w:ascii="Times New Roman" w:hAnsi="Times New Roman" w:eastAsia="宋体" w:cs="Times New Roman"/>
      <w:szCs w:val="21"/>
    </w:rPr>
  </w:style>
  <w:style w:type="paragraph" w:styleId="952">
    <w:name w:val="目录 6"/>
    <w:basedOn w:val="898"/>
    <w:next w:val="898"/>
    <w:link w:val="898"/>
    <w:semiHidden/>
    <w:pPr>
      <w:ind w:left="1050"/>
      <w:jc w:val="left"/>
    </w:pPr>
    <w:rPr>
      <w:rFonts w:ascii="Times New Roman" w:hAnsi="Times New Roman" w:eastAsia="宋体" w:cs="Times New Roman"/>
      <w:szCs w:val="21"/>
    </w:rPr>
  </w:style>
  <w:style w:type="paragraph" w:styleId="953">
    <w:name w:val="正文文本缩进 3"/>
    <w:basedOn w:val="898"/>
    <w:next w:val="953"/>
    <w:link w:val="954"/>
    <w:pPr>
      <w:ind w:left="645" w:firstLine="645"/>
    </w:pPr>
    <w:rPr>
      <w:rFonts w:ascii="Arial" w:hAnsi="Arial" w:eastAsia="仿宋_GB2312" w:cs="Arial"/>
      <w:color w:val="ffff00"/>
      <w:sz w:val="32"/>
      <w:szCs w:val="32"/>
    </w:rPr>
  </w:style>
  <w:style w:type="character" w:styleId="954">
    <w:name w:val="正文文本缩进 3 字符"/>
    <w:next w:val="954"/>
    <w:link w:val="953"/>
    <w:rPr>
      <w:rFonts w:ascii="Arial" w:hAnsi="Arial" w:eastAsia="仿宋_GB2312" w:cs="Arial"/>
      <w:color w:val="ffff00"/>
      <w:sz w:val="32"/>
      <w:szCs w:val="32"/>
    </w:rPr>
  </w:style>
  <w:style w:type="paragraph" w:styleId="955">
    <w:name w:val="图表目录"/>
    <w:basedOn w:val="898"/>
    <w:next w:val="898"/>
    <w:link w:val="898"/>
    <w:semiHidden/>
    <w:pPr>
      <w:ind w:left="840" w:hanging="420"/>
    </w:pPr>
    <w:rPr>
      <w:rFonts w:ascii="Times New Roman" w:hAnsi="Times New Roman" w:eastAsia="宋体" w:cs="Times New Roman"/>
      <w:szCs w:val="21"/>
    </w:rPr>
  </w:style>
  <w:style w:type="paragraph" w:styleId="956">
    <w:name w:val="目录 2"/>
    <w:basedOn w:val="898"/>
    <w:next w:val="898"/>
    <w:link w:val="898"/>
    <w:semiHidden/>
    <w:pPr>
      <w:ind w:left="210"/>
      <w:jc w:val="left"/>
    </w:pPr>
    <w:rPr>
      <w:rFonts w:ascii="Times New Roman" w:hAnsi="Times New Roman" w:eastAsia="宋体" w:cs="Times New Roman"/>
      <w:smallCaps/>
      <w:szCs w:val="24"/>
    </w:rPr>
  </w:style>
  <w:style w:type="paragraph" w:styleId="957">
    <w:name w:val="目录 9"/>
    <w:basedOn w:val="898"/>
    <w:next w:val="898"/>
    <w:link w:val="898"/>
    <w:semiHidden/>
    <w:pPr>
      <w:ind w:left="1680"/>
      <w:jc w:val="left"/>
    </w:pPr>
    <w:rPr>
      <w:rFonts w:ascii="Times New Roman" w:hAnsi="Times New Roman" w:eastAsia="宋体" w:cs="Times New Roman"/>
      <w:szCs w:val="21"/>
    </w:rPr>
  </w:style>
  <w:style w:type="paragraph" w:styleId="958">
    <w:name w:val="正文文本 2"/>
    <w:basedOn w:val="898"/>
    <w:next w:val="958"/>
    <w:link w:val="959"/>
    <w:pPr>
      <w:jc w:val="center"/>
      <w:widowControl/>
    </w:pPr>
    <w:rPr>
      <w:rFonts w:ascii="楷体_GB2312" w:hAnsi="Times New Roman" w:eastAsia="楷体_GB2312" w:cs="Times New Roman"/>
      <w:sz w:val="28"/>
      <w:szCs w:val="28"/>
    </w:rPr>
  </w:style>
  <w:style w:type="character" w:styleId="959">
    <w:name w:val="正文文本 2 字符"/>
    <w:next w:val="959"/>
    <w:link w:val="958"/>
    <w:rPr>
      <w:rFonts w:ascii="楷体_GB2312" w:hAnsi="Times New Roman" w:eastAsia="楷体_GB2312" w:cs="Times New Roman"/>
      <w:sz w:val="28"/>
      <w:szCs w:val="28"/>
    </w:rPr>
  </w:style>
  <w:style w:type="paragraph" w:styleId="960">
    <w:name w:val="普通(网站)"/>
    <w:basedOn w:val="898"/>
    <w:next w:val="960"/>
    <w:link w:val="898"/>
    <w:uiPriority w:val="99"/>
    <w:pPr>
      <w:jc w:val="left"/>
      <w:spacing w:before="100" w:beforeAutospacing="1" w:after="100" w:afterAutospacing="1"/>
      <w:widowControl/>
    </w:pPr>
    <w:rPr>
      <w:rFonts w:ascii="宋体" w:hAnsi="宋体" w:eastAsia="宋体" w:cs="宋体"/>
      <w:sz w:val="24"/>
      <w:szCs w:val="24"/>
    </w:rPr>
  </w:style>
  <w:style w:type="paragraph" w:styleId="961">
    <w:name w:val="索引 1"/>
    <w:basedOn w:val="898"/>
    <w:next w:val="898"/>
    <w:link w:val="898"/>
    <w:semiHidden/>
    <w:pPr>
      <w:spacing w:line="240" w:lineRule="atLeast"/>
    </w:pPr>
    <w:rPr>
      <w:rFonts w:ascii="Times New Roman" w:hAnsi="Times New Roman" w:eastAsia="宋体" w:cs="Times New Roman"/>
      <w:b/>
      <w:bCs/>
      <w:szCs w:val="21"/>
    </w:rPr>
  </w:style>
  <w:style w:type="paragraph" w:styleId="962">
    <w:name w:val="标题"/>
    <w:basedOn w:val="898"/>
    <w:next w:val="898"/>
    <w:link w:val="898"/>
    <w:uiPriority w:val="10"/>
    <w:qFormat/>
    <w:pPr>
      <w:jc w:val="center"/>
      <w:spacing w:before="240" w:after="60"/>
      <w:outlineLvl w:val="0"/>
    </w:pPr>
    <w:rPr>
      <w:rFonts w:ascii="Cambria" w:hAnsi="Cambria" w:eastAsia="宋体" w:cs="Times New Roman"/>
      <w:b/>
      <w:bCs/>
      <w:sz w:val="32"/>
      <w:szCs w:val="32"/>
    </w:rPr>
  </w:style>
  <w:style w:type="paragraph" w:styleId="963">
    <w:name w:val="批注主题"/>
    <w:basedOn w:val="925"/>
    <w:next w:val="925"/>
    <w:link w:val="964"/>
    <w:semiHidden/>
    <w:rPr>
      <w:rFonts w:ascii="Times New Roman" w:hAnsi="Times New Roman" w:eastAsia="宋体" w:cs="Times New Roman"/>
      <w:b/>
      <w:bCs/>
      <w:szCs w:val="21"/>
    </w:rPr>
  </w:style>
  <w:style w:type="character" w:styleId="964">
    <w:name w:val="批注主题 字符"/>
    <w:next w:val="964"/>
    <w:link w:val="963"/>
    <w:semiHidden/>
    <w:rPr>
      <w:rFonts w:ascii="Times New Roman" w:hAnsi="Times New Roman" w:eastAsia="宋体" w:cs="Times New Roman"/>
      <w:b/>
      <w:bCs/>
      <w:szCs w:val="21"/>
    </w:rPr>
  </w:style>
  <w:style w:type="paragraph" w:styleId="965">
    <w:name w:val="正文首行缩进"/>
    <w:basedOn w:val="898"/>
    <w:next w:val="965"/>
    <w:link w:val="966"/>
    <w:pPr>
      <w:ind w:firstLine="200"/>
      <w:spacing w:line="360" w:lineRule="auto"/>
    </w:pPr>
    <w:rPr>
      <w:rFonts w:ascii="仿宋_GB2312" w:hAnsi="Times New Roman" w:eastAsia="仿宋_GB2312" w:cs="Times New Roman"/>
      <w:sz w:val="30"/>
      <w:szCs w:val="30"/>
    </w:rPr>
  </w:style>
  <w:style w:type="character" w:styleId="966">
    <w:name w:val="正文首行缩进 字符"/>
    <w:next w:val="966"/>
    <w:link w:val="965"/>
    <w:rPr>
      <w:rFonts w:ascii="仿宋_GB2312" w:hAnsi="Times New Roman" w:eastAsia="仿宋_GB2312" w:cs="Times New Roman"/>
      <w:sz w:val="30"/>
      <w:szCs w:val="30"/>
    </w:rPr>
  </w:style>
  <w:style w:type="paragraph" w:styleId="967">
    <w:name w:val="正文首行缩进 2"/>
    <w:basedOn w:val="931"/>
    <w:next w:val="967"/>
    <w:link w:val="968"/>
    <w:pPr>
      <w:ind w:left="0" w:firstLine="420"/>
      <w:spacing w:after="0" w:line="360" w:lineRule="auto"/>
    </w:pPr>
    <w:rPr>
      <w:rFonts w:ascii="宋体" w:hAnsi="宋体" w:eastAsia="宋体" w:cs="Times New Roman"/>
      <w:szCs w:val="20"/>
    </w:rPr>
  </w:style>
  <w:style w:type="character" w:styleId="968">
    <w:name w:val="正文首行缩进 2 字符"/>
    <w:next w:val="968"/>
    <w:link w:val="967"/>
    <w:rPr>
      <w:rFonts w:ascii="宋体" w:hAnsi="宋体" w:eastAsia="宋体" w:cs="Times New Roman"/>
      <w:szCs w:val="20"/>
    </w:rPr>
  </w:style>
  <w:style w:type="table" w:styleId="969">
    <w:name w:val="网格型"/>
    <w:basedOn w:val="909"/>
    <w:next w:val="969"/>
    <w:link w:val="898"/>
    <w:pPr>
      <w:jc w:val="both"/>
      <w:widowControl w:val="off"/>
    </w:pPr>
    <w:rPr>
      <w:rFonts w:ascii="Times New Roman" w:hAnsi="Times New Roman" w:eastAsia="宋体" w:cs="Times New Roman"/>
      <w:sz w:val="20"/>
      <w:szCs w:val="20"/>
    </w:rPr>
    <w:tblPr/>
  </w:style>
  <w:style w:type="character" w:styleId="970">
    <w:name w:val="要点"/>
    <w:next w:val="970"/>
    <w:link w:val="898"/>
    <w:qFormat/>
    <w:rPr>
      <w:b/>
      <w:bCs/>
    </w:rPr>
  </w:style>
  <w:style w:type="character" w:styleId="971">
    <w:name w:val="页码"/>
    <w:next w:val="971"/>
    <w:link w:val="898"/>
  </w:style>
  <w:style w:type="character" w:styleId="972">
    <w:name w:val="已访问的超链接"/>
    <w:next w:val="972"/>
    <w:link w:val="898"/>
    <w:rPr>
      <w:color w:val="800080"/>
      <w:u w:val="single"/>
    </w:rPr>
  </w:style>
  <w:style w:type="character" w:styleId="973">
    <w:name w:val="超链接"/>
    <w:next w:val="973"/>
    <w:link w:val="898"/>
    <w:rPr>
      <w:color w:val="0000ff"/>
      <w:u w:val="single"/>
    </w:rPr>
  </w:style>
  <w:style w:type="character" w:styleId="974">
    <w:name w:val="批注引用"/>
    <w:next w:val="974"/>
    <w:link w:val="898"/>
    <w:semiHidden/>
    <w:rPr>
      <w:sz w:val="21"/>
      <w:szCs w:val="21"/>
    </w:rPr>
  </w:style>
  <w:style w:type="character" w:styleId="975">
    <w:name w:val="font5 Char"/>
    <w:next w:val="975"/>
    <w:link w:val="898"/>
    <w:rPr>
      <w:rFonts w:ascii="宋体" w:hAnsi="宋体" w:eastAsia="宋体"/>
      <w:sz w:val="28"/>
      <w:szCs w:val="28"/>
      <w:lang w:val="en-US" w:eastAsia="zh-CN" w:bidi="ar-SA"/>
    </w:rPr>
  </w:style>
  <w:style w:type="character" w:styleId="976">
    <w:name w:val="二级目录 Char"/>
    <w:next w:val="976"/>
    <w:link w:val="977"/>
    <w:rPr>
      <w:b/>
      <w:sz w:val="30"/>
      <w:szCs w:val="28"/>
    </w:rPr>
  </w:style>
  <w:style w:type="paragraph" w:styleId="977">
    <w:name w:val="二级目录"/>
    <w:next w:val="898"/>
    <w:link w:val="976"/>
    <w:pPr>
      <w:numPr>
        <w:ilvl w:val="0"/>
        <w:numId w:val="2"/>
      </w:numPr>
      <w:tabs>
        <w:tab w:val="left" w:pos="907" w:leader="none"/>
        <w:tab w:val="left" w:pos="1145" w:leader="none"/>
      </w:tabs>
      <w:outlineLvl w:val="1"/>
    </w:pPr>
    <w:rPr>
      <w:b/>
      <w:sz w:val="30"/>
      <w:szCs w:val="28"/>
      <w:lang w:val="en-US" w:eastAsia="zh-CN" w:bidi="ar-SA"/>
    </w:rPr>
  </w:style>
  <w:style w:type="character" w:styleId="978">
    <w:name w:val="列出段落 Char,Bullet List Char,numbered Char,FooterText Char,List Paragraph1 Char,Paragraphe de liste1 Char"/>
    <w:next w:val="978"/>
    <w:link w:val="979"/>
    <w:rPr>
      <w:rFonts w:ascii="Calibri" w:hAnsi="Calibri"/>
      <w:sz w:val="24"/>
      <w:szCs w:val="24"/>
      <w:lang w:eastAsia="en-US" w:bidi="en-US"/>
    </w:rPr>
  </w:style>
  <w:style w:type="paragraph" w:styleId="979">
    <w:name w:val="列出段落1"/>
    <w:basedOn w:val="898"/>
    <w:next w:val="979"/>
    <w:link w:val="978"/>
    <w:qFormat/>
    <w:pPr>
      <w:contextualSpacing/>
      <w:ind w:left="720"/>
      <w:jc w:val="left"/>
      <w:widowControl/>
    </w:pPr>
    <w:rPr>
      <w:rFonts w:ascii="Calibri" w:hAnsi="Calibri"/>
      <w:sz w:val="24"/>
      <w:szCs w:val="24"/>
      <w:lang w:eastAsia="en-US" w:bidi="en-US"/>
    </w:rPr>
  </w:style>
  <w:style w:type="paragraph" w:styleId="980">
    <w:name w:val="Body Text(ch)"/>
    <w:basedOn w:val="898"/>
    <w:next w:val="929"/>
    <w:link w:val="898"/>
    <w:pPr>
      <w:spacing w:after="120"/>
    </w:pPr>
    <w:rPr>
      <w:rFonts w:ascii="宋体" w:hAnsi="Arial" w:eastAsia="宋体" w:cs="Times New Roman"/>
      <w:bCs/>
      <w:iCs/>
      <w:szCs w:val="24"/>
    </w:rPr>
  </w:style>
  <w:style w:type="paragraph" w:styleId="981">
    <w:name w:val="xl27"/>
    <w:basedOn w:val="898"/>
    <w:next w:val="981"/>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name w:val="xl26"/>
    <w:basedOn w:val="898"/>
    <w:next w:val="982"/>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name w:val="Char"/>
    <w:basedOn w:val="898"/>
    <w:next w:val="983"/>
    <w:link w:val="898"/>
    <w:pPr>
      <w:ind w:firstLine="200"/>
      <w:tabs>
        <w:tab w:val="left" w:pos="360" w:leader="none"/>
      </w:tabs>
    </w:pPr>
    <w:rPr>
      <w:rFonts w:ascii="Times New Roman" w:hAnsi="Times New Roman" w:eastAsia="宋体" w:cs="Times New Roman"/>
      <w:sz w:val="28"/>
      <w:szCs w:val="30"/>
    </w:rPr>
  </w:style>
  <w:style w:type="paragraph" w:styleId="984">
    <w:name w:val=" Char"/>
    <w:basedOn w:val="923"/>
    <w:next w:val="984"/>
    <w:link w:val="898"/>
    <w:rPr>
      <w:rFonts w:ascii="Tahoma" w:hAnsi="Tahoma"/>
      <w:sz w:val="24"/>
      <w:szCs w:val="24"/>
    </w:rPr>
  </w:style>
  <w:style w:type="paragraph" w:styleId="985">
    <w:name w:val="普通正文"/>
    <w:basedOn w:val="898"/>
    <w:next w:val="985"/>
    <w:link w:val="898"/>
    <w:pPr>
      <w:ind w:firstLine="480"/>
      <w:jc w:val="left"/>
      <w:spacing w:before="120" w:after="120" w:line="360" w:lineRule="auto"/>
    </w:pPr>
    <w:rPr>
      <w:rFonts w:ascii="Arial" w:hAnsi="Arial" w:eastAsia="宋体" w:cs="Times New Roman"/>
      <w:sz w:val="24"/>
      <w:szCs w:val="24"/>
    </w:rPr>
  </w:style>
  <w:style w:type="paragraph" w:styleId="986">
    <w:name w:val="table_lines"/>
    <w:basedOn w:val="898"/>
    <w:next w:val="986"/>
    <w:link w:val="898"/>
    <w:pPr>
      <w:jc w:val="left"/>
      <w:widowControl/>
    </w:pPr>
    <w:rPr>
      <w:rFonts w:ascii="Times New Roman" w:hAnsi="Times New Roman" w:eastAsia="宋体" w:cs="Times New Roman"/>
      <w:sz w:val="20"/>
      <w:szCs w:val="20"/>
      <w:lang w:val="de-DE" w:eastAsia="de-DE"/>
    </w:rPr>
  </w:style>
  <w:style w:type="paragraph" w:styleId="987">
    <w:name w:val="附录1"/>
    <w:next w:val="987"/>
    <w:link w:val="898"/>
    <w:pPr>
      <w:numPr>
        <w:ilvl w:val="0"/>
        <w:numId w:val="2"/>
      </w:numPr>
      <w:spacing w:before="240" w:line="600" w:lineRule="atLeast"/>
      <w:tabs>
        <w:tab w:val="left" w:pos="907" w:leader="none"/>
      </w:tabs>
    </w:pPr>
    <w:rPr>
      <w:b/>
      <w:i/>
      <w:sz w:val="28"/>
      <w:lang w:val="en-US" w:eastAsia="zh-CN" w:bidi="ar-SA"/>
    </w:rPr>
  </w:style>
  <w:style w:type="paragraph" w:styleId="988">
    <w:name w:val="font7"/>
    <w:basedOn w:val="898"/>
    <w:next w:val="988"/>
    <w:link w:val="898"/>
    <w:pPr>
      <w:jc w:val="left"/>
      <w:spacing w:before="100" w:beforeAutospacing="1" w:after="100" w:afterAutospacing="1"/>
      <w:widowControl/>
    </w:pPr>
    <w:rPr>
      <w:rFonts w:hint="eastAsia" w:ascii="宋体" w:hAnsi="宋体" w:eastAsia="宋体" w:cs="Times New Roman"/>
      <w:sz w:val="18"/>
      <w:szCs w:val="18"/>
    </w:rPr>
  </w:style>
  <w:style w:type="paragraph" w:styleId="989">
    <w:name w:val=" Char Char Char Char"/>
    <w:basedOn w:val="923"/>
    <w:next w:val="989"/>
    <w:link w:val="898"/>
    <w:pPr>
      <w:spacing w:line="360" w:lineRule="auto"/>
    </w:pPr>
    <w:rPr>
      <w:rFonts w:ascii="Tahoma" w:hAnsi="Tahoma"/>
      <w:sz w:val="24"/>
      <w:szCs w:val="24"/>
    </w:rPr>
  </w:style>
  <w:style w:type="paragraph" w:styleId="990">
    <w:name w:val="列出段落"/>
    <w:basedOn w:val="898"/>
    <w:next w:val="990"/>
    <w:link w:val="898"/>
    <w:qFormat/>
    <w:pPr>
      <w:contextualSpacing/>
      <w:ind w:left="720"/>
      <w:jc w:val="left"/>
      <w:widowControl/>
    </w:pPr>
    <w:rPr>
      <w:rFonts w:ascii="Calibri" w:hAnsi="Calibri" w:eastAsia="宋体" w:cs="Times New Roman"/>
      <w:sz w:val="24"/>
      <w:szCs w:val="24"/>
      <w:lang w:eastAsia="en-US" w:bidi="en-US"/>
    </w:rPr>
  </w:style>
  <w:style w:type="paragraph" w:styleId="991">
    <w:name w:val="4"/>
    <w:basedOn w:val="898"/>
    <w:next w:val="953"/>
    <w:link w:val="898"/>
    <w:pPr>
      <w:ind w:firstLine="420"/>
      <w:spacing w:line="360" w:lineRule="auto"/>
    </w:pPr>
    <w:rPr>
      <w:rFonts w:ascii="Times New Roman" w:hAnsi="Times New Roman" w:eastAsia="宋体" w:cs="Times New Roman"/>
      <w:color w:val="ff0000"/>
      <w:sz w:val="24"/>
      <w:szCs w:val="24"/>
    </w:rPr>
  </w:style>
  <w:style w:type="paragraph" w:styleId="992">
    <w:name w:val="普通 (Web)"/>
    <w:basedOn w:val="898"/>
    <w:next w:val="992"/>
    <w:link w:val="898"/>
    <w:pPr>
      <w:jc w:val="left"/>
      <w:spacing w:before="100" w:beforeAutospacing="1" w:after="100" w:afterAutospacing="1"/>
      <w:widowControl/>
    </w:pPr>
    <w:rPr>
      <w:rFonts w:ascii="宋体" w:hAnsi="宋体" w:eastAsia="宋体" w:cs="Times New Roman"/>
      <w:sz w:val="24"/>
      <w:szCs w:val="24"/>
    </w:rPr>
  </w:style>
  <w:style w:type="paragraph" w:styleId="993">
    <w:name w:val=" Char Char Char Char Char Char Char Char Char Char"/>
    <w:basedOn w:val="898"/>
    <w:next w:val="993"/>
    <w:link w:val="898"/>
    <w:pPr>
      <w:spacing w:line="360" w:lineRule="auto"/>
    </w:pPr>
    <w:rPr>
      <w:rFonts w:ascii="Times New Roman" w:hAnsi="Times New Roman" w:eastAsia="宋体" w:cs="Times New Roman"/>
      <w:sz w:val="24"/>
      <w:szCs w:val="20"/>
    </w:rPr>
  </w:style>
  <w:style w:type="paragraph" w:styleId="994">
    <w:name w:val="样式1"/>
    <w:basedOn w:val="898"/>
    <w:next w:val="994"/>
    <w:link w:val="898"/>
    <w:pPr>
      <w:numPr>
        <w:ilvl w:val="0"/>
        <w:numId w:val="3"/>
      </w:numPr>
      <w:tabs>
        <w:tab w:val="left" w:pos="709" w:leader="none"/>
      </w:tabs>
    </w:pPr>
    <w:rPr>
      <w:rFonts w:ascii="宋体" w:hAnsi="宋体" w:eastAsia="宋体" w:cs="Times New Roman"/>
      <w:szCs w:val="21"/>
    </w:rPr>
  </w:style>
  <w:style w:type="paragraph" w:styleId="995">
    <w:name w:val="font6"/>
    <w:basedOn w:val="898"/>
    <w:next w:val="995"/>
    <w:link w:val="898"/>
    <w:pPr>
      <w:jc w:val="left"/>
      <w:spacing w:before="100" w:beforeAutospacing="1" w:after="100" w:afterAutospacing="1"/>
      <w:widowControl/>
    </w:pPr>
    <w:rPr>
      <w:rFonts w:hint="eastAsia" w:ascii="宋体" w:hAnsi="宋体" w:eastAsia="宋体" w:cs="Times New Roman"/>
      <w:sz w:val="28"/>
      <w:szCs w:val="28"/>
      <w:u w:val="single"/>
    </w:rPr>
  </w:style>
  <w:style w:type="paragraph" w:styleId="996">
    <w:name w:val="xl25"/>
    <w:basedOn w:val="898"/>
    <w:next w:val="996"/>
    <w:link w:val="89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7">
    <w:name w:val="图标"/>
    <w:basedOn w:val="898"/>
    <w:next w:val="898"/>
    <w:link w:val="89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8">
    <w:name w:val="标题3"/>
    <w:basedOn w:val="898"/>
    <w:next w:val="898"/>
    <w:link w:val="898"/>
    <w:pPr>
      <w:ind w:firstLine="624"/>
      <w:spacing w:line="590" w:lineRule="atLeast"/>
    </w:pPr>
    <w:rPr>
      <w:rFonts w:ascii="方正黑体_GBK" w:hAnsi="Times New Roman" w:eastAsia="方正黑体_GBK" w:cs="Times New Roman"/>
      <w:sz w:val="32"/>
      <w:szCs w:val="32"/>
    </w:rPr>
  </w:style>
  <w:style w:type="paragraph" w:styleId="999">
    <w:name w:val="xl24"/>
    <w:basedOn w:val="898"/>
    <w:next w:val="999"/>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0">
    <w:name w:val="xl29"/>
    <w:basedOn w:val="898"/>
    <w:next w:val="1000"/>
    <w:link w:val="89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1">
    <w:name w:val="Char Char Char Char Char Char Char Char"/>
    <w:basedOn w:val="898"/>
    <w:next w:val="1001"/>
    <w:link w:val="898"/>
    <w:pPr>
      <w:jc w:val="left"/>
      <w:spacing w:after="160" w:line="240" w:lineRule="exact"/>
      <w:widowControl/>
    </w:pPr>
    <w:rPr>
      <w:rFonts w:ascii="Verdana" w:hAnsi="Verdana" w:eastAsia="宋体" w:cs="Times New Roman"/>
      <w:sz w:val="20"/>
      <w:szCs w:val="20"/>
      <w:lang w:eastAsia="en-US"/>
    </w:rPr>
  </w:style>
  <w:style w:type="paragraph" w:styleId="1002">
    <w:name w:val="xl28"/>
    <w:basedOn w:val="898"/>
    <w:next w:val="1002"/>
    <w:link w:val="89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3">
    <w:name w:val=" Char Char Char Char Char Char Char Char"/>
    <w:basedOn w:val="898"/>
    <w:next w:val="1003"/>
    <w:link w:val="898"/>
    <w:pPr>
      <w:jc w:val="left"/>
      <w:spacing w:after="160" w:line="240" w:lineRule="exact"/>
      <w:widowControl/>
    </w:pPr>
    <w:rPr>
      <w:rFonts w:ascii="Verdana" w:hAnsi="Verdana" w:eastAsia="宋体" w:cs="Times New Roman"/>
      <w:sz w:val="20"/>
      <w:szCs w:val="20"/>
      <w:lang w:eastAsia="en-US"/>
    </w:rPr>
  </w:style>
  <w:style w:type="paragraph" w:styleId="1004">
    <w:name w:val="xl30"/>
    <w:basedOn w:val="898"/>
    <w:next w:val="1004"/>
    <w:link w:val="898"/>
    <w:pPr>
      <w:jc w:val="center"/>
      <w:spacing w:before="100" w:beforeAutospacing="1" w:after="100" w:afterAutospacing="1"/>
      <w:widowControl/>
    </w:pPr>
    <w:rPr>
      <w:rFonts w:ascii="宋体" w:hAnsi="宋体" w:eastAsia="宋体" w:cs="Times New Roman"/>
      <w:b/>
      <w:bCs/>
      <w:sz w:val="36"/>
      <w:szCs w:val="36"/>
    </w:rPr>
  </w:style>
  <w:style w:type="paragraph" w:styleId="1005">
    <w:name w:val="Char Char Char Char"/>
    <w:basedOn w:val="923"/>
    <w:next w:val="1005"/>
    <w:link w:val="898"/>
    <w:pPr>
      <w:spacing w:line="360" w:lineRule="auto"/>
    </w:pPr>
    <w:rPr>
      <w:rFonts w:ascii="Tahoma" w:hAnsi="Tahoma"/>
      <w:sz w:val="24"/>
      <w:szCs w:val="24"/>
    </w:rPr>
  </w:style>
  <w:style w:type="paragraph" w:styleId="1006">
    <w:name w:val="table_1stline"/>
    <w:basedOn w:val="898"/>
    <w:next w:val="1006"/>
    <w:link w:val="898"/>
    <w:pPr>
      <w:jc w:val="left"/>
      <w:spacing w:before="120"/>
      <w:widowControl/>
    </w:pPr>
    <w:rPr>
      <w:rFonts w:ascii="Times New Roman" w:hAnsi="Times New Roman" w:eastAsia="宋体" w:cs="Times New Roman"/>
      <w:bCs/>
      <w:sz w:val="20"/>
      <w:szCs w:val="20"/>
      <w:lang w:val="de-DE" w:eastAsia="de-DE"/>
    </w:rPr>
  </w:style>
  <w:style w:type="paragraph" w:styleId="1007">
    <w:name w:val="font5"/>
    <w:basedOn w:val="898"/>
    <w:next w:val="1007"/>
    <w:link w:val="898"/>
    <w:pPr>
      <w:jc w:val="left"/>
      <w:spacing w:before="100" w:beforeAutospacing="1" w:after="100" w:afterAutospacing="1"/>
      <w:widowControl/>
    </w:pPr>
    <w:rPr>
      <w:rFonts w:hint="eastAsia" w:ascii="宋体" w:hAnsi="宋体" w:eastAsia="宋体" w:cs="Times New Roman"/>
      <w:sz w:val="28"/>
      <w:szCs w:val="28"/>
    </w:rPr>
  </w:style>
  <w:style w:type="paragraph" w:styleId="1008">
    <w:name w:val="标题1"/>
    <w:basedOn w:val="898"/>
    <w:next w:val="898"/>
    <w:link w:val="89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9">
    <w:name w:val="修订"/>
    <w:next w:val="1009"/>
    <w:link w:val="898"/>
    <w:uiPriority w:val="99"/>
    <w:semiHidden/>
    <w:rPr>
      <w:sz w:val="21"/>
      <w:szCs w:val="21"/>
      <w:lang w:val="en-US" w:eastAsia="zh-CN" w:bidi="ar-SA"/>
    </w:rPr>
  </w:style>
  <w:style w:type="paragraph" w:styleId="1010">
    <w:name w:val="无间隔"/>
    <w:next w:val="1010"/>
    <w:link w:val="898"/>
    <w:uiPriority w:val="99"/>
    <w:qFormat/>
    <w:pPr>
      <w:jc w:val="both"/>
      <w:widowControl w:val="off"/>
    </w:pPr>
    <w:rPr>
      <w:sz w:val="21"/>
      <w:szCs w:val="21"/>
      <w:lang w:val="en-US" w:eastAsia="zh-CN" w:bidi="ar-SA"/>
    </w:rPr>
  </w:style>
  <w:style w:type="paragraph" w:styleId="1011">
    <w:name w:val="AONormal"/>
    <w:next w:val="1011"/>
    <w:link w:val="898"/>
    <w:qFormat/>
    <w:pPr>
      <w:ind w:firstLine="440"/>
      <w:spacing w:line="400" w:lineRule="exact"/>
    </w:pPr>
    <w:rPr>
      <w:rFonts w:ascii="华文楷体" w:hAnsi="华文楷体" w:eastAsia="华文楷体" w:cs="华文楷体"/>
      <w:sz w:val="22"/>
      <w:szCs w:val="21"/>
      <w:lang w:val="en-US" w:eastAsia="zh-CN" w:bidi="ar-SA"/>
    </w:rPr>
  </w:style>
  <w:style w:type="character" w:styleId="1012" w:default="1">
    <w:name w:val="Default Paragraph Font"/>
    <w:uiPriority w:val="1"/>
    <w:semiHidden/>
    <w:unhideWhenUsed/>
  </w:style>
  <w:style w:type="numbering" w:styleId="1013" w:default="1">
    <w:name w:val="No List"/>
    <w:uiPriority w:val="99"/>
    <w:semiHidden/>
    <w:unhideWhenUsed/>
  </w:style>
  <w:style w:type="table" w:styleId="10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5</cp:revision>
  <dcterms:created xsi:type="dcterms:W3CDTF">2023-03-27T07:28:00Z</dcterms:created>
  <dcterms:modified xsi:type="dcterms:W3CDTF">2025-12-16T02:52:07Z</dcterms:modified>
</cp:coreProperties>
</file>