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rPr>
          <w:rFonts w:hint="eastAsia" w:ascii="宋体" w:hAnsi="宋体" w:cs="宋体"/>
        </w:rPr>
      </w:pPr>
      <w:r>
        <w:rPr>
          <w:rFonts w:hint="eastAsia" w:ascii="宋体" w:hAnsi="宋体" w:cs="宋体"/>
        </w:rPr>
      </w:r>
      <w:r/>
    </w:p>
    <w:p>
      <w:pPr>
        <w:pStyle w:val="990"/>
        <w:rPr>
          <w:rFonts w:hint="eastAsia" w:ascii="宋体" w:hAnsi="宋体" w:cs="宋体"/>
        </w:rPr>
      </w:pPr>
      <w:r>
        <w:rPr>
          <w:rFonts w:hint="eastAsia" w:ascii="宋体" w:hAnsi="宋体" w:cs="宋体"/>
        </w:rPr>
      </w:r>
      <w:r/>
    </w:p>
    <w:p>
      <w:pPr>
        <w:pStyle w:val="756"/>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pStyle w:val="756"/>
        <w:jc w:val="center"/>
        <w:spacing w:line="360" w:lineRule="auto"/>
        <w:shd w:val="clear" w:color="auto" w:fill="ffffff"/>
        <w:widowControl/>
        <w:rPr>
          <w:rFonts w:hint="eastAsia" w:ascii="宋体" w:hAnsi="宋体" w:cs="宋体"/>
          <w:b/>
          <w:sz w:val="72"/>
          <w:szCs w:val="72"/>
        </w:rPr>
      </w:pPr>
      <w:r>
        <w:rPr>
          <w:rFonts w:hint="eastAsia" w:ascii="宋体" w:hAnsi="宋体" w:cs="宋体"/>
          <w:b/>
          <w:sz w:val="56"/>
          <w:szCs w:val="56"/>
        </w:rPr>
        <w:t xml:space="preserve">南京城墙景区安防设备改造项目</w:t>
      </w:r>
      <w:r>
        <w:rPr>
          <w:rFonts w:hint="eastAsia" w:ascii="宋体" w:hAnsi="宋体" w:cs="宋体"/>
          <w:b/>
          <w:sz w:val="72"/>
          <w:szCs w:val="72"/>
        </w:rPr>
      </w:r>
      <w:r/>
    </w:p>
    <w:p>
      <w:pPr>
        <w:pStyle w:val="787"/>
      </w:pPr>
      <w:r/>
      <w:r/>
    </w:p>
    <w:p>
      <w:pPr>
        <w:pStyle w:val="787"/>
      </w:pPr>
      <w:r/>
      <w:r/>
    </w:p>
    <w:p>
      <w:pPr>
        <w:pStyle w:val="825"/>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756"/>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rPr>
          <w:rFonts w:hint="eastAsia" w:ascii="宋体" w:hAnsi="宋体" w:cs="宋体"/>
          <w:b/>
          <w:sz w:val="72"/>
          <w:szCs w:val="72"/>
        </w:rPr>
      </w:r>
      <w:r/>
    </w:p>
    <w:p>
      <w:pPr>
        <w:pStyle w:val="756"/>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项目编号：JSZC-320100-KYGS-G2024-0006</w:t>
      </w:r>
      <w:r>
        <w:rPr>
          <w:rFonts w:hint="eastAsia" w:ascii="宋体" w:hAnsi="宋体" w:eastAsia="宋体" w:cs="宋体"/>
          <w:b/>
          <w:sz w:val="36"/>
          <w:szCs w:val="36"/>
          <w:highlight w:val="none"/>
        </w:rPr>
      </w:r>
      <w:r/>
    </w:p>
    <w:p>
      <w:pPr>
        <w:pStyle w:val="756"/>
        <w:jc w:val="center"/>
        <w:spacing w:line="360" w:lineRule="auto"/>
        <w:widowControl/>
        <w:rPr>
          <w:rFonts w:hint="eastAsia" w:ascii="宋体" w:hAnsi="宋体" w:cs="宋体"/>
          <w:b/>
          <w:sz w:val="36"/>
          <w:szCs w:val="36"/>
        </w:rPr>
      </w:pPr>
      <w:r>
        <w:rPr>
          <w:rFonts w:hint="eastAsia" w:ascii="宋体" w:hAnsi="宋体" w:cs="宋体"/>
          <w:b/>
          <w:sz w:val="36"/>
          <w:szCs w:val="36"/>
        </w:rPr>
        <w:t xml:space="preserve">（货物类项目，非专门面向中小企业）</w:t>
      </w:r>
      <w:r>
        <w:rPr>
          <w:rFonts w:hint="eastAsia" w:ascii="宋体" w:hAnsi="宋体" w:cs="宋体"/>
          <w:b/>
          <w:sz w:val="36"/>
          <w:szCs w:val="36"/>
        </w:rPr>
      </w:r>
      <w:r/>
    </w:p>
    <w:p>
      <w:pPr>
        <w:pStyle w:val="756"/>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56"/>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56"/>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787"/>
      </w:pPr>
      <w:r/>
      <w:r/>
    </w:p>
    <w:p>
      <w:pPr>
        <w:pStyle w:val="756"/>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采购人：南京城墙保护管理中心</w:t>
      </w:r>
      <w:r>
        <w:rPr>
          <w:rFonts w:hint="eastAsia" w:ascii="宋体" w:hAnsi="宋体" w:cs="宋体"/>
          <w:b/>
          <w:sz w:val="36"/>
          <w:szCs w:val="36"/>
        </w:rPr>
      </w:r>
      <w:r/>
    </w:p>
    <w:p>
      <w:pPr>
        <w:pStyle w:val="756"/>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采购代理机构：江苏钶源建设项目管理有限公司</w:t>
      </w:r>
      <w:r>
        <w:rPr>
          <w:rFonts w:hint="eastAsia" w:ascii="宋体" w:hAnsi="宋体" w:cs="宋体"/>
          <w:b/>
          <w:sz w:val="36"/>
          <w:szCs w:val="36"/>
        </w:rPr>
      </w:r>
      <w:r/>
    </w:p>
    <w:p>
      <w:pPr>
        <w:pStyle w:val="756"/>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2024年</w:t>
      </w:r>
      <w:r>
        <w:rPr>
          <w:rFonts w:hint="eastAsia" w:ascii="宋体" w:hAnsi="宋体" w:cs="宋体"/>
          <w:b/>
          <w:sz w:val="36"/>
          <w:szCs w:val="36"/>
          <w:lang w:val="en-US" w:eastAsia="zh-CN"/>
        </w:rPr>
        <w:t xml:space="preserve">1</w:t>
      </w:r>
      <w:r>
        <w:rPr>
          <w:rFonts w:hint="eastAsia" w:ascii="宋体" w:hAnsi="宋体" w:cs="宋体"/>
          <w:b/>
          <w:sz w:val="36"/>
          <w:szCs w:val="36"/>
          <w:lang w:val="en-US" w:eastAsia="zh-CN"/>
        </w:rPr>
        <w:t xml:space="preserve">1</w:t>
      </w:r>
      <w:r>
        <w:rPr>
          <w:rFonts w:hint="eastAsia" w:ascii="宋体" w:hAnsi="宋体" w:cs="宋体"/>
          <w:b/>
          <w:sz w:val="36"/>
          <w:szCs w:val="36"/>
        </w:rPr>
        <w:t xml:space="preserve">月</w:t>
      </w:r>
      <w:r>
        <w:rPr>
          <w:rFonts w:hint="eastAsia" w:ascii="宋体" w:hAnsi="宋体" w:cs="宋体"/>
          <w:b/>
          <w:sz w:val="36"/>
          <w:szCs w:val="36"/>
        </w:rPr>
      </w:r>
      <w:r/>
    </w:p>
    <w:p>
      <w:pPr>
        <w:pStyle w:val="1071"/>
        <w:jc w:val="center"/>
        <w:rPr>
          <w:rFonts w:hint="eastAsia" w:ascii="宋体" w:hAnsi="宋体" w:cs="宋体"/>
          <w:color w:val="000000"/>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1701" w:equalWidth="1"/>
          <w:docGrid w:linePitch="360"/>
        </w:sectPr>
      </w:pPr>
      <w:r>
        <w:rPr>
          <w:rFonts w:hint="eastAsia" w:ascii="宋体" w:hAnsi="宋体" w:cs="宋体"/>
          <w:color w:val="000000"/>
          <w:sz w:val="36"/>
          <w:szCs w:val="36"/>
          <w:lang w:val="zh-CN"/>
        </w:rPr>
      </w:r>
      <w:r/>
    </w:p>
    <w:p>
      <w:pPr>
        <w:pStyle w:val="1071"/>
        <w:jc w:val="center"/>
        <w:rPr>
          <w:rFonts w:hint="eastAsia" w:ascii="宋体" w:hAnsi="宋体" w:cs="宋体"/>
          <w:color w:val="000000"/>
          <w:sz w:val="36"/>
          <w:szCs w:val="36"/>
        </w:rPr>
      </w:pPr>
      <w:r>
        <w:rPr>
          <w:rFonts w:hint="eastAsia" w:ascii="宋体" w:hAnsi="宋体" w:cs="宋体"/>
          <w:color w:val="000000"/>
          <w:sz w:val="36"/>
          <w:szCs w:val="36"/>
          <w:lang w:val="zh-CN"/>
        </w:rPr>
        <w:t xml:space="preserve">目录</w:t>
      </w:r>
      <w:r>
        <w:rPr>
          <w:rFonts w:hint="eastAsia" w:ascii="宋体" w:hAnsi="宋体" w:cs="宋体"/>
          <w:color w:val="000000"/>
          <w:sz w:val="36"/>
          <w:szCs w:val="36"/>
        </w:rPr>
      </w:r>
      <w:r/>
    </w:p>
    <w:p>
      <w:pPr>
        <w:pStyle w:val="811"/>
        <w:tabs>
          <w:tab w:val="right" w:pos="8296" w:leader="dot"/>
        </w:tabs>
        <w:rPr>
          <w:rFonts w:hint="eastAsia" w:ascii="宋体" w:hAnsi="宋体" w:cs="宋体"/>
          <w:sz w:val="28"/>
          <w:szCs w:val="28"/>
        </w:rPr>
      </w:pPr>
      <w:r>
        <w:rPr>
          <w:rFonts w:hint="eastAsia" w:ascii="宋体" w:hAnsi="宋体" w:cs="宋体"/>
          <w:sz w:val="28"/>
          <w:szCs w:val="28"/>
        </w:rPr>
      </w:r>
      <w:r/>
    </w:p>
    <w:p>
      <w:pPr>
        <w:pStyle w:val="811"/>
        <w:tabs>
          <w:tab w:val="right" w:pos="9638" w:leader="dot"/>
        </w:tabs>
      </w:pPr>
      <w:r>
        <w:rPr>
          <w:rFonts w:hint="eastAsia" w:ascii="宋体" w:hAnsi="宋体" w:cs="宋体"/>
          <w:sz w:val="28"/>
          <w:szCs w:val="28"/>
        </w:rPr>
        <w:fldChar w:fldCharType="begin"/>
      </w:r>
      <w:r>
        <w:rPr>
          <w:rFonts w:hint="eastAsia" w:ascii="宋体" w:hAnsi="宋体" w:cs="宋体"/>
          <w:sz w:val="28"/>
          <w:szCs w:val="28"/>
        </w:rPr>
        <w:instrText xml:space="preserve">TOC \o "1-3" \h \u </w:instrText>
      </w:r>
      <w:r>
        <w:rPr>
          <w:rFonts w:hint="eastAsia" w:ascii="宋体" w:hAnsi="宋体" w:cs="宋体"/>
          <w:sz w:val="28"/>
          <w:szCs w:val="28"/>
        </w:rPr>
        <w:fldChar w:fldCharType="separate"/>
      </w:r>
      <w:r>
        <w:rPr>
          <w:rFonts w:hint="eastAsia" w:ascii="宋体" w:hAnsi="宋体" w:cs="宋体"/>
          <w:szCs w:val="28"/>
        </w:rPr>
        <w:fldChar w:fldCharType="begin"/>
      </w:r>
      <w:r>
        <w:rPr>
          <w:rFonts w:hint="eastAsia" w:ascii="宋体" w:hAnsi="宋体" w:cs="宋体"/>
          <w:szCs w:val="28"/>
        </w:rPr>
        <w:instrText xml:space="preserve"> HYPERLINK \l _Toc13135 </w:instrText>
      </w:r>
      <w:r>
        <w:rPr>
          <w:rFonts w:hint="eastAsia" w:ascii="宋体" w:hAnsi="宋体" w:cs="宋体"/>
          <w:szCs w:val="28"/>
        </w:rPr>
        <w:fldChar w:fldCharType="separate"/>
      </w:r>
      <w:r>
        <w:rPr>
          <w:rFonts w:hint="eastAsia"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_Toc13135 \h </w:instrText>
      </w:r>
      <w:r>
        <w:fldChar w:fldCharType="separate"/>
      </w:r>
      <w:r>
        <w:t xml:space="preserve">2</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_Toc10295 </w:instrText>
      </w:r>
      <w:r>
        <w:rPr>
          <w:rFonts w:hint="eastAsia" w:ascii="宋体" w:hAnsi="宋体" w:cs="宋体"/>
          <w:szCs w:val="28"/>
        </w:rPr>
        <w:fldChar w:fldCharType="separate"/>
      </w:r>
      <w:r>
        <w:rPr>
          <w:rFonts w:hint="eastAsia" w:ascii="宋体" w:hAnsi="宋体" w:cs="宋体"/>
          <w:bCs/>
        </w:rPr>
        <w:t xml:space="preserve">一、项目基本情况</w:t>
      </w:r>
      <w:r>
        <w:tab/>
      </w:r>
      <w:r>
        <w:fldChar w:fldCharType="begin"/>
      </w:r>
      <w:r>
        <w:instrText xml:space="preserve"> PAGEREF _Toc10295 \h </w:instrText>
      </w:r>
      <w:r>
        <w:fldChar w:fldCharType="separate"/>
      </w:r>
      <w:r>
        <w:t xml:space="preserve">2</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_Toc3157 </w:instrText>
      </w:r>
      <w:r>
        <w:rPr>
          <w:rFonts w:hint="eastAsia" w:ascii="宋体" w:hAnsi="宋体" w:cs="宋体"/>
          <w:szCs w:val="28"/>
        </w:rPr>
        <w:fldChar w:fldCharType="separate"/>
      </w:r>
      <w:r>
        <w:rPr>
          <w:rFonts w:hint="eastAsia" w:ascii="宋体" w:hAnsi="宋体" w:cs="宋体"/>
          <w:bCs/>
        </w:rPr>
        <w:t xml:space="preserve">二、申请人的资格要求</w:t>
      </w:r>
      <w:r>
        <w:tab/>
      </w:r>
      <w:r>
        <w:fldChar w:fldCharType="begin"/>
      </w:r>
      <w:r>
        <w:instrText xml:space="preserve"> PAGEREF _Toc3157 \h </w:instrText>
      </w:r>
      <w:r>
        <w:fldChar w:fldCharType="separate"/>
      </w:r>
      <w:r>
        <w:t xml:space="preserve">2</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_Toc20519 </w:instrText>
      </w:r>
      <w:r>
        <w:rPr>
          <w:rFonts w:hint="eastAsia" w:ascii="宋体" w:hAnsi="宋体" w:cs="宋体"/>
          <w:szCs w:val="28"/>
        </w:rPr>
        <w:fldChar w:fldCharType="separate"/>
      </w:r>
      <w:r>
        <w:rPr>
          <w:rFonts w:hint="eastAsia" w:ascii="宋体" w:hAnsi="宋体" w:cs="宋体"/>
          <w:spacing w:val="8"/>
        </w:rPr>
        <w:t xml:space="preserve">三、获取招标文件</w:t>
      </w:r>
      <w:r>
        <w:tab/>
      </w:r>
      <w:r>
        <w:fldChar w:fldCharType="begin"/>
      </w:r>
      <w:r>
        <w:instrText xml:space="preserve"> PAGEREF _Toc20519 \h </w:instrText>
      </w:r>
      <w:r>
        <w:fldChar w:fldCharType="separate"/>
      </w:r>
      <w:r>
        <w:t xml:space="preserve">3</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_Toc18971 </w:instrText>
      </w:r>
      <w:r>
        <w:rPr>
          <w:rFonts w:hint="eastAsia" w:ascii="宋体" w:hAnsi="宋体" w:cs="宋体"/>
          <w:szCs w:val="28"/>
        </w:rPr>
        <w:fldChar w:fldCharType="separate"/>
      </w:r>
      <w:r>
        <w:rPr>
          <w:rFonts w:hint="eastAsia" w:ascii="宋体" w:hAnsi="宋体" w:cs="宋体"/>
          <w:spacing w:val="8"/>
        </w:rPr>
        <w:t xml:space="preserve">四、提交投标文件截止时间、开标时间和地点</w:t>
      </w:r>
      <w:r>
        <w:tab/>
      </w:r>
      <w:r>
        <w:fldChar w:fldCharType="begin"/>
      </w:r>
      <w:r>
        <w:instrText xml:space="preserve"> PAGEREF _Toc18971 \h </w:instrText>
      </w:r>
      <w:r>
        <w:fldChar w:fldCharType="separate"/>
      </w:r>
      <w:r>
        <w:t xml:space="preserve">3</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_Toc2609 </w:instrText>
      </w:r>
      <w:r>
        <w:rPr>
          <w:rFonts w:hint="eastAsia" w:ascii="宋体" w:hAnsi="宋体" w:cs="宋体"/>
          <w:szCs w:val="28"/>
        </w:rPr>
        <w:fldChar w:fldCharType="separate"/>
      </w:r>
      <w:r>
        <w:rPr>
          <w:rFonts w:hint="eastAsia" w:ascii="宋体" w:hAnsi="宋体" w:cs="宋体"/>
          <w:spacing w:val="8"/>
        </w:rPr>
        <w:t xml:space="preserve">五、公告期限</w:t>
      </w:r>
      <w:r>
        <w:tab/>
      </w:r>
      <w:r>
        <w:fldChar w:fldCharType="begin"/>
      </w:r>
      <w:r>
        <w:instrText xml:space="preserve"> PAGEREF _Toc2609 \h </w:instrText>
      </w:r>
      <w:r>
        <w:fldChar w:fldCharType="separate"/>
      </w:r>
      <w:r>
        <w:t xml:space="preserve">3</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_Toc1416 </w:instrText>
      </w:r>
      <w:r>
        <w:rPr>
          <w:rFonts w:hint="eastAsia" w:ascii="宋体" w:hAnsi="宋体" w:cs="宋体"/>
          <w:szCs w:val="28"/>
        </w:rPr>
        <w:fldChar w:fldCharType="separate"/>
      </w:r>
      <w:r>
        <w:rPr>
          <w:rFonts w:hint="eastAsia" w:ascii="宋体" w:hAnsi="宋体" w:cs="宋体"/>
          <w:spacing w:val="8"/>
        </w:rPr>
        <w:t xml:space="preserve">六、其他补充事宜</w:t>
      </w:r>
      <w:r>
        <w:tab/>
      </w:r>
      <w:r>
        <w:fldChar w:fldCharType="begin"/>
      </w:r>
      <w:r>
        <w:instrText xml:space="preserve"> PAGEREF _Toc1416 \h </w:instrText>
      </w:r>
      <w:r>
        <w:fldChar w:fldCharType="separate"/>
      </w:r>
      <w:r>
        <w:t xml:space="preserve">3</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_Toc20587 </w:instrText>
      </w:r>
      <w:r>
        <w:rPr>
          <w:rFonts w:hint="eastAsia" w:ascii="宋体" w:hAnsi="宋体" w:cs="宋体"/>
          <w:szCs w:val="28"/>
        </w:rPr>
        <w:fldChar w:fldCharType="separate"/>
      </w:r>
      <w:r>
        <w:rPr>
          <w:rFonts w:hint="eastAsia" w:ascii="宋体" w:hAnsi="宋体" w:cs="宋体"/>
          <w:spacing w:val="8"/>
        </w:rPr>
        <w:t xml:space="preserve">七、对本次招标提出询问，请按以下方式联系</w:t>
      </w:r>
      <w:r>
        <w:tab/>
      </w:r>
      <w:r>
        <w:fldChar w:fldCharType="begin"/>
      </w:r>
      <w:r>
        <w:instrText xml:space="preserve"> PAGEREF _Toc20587 \h </w:instrText>
      </w:r>
      <w:r>
        <w:fldChar w:fldCharType="separate"/>
      </w:r>
      <w:r>
        <w:t xml:space="preserve">4</w:t>
      </w:r>
      <w:r>
        <w:fldChar w:fldCharType="end"/>
      </w:r>
      <w:r>
        <w:rPr>
          <w:rFonts w:hint="eastAsia" w:ascii="宋体" w:hAnsi="宋体" w:cs="宋体"/>
          <w:szCs w:val="28"/>
        </w:rPr>
        <w:fldChar w:fldCharType="end"/>
      </w:r>
      <w:r/>
    </w:p>
    <w:p>
      <w:pPr>
        <w:pStyle w:val="811"/>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_Toc10747 </w:instrText>
      </w:r>
      <w:r>
        <w:rPr>
          <w:rFonts w:hint="eastAsia" w:ascii="宋体" w:hAnsi="宋体" w:cs="宋体"/>
          <w:szCs w:val="28"/>
        </w:rPr>
        <w:fldChar w:fldCharType="separate"/>
      </w:r>
      <w:r>
        <w:rPr>
          <w:rFonts w:hint="eastAsia" w:ascii="宋体" w:hAnsi="宋体" w:cs="宋体"/>
        </w:rPr>
        <w:t xml:space="preserve">第二章 投标人须知</w:t>
      </w:r>
      <w:r>
        <w:tab/>
      </w:r>
      <w:r>
        <w:fldChar w:fldCharType="begin"/>
      </w:r>
      <w:r>
        <w:instrText xml:space="preserve"> PAGEREF _Toc10747 \h </w:instrText>
      </w:r>
      <w:r>
        <w:fldChar w:fldCharType="separate"/>
      </w:r>
      <w:r>
        <w:t xml:space="preserve">6</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_Toc23503 </w:instrText>
      </w:r>
      <w:r>
        <w:rPr>
          <w:rFonts w:hint="eastAsia" w:ascii="宋体" w:hAnsi="宋体" w:cs="宋体"/>
          <w:szCs w:val="28"/>
        </w:rPr>
        <w:fldChar w:fldCharType="separate"/>
      </w:r>
      <w:r>
        <w:rPr>
          <w:rFonts w:hint="eastAsia" w:ascii="宋体" w:hAnsi="宋体" w:cs="宋体"/>
          <w:bCs/>
          <w:szCs w:val="21"/>
        </w:rPr>
        <w:t xml:space="preserve">一、总 则</w:t>
      </w:r>
      <w:r>
        <w:tab/>
      </w:r>
      <w:r>
        <w:fldChar w:fldCharType="begin"/>
      </w:r>
      <w:r>
        <w:instrText xml:space="preserve"> PAGEREF _Toc23503 \h </w:instrText>
      </w:r>
      <w:r>
        <w:fldChar w:fldCharType="separate"/>
      </w:r>
      <w:r>
        <w:t xml:space="preserve">6</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_Toc824 </w:instrText>
      </w:r>
      <w:r>
        <w:rPr>
          <w:rFonts w:hint="eastAsia" w:ascii="宋体" w:hAnsi="宋体" w:cs="宋体"/>
          <w:szCs w:val="28"/>
        </w:rPr>
        <w:fldChar w:fldCharType="separate"/>
      </w:r>
      <w:r>
        <w:rPr>
          <w:rFonts w:hint="eastAsia" w:ascii="宋体" w:hAnsi="宋体" w:cs="宋体"/>
          <w:bCs/>
          <w:szCs w:val="21"/>
        </w:rPr>
        <w:t xml:space="preserve">二、招标文件构成</w:t>
      </w:r>
      <w:r>
        <w:tab/>
      </w:r>
      <w:r>
        <w:fldChar w:fldCharType="begin"/>
      </w:r>
      <w:r>
        <w:instrText xml:space="preserve"> PAGEREF _Toc824 \h </w:instrText>
      </w:r>
      <w:r>
        <w:fldChar w:fldCharType="separate"/>
      </w:r>
      <w:r>
        <w:t xml:space="preserve">7</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_Toc11515 </w:instrText>
      </w:r>
      <w:r>
        <w:rPr>
          <w:rFonts w:hint="eastAsia" w:ascii="宋体" w:hAnsi="宋体" w:cs="宋体"/>
          <w:szCs w:val="28"/>
        </w:rPr>
        <w:fldChar w:fldCharType="separate"/>
      </w:r>
      <w:r>
        <w:rPr>
          <w:rFonts w:hint="eastAsia" w:ascii="宋体" w:hAnsi="宋体" w:cs="宋体"/>
          <w:bCs/>
          <w:szCs w:val="21"/>
        </w:rPr>
        <w:t xml:space="preserve">三、投标文件的编制</w:t>
      </w:r>
      <w:r>
        <w:tab/>
      </w:r>
      <w:r>
        <w:fldChar w:fldCharType="begin"/>
      </w:r>
      <w:r>
        <w:instrText xml:space="preserve"> PAGEREF _Toc11515 \h </w:instrText>
      </w:r>
      <w:r>
        <w:fldChar w:fldCharType="separate"/>
      </w:r>
      <w:r>
        <w:t xml:space="preserve">8</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_Toc2984 </w:instrText>
      </w:r>
      <w:r>
        <w:rPr>
          <w:rFonts w:hint="eastAsia" w:ascii="宋体" w:hAnsi="宋体" w:cs="宋体"/>
          <w:szCs w:val="28"/>
        </w:rPr>
        <w:fldChar w:fldCharType="separate"/>
      </w:r>
      <w:r>
        <w:rPr>
          <w:rFonts w:hint="eastAsia" w:ascii="宋体" w:hAnsi="宋体" w:cs="宋体"/>
          <w:bCs/>
          <w:szCs w:val="21"/>
        </w:rPr>
        <w:t xml:space="preserve">四、投标文件的递交</w:t>
      </w:r>
      <w:r>
        <w:tab/>
      </w:r>
      <w:r>
        <w:fldChar w:fldCharType="begin"/>
      </w:r>
      <w:r>
        <w:instrText xml:space="preserve"> PAGEREF _Toc2984 \h </w:instrText>
      </w:r>
      <w:r>
        <w:fldChar w:fldCharType="separate"/>
      </w:r>
      <w:r>
        <w:t xml:space="preserve">10</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_Toc26611 </w:instrText>
      </w:r>
      <w:r>
        <w:rPr>
          <w:rFonts w:hint="eastAsia" w:ascii="宋体" w:hAnsi="宋体" w:cs="宋体"/>
          <w:szCs w:val="28"/>
        </w:rPr>
        <w:fldChar w:fldCharType="separate"/>
      </w:r>
      <w:r>
        <w:rPr>
          <w:rFonts w:hint="eastAsia" w:ascii="宋体" w:hAnsi="宋体" w:cs="宋体"/>
          <w:bCs/>
          <w:szCs w:val="21"/>
        </w:rPr>
        <w:t xml:space="preserve">五、开标、评标与定标</w:t>
      </w:r>
      <w:r>
        <w:tab/>
      </w:r>
      <w:r>
        <w:fldChar w:fldCharType="begin"/>
      </w:r>
      <w:r>
        <w:instrText xml:space="preserve"> PAGEREF _Toc26611 \h </w:instrText>
      </w:r>
      <w:r>
        <w:fldChar w:fldCharType="separate"/>
      </w:r>
      <w:r>
        <w:t xml:space="preserve">11</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_Toc1425 </w:instrText>
      </w:r>
      <w:r>
        <w:rPr>
          <w:rFonts w:hint="eastAsia" w:ascii="宋体" w:hAnsi="宋体" w:cs="宋体"/>
          <w:szCs w:val="28"/>
        </w:rPr>
        <w:fldChar w:fldCharType="separate"/>
      </w:r>
      <w:r>
        <w:rPr>
          <w:rFonts w:hint="eastAsia" w:ascii="宋体" w:hAnsi="宋体" w:cs="宋体"/>
          <w:bCs/>
          <w:szCs w:val="21"/>
        </w:rPr>
        <w:t xml:space="preserve">六、签订合同</w:t>
      </w:r>
      <w:r>
        <w:tab/>
      </w:r>
      <w:r>
        <w:fldChar w:fldCharType="begin"/>
      </w:r>
      <w:r>
        <w:instrText xml:space="preserve"> PAGEREF _Toc1425 \h </w:instrText>
      </w:r>
      <w:r>
        <w:fldChar w:fldCharType="separate"/>
      </w:r>
      <w:r>
        <w:t xml:space="preserve">14</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_Toc745 </w:instrText>
      </w:r>
      <w:r>
        <w:rPr>
          <w:rFonts w:hint="eastAsia" w:ascii="宋体" w:hAnsi="宋体" w:cs="宋体"/>
          <w:szCs w:val="28"/>
        </w:rPr>
        <w:fldChar w:fldCharType="separate"/>
      </w:r>
      <w:r>
        <w:rPr>
          <w:rFonts w:hint="eastAsia" w:ascii="宋体" w:hAnsi="宋体" w:cs="宋体"/>
          <w:bCs/>
          <w:szCs w:val="21"/>
        </w:rPr>
        <w:t xml:space="preserve">七、质疑和投诉</w:t>
      </w:r>
      <w:r>
        <w:tab/>
      </w:r>
      <w:r>
        <w:fldChar w:fldCharType="begin"/>
      </w:r>
      <w:r>
        <w:instrText xml:space="preserve"> PAGEREF _Toc745 \h </w:instrText>
      </w:r>
      <w:r>
        <w:fldChar w:fldCharType="separate"/>
      </w:r>
      <w:r>
        <w:t xml:space="preserve">15</w:t>
      </w:r>
      <w:r>
        <w:fldChar w:fldCharType="end"/>
      </w:r>
      <w:r>
        <w:rPr>
          <w:rFonts w:hint="eastAsia" w:ascii="宋体" w:hAnsi="宋体" w:cs="宋体"/>
          <w:szCs w:val="28"/>
        </w:rPr>
        <w:fldChar w:fldCharType="end"/>
      </w:r>
      <w:r/>
    </w:p>
    <w:p>
      <w:pPr>
        <w:pStyle w:val="811"/>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_Toc32573 </w:instrText>
      </w:r>
      <w:r>
        <w:rPr>
          <w:rFonts w:hint="eastAsia" w:ascii="宋体" w:hAnsi="宋体" w:cs="宋体"/>
          <w:szCs w:val="28"/>
        </w:rPr>
        <w:fldChar w:fldCharType="separate"/>
      </w:r>
      <w:r>
        <w:rPr>
          <w:rFonts w:hint="eastAsia" w:ascii="宋体" w:hAnsi="宋体" w:cs="宋体"/>
        </w:rPr>
        <w:t xml:space="preserve">第三章 评标标准</w:t>
      </w:r>
      <w:r>
        <w:tab/>
      </w:r>
      <w:r>
        <w:fldChar w:fldCharType="begin"/>
      </w:r>
      <w:r>
        <w:instrText xml:space="preserve"> PAGEREF _Toc32573 \h </w:instrText>
      </w:r>
      <w:r>
        <w:fldChar w:fldCharType="separate"/>
      </w:r>
      <w:r>
        <w:t xml:space="preserve">17</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_Toc2139 </w:instrText>
      </w:r>
      <w:r>
        <w:rPr>
          <w:rFonts w:hint="eastAsia" w:ascii="宋体" w:hAnsi="宋体" w:cs="宋体"/>
          <w:szCs w:val="28"/>
        </w:rPr>
        <w:fldChar w:fldCharType="separate"/>
      </w:r>
      <w:r>
        <w:rPr>
          <w:rFonts w:hint="eastAsia"/>
          <w:bCs/>
        </w:rPr>
        <w:t xml:space="preserve">1</w:t>
      </w:r>
      <w:r>
        <w:rPr>
          <w:bCs/>
        </w:rPr>
        <w:t xml:space="preserve">.资格审查</w:t>
      </w:r>
      <w:r>
        <w:tab/>
      </w:r>
      <w:r>
        <w:fldChar w:fldCharType="begin"/>
      </w:r>
      <w:r>
        <w:instrText xml:space="preserve"> PAGEREF _Toc2139 \h </w:instrText>
      </w:r>
      <w:r>
        <w:fldChar w:fldCharType="separate"/>
      </w:r>
      <w:r>
        <w:t xml:space="preserve">17</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_Toc8486 </w:instrText>
      </w:r>
      <w:r>
        <w:rPr>
          <w:rFonts w:hint="eastAsia" w:ascii="宋体" w:hAnsi="宋体" w:cs="宋体"/>
          <w:szCs w:val="28"/>
        </w:rPr>
        <w:fldChar w:fldCharType="separate"/>
      </w:r>
      <w:r>
        <w:rPr>
          <w:rFonts w:hint="eastAsia"/>
          <w:bCs/>
        </w:rPr>
        <w:t xml:space="preserve">2</w:t>
      </w:r>
      <w:r>
        <w:rPr>
          <w:bCs/>
        </w:rPr>
        <w:t xml:space="preserve">.符合性审查</w:t>
      </w:r>
      <w:r>
        <w:tab/>
      </w:r>
      <w:r>
        <w:fldChar w:fldCharType="begin"/>
      </w:r>
      <w:r>
        <w:instrText xml:space="preserve"> PAGEREF _Toc8486 \h </w:instrText>
      </w:r>
      <w:r>
        <w:fldChar w:fldCharType="separate"/>
      </w:r>
      <w:r>
        <w:t xml:space="preserve">17</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_Toc28420 </w:instrText>
      </w:r>
      <w:r>
        <w:rPr>
          <w:rFonts w:hint="eastAsia" w:ascii="宋体" w:hAnsi="宋体" w:cs="宋体"/>
          <w:szCs w:val="28"/>
        </w:rPr>
        <w:fldChar w:fldCharType="separate"/>
      </w:r>
      <w:r>
        <w:rPr>
          <w:rFonts w:hint="eastAsia"/>
          <w:bCs/>
        </w:rPr>
        <w:t xml:space="preserve">3</w:t>
      </w:r>
      <w:r>
        <w:rPr>
          <w:bCs/>
        </w:rPr>
        <w:t xml:space="preserve">.</w:t>
      </w:r>
      <w:r>
        <w:rPr>
          <w:rFonts w:hint="eastAsia"/>
          <w:bCs/>
        </w:rPr>
        <w:t xml:space="preserve">详细评审</w:t>
      </w:r>
      <w:r>
        <w:tab/>
      </w:r>
      <w:r>
        <w:fldChar w:fldCharType="begin"/>
      </w:r>
      <w:r>
        <w:instrText xml:space="preserve"> PAGEREF _Toc28420 \h </w:instrText>
      </w:r>
      <w:r>
        <w:fldChar w:fldCharType="separate"/>
      </w:r>
      <w:r>
        <w:t xml:space="preserve">18</w:t>
      </w:r>
      <w:r>
        <w:fldChar w:fldCharType="end"/>
      </w:r>
      <w:r>
        <w:rPr>
          <w:rFonts w:hint="eastAsia" w:ascii="宋体" w:hAnsi="宋体" w:cs="宋体"/>
          <w:szCs w:val="28"/>
        </w:rPr>
        <w:fldChar w:fldCharType="end"/>
      </w:r>
      <w:r/>
    </w:p>
    <w:p>
      <w:pPr>
        <w:pStyle w:val="811"/>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_Toc24218 </w:instrText>
      </w:r>
      <w:r>
        <w:rPr>
          <w:rFonts w:hint="eastAsia" w:ascii="宋体" w:hAnsi="宋体" w:cs="宋体"/>
          <w:szCs w:val="28"/>
        </w:rPr>
        <w:fldChar w:fldCharType="separate"/>
      </w:r>
      <w:r>
        <w:rPr>
          <w:rFonts w:hint="eastAsia" w:ascii="宋体" w:hAnsi="宋体" w:cs="宋体"/>
        </w:rPr>
        <w:t xml:space="preserve">第四章 采购需求</w:t>
      </w:r>
      <w:r>
        <w:tab/>
      </w:r>
      <w:r>
        <w:fldChar w:fldCharType="begin"/>
      </w:r>
      <w:r>
        <w:instrText xml:space="preserve"> PAGEREF _Toc24218 \h </w:instrText>
      </w:r>
      <w:r>
        <w:fldChar w:fldCharType="separate"/>
      </w:r>
      <w:r>
        <w:t xml:space="preserve">21</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_Toc24181 </w:instrText>
      </w:r>
      <w:r>
        <w:rPr>
          <w:rFonts w:hint="eastAsia" w:ascii="宋体" w:hAnsi="宋体" w:cs="宋体"/>
          <w:szCs w:val="28"/>
        </w:rPr>
        <w:fldChar w:fldCharType="separate"/>
      </w:r>
      <w:r>
        <w:rPr>
          <w:rFonts w:hint="eastAsia" w:ascii="宋体" w:hAnsi="宋体" w:cs="宋体"/>
          <w:bCs/>
          <w:spacing w:val="8"/>
          <w:szCs w:val="28"/>
        </w:rPr>
        <w:t xml:space="preserve">一、 </w:t>
      </w:r>
      <w:r>
        <w:rPr>
          <w:rFonts w:hint="eastAsia" w:ascii="宋体" w:hAnsi="宋体" w:cs="宋体"/>
          <w:bCs/>
          <w:spacing w:val="8"/>
          <w:szCs w:val="28"/>
        </w:rPr>
        <w:t xml:space="preserve">项目概况</w:t>
      </w:r>
      <w:r>
        <w:tab/>
      </w:r>
      <w:r>
        <w:fldChar w:fldCharType="begin"/>
      </w:r>
      <w:r>
        <w:instrText xml:space="preserve"> PAGEREF _Toc24181 \h </w:instrText>
      </w:r>
      <w:r>
        <w:fldChar w:fldCharType="separate"/>
      </w:r>
      <w:r>
        <w:t xml:space="preserve">21</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_Toc9341 </w:instrText>
      </w:r>
      <w:r>
        <w:rPr>
          <w:rFonts w:hint="eastAsia" w:ascii="宋体" w:hAnsi="宋体" w:cs="宋体"/>
          <w:szCs w:val="28"/>
        </w:rPr>
        <w:fldChar w:fldCharType="separate"/>
      </w:r>
      <w:r>
        <w:rPr>
          <w:rFonts w:hint="eastAsia" w:ascii="宋体" w:hAnsi="宋体" w:cs="宋体"/>
          <w:bCs/>
          <w:spacing w:val="8"/>
          <w:szCs w:val="28"/>
        </w:rPr>
        <w:t xml:space="preserve">二、 </w:t>
      </w:r>
      <w:r>
        <w:rPr>
          <w:rFonts w:hint="eastAsia" w:ascii="宋体" w:hAnsi="宋体" w:cs="宋体"/>
          <w:bCs/>
          <w:spacing w:val="8"/>
          <w:szCs w:val="28"/>
        </w:rPr>
        <w:t xml:space="preserve">项目建设以及功能要求</w:t>
      </w:r>
      <w:r>
        <w:tab/>
      </w:r>
      <w:r>
        <w:fldChar w:fldCharType="begin"/>
      </w:r>
      <w:r>
        <w:instrText xml:space="preserve"> PAGEREF _Toc9341 \h </w:instrText>
      </w:r>
      <w:r>
        <w:fldChar w:fldCharType="separate"/>
      </w:r>
      <w:r>
        <w:t xml:space="preserve">23</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_Toc11598 </w:instrText>
      </w:r>
      <w:r>
        <w:rPr>
          <w:rFonts w:hint="eastAsia" w:ascii="宋体" w:hAnsi="宋体" w:cs="宋体"/>
          <w:szCs w:val="28"/>
        </w:rPr>
        <w:fldChar w:fldCharType="separate"/>
      </w:r>
      <w:r>
        <w:rPr>
          <w:rFonts w:hint="eastAsia" w:ascii="宋体" w:hAnsi="宋体" w:cs="宋体"/>
          <w:bCs/>
          <w:spacing w:val="8"/>
          <w:szCs w:val="28"/>
        </w:rPr>
        <w:t xml:space="preserve">三、 </w:t>
      </w:r>
      <w:r>
        <w:rPr>
          <w:rFonts w:ascii="宋体" w:hAnsi="宋体" w:cs="宋体"/>
          <w:bCs/>
          <w:spacing w:val="8"/>
          <w:szCs w:val="28"/>
        </w:rPr>
        <w:t xml:space="preserve">交货时间、地点</w:t>
      </w:r>
      <w:r>
        <w:tab/>
      </w:r>
      <w:r>
        <w:fldChar w:fldCharType="begin"/>
      </w:r>
      <w:r>
        <w:instrText xml:space="preserve"> PAGEREF _Toc11598 \h </w:instrText>
      </w:r>
      <w:r>
        <w:fldChar w:fldCharType="separate"/>
      </w:r>
      <w:r>
        <w:t xml:space="preserve">24</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_Toc16139 </w:instrText>
      </w:r>
      <w:r>
        <w:rPr>
          <w:rFonts w:hint="eastAsia" w:ascii="宋体" w:hAnsi="宋体" w:cs="宋体"/>
          <w:szCs w:val="28"/>
        </w:rPr>
        <w:fldChar w:fldCharType="separate"/>
      </w:r>
      <w:r>
        <w:rPr>
          <w:rFonts w:hint="eastAsia" w:ascii="宋体" w:hAnsi="宋体" w:cs="宋体"/>
          <w:bCs/>
          <w:spacing w:val="8"/>
          <w:szCs w:val="28"/>
        </w:rPr>
        <w:t xml:space="preserve">四、 </w:t>
      </w:r>
      <w:r>
        <w:rPr>
          <w:rFonts w:ascii="宋体" w:hAnsi="宋体" w:cs="宋体"/>
          <w:bCs/>
          <w:spacing w:val="8"/>
          <w:szCs w:val="28"/>
        </w:rPr>
        <w:t xml:space="preserve">质保期</w:t>
      </w:r>
      <w:r>
        <w:tab/>
      </w:r>
      <w:r>
        <w:fldChar w:fldCharType="begin"/>
      </w:r>
      <w:r>
        <w:instrText xml:space="preserve"> PAGEREF _Toc16139 \h </w:instrText>
      </w:r>
      <w:r>
        <w:fldChar w:fldCharType="separate"/>
      </w:r>
      <w:r>
        <w:t xml:space="preserve">25</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_Toc3700 </w:instrText>
      </w:r>
      <w:r>
        <w:rPr>
          <w:rFonts w:hint="eastAsia" w:ascii="宋体" w:hAnsi="宋体" w:cs="宋体"/>
          <w:szCs w:val="28"/>
        </w:rPr>
        <w:fldChar w:fldCharType="separate"/>
      </w:r>
      <w:r>
        <w:rPr>
          <w:rFonts w:hint="eastAsia" w:ascii="宋体" w:hAnsi="宋体" w:cs="宋体"/>
          <w:bCs/>
          <w:spacing w:val="8"/>
          <w:szCs w:val="28"/>
        </w:rPr>
        <w:t xml:space="preserve">五、 </w:t>
      </w:r>
      <w:r>
        <w:rPr>
          <w:rFonts w:hint="eastAsia" w:ascii="宋体" w:hAnsi="宋体" w:cs="宋体"/>
          <w:bCs/>
          <w:spacing w:val="8"/>
          <w:szCs w:val="28"/>
        </w:rPr>
        <w:t xml:space="preserve">付款方式</w:t>
      </w:r>
      <w:r>
        <w:tab/>
      </w:r>
      <w:r>
        <w:fldChar w:fldCharType="begin"/>
      </w:r>
      <w:r>
        <w:instrText xml:space="preserve"> PAGEREF _Toc3700 \h </w:instrText>
      </w:r>
      <w:r>
        <w:fldChar w:fldCharType="separate"/>
      </w:r>
      <w:r>
        <w:t xml:space="preserve">25</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_Toc14030 </w:instrText>
      </w:r>
      <w:r>
        <w:rPr>
          <w:rFonts w:hint="eastAsia" w:ascii="宋体" w:hAnsi="宋体" w:cs="宋体"/>
          <w:szCs w:val="28"/>
        </w:rPr>
        <w:fldChar w:fldCharType="separate"/>
      </w:r>
      <w:r>
        <w:rPr>
          <w:rFonts w:hint="eastAsia" w:ascii="宋体" w:hAnsi="宋体" w:cs="宋体"/>
          <w:bCs/>
          <w:spacing w:val="8"/>
          <w:szCs w:val="28"/>
        </w:rPr>
        <w:t xml:space="preserve">六、 </w:t>
      </w:r>
      <w:r>
        <w:rPr>
          <w:rFonts w:hint="eastAsia" w:ascii="宋体" w:hAnsi="宋体" w:cs="宋体"/>
          <w:bCs/>
          <w:spacing w:val="8"/>
          <w:szCs w:val="28"/>
        </w:rPr>
        <w:t xml:space="preserve">履约保函</w:t>
      </w:r>
      <w:r>
        <w:tab/>
      </w:r>
      <w:r>
        <w:fldChar w:fldCharType="begin"/>
      </w:r>
      <w:r>
        <w:instrText xml:space="preserve"> PAGEREF _Toc14030 \h </w:instrText>
      </w:r>
      <w:r>
        <w:fldChar w:fldCharType="separate"/>
      </w:r>
      <w:r>
        <w:t xml:space="preserve">25</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_Toc19633 </w:instrText>
      </w:r>
      <w:r>
        <w:rPr>
          <w:rFonts w:hint="eastAsia" w:ascii="宋体" w:hAnsi="宋体" w:cs="宋体"/>
          <w:szCs w:val="28"/>
        </w:rPr>
        <w:fldChar w:fldCharType="separate"/>
      </w:r>
      <w:r>
        <w:rPr>
          <w:rFonts w:hint="eastAsia" w:ascii="宋体" w:hAnsi="宋体" w:cs="宋体"/>
          <w:bCs/>
          <w:spacing w:val="8"/>
          <w:szCs w:val="28"/>
        </w:rPr>
        <w:t xml:space="preserve">七、 </w:t>
      </w:r>
      <w:r>
        <w:rPr>
          <w:rFonts w:hint="eastAsia" w:ascii="宋体" w:hAnsi="宋体" w:cs="宋体"/>
          <w:bCs/>
          <w:spacing w:val="8"/>
          <w:szCs w:val="28"/>
          <w:highlight w:val="none"/>
        </w:rPr>
        <w:t xml:space="preserve">设备清单</w:t>
      </w:r>
      <w:r>
        <w:tab/>
      </w:r>
      <w:r>
        <w:fldChar w:fldCharType="begin"/>
      </w:r>
      <w:r>
        <w:instrText xml:space="preserve"> PAGEREF _Toc19633 \h </w:instrText>
      </w:r>
      <w:r>
        <w:fldChar w:fldCharType="separate"/>
      </w:r>
      <w:r>
        <w:t xml:space="preserve">26</w:t>
      </w:r>
      <w:r>
        <w:fldChar w:fldCharType="end"/>
      </w:r>
      <w:r>
        <w:rPr>
          <w:rFonts w:hint="eastAsia" w:ascii="宋体" w:hAnsi="宋体" w:cs="宋体"/>
          <w:szCs w:val="28"/>
        </w:rPr>
        <w:fldChar w:fldCharType="end"/>
      </w:r>
      <w:r/>
    </w:p>
    <w:p>
      <w:pPr>
        <w:pStyle w:val="811"/>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_Toc9765 </w:instrText>
      </w:r>
      <w:r>
        <w:rPr>
          <w:rFonts w:hint="eastAsia" w:ascii="宋体" w:hAnsi="宋体" w:cs="宋体"/>
          <w:szCs w:val="28"/>
        </w:rPr>
        <w:fldChar w:fldCharType="separate"/>
      </w:r>
      <w:r>
        <w:rPr>
          <w:rFonts w:hint="eastAsia" w:ascii="宋体" w:hAnsi="宋体" w:eastAsia="宋体" w:cs="宋体"/>
        </w:rPr>
        <w:t xml:space="preserve">第五章 合同主要条款及格式</w:t>
      </w:r>
      <w:r>
        <w:tab/>
      </w:r>
      <w:r>
        <w:fldChar w:fldCharType="begin"/>
      </w:r>
      <w:r>
        <w:instrText xml:space="preserve"> PAGEREF _Toc9765 \h </w:instrText>
      </w:r>
      <w:r>
        <w:fldChar w:fldCharType="separate"/>
      </w:r>
      <w:r>
        <w:t xml:space="preserve">61</w:t>
      </w:r>
      <w:r>
        <w:fldChar w:fldCharType="end"/>
      </w:r>
      <w:r>
        <w:rPr>
          <w:rFonts w:hint="eastAsia" w:ascii="宋体" w:hAnsi="宋体" w:cs="宋体"/>
          <w:szCs w:val="28"/>
        </w:rPr>
        <w:fldChar w:fldCharType="end"/>
      </w:r>
      <w:r/>
    </w:p>
    <w:p>
      <w:pPr>
        <w:pStyle w:val="811"/>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_Toc12451 </w:instrText>
      </w:r>
      <w:r>
        <w:rPr>
          <w:rFonts w:hint="eastAsia" w:ascii="宋体" w:hAnsi="宋体" w:cs="宋体"/>
          <w:szCs w:val="28"/>
        </w:rPr>
        <w:fldChar w:fldCharType="separate"/>
      </w:r>
      <w:r>
        <w:rPr>
          <w:rFonts w:hint="eastAsia" w:ascii="宋体" w:hAnsi="宋体" w:cs="宋体"/>
        </w:rPr>
        <w:t xml:space="preserve">第五章 投标文件格式及附件</w:t>
      </w:r>
      <w:r>
        <w:tab/>
      </w:r>
      <w:r>
        <w:fldChar w:fldCharType="begin"/>
      </w:r>
      <w:r>
        <w:instrText xml:space="preserve"> PAGEREF _Toc12451 \h </w:instrText>
      </w:r>
      <w:r>
        <w:fldChar w:fldCharType="separate"/>
      </w:r>
      <w:r>
        <w:t xml:space="preserve">67</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_Toc21512 </w:instrText>
      </w:r>
      <w:r>
        <w:rPr>
          <w:rFonts w:hint="eastAsia" w:ascii="宋体" w:hAnsi="宋体" w:cs="宋体"/>
          <w:szCs w:val="28"/>
        </w:rPr>
        <w:fldChar w:fldCharType="separate"/>
      </w:r>
      <w:r>
        <w:rPr>
          <w:rFonts w:hint="eastAsia" w:ascii="宋体" w:hAnsi="宋体" w:cs="宋体"/>
          <w:bCs/>
          <w:szCs w:val="21"/>
        </w:rPr>
        <w:t xml:space="preserve">附件一、投标申请及声明格式</w:t>
      </w:r>
      <w:r>
        <w:tab/>
      </w:r>
      <w:r>
        <w:fldChar w:fldCharType="begin"/>
      </w:r>
      <w:r>
        <w:instrText xml:space="preserve"> PAGEREF _Toc21512 \h </w:instrText>
      </w:r>
      <w:r>
        <w:fldChar w:fldCharType="separate"/>
      </w:r>
      <w:r>
        <w:t xml:space="preserve">69</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_Toc19181 </w:instrText>
      </w:r>
      <w:r>
        <w:rPr>
          <w:rFonts w:hint="eastAsia" w:ascii="宋体" w:hAnsi="宋体" w:cs="宋体"/>
          <w:szCs w:val="28"/>
        </w:rPr>
        <w:fldChar w:fldCharType="separate"/>
      </w:r>
      <w:r>
        <w:rPr>
          <w:rFonts w:hint="eastAsia" w:ascii="宋体" w:hAnsi="宋体" w:cs="宋体"/>
          <w:bCs/>
          <w:szCs w:val="21"/>
        </w:rPr>
        <w:t xml:space="preserve">附件二、法人授权委托书格式</w:t>
      </w:r>
      <w:r>
        <w:tab/>
      </w:r>
      <w:r>
        <w:fldChar w:fldCharType="begin"/>
      </w:r>
      <w:r>
        <w:instrText xml:space="preserve"> PAGEREF _Toc19181 \h </w:instrText>
      </w:r>
      <w:r>
        <w:fldChar w:fldCharType="separate"/>
      </w:r>
      <w:r>
        <w:t xml:space="preserve">70</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_Toc1521 </w:instrText>
      </w:r>
      <w:r>
        <w:rPr>
          <w:rFonts w:hint="eastAsia" w:ascii="宋体" w:hAnsi="宋体" w:cs="宋体"/>
          <w:szCs w:val="28"/>
        </w:rPr>
        <w:fldChar w:fldCharType="separate"/>
      </w:r>
      <w:r>
        <w:rPr>
          <w:rFonts w:hint="eastAsia" w:ascii="宋体" w:hAnsi="宋体" w:cs="宋体"/>
          <w:bCs/>
          <w:szCs w:val="21"/>
          <w:lang w:val="zh-CN"/>
        </w:rPr>
        <w:t xml:space="preserve">附件三、开标一览表</w:t>
      </w:r>
      <w:r>
        <w:rPr>
          <w:rFonts w:hint="eastAsia" w:ascii="宋体" w:hAnsi="宋体" w:cs="宋体"/>
          <w:bCs/>
          <w:szCs w:val="21"/>
        </w:rPr>
        <w:t xml:space="preserve">格式</w:t>
      </w:r>
      <w:r>
        <w:tab/>
      </w:r>
      <w:r>
        <w:fldChar w:fldCharType="begin"/>
      </w:r>
      <w:r>
        <w:instrText xml:space="preserve"> PAGEREF _Toc1521 \h </w:instrText>
      </w:r>
      <w:r>
        <w:fldChar w:fldCharType="separate"/>
      </w:r>
      <w:r>
        <w:t xml:space="preserve">71</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_Toc27897 </w:instrText>
      </w:r>
      <w:r>
        <w:rPr>
          <w:rFonts w:hint="eastAsia" w:ascii="宋体" w:hAnsi="宋体" w:cs="宋体"/>
          <w:szCs w:val="28"/>
        </w:rPr>
        <w:fldChar w:fldCharType="separate"/>
      </w:r>
      <w:r>
        <w:rPr>
          <w:rFonts w:hint="eastAsia" w:ascii="宋体" w:hAnsi="宋体" w:cs="宋体"/>
          <w:bCs/>
          <w:szCs w:val="21"/>
          <w:lang w:val="zh-CN"/>
        </w:rPr>
        <w:t xml:space="preserve">附件四、分项报价表格式</w:t>
      </w:r>
      <w:r>
        <w:tab/>
      </w:r>
      <w:r>
        <w:fldChar w:fldCharType="begin"/>
      </w:r>
      <w:r>
        <w:instrText xml:space="preserve"> PAGEREF _Toc27897 \h </w:instrText>
      </w:r>
      <w:r>
        <w:fldChar w:fldCharType="separate"/>
      </w:r>
      <w:r>
        <w:t xml:space="preserve">72</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_Toc18965 </w:instrText>
      </w:r>
      <w:r>
        <w:rPr>
          <w:rFonts w:hint="eastAsia" w:ascii="宋体" w:hAnsi="宋体" w:cs="宋体"/>
          <w:szCs w:val="28"/>
        </w:rPr>
        <w:fldChar w:fldCharType="separate"/>
      </w:r>
      <w:r>
        <w:rPr>
          <w:rFonts w:hint="eastAsia" w:ascii="宋体" w:hAnsi="宋体" w:cs="宋体"/>
          <w:bCs/>
          <w:szCs w:val="21"/>
        </w:rPr>
        <w:t xml:space="preserve">附件五、商务条款偏离表格式</w:t>
      </w:r>
      <w:r>
        <w:tab/>
      </w:r>
      <w:r>
        <w:fldChar w:fldCharType="begin"/>
      </w:r>
      <w:r>
        <w:instrText xml:space="preserve"> PAGEREF _Toc18965 \h </w:instrText>
      </w:r>
      <w:r>
        <w:fldChar w:fldCharType="separate"/>
      </w:r>
      <w:r>
        <w:t xml:space="preserve">73</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_Toc11477 </w:instrText>
      </w:r>
      <w:r>
        <w:rPr>
          <w:rFonts w:hint="eastAsia" w:ascii="宋体" w:hAnsi="宋体" w:cs="宋体"/>
          <w:szCs w:val="28"/>
        </w:rPr>
        <w:fldChar w:fldCharType="separate"/>
      </w:r>
      <w:r>
        <w:rPr>
          <w:rFonts w:hint="eastAsia" w:ascii="宋体" w:hAnsi="宋体" w:cs="宋体"/>
          <w:bCs/>
          <w:szCs w:val="21"/>
        </w:rPr>
        <w:t xml:space="preserve">附件六、</w:t>
      </w:r>
      <w:r>
        <w:rPr>
          <w:rFonts w:hint="eastAsia" w:ascii="宋体" w:hAnsi="宋体" w:cs="宋体"/>
          <w:bCs/>
          <w:szCs w:val="21"/>
          <w:lang w:val="zh-CN"/>
        </w:rPr>
        <w:t xml:space="preserve">技术</w:t>
      </w:r>
      <w:r>
        <w:rPr>
          <w:rFonts w:hint="eastAsia" w:ascii="宋体" w:hAnsi="宋体" w:cs="宋体"/>
          <w:bCs/>
          <w:szCs w:val="21"/>
        </w:rPr>
        <w:t xml:space="preserve">条款</w:t>
      </w:r>
      <w:r>
        <w:rPr>
          <w:rFonts w:hint="eastAsia" w:ascii="宋体" w:hAnsi="宋体" w:cs="宋体"/>
          <w:bCs/>
          <w:szCs w:val="21"/>
          <w:lang w:val="zh-CN"/>
        </w:rPr>
        <w:t xml:space="preserve">偏离表</w:t>
      </w:r>
      <w:r>
        <w:rPr>
          <w:rFonts w:hint="eastAsia" w:ascii="宋体" w:hAnsi="宋体" w:cs="宋体"/>
          <w:bCs/>
          <w:szCs w:val="21"/>
        </w:rPr>
        <w:t xml:space="preserve">格式</w:t>
      </w:r>
      <w:r>
        <w:tab/>
      </w:r>
      <w:r>
        <w:fldChar w:fldCharType="begin"/>
      </w:r>
      <w:r>
        <w:instrText xml:space="preserve"> PAGEREF _Toc11477 \h </w:instrText>
      </w:r>
      <w:r>
        <w:fldChar w:fldCharType="separate"/>
      </w:r>
      <w:r>
        <w:t xml:space="preserve">74</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_Toc17485 </w:instrText>
      </w:r>
      <w:r>
        <w:rPr>
          <w:rFonts w:hint="eastAsia" w:ascii="宋体" w:hAnsi="宋体" w:cs="宋体"/>
          <w:szCs w:val="28"/>
        </w:rPr>
        <w:fldChar w:fldCharType="separate"/>
      </w:r>
      <w:r>
        <w:rPr>
          <w:rFonts w:hint="eastAsia" w:ascii="宋体" w:hAnsi="宋体" w:cs="宋体"/>
          <w:szCs w:val="24"/>
        </w:rPr>
        <w:t xml:space="preserve">附件七</w:t>
      </w:r>
      <w:r>
        <w:rPr>
          <w:rFonts w:hint="eastAsia" w:ascii="宋体" w:hAnsi="宋体" w:cs="宋体"/>
          <w:szCs w:val="24"/>
          <w:lang w:val="zh-CN"/>
        </w:rPr>
        <w:t xml:space="preserve">、项目组人员一览表</w:t>
      </w:r>
      <w:r>
        <w:rPr>
          <w:rFonts w:hint="eastAsia" w:ascii="宋体" w:hAnsi="宋体" w:cs="宋体"/>
          <w:szCs w:val="24"/>
        </w:rPr>
        <w:t xml:space="preserve">格式</w:t>
      </w:r>
      <w:r>
        <w:tab/>
      </w:r>
      <w:r>
        <w:fldChar w:fldCharType="begin"/>
      </w:r>
      <w:r>
        <w:instrText xml:space="preserve"> PAGEREF _Toc17485 \h </w:instrText>
      </w:r>
      <w:r>
        <w:fldChar w:fldCharType="separate"/>
      </w:r>
      <w:r>
        <w:t xml:space="preserve">75</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_Toc29934 </w:instrText>
      </w:r>
      <w:r>
        <w:rPr>
          <w:rFonts w:hint="eastAsia" w:ascii="宋体" w:hAnsi="宋体" w:cs="宋体"/>
          <w:szCs w:val="28"/>
        </w:rPr>
        <w:fldChar w:fldCharType="separate"/>
      </w:r>
      <w:r>
        <w:rPr>
          <w:rFonts w:hint="eastAsia" w:ascii="宋体" w:hAnsi="宋体" w:cs="宋体"/>
          <w:szCs w:val="24"/>
        </w:rPr>
        <w:t xml:space="preserve">附件八</w:t>
      </w:r>
      <w:r>
        <w:rPr>
          <w:rFonts w:hint="eastAsia" w:ascii="宋体" w:hAnsi="宋体" w:cs="宋体"/>
          <w:szCs w:val="24"/>
          <w:lang w:val="zh-CN"/>
        </w:rPr>
        <w:t xml:space="preserve">、供应商业绩情况表</w:t>
      </w:r>
      <w:r>
        <w:rPr>
          <w:rFonts w:hint="eastAsia" w:ascii="宋体" w:hAnsi="宋体" w:cs="宋体"/>
          <w:szCs w:val="24"/>
        </w:rPr>
        <w:t xml:space="preserve">格式</w:t>
      </w:r>
      <w:r>
        <w:tab/>
      </w:r>
      <w:r>
        <w:fldChar w:fldCharType="begin"/>
      </w:r>
      <w:r>
        <w:instrText xml:space="preserve"> PAGEREF _Toc29934 \h </w:instrText>
      </w:r>
      <w:r>
        <w:fldChar w:fldCharType="separate"/>
      </w:r>
      <w:r>
        <w:t xml:space="preserve">76</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_Toc7007 </w:instrText>
      </w:r>
      <w:r>
        <w:rPr>
          <w:rFonts w:hint="eastAsia" w:ascii="宋体" w:hAnsi="宋体" w:cs="宋体"/>
          <w:szCs w:val="28"/>
        </w:rPr>
        <w:fldChar w:fldCharType="separate"/>
      </w:r>
      <w:r>
        <w:rPr>
          <w:rFonts w:hint="eastAsia" w:ascii="宋体" w:hAnsi="宋体" w:cs="宋体"/>
        </w:rPr>
        <w:t xml:space="preserve">格式九</w:t>
      </w:r>
      <w:r>
        <w:rPr>
          <w:rFonts w:hint="eastAsia" w:ascii="宋体" w:hAnsi="宋体" w:cs="宋体"/>
          <w:lang w:val="zh-CN"/>
        </w:rPr>
        <w:t xml:space="preserve">、</w:t>
      </w:r>
      <w:r>
        <w:rPr>
          <w:rFonts w:hint="eastAsia" w:ascii="宋体" w:hAnsi="宋体" w:cs="宋体"/>
        </w:rPr>
        <w:t xml:space="preserve">资格证明文件</w:t>
      </w:r>
      <w:r>
        <w:tab/>
      </w:r>
      <w:r>
        <w:fldChar w:fldCharType="begin"/>
      </w:r>
      <w:r>
        <w:instrText xml:space="preserve"> PAGEREF _Toc7007 \h </w:instrText>
      </w:r>
      <w:r>
        <w:fldChar w:fldCharType="separate"/>
      </w:r>
      <w:r>
        <w:t xml:space="preserve">77</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_Toc26299 </w:instrText>
      </w:r>
      <w:r>
        <w:rPr>
          <w:rFonts w:hint="eastAsia" w:ascii="宋体" w:hAnsi="宋体" w:cs="宋体"/>
          <w:szCs w:val="28"/>
        </w:rPr>
        <w:fldChar w:fldCharType="separate"/>
      </w:r>
      <w:r>
        <w:rPr>
          <w:rFonts w:hint="eastAsia" w:ascii="宋体" w:hAnsi="宋体" w:cs="宋体"/>
          <w:szCs w:val="24"/>
        </w:rPr>
        <w:t xml:space="preserve">格式十</w:t>
      </w:r>
      <w:r>
        <w:rPr>
          <w:rFonts w:hint="eastAsia" w:ascii="宋体" w:hAnsi="宋体" w:cs="宋体"/>
          <w:szCs w:val="24"/>
          <w:lang w:val="zh-CN"/>
        </w:rPr>
        <w:t xml:space="preserve">、</w:t>
      </w:r>
      <w:r>
        <w:rPr>
          <w:rFonts w:hint="eastAsia" w:ascii="宋体" w:hAnsi="宋体" w:cs="宋体"/>
          <w:szCs w:val="24"/>
          <w:lang w:val="en-US" w:eastAsia="zh-CN"/>
        </w:rPr>
        <w:t xml:space="preserve">服务</w:t>
      </w:r>
      <w:r>
        <w:rPr>
          <w:rFonts w:hint="eastAsia" w:ascii="宋体" w:hAnsi="宋体" w:cs="宋体"/>
          <w:szCs w:val="24"/>
          <w:lang w:val="zh-CN"/>
        </w:rPr>
        <w:t xml:space="preserve">方案</w:t>
      </w:r>
      <w:r>
        <w:tab/>
      </w:r>
      <w:r>
        <w:fldChar w:fldCharType="begin"/>
      </w:r>
      <w:r>
        <w:instrText xml:space="preserve"> PAGEREF _Toc26299 \h </w:instrText>
      </w:r>
      <w:r>
        <w:fldChar w:fldCharType="separate"/>
      </w:r>
      <w:r>
        <w:t xml:space="preserve">78</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_Toc20878 </w:instrText>
      </w:r>
      <w:r>
        <w:rPr>
          <w:rFonts w:hint="eastAsia" w:ascii="宋体" w:hAnsi="宋体" w:cs="宋体"/>
          <w:szCs w:val="28"/>
        </w:rPr>
        <w:fldChar w:fldCharType="separate"/>
      </w:r>
      <w:r>
        <w:rPr>
          <w:rFonts w:hint="eastAsia" w:ascii="宋体" w:hAnsi="宋体" w:cs="宋体"/>
          <w:szCs w:val="24"/>
        </w:rPr>
        <w:t xml:space="preserve">格式</w:t>
      </w:r>
      <w:r>
        <w:rPr>
          <w:rFonts w:hint="eastAsia" w:ascii="宋体" w:hAnsi="宋体" w:cs="宋体"/>
          <w:szCs w:val="24"/>
          <w:lang w:val="zh-CN"/>
        </w:rPr>
        <w:t xml:space="preserve">十</w:t>
      </w:r>
      <w:r>
        <w:rPr>
          <w:rFonts w:hint="eastAsia" w:ascii="宋体" w:hAnsi="宋体" w:cs="宋体"/>
          <w:szCs w:val="24"/>
        </w:rPr>
        <w:t xml:space="preserve">一</w:t>
      </w:r>
      <w:r>
        <w:rPr>
          <w:rFonts w:hint="eastAsia" w:ascii="宋体" w:hAnsi="宋体" w:cs="宋体"/>
          <w:szCs w:val="24"/>
          <w:lang w:val="zh-CN"/>
        </w:rPr>
        <w:t xml:space="preserve">、中小企业声明函</w:t>
      </w:r>
      <w:r>
        <w:rPr>
          <w:rFonts w:hint="eastAsia" w:ascii="宋体" w:hAnsi="宋体" w:cs="宋体"/>
          <w:szCs w:val="24"/>
        </w:rPr>
        <w:t xml:space="preserve">格式</w:t>
      </w:r>
      <w:r>
        <w:tab/>
      </w:r>
      <w:r>
        <w:fldChar w:fldCharType="begin"/>
      </w:r>
      <w:r>
        <w:instrText xml:space="preserve"> PAGEREF _Toc20878 \h </w:instrText>
      </w:r>
      <w:r>
        <w:fldChar w:fldCharType="separate"/>
      </w:r>
      <w:r>
        <w:t xml:space="preserve">79</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_Toc20366 </w:instrText>
      </w:r>
      <w:r>
        <w:rPr>
          <w:rFonts w:hint="eastAsia" w:ascii="宋体" w:hAnsi="宋体" w:cs="宋体"/>
          <w:szCs w:val="28"/>
        </w:rPr>
        <w:fldChar w:fldCharType="separate"/>
      </w:r>
      <w:r>
        <w:rPr>
          <w:rFonts w:hint="eastAsia" w:ascii="宋体" w:hAnsi="宋体" w:cs="宋体"/>
          <w:szCs w:val="24"/>
        </w:rPr>
        <w:t xml:space="preserve">格式</w:t>
      </w:r>
      <w:r>
        <w:rPr>
          <w:rFonts w:hint="eastAsia" w:ascii="宋体" w:hAnsi="宋体" w:cs="宋体"/>
          <w:szCs w:val="24"/>
          <w:lang w:val="zh-CN"/>
        </w:rPr>
        <w:t xml:space="preserve">十</w:t>
      </w:r>
      <w:r>
        <w:rPr>
          <w:rFonts w:hint="eastAsia" w:ascii="宋体" w:hAnsi="宋体" w:cs="宋体"/>
          <w:szCs w:val="24"/>
        </w:rPr>
        <w:t xml:space="preserve">二</w:t>
      </w:r>
      <w:r>
        <w:rPr>
          <w:rFonts w:hint="eastAsia" w:ascii="宋体" w:hAnsi="宋体" w:cs="宋体"/>
          <w:szCs w:val="24"/>
          <w:lang w:val="zh-CN"/>
        </w:rPr>
        <w:t xml:space="preserve">、无重大违法记录声明</w:t>
      </w:r>
      <w:r>
        <w:tab/>
      </w:r>
      <w:r>
        <w:fldChar w:fldCharType="begin"/>
      </w:r>
      <w:r>
        <w:instrText xml:space="preserve"> PAGEREF _Toc20366 \h </w:instrText>
      </w:r>
      <w:r>
        <w:fldChar w:fldCharType="separate"/>
      </w:r>
      <w:r>
        <w:t xml:space="preserve">80</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_Toc27283 </w:instrText>
      </w:r>
      <w:r>
        <w:rPr>
          <w:rFonts w:hint="eastAsia" w:ascii="宋体" w:hAnsi="宋体" w:cs="宋体"/>
          <w:szCs w:val="28"/>
        </w:rPr>
        <w:fldChar w:fldCharType="separate"/>
      </w:r>
      <w:r>
        <w:rPr>
          <w:rFonts w:hint="eastAsia" w:ascii="宋体" w:hAnsi="宋体" w:cs="宋体"/>
          <w:bCs/>
        </w:rPr>
        <w:t xml:space="preserve">格式十</w:t>
      </w:r>
      <w:r>
        <w:rPr>
          <w:rFonts w:hint="eastAsia" w:ascii="宋体" w:hAnsi="宋体" w:cs="宋体"/>
          <w:bCs/>
          <w:lang w:val="en-US" w:eastAsia="zh-CN"/>
        </w:rPr>
        <w:t xml:space="preserve">三</w:t>
      </w:r>
      <w:r>
        <w:rPr>
          <w:rFonts w:hint="eastAsia" w:ascii="宋体" w:hAnsi="宋体" w:cs="宋体"/>
          <w:bCs/>
        </w:rPr>
        <w:t xml:space="preserve">、残疾人福利性单位声明函格式</w:t>
      </w:r>
      <w:r>
        <w:tab/>
      </w:r>
      <w:r>
        <w:fldChar w:fldCharType="begin"/>
      </w:r>
      <w:r>
        <w:instrText xml:space="preserve"> PAGEREF _Toc27283 \h </w:instrText>
      </w:r>
      <w:r>
        <w:fldChar w:fldCharType="separate"/>
      </w:r>
      <w:r>
        <w:t xml:space="preserve">81</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_Toc10537 </w:instrText>
      </w:r>
      <w:r>
        <w:rPr>
          <w:rFonts w:hint="eastAsia" w:ascii="宋体" w:hAnsi="宋体" w:cs="宋体"/>
          <w:szCs w:val="28"/>
        </w:rPr>
        <w:fldChar w:fldCharType="separate"/>
      </w:r>
      <w:r>
        <w:rPr>
          <w:rFonts w:hint="eastAsia" w:ascii="宋体" w:hAnsi="宋体" w:cs="宋体"/>
          <w:bCs/>
        </w:rPr>
        <w:t xml:space="preserve">格式十</w:t>
      </w:r>
      <w:r>
        <w:rPr>
          <w:rFonts w:hint="eastAsia" w:ascii="宋体" w:hAnsi="宋体" w:cs="宋体"/>
          <w:bCs/>
          <w:lang w:val="en-US" w:eastAsia="zh-CN"/>
        </w:rPr>
        <w:t xml:space="preserve">四</w:t>
      </w:r>
      <w:r>
        <w:rPr>
          <w:rFonts w:hint="eastAsia" w:ascii="宋体" w:hAnsi="宋体" w:cs="宋体"/>
          <w:bCs/>
        </w:rPr>
        <w:t xml:space="preserve">、其他相关证明文件</w:t>
      </w:r>
      <w:r>
        <w:tab/>
      </w:r>
      <w:r>
        <w:fldChar w:fldCharType="begin"/>
      </w:r>
      <w:r>
        <w:instrText xml:space="preserve"> PAGEREF _Toc10537 \h </w:instrText>
      </w:r>
      <w:r>
        <w:fldChar w:fldCharType="separate"/>
      </w:r>
      <w:r>
        <w:t xml:space="preserve">82</w:t>
      </w:r>
      <w:r>
        <w:fldChar w:fldCharType="end"/>
      </w:r>
      <w:r>
        <w:rPr>
          <w:rFonts w:hint="eastAsia" w:ascii="宋体" w:hAnsi="宋体" w:cs="宋体"/>
          <w:szCs w:val="28"/>
        </w:rPr>
        <w:fldChar w:fldCharType="end"/>
      </w:r>
      <w:r/>
    </w:p>
    <w:p>
      <w:pPr>
        <w:pStyle w:val="823"/>
        <w:tabs>
          <w:tab w:val="right" w:pos="9638" w:leader="dot"/>
        </w:tabs>
      </w:pPr>
      <w:r>
        <w:rPr>
          <w:rFonts w:hint="eastAsia" w:ascii="宋体" w:hAnsi="宋体" w:cs="宋体"/>
          <w:szCs w:val="28"/>
        </w:rPr>
        <w:fldChar w:fldCharType="begin"/>
      </w:r>
      <w:r>
        <w:rPr>
          <w:rFonts w:hint="eastAsia" w:ascii="宋体" w:hAnsi="宋体" w:cs="宋体"/>
          <w:szCs w:val="28"/>
        </w:rPr>
        <w:instrText xml:space="preserve"> HYPERLINK \l _Toc4714 </w:instrText>
      </w:r>
      <w:r>
        <w:rPr>
          <w:rFonts w:hint="eastAsia" w:ascii="宋体" w:hAnsi="宋体" w:cs="宋体"/>
          <w:szCs w:val="28"/>
        </w:rPr>
        <w:fldChar w:fldCharType="separate"/>
      </w:r>
      <w:r>
        <w:rPr>
          <w:rFonts w:hint="eastAsia" w:ascii="宋体" w:hAnsi="宋体" w:cs="宋体"/>
          <w:bCs/>
        </w:rPr>
        <w:t xml:space="preserve">格式十</w:t>
      </w:r>
      <w:r>
        <w:rPr>
          <w:rFonts w:hint="eastAsia" w:ascii="宋体" w:hAnsi="宋体" w:cs="宋体"/>
          <w:bCs/>
          <w:lang w:val="en-US" w:eastAsia="zh-CN"/>
        </w:rPr>
        <w:t xml:space="preserve">五</w:t>
      </w:r>
      <w:r>
        <w:rPr>
          <w:rFonts w:hint="eastAsia" w:ascii="宋体" w:hAnsi="宋体" w:cs="宋体"/>
          <w:bCs/>
        </w:rPr>
        <w:t xml:space="preserve">、南京市政府采购供应商信用记录表暨信用承诺书</w:t>
      </w:r>
      <w:r>
        <w:tab/>
      </w:r>
      <w:r>
        <w:fldChar w:fldCharType="begin"/>
      </w:r>
      <w:r>
        <w:instrText xml:space="preserve"> PAGEREF _Toc4714 \h </w:instrText>
      </w:r>
      <w:r>
        <w:fldChar w:fldCharType="separate"/>
      </w:r>
      <w:r>
        <w:t xml:space="preserve">83</w:t>
      </w:r>
      <w:r>
        <w:fldChar w:fldCharType="end"/>
      </w:r>
      <w:r>
        <w:rPr>
          <w:rFonts w:hint="eastAsia" w:ascii="宋体" w:hAnsi="宋体" w:cs="宋体"/>
          <w:szCs w:val="28"/>
        </w:rPr>
        <w:fldChar w:fldCharType="end"/>
      </w:r>
      <w:r/>
    </w:p>
    <w:p>
      <w:pPr>
        <w:pStyle w:val="756"/>
        <w:spacing w:line="360" w:lineRule="auto"/>
        <w:rPr>
          <w:rFonts w:hint="eastAsia" w:ascii="宋体" w:hAnsi="宋体" w:cs="宋体"/>
          <w:sz w:val="28"/>
          <w:szCs w:val="28"/>
        </w:rPr>
      </w:pPr>
      <w:r>
        <w:rPr>
          <w:rFonts w:hint="eastAsia" w:ascii="宋体" w:hAnsi="宋体" w:cs="宋体"/>
          <w:szCs w:val="28"/>
        </w:rPr>
        <w:fldChar w:fldCharType="end"/>
      </w:r>
      <w:r>
        <w:rPr>
          <w:rFonts w:hint="eastAsia" w:ascii="宋体" w:hAnsi="宋体" w:cs="宋体"/>
          <w:sz w:val="28"/>
          <w:szCs w:val="28"/>
        </w:rPr>
      </w:r>
      <w:r/>
    </w:p>
    <w:p>
      <w:pPr>
        <w:pStyle w:val="756"/>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757"/>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1701" w:equalWidth="1"/>
          <w:docGrid w:linePitch="360"/>
        </w:sectPr>
      </w:pPr>
      <w:r/>
      <w:bookmarkStart w:id="0" w:name="_Toc481057143"/>
      <w:r/>
      <w:bookmarkStart w:id="1" w:name="_Hlk52290185"/>
      <w:r/>
      <w:bookmarkStart w:id="2" w:name="_Hlk54715254"/>
      <w:r>
        <w:rPr>
          <w:rFonts w:hint="eastAsia" w:ascii="宋体" w:hAnsi="宋体" w:cs="宋体"/>
          <w:szCs w:val="21"/>
        </w:rPr>
      </w:r>
      <w:r/>
    </w:p>
    <w:p>
      <w:pPr>
        <w:pStyle w:val="757"/>
        <w:spacing w:line="360" w:lineRule="auto"/>
        <w:rPr>
          <w:rFonts w:hint="eastAsia" w:ascii="宋体" w:hAnsi="宋体" w:cs="宋体"/>
          <w:szCs w:val="21"/>
        </w:rPr>
      </w:pPr>
      <w:r>
        <w:rPr>
          <w:rFonts w:hint="eastAsia" w:ascii="宋体" w:hAnsi="宋体" w:cs="宋体"/>
        </w:rPr>
        <w:t xml:space="preserve"> </w:t>
      </w:r>
      <w:bookmarkStart w:id="3" w:name="_Toc18026"/>
      <w:r/>
      <w:bookmarkStart w:id="4" w:name="_Toc13135"/>
      <w:r>
        <w:rPr>
          <w:rFonts w:hint="eastAsia" w:ascii="宋体" w:hAnsi="宋体" w:cs="宋体"/>
        </w:rPr>
        <w:t xml:space="preserve">招标公告</w:t>
      </w:r>
      <w:bookmarkEnd w:id="0"/>
      <w:r/>
      <w:bookmarkEnd w:id="3"/>
      <w:r/>
      <w:bookmarkEnd w:id="4"/>
      <w:r>
        <w:rPr>
          <w:rFonts w:hint="eastAsia" w:ascii="宋体" w:hAnsi="宋体" w:cs="宋体"/>
          <w:szCs w:val="21"/>
        </w:rPr>
      </w:r>
      <w:r/>
    </w:p>
    <w:p>
      <w:pPr>
        <w:pStyle w:val="756"/>
        <w:ind w:firstLine="369"/>
        <w:spacing w:line="360" w:lineRule="auto"/>
        <w:widowControl/>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pacing w:val="8"/>
          <w:szCs w:val="21"/>
        </w:rPr>
        <w:t xml:space="preserve">项目概况</w:t>
      </w:r>
      <w:r>
        <w:rPr>
          <w:rFonts w:hint="eastAsia" w:ascii="宋体" w:hAnsi="宋体" w:cs="宋体"/>
          <w:b/>
          <w:bCs/>
          <w:spacing w:val="8"/>
          <w:szCs w:val="21"/>
        </w:rPr>
      </w:r>
      <w:r/>
    </w:p>
    <w:p>
      <w:pPr>
        <w:pStyle w:val="756"/>
        <w:ind w:firstLine="369"/>
        <w:spacing w:line="360" w:lineRule="auto"/>
        <w:widowControl/>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南京城墙景区安防设备改造项目</w:t>
      </w:r>
      <w:r>
        <w:rPr>
          <w:rFonts w:hint="eastAsia" w:ascii="宋体" w:hAnsi="宋体" w:eastAsia="宋体" w:cs="宋体"/>
          <w:b/>
          <w:bCs/>
          <w:szCs w:val="21"/>
          <w:u w:val="single"/>
        </w:rPr>
        <w:t xml:space="preserve">JSZC-320100-KYGS-G2024-0006</w:t>
      </w:r>
      <w:r>
        <w:rPr>
          <w:rFonts w:hint="eastAsia" w:ascii="宋体" w:hAnsi="宋体" w:cs="宋体"/>
          <w:szCs w:val="21"/>
        </w:rPr>
        <w:t xml:space="preserve">招标项目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w:t>
      </w:r>
      <w:r>
        <w:rPr>
          <w:rFonts w:hint="eastAsia" w:ascii="宋体" w:hAnsi="宋体" w:cs="宋体"/>
          <w:szCs w:val="21"/>
        </w:rPr>
        <w:t xml:space="preserve">获取招标文件，并于</w:t>
      </w:r>
      <w:r>
        <w:rPr>
          <w:rFonts w:hint="eastAsia" w:ascii="宋体" w:hAnsi="宋体" w:cs="宋体"/>
          <w:b/>
          <w:bCs/>
          <w:iCs/>
          <w:spacing w:val="8"/>
          <w:szCs w:val="21"/>
          <w:highlight w:val="none"/>
        </w:rPr>
        <w:t xml:space="preserve">2024</w:t>
      </w:r>
      <w:r>
        <w:rPr>
          <w:rFonts w:hint="eastAsia" w:ascii="宋体" w:hAnsi="宋体" w:cs="宋体"/>
          <w:b/>
          <w:bCs/>
          <w:spacing w:val="8"/>
          <w:szCs w:val="21"/>
          <w:highlight w:val="none"/>
        </w:rPr>
        <w:t xml:space="preserve">-</w:t>
      </w:r>
      <w:r>
        <w:rPr>
          <w:rFonts w:hint="eastAsia" w:ascii="宋体" w:hAnsi="宋体" w:cs="宋体"/>
          <w:b/>
          <w:bCs/>
          <w:spacing w:val="8"/>
          <w:szCs w:val="21"/>
          <w:highlight w:val="none"/>
          <w:lang w:val="en-US" w:eastAsia="zh-CN"/>
        </w:rPr>
        <w:t xml:space="preserve">1</w:t>
      </w:r>
      <w:r>
        <w:rPr>
          <w:rFonts w:hint="eastAsia" w:ascii="宋体" w:hAnsi="宋体" w:cs="宋体"/>
          <w:b/>
          <w:bCs/>
          <w:spacing w:val="8"/>
          <w:szCs w:val="21"/>
          <w:highlight w:val="none"/>
          <w:lang w:val="en-US" w:eastAsia="zh-CN"/>
        </w:rPr>
        <w:t xml:space="preserve">2</w:t>
      </w:r>
      <w:r>
        <w:rPr>
          <w:rFonts w:hint="eastAsia" w:ascii="宋体" w:hAnsi="宋体" w:cs="宋体"/>
          <w:b/>
          <w:bCs/>
          <w:spacing w:val="8"/>
          <w:szCs w:val="21"/>
          <w:highlight w:val="none"/>
        </w:rPr>
        <w:t xml:space="preserve">-</w:t>
      </w:r>
      <w:r>
        <w:rPr>
          <w:rFonts w:hint="eastAsia" w:ascii="宋体" w:hAnsi="宋体" w:cs="宋体"/>
          <w:b/>
          <w:bCs/>
          <w:spacing w:val="8"/>
          <w:szCs w:val="21"/>
          <w:highlight w:val="none"/>
          <w:lang w:val="en-US" w:eastAsia="zh-CN"/>
        </w:rPr>
        <w:t xml:space="preserve">10</w:t>
      </w:r>
      <w:r>
        <w:rPr>
          <w:rFonts w:hint="eastAsia" w:ascii="宋体" w:hAnsi="宋体" w:cs="宋体"/>
          <w:b/>
          <w:bCs/>
          <w:spacing w:val="8"/>
          <w:szCs w:val="21"/>
          <w:highlight w:val="none"/>
        </w:rPr>
        <w:t xml:space="preserve"> </w:t>
      </w:r>
      <w:r>
        <w:rPr>
          <w:rFonts w:hint="eastAsia" w:ascii="宋体" w:hAnsi="宋体" w:cs="宋体"/>
          <w:b/>
          <w:bCs/>
          <w:szCs w:val="21"/>
        </w:rPr>
        <w:t xml:space="preserve">9：30</w:t>
      </w:r>
      <w:r>
        <w:rPr>
          <w:rFonts w:hint="eastAsia" w:ascii="宋体" w:hAnsi="宋体" w:cs="宋体"/>
          <w:szCs w:val="21"/>
        </w:rPr>
        <w:t xml:space="preserve">（北京时间）前递交投标文件。</w:t>
      </w:r>
      <w:r>
        <w:rPr>
          <w:rFonts w:hint="eastAsia" w:ascii="宋体" w:hAnsi="宋体" w:cs="宋体"/>
          <w:szCs w:val="21"/>
        </w:rPr>
      </w:r>
      <w:r/>
    </w:p>
    <w:p>
      <w:pPr>
        <w:pStyle w:val="756"/>
        <w:jc w:val="left"/>
        <w:spacing w:line="360" w:lineRule="auto"/>
        <w:rPr>
          <w:rFonts w:hint="eastAsia" w:ascii="宋体" w:hAnsi="宋体" w:cs="宋体"/>
          <w:b/>
          <w:bCs/>
          <w:sz w:val="24"/>
        </w:rPr>
        <w:outlineLvl w:val="1"/>
      </w:pPr>
      <w:r/>
      <w:bookmarkStart w:id="5" w:name="_Toc10295"/>
      <w:r>
        <w:rPr>
          <w:rFonts w:hint="eastAsia" w:ascii="宋体" w:hAnsi="宋体" w:cs="宋体"/>
          <w:b/>
          <w:bCs/>
          <w:sz w:val="24"/>
        </w:rPr>
        <w:t xml:space="preserve">一、项目基本情况</w:t>
      </w:r>
      <w:bookmarkEnd w:id="1"/>
      <w:r/>
      <w:bookmarkEnd w:id="2"/>
      <w:r/>
      <w:bookmarkEnd w:id="5"/>
      <w:r>
        <w:rPr>
          <w:rFonts w:hint="eastAsia" w:ascii="宋体" w:hAnsi="宋体" w:cs="宋体"/>
          <w:b/>
          <w:bCs/>
          <w:sz w:val="24"/>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eastAsia="宋体" w:cs="宋体"/>
          <w:bCs/>
          <w:szCs w:val="21"/>
        </w:rPr>
        <w:t xml:space="preserve">项目编号：JSZC-320100-KYGS-G2024-0006</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1.2项目名称：南京城墙景区安防设备改造项目</w:t>
      </w:r>
      <w:r>
        <w:rPr>
          <w:rFonts w:hint="eastAsia" w:ascii="宋体" w:hAnsi="宋体" w:cs="宋体"/>
          <w:bCs/>
          <w:szCs w:val="21"/>
        </w:rPr>
      </w:r>
      <w:r/>
    </w:p>
    <w:p>
      <w:pPr>
        <w:pStyle w:val="7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cs="宋体"/>
          <w:spacing w:val="8"/>
          <w:szCs w:val="21"/>
          <w:highlight w:val="none"/>
          <w:lang w:val="en-US" w:eastAsia="zh-CN"/>
        </w:rPr>
        <w:t xml:space="preserve">530</w:t>
      </w:r>
      <w:r>
        <w:rPr>
          <w:rFonts w:hint="eastAsia" w:ascii="宋体" w:hAnsi="宋体" w:cs="宋体"/>
          <w:spacing w:val="8"/>
          <w:szCs w:val="21"/>
          <w:highlight w:val="none"/>
        </w:rPr>
        <w:t xml:space="preserve">万元；</w:t>
      </w:r>
      <w:r>
        <w:rPr>
          <w:rFonts w:hint="eastAsia" w:ascii="宋体" w:hAnsi="宋体" w:cs="宋体"/>
          <w:bCs/>
          <w:szCs w:val="21"/>
          <w:highlight w:val="none"/>
        </w:rPr>
      </w:r>
      <w:r/>
    </w:p>
    <w:p>
      <w:pPr>
        <w:pStyle w:val="756"/>
        <w:ind w:firstLine="420"/>
        <w:spacing w:line="360" w:lineRule="auto"/>
        <w:rPr>
          <w:rFonts w:hint="eastAsia" w:ascii="宋体" w:hAnsi="宋体" w:cs="宋体"/>
          <w:color w:val="000000"/>
          <w:spacing w:val="8"/>
          <w:szCs w:val="21"/>
          <w:highlight w:val="none"/>
        </w:rPr>
      </w:pPr>
      <w:r>
        <w:rPr>
          <w:rFonts w:hint="eastAsia" w:ascii="宋体" w:hAnsi="宋体" w:cs="宋体"/>
          <w:bCs/>
          <w:color w:val="000000"/>
          <w:szCs w:val="21"/>
          <w:highlight w:val="none"/>
        </w:rPr>
        <w:t xml:space="preserve">1.4最高限价（如有）：</w:t>
      </w:r>
      <w:r>
        <w:rPr>
          <w:rFonts w:hint="eastAsia" w:ascii="宋体" w:hAnsi="宋体" w:cs="宋体"/>
          <w:color w:val="000000"/>
          <w:spacing w:val="8"/>
          <w:szCs w:val="21"/>
          <w:highlight w:val="none"/>
        </w:rPr>
        <w:t xml:space="preserve">460万元；</w:t>
      </w:r>
      <w:r>
        <w:rPr>
          <w:rFonts w:hint="eastAsia" w:ascii="宋体" w:hAnsi="宋体" w:cs="宋体"/>
          <w:color w:val="000000"/>
          <w:spacing w:val="8"/>
          <w:szCs w:val="21"/>
          <w:highlight w:val="none"/>
        </w:rPr>
      </w:r>
      <w:r/>
    </w:p>
    <w:p>
      <w:pPr>
        <w:pStyle w:val="756"/>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1.5采购需求：南京城墙安全技术防范系统始建于2014年，已运行了近十年，大量设施设备设置在户外，常年遭受日晒、雨淋、雷击等自然因素的侵害，大部分设备早已过了报废期，存在一定的安全隐患。且随着时代的发展，社会的进步，产品迭代更新，目前的安防系统已无法满足当下的工作需求，亟待提档升级，现对南京城墙景区监控设备进行改造工作，详见招标文件。</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highlight w:val="none"/>
        </w:rPr>
        <w:t xml:space="preserve">1.6合同履行期限：180 天完成设</w:t>
      </w:r>
      <w:r>
        <w:rPr>
          <w:rFonts w:hint="eastAsia" w:ascii="宋体" w:hAnsi="宋体" w:cs="宋体"/>
          <w:bCs/>
          <w:szCs w:val="21"/>
        </w:rPr>
        <w:t xml:space="preserve">备的供货安装及调试，具体时间以合同签订时间为准。</w:t>
      </w:r>
      <w:r>
        <w:rPr>
          <w:rFonts w:hint="eastAsia" w:ascii="宋体" w:hAnsi="宋体" w:cs="宋体"/>
          <w:bCs/>
          <w:szCs w:val="21"/>
        </w:rPr>
      </w:r>
      <w:r/>
    </w:p>
    <w:p>
      <w:pPr>
        <w:pStyle w:val="756"/>
        <w:ind w:firstLine="420"/>
        <w:spacing w:line="360" w:lineRule="auto"/>
      </w:pPr>
      <w:r>
        <w:rPr>
          <w:rFonts w:hint="eastAsia" w:ascii="宋体" w:hAnsi="宋体" w:cs="宋体"/>
          <w:bCs/>
          <w:szCs w:val="21"/>
        </w:rPr>
        <w:t xml:space="preserve">1.7本项目不接受联合体投标。</w:t>
      </w:r>
      <w:r/>
    </w:p>
    <w:p>
      <w:pPr>
        <w:pStyle w:val="756"/>
        <w:jc w:val="left"/>
        <w:spacing w:line="360" w:lineRule="auto"/>
        <w:rPr>
          <w:rFonts w:hint="eastAsia" w:ascii="宋体" w:hAnsi="宋体" w:cs="宋体"/>
          <w:b/>
          <w:bCs/>
          <w:sz w:val="24"/>
        </w:rPr>
        <w:outlineLvl w:val="1"/>
      </w:pPr>
      <w:r/>
      <w:bookmarkStart w:id="6" w:name="_Toc3157"/>
      <w:r>
        <w:rPr>
          <w:rFonts w:hint="eastAsia" w:ascii="宋体" w:hAnsi="宋体" w:cs="宋体"/>
          <w:b/>
          <w:bCs/>
          <w:sz w:val="24"/>
        </w:rPr>
        <w:t xml:space="preserve">二、申请人的资格要求</w:t>
      </w:r>
      <w:bookmarkEnd w:id="6"/>
      <w:r>
        <w:rPr>
          <w:rFonts w:hint="eastAsia" w:ascii="宋体" w:hAnsi="宋体" w:cs="宋体"/>
          <w:b/>
          <w:bCs/>
          <w:sz w:val="24"/>
        </w:rPr>
      </w:r>
      <w:r/>
    </w:p>
    <w:p>
      <w:pPr>
        <w:pStyle w:val="756"/>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（一）满足《中华人民共和国政府采购法》第二十二条规定：</w:t>
      </w:r>
      <w:r>
        <w:rPr>
          <w:rFonts w:hint="eastAsia" w:ascii="宋体" w:hAnsi="宋体" w:cs="宋体"/>
          <w:b/>
          <w:spacing w:val="8"/>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2.具有良好的商业信誉和健全的财务会计制度（提供2023年度的财务报表</w:t>
      </w:r>
      <w:r>
        <w:rPr>
          <w:bCs/>
          <w:szCs w:val="21"/>
        </w:rPr>
        <w:t xml:space="preserve">（成立不满一年的提供至少一个月）</w:t>
      </w:r>
      <w:r>
        <w:rPr>
          <w:rFonts w:hint="eastAsia" w:ascii="宋体" w:hAnsi="宋体" w:cs="宋体"/>
          <w:bCs/>
          <w:szCs w:val="21"/>
        </w:rPr>
        <w:t xml:space="preserve">，或投标截止时间前六个月内银行出具的资信证明）；</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4.有依法缴纳税收和社会保障资金的良好记录（提供参加本次政府采购活动前半年内(至少一个月)缴纳税收的凭证以及缴纳社会保险的凭据，依法享受免缴、缓缴的，提供证明材料）；</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rPr>
          <w:rFonts w:hint="eastAsia" w:ascii="宋体" w:hAnsi="宋体" w:cs="宋体"/>
          <w:bCs/>
          <w:szCs w:val="21"/>
        </w:rPr>
      </w:r>
      <w:r/>
    </w:p>
    <w:p>
      <w:pPr>
        <w:pStyle w:val="756"/>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（二）落实政府采购政策需满足的资格要求：</w:t>
      </w:r>
      <w:r>
        <w:rPr>
          <w:rFonts w:hint="eastAsia" w:ascii="宋体" w:hAnsi="宋体" w:cs="宋体"/>
          <w:b/>
          <w:spacing w:val="8"/>
          <w:szCs w:val="21"/>
        </w:rPr>
      </w:r>
      <w:r/>
    </w:p>
    <w:p>
      <w:pPr>
        <w:pStyle w:val="756"/>
        <w:ind w:firstLine="454"/>
        <w:jc w:val="left"/>
        <w:spacing w:line="360" w:lineRule="auto"/>
        <w:rPr>
          <w:rFonts w:hint="eastAsia" w:ascii="宋体" w:hAnsi="宋体" w:cs="宋体"/>
          <w:bCs/>
          <w:spacing w:val="8"/>
          <w:szCs w:val="21"/>
        </w:rPr>
      </w:pPr>
      <w:r>
        <w:rPr>
          <w:rFonts w:hint="eastAsia" w:ascii="宋体" w:hAnsi="宋体" w:cs="宋体"/>
          <w:bCs/>
          <w:spacing w:val="8"/>
          <w:szCs w:val="21"/>
        </w:rPr>
        <w:t xml:space="preserve">1.本项目非专门面向中小企业（或监狱企业或残疾人福利性单位）采购。</w:t>
      </w:r>
      <w:r>
        <w:rPr>
          <w:rFonts w:hint="eastAsia" w:ascii="宋体" w:hAnsi="宋体" w:cs="宋体"/>
          <w:bCs/>
          <w:spacing w:val="8"/>
          <w:szCs w:val="21"/>
        </w:rPr>
      </w:r>
      <w:r/>
    </w:p>
    <w:p>
      <w:pPr>
        <w:pStyle w:val="756"/>
        <w:ind w:firstLine="458"/>
        <w:spacing w:line="360" w:lineRule="auto"/>
        <w:rPr>
          <w:rFonts w:hint="eastAsia" w:ascii="宋体" w:hAnsi="宋体" w:cs="宋体"/>
          <w:b/>
          <w:spacing w:val="8"/>
          <w:szCs w:val="21"/>
        </w:rPr>
      </w:pPr>
      <w:r>
        <w:rPr>
          <w:rFonts w:hint="eastAsia" w:ascii="宋体" w:hAnsi="宋体" w:cs="宋体"/>
          <w:b/>
          <w:spacing w:val="8"/>
          <w:szCs w:val="21"/>
        </w:rPr>
        <w:t xml:space="preserve">（三）本项目的特定资格要求：</w:t>
      </w:r>
      <w:r>
        <w:rPr>
          <w:rFonts w:hint="eastAsia" w:ascii="宋体" w:hAnsi="宋体" w:cs="宋体"/>
          <w:b/>
          <w:spacing w:val="8"/>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1.采购人根据采购项目的特殊要求规定的特定条件，并提供符合特殊要求的证明材料或者情况说明：无。</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2.提供《南京市政府采购供应商信用记录表暨信用承诺书》（网站在线打印，法定代表人签字并盖单位公章）。</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3.拒绝下述供应商参加本次招标活动：</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s="宋体"/>
          <w:bCs/>
          <w:szCs w:val="21"/>
        </w:rPr>
      </w:r>
      <w:r/>
    </w:p>
    <w:p>
      <w:pPr>
        <w:pStyle w:val="756"/>
        <w:spacing w:line="360" w:lineRule="auto"/>
        <w:widowControl/>
        <w:rPr>
          <w:rFonts w:hint="eastAsia" w:ascii="宋体" w:hAnsi="宋体" w:cs="宋体"/>
          <w:b/>
          <w:spacing w:val="8"/>
          <w:sz w:val="24"/>
        </w:rPr>
        <w:outlineLvl w:val="1"/>
      </w:pPr>
      <w:r/>
      <w:bookmarkStart w:id="7" w:name="_Toc20519"/>
      <w:r>
        <w:rPr>
          <w:rFonts w:hint="eastAsia" w:ascii="宋体" w:hAnsi="宋体" w:cs="宋体"/>
          <w:b/>
          <w:spacing w:val="8"/>
          <w:sz w:val="24"/>
        </w:rPr>
        <w:t xml:space="preserve">三、获取招标文件</w:t>
      </w:r>
      <w:bookmarkEnd w:id="7"/>
      <w:r>
        <w:rPr>
          <w:rFonts w:hint="eastAsia" w:ascii="宋体" w:hAnsi="宋体" w:cs="宋体"/>
          <w:b/>
          <w:spacing w:val="8"/>
          <w:sz w:val="24"/>
        </w:rPr>
      </w:r>
      <w:r/>
    </w:p>
    <w:p>
      <w:pPr>
        <w:pStyle w:val="756"/>
        <w:ind w:firstLine="452"/>
        <w:jc w:val="left"/>
        <w:spacing w:line="360" w:lineRule="auto"/>
        <w:shd w:val="clear" w:color="auto" w:fill="ffffff"/>
        <w:widowControl/>
        <w:rPr>
          <w:rFonts w:ascii="宋体" w:hAnsi="宋体" w:eastAsia="宋体" w:cs="宋体"/>
          <w:spacing w:val="8"/>
          <w:szCs w:val="21"/>
          <w:lang w:val="en-US" w:eastAsia="zh-CN"/>
        </w:rPr>
      </w:pPr>
      <w:r>
        <w:rPr>
          <w:rFonts w:hint="eastAsia" w:ascii="宋体" w:hAnsi="宋体" w:cs="宋体"/>
          <w:spacing w:val="8"/>
          <w:szCs w:val="21"/>
        </w:rPr>
        <w:t xml:space="preserve">时间：自招标文件公告发布之日起</w:t>
      </w:r>
      <w:r>
        <w:rPr>
          <w:rFonts w:hint="eastAsia" w:ascii="宋体" w:hAnsi="宋体" w:cs="宋体"/>
          <w:spacing w:val="8"/>
          <w:szCs w:val="21"/>
          <w:lang w:val="en-US" w:eastAsia="zh-CN"/>
        </w:rPr>
        <w:t xml:space="preserve">5个工作日</w:t>
      </w:r>
      <w:r>
        <w:rPr>
          <w:rFonts w:ascii="宋体" w:hAnsi="宋体" w:eastAsia="宋体" w:cs="宋体"/>
          <w:spacing w:val="8"/>
          <w:szCs w:val="21"/>
          <w:lang w:val="en-US" w:eastAsia="zh-CN"/>
        </w:rPr>
      </w:r>
      <w:r/>
    </w:p>
    <w:p>
      <w:pPr>
        <w:pStyle w:val="756"/>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地点：江苏政府采购网</w:t>
      </w:r>
      <w:r>
        <w:rPr>
          <w:rFonts w:hint="eastAsia" w:ascii="宋体" w:hAnsi="宋体" w:cs="宋体"/>
          <w:spacing w:val="8"/>
          <w:szCs w:val="21"/>
        </w:rPr>
      </w:r>
      <w:r/>
    </w:p>
    <w:p>
      <w:pPr>
        <w:pStyle w:val="756"/>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方式：自行下载</w:t>
      </w:r>
      <w:r>
        <w:rPr>
          <w:rFonts w:hint="eastAsia" w:ascii="宋体" w:hAnsi="宋体" w:cs="宋体"/>
          <w:spacing w:val="8"/>
          <w:szCs w:val="21"/>
        </w:rPr>
      </w:r>
      <w:r/>
    </w:p>
    <w:p>
      <w:pPr>
        <w:pStyle w:val="756"/>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售价：0.00元。</w:t>
      </w:r>
      <w:r>
        <w:rPr>
          <w:rFonts w:hint="eastAsia" w:ascii="宋体" w:hAnsi="宋体" w:cs="宋体"/>
          <w:spacing w:val="8"/>
          <w:szCs w:val="21"/>
        </w:rPr>
      </w:r>
      <w:r/>
    </w:p>
    <w:p>
      <w:pPr>
        <w:pStyle w:val="756"/>
        <w:spacing w:line="360" w:lineRule="auto"/>
        <w:widowControl/>
        <w:rPr>
          <w:rFonts w:hint="eastAsia" w:ascii="宋体" w:hAnsi="宋体" w:cs="宋体"/>
          <w:b/>
          <w:spacing w:val="8"/>
          <w:sz w:val="24"/>
        </w:rPr>
        <w:outlineLvl w:val="1"/>
      </w:pPr>
      <w:r/>
      <w:bookmarkStart w:id="8" w:name="_Toc18971"/>
      <w:r>
        <w:rPr>
          <w:rFonts w:hint="eastAsia" w:ascii="宋体" w:hAnsi="宋体" w:cs="宋体"/>
          <w:b/>
          <w:spacing w:val="8"/>
          <w:sz w:val="24"/>
        </w:rPr>
        <w:t xml:space="preserve">四、提交投标文件截止时间、开标时间和地点</w:t>
      </w:r>
      <w:bookmarkEnd w:id="8"/>
      <w:r>
        <w:rPr>
          <w:rFonts w:hint="eastAsia" w:ascii="宋体" w:hAnsi="宋体" w:cs="宋体"/>
          <w:b/>
          <w:spacing w:val="8"/>
          <w:sz w:val="24"/>
        </w:rPr>
      </w:r>
      <w:r/>
    </w:p>
    <w:p>
      <w:pPr>
        <w:pStyle w:val="756"/>
        <w:ind w:firstLine="370"/>
        <w:spacing w:line="360" w:lineRule="auto"/>
        <w:widowControl/>
        <w:rPr>
          <w:rFonts w:hint="eastAsia" w:ascii="宋体" w:hAnsi="宋体" w:cs="宋体"/>
          <w:spacing w:val="8"/>
          <w:szCs w:val="21"/>
        </w:rPr>
      </w:pPr>
      <w:r>
        <w:rPr>
          <w:rFonts w:hint="eastAsia" w:ascii="宋体" w:hAnsi="宋体" w:cs="宋体"/>
          <w:highlight w:val="none"/>
        </w:rPr>
        <w:t xml:space="preserve">2024-</w:t>
      </w:r>
      <w:r>
        <w:rPr>
          <w:rFonts w:hint="eastAsia" w:ascii="宋体" w:hAnsi="宋体" w:cs="宋体"/>
          <w:highlight w:val="none"/>
          <w:lang w:val="en-US" w:eastAsia="zh-CN"/>
        </w:rPr>
        <w:t xml:space="preserve">12</w:t>
      </w:r>
      <w:r>
        <w:rPr>
          <w:rFonts w:hint="eastAsia" w:ascii="宋体" w:hAnsi="宋体" w:cs="宋体"/>
          <w:highlight w:val="none"/>
        </w:rPr>
        <w:t xml:space="preserve">-</w:t>
      </w:r>
      <w:r>
        <w:rPr>
          <w:rFonts w:hint="eastAsia" w:ascii="宋体" w:hAnsi="宋体" w:cs="宋体"/>
          <w:highlight w:val="none"/>
          <w:lang w:val="en-US" w:eastAsia="zh-CN"/>
        </w:rPr>
        <w:t xml:space="preserve">10</w:t>
      </w:r>
      <w:r>
        <w:rPr>
          <w:rFonts w:hint="eastAsia" w:ascii="宋体" w:hAnsi="宋体" w:cs="宋体"/>
          <w:highlight w:val="none"/>
        </w:rPr>
        <w:t xml:space="preserve">  9</w:t>
      </w:r>
      <w:r>
        <w:rPr>
          <w:rFonts w:hint="eastAsia" w:ascii="宋体" w:hAnsi="宋体" w:cs="宋体"/>
          <w:spacing w:val="8"/>
          <w:szCs w:val="21"/>
          <w:highlight w:val="none"/>
        </w:rPr>
        <w:t xml:space="preserve">：</w:t>
      </w:r>
      <w:r>
        <w:rPr>
          <w:rFonts w:hint="eastAsia" w:ascii="宋体" w:hAnsi="宋体" w:cs="宋体"/>
          <w:highlight w:val="none"/>
        </w:rPr>
        <w:t xml:space="preserve">30</w:t>
      </w:r>
      <w:r>
        <w:rPr>
          <w:rFonts w:hint="eastAsia" w:ascii="宋体" w:hAnsi="宋体" w:cs="宋体"/>
          <w:spacing w:val="8"/>
          <w:szCs w:val="21"/>
          <w:highlight w:val="none"/>
        </w:rPr>
        <w:t xml:space="preserve">（</w:t>
      </w:r>
      <w:r>
        <w:rPr>
          <w:rFonts w:hint="eastAsia" w:ascii="宋体" w:hAnsi="宋体" w:cs="宋体"/>
          <w:spacing w:val="8"/>
          <w:szCs w:val="21"/>
        </w:rPr>
        <w:t xml:space="preserve">北京时间）</w:t>
      </w:r>
      <w:r>
        <w:rPr>
          <w:rFonts w:hint="eastAsia" w:ascii="宋体" w:hAnsi="宋体" w:cs="宋体"/>
          <w:spacing w:val="8"/>
          <w:szCs w:val="21"/>
        </w:rPr>
      </w:r>
      <w:r/>
    </w:p>
    <w:p>
      <w:pPr>
        <w:pStyle w:val="826"/>
        <w:ind w:firstLine="375"/>
        <w:spacing w:before="0" w:beforeAutospacing="0" w:after="0" w:afterAutospacing="0" w:line="360" w:lineRule="auto"/>
        <w:rPr>
          <w:rFonts w:hint="eastAsia"/>
          <w:sz w:val="21"/>
        </w:rPr>
      </w:pPr>
      <w:r>
        <w:rPr>
          <w:rFonts w:hint="eastAsia"/>
          <w:sz w:val="21"/>
        </w:rPr>
        <w:t xml:space="preserve">地点：苏采云”系统（网址：http://jszfcg.jsczt.cn/）开标大厅</w:t>
      </w:r>
      <w:r>
        <w:rPr>
          <w:rFonts w:hint="eastAsia"/>
          <w:sz w:val="21"/>
        </w:rPr>
      </w:r>
      <w:r/>
    </w:p>
    <w:p>
      <w:pPr>
        <w:pStyle w:val="756"/>
        <w:spacing w:line="360" w:lineRule="auto"/>
        <w:widowControl/>
        <w:rPr>
          <w:rFonts w:hint="eastAsia" w:ascii="宋体" w:hAnsi="宋体" w:cs="宋体"/>
          <w:b/>
          <w:spacing w:val="8"/>
          <w:sz w:val="24"/>
        </w:rPr>
        <w:outlineLvl w:val="1"/>
      </w:pPr>
      <w:r/>
      <w:bookmarkStart w:id="9" w:name="_Toc2609"/>
      <w:r>
        <w:rPr>
          <w:rFonts w:hint="eastAsia" w:ascii="宋体" w:hAnsi="宋体" w:cs="宋体"/>
          <w:b/>
          <w:spacing w:val="8"/>
          <w:sz w:val="24"/>
        </w:rPr>
        <w:t xml:space="preserve">五、公告期限</w:t>
      </w:r>
      <w:bookmarkEnd w:id="9"/>
      <w:r>
        <w:rPr>
          <w:rFonts w:hint="eastAsia" w:ascii="宋体" w:hAnsi="宋体" w:cs="宋体"/>
          <w:b/>
          <w:spacing w:val="8"/>
          <w:sz w:val="24"/>
        </w:rPr>
      </w:r>
      <w:r/>
    </w:p>
    <w:p>
      <w:pPr>
        <w:pStyle w:val="756"/>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rPr>
          <w:rFonts w:hint="eastAsia" w:ascii="宋体" w:hAnsi="宋体" w:cs="宋体"/>
          <w:spacing w:val="8"/>
          <w:szCs w:val="21"/>
        </w:rPr>
      </w:r>
      <w:r/>
    </w:p>
    <w:p>
      <w:pPr>
        <w:pStyle w:val="756"/>
        <w:spacing w:line="360" w:lineRule="auto"/>
        <w:widowControl/>
        <w:rPr>
          <w:rFonts w:hint="eastAsia" w:ascii="宋体" w:hAnsi="宋体" w:cs="宋体"/>
          <w:b/>
          <w:spacing w:val="8"/>
          <w:sz w:val="24"/>
        </w:rPr>
        <w:outlineLvl w:val="1"/>
      </w:pPr>
      <w:r/>
      <w:bookmarkStart w:id="10" w:name="_Toc1416"/>
      <w:r>
        <w:rPr>
          <w:rFonts w:hint="eastAsia" w:ascii="宋体" w:hAnsi="宋体" w:cs="宋体"/>
          <w:b/>
          <w:spacing w:val="8"/>
          <w:sz w:val="24"/>
        </w:rPr>
        <w:t xml:space="preserve">六、其他补充事宜</w:t>
      </w:r>
      <w:bookmarkEnd w:id="10"/>
      <w:r>
        <w:rPr>
          <w:rFonts w:hint="eastAsia" w:ascii="宋体" w:hAnsi="宋体" w:cs="宋体"/>
          <w:b/>
          <w:spacing w:val="8"/>
          <w:sz w:val="24"/>
        </w:rPr>
      </w:r>
      <w:r/>
    </w:p>
    <w:p>
      <w:pPr>
        <w:pStyle w:val="756"/>
        <w:ind w:firstLine="363"/>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本项目在南京公共采购信息网</w:t>
      </w:r>
      <w:r>
        <w:rPr>
          <w:rFonts w:hint="eastAsia" w:ascii="宋体" w:hAnsi="宋体" w:cs="宋体"/>
        </w:rPr>
        <w:t xml:space="preserve">、</w:t>
      </w:r>
      <w:r>
        <w:rPr>
          <w:rFonts w:hint="eastAsia" w:ascii="宋体" w:hAnsi="宋体" w:cs="宋体"/>
          <w:szCs w:val="21"/>
          <w:lang w:val="zh-CN"/>
        </w:rPr>
        <w:t xml:space="preserve">江苏政府采购网网站发布公告。</w:t>
      </w:r>
      <w:r>
        <w:rPr>
          <w:rFonts w:hint="eastAsia" w:ascii="宋体" w:hAnsi="宋体" w:cs="宋体"/>
          <w:szCs w:val="21"/>
          <w:lang w:val="zh-CN"/>
        </w:rPr>
      </w:r>
      <w:r/>
    </w:p>
    <w:p>
      <w:pPr>
        <w:pStyle w:val="756"/>
        <w:ind w:firstLine="363"/>
        <w:spacing w:line="360" w:lineRule="auto"/>
        <w:shd w:val="clear" w:color="auto" w:fill="ffffff"/>
        <w:widowControl/>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勘察现场：本项目不组织集中勘探。</w:t>
      </w:r>
      <w:r>
        <w:rPr>
          <w:rFonts w:hint="eastAsia" w:ascii="宋体" w:hAnsi="宋体" w:cs="宋体"/>
          <w:bCs/>
          <w:szCs w:val="21"/>
        </w:rPr>
      </w:r>
      <w:r/>
    </w:p>
    <w:p>
      <w:pPr>
        <w:pStyle w:val="756"/>
        <w:ind w:firstLine="363"/>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bCs/>
          <w:szCs w:val="21"/>
        </w:rPr>
      </w:r>
      <w:r/>
    </w:p>
    <w:p>
      <w:pPr>
        <w:pStyle w:val="990"/>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rPr>
          <w:rFonts w:hint="eastAsia" w:ascii="宋体" w:hAnsi="宋体" w:cs="宋体"/>
          <w:bCs/>
          <w:szCs w:val="21"/>
        </w:rPr>
      </w:r>
      <w:r/>
    </w:p>
    <w:p>
      <w:pPr>
        <w:pStyle w:val="990"/>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bCs/>
          <w:szCs w:val="21"/>
        </w:rPr>
      </w:r>
      <w:r/>
    </w:p>
    <w:p>
      <w:pPr>
        <w:pStyle w:val="990"/>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rPr>
          <w:rFonts w:hint="eastAsia" w:ascii="宋体" w:hAnsi="宋体" w:cs="宋体"/>
          <w:bCs/>
          <w:szCs w:val="21"/>
        </w:rPr>
      </w:r>
      <w:r/>
    </w:p>
    <w:p>
      <w:pPr>
        <w:pStyle w:val="990"/>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pStyle w:val="756"/>
        <w:ind w:firstLine="365"/>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4.政府采购信用承诺</w:t>
      </w:r>
      <w:r>
        <w:rPr>
          <w:rFonts w:hint="eastAsia" w:ascii="宋体" w:hAnsi="宋体" w:cs="宋体"/>
          <w:szCs w:val="21"/>
          <w:lang w:val="zh-CN"/>
        </w:rPr>
      </w:r>
      <w:r/>
    </w:p>
    <w:p>
      <w:pPr>
        <w:pStyle w:val="756"/>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Cs w:val="21"/>
          <w:lang w:val="zh-CN"/>
        </w:rPr>
      </w:r>
      <w:r/>
    </w:p>
    <w:p>
      <w:pPr>
        <w:pStyle w:val="75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rPr>
          <w:rFonts w:hint="eastAsia" w:ascii="宋体" w:hAnsi="宋体" w:cs="宋体"/>
          <w:b/>
          <w:bCs/>
          <w:szCs w:val="21"/>
          <w:lang w:val="zh-CN"/>
        </w:rPr>
      </w:r>
      <w:r/>
    </w:p>
    <w:p>
      <w:pPr>
        <w:pStyle w:val="75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rPr>
          <w:rFonts w:hint="eastAsia" w:ascii="宋体" w:hAnsi="宋体" w:cs="宋体"/>
          <w:b/>
          <w:bCs/>
          <w:szCs w:val="21"/>
          <w:lang w:val="zh-CN"/>
        </w:rPr>
      </w:r>
      <w:r/>
    </w:p>
    <w:p>
      <w:pPr>
        <w:pStyle w:val="75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rPr>
          <w:rFonts w:hint="eastAsia" w:ascii="宋体" w:hAnsi="宋体" w:cs="宋体"/>
          <w:b/>
          <w:bCs/>
          <w:szCs w:val="21"/>
          <w:lang w:val="zh-CN"/>
        </w:rPr>
      </w:r>
      <w:r/>
    </w:p>
    <w:p>
      <w:pPr>
        <w:pStyle w:val="756"/>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rPr>
          <w:rFonts w:hint="eastAsia" w:ascii="宋体" w:hAnsi="宋体" w:cs="宋体"/>
          <w:b/>
          <w:bCs/>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供应商对信用承诺内容的真实性、合法性、有效性负责。如作出虚假信用承诺，视同为“提供虚假材料谋取中标、成交”的违法行为。</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zh-TW"/>
        </w:rPr>
        <w:t xml:space="preserve">本项目属于</w:t>
      </w:r>
      <w:r>
        <w:rPr>
          <w:rFonts w:hint="eastAsia" w:ascii="宋体" w:hAnsi="宋体" w:cs="宋体"/>
          <w:szCs w:val="21"/>
        </w:rPr>
        <w:t xml:space="preserve">货物</w:t>
      </w:r>
      <w:r>
        <w:rPr>
          <w:rFonts w:hint="eastAsia" w:ascii="宋体" w:hAnsi="宋体" w:cs="宋体"/>
          <w:szCs w:val="21"/>
          <w:lang w:val="zh-TW"/>
        </w:rPr>
        <w:t xml:space="preserve">类，采购标的对应的中小企业划分标准属于</w:t>
      </w:r>
      <w:r>
        <w:rPr>
          <w:rFonts w:hint="eastAsia" w:ascii="宋体" w:hAnsi="宋体" w:cs="宋体"/>
          <w:szCs w:val="21"/>
        </w:rPr>
        <w:t xml:space="preserve">工业</w:t>
      </w:r>
      <w:r>
        <w:rPr>
          <w:rFonts w:hint="eastAsia" w:ascii="宋体" w:hAnsi="宋体" w:cs="宋体"/>
          <w:szCs w:val="21"/>
          <w:lang w:val="zh-TW"/>
        </w:rPr>
        <w:t xml:space="preserve">行业。</w:t>
      </w:r>
      <w:r>
        <w:rPr>
          <w:rFonts w:hint="eastAsia" w:ascii="宋体" w:hAnsi="宋体" w:cs="宋体"/>
          <w:szCs w:val="21"/>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w:t>
      </w:r>
      <w:r>
        <w:rPr>
          <w:rFonts w:hint="eastAsia" w:ascii="宋体" w:hAnsi="宋体" w:cs="宋体"/>
          <w:szCs w:val="21"/>
        </w:rPr>
        <w:t xml:space="preserve">30</w:t>
      </w:r>
      <w:r>
        <w:rPr>
          <w:rFonts w:hint="eastAsia" w:ascii="宋体" w:hAnsi="宋体" w:cs="宋体"/>
          <w:szCs w:val="21"/>
          <w:lang w:val="zh-CN"/>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lang w:val="zh-CN"/>
        </w:rPr>
      </w:r>
      <w:r/>
    </w:p>
    <w:p>
      <w:pPr>
        <w:pStyle w:val="756"/>
        <w:ind w:firstLine="363"/>
        <w:spacing w:line="360" w:lineRule="auto"/>
        <w:widowControl/>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.项目开标活动模式：不见面远程开标模式，供应商在各自地点通过不见面交易系统参加开标会。</w:t>
      </w:r>
      <w:r>
        <w:rPr>
          <w:rFonts w:hint="eastAsia" w:ascii="宋体" w:hAnsi="宋体" w:cs="宋体"/>
          <w:szCs w:val="21"/>
          <w:lang w:val="zh-CN"/>
        </w:rPr>
      </w:r>
      <w:r/>
    </w:p>
    <w:p>
      <w:pPr>
        <w:pStyle w:val="756"/>
        <w:spacing w:line="360" w:lineRule="auto"/>
        <w:widowControl/>
        <w:rPr>
          <w:rFonts w:hint="eastAsia" w:ascii="宋体" w:hAnsi="宋体" w:cs="宋体"/>
          <w:b/>
          <w:spacing w:val="8"/>
          <w:sz w:val="24"/>
        </w:rPr>
        <w:outlineLvl w:val="1"/>
      </w:pPr>
      <w:r/>
      <w:bookmarkStart w:id="11" w:name="_Toc20587"/>
      <w:r>
        <w:rPr>
          <w:rFonts w:hint="eastAsia" w:ascii="宋体" w:hAnsi="宋体" w:cs="宋体"/>
          <w:b/>
          <w:spacing w:val="8"/>
          <w:sz w:val="24"/>
        </w:rPr>
        <w:t xml:space="preserve">七、对本次招标提出询问，请按以下方式联系</w:t>
      </w:r>
      <w:bookmarkEnd w:id="11"/>
      <w:r>
        <w:rPr>
          <w:rFonts w:hint="eastAsia" w:ascii="宋体" w:hAnsi="宋体" w:cs="宋体"/>
          <w:b/>
          <w:spacing w:val="8"/>
          <w:sz w:val="24"/>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1.采购人信息</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单位名称：南京城墙保护管理中心</w:t>
      </w:r>
      <w:r>
        <w:rPr>
          <w:rFonts w:hint="eastAsia" w:ascii="宋体" w:hAnsi="宋体" w:cs="宋体"/>
          <w:bCs/>
          <w:szCs w:val="21"/>
        </w:rPr>
      </w:r>
      <w:r/>
    </w:p>
    <w:p>
      <w:pPr>
        <w:pStyle w:val="756"/>
        <w:ind w:firstLine="363"/>
        <w:spacing w:line="360" w:lineRule="auto"/>
        <w:widowControl/>
        <w:rPr>
          <w:rFonts w:ascii="宋体" w:hAnsi="宋体" w:cs="宋体"/>
          <w:bCs/>
          <w:szCs w:val="21"/>
        </w:rPr>
      </w:pPr>
      <w:r>
        <w:rPr>
          <w:rFonts w:hint="eastAsia" w:ascii="宋体" w:hAnsi="宋体" w:cs="宋体"/>
          <w:bCs/>
          <w:szCs w:val="21"/>
        </w:rPr>
        <w:t xml:space="preserve">单位地址：南京</w:t>
      </w:r>
      <w:r>
        <w:t xml:space="preserve">市玄武区解放门8号</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联系人：杨工、王工  </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联系电话：025-52338916</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2采购代理机构信息（如有）</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单位名称：江苏钶源建设项目管理有限公司</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单位地址：南京市雨花台区大周路88号南京软件谷科创城C</w:t>
      </w:r>
      <w:r>
        <w:rPr>
          <w:rFonts w:hint="eastAsia" w:ascii="宋体" w:hAnsi="宋体" w:cs="宋体"/>
          <w:bCs/>
          <w:szCs w:val="21"/>
          <w:lang w:val="en-US" w:eastAsia="zh-CN"/>
        </w:rPr>
        <w:t xml:space="preserve">2</w:t>
      </w:r>
      <w:r>
        <w:rPr>
          <w:rFonts w:hint="eastAsia" w:ascii="宋体" w:hAnsi="宋体" w:cs="宋体"/>
          <w:bCs/>
          <w:szCs w:val="21"/>
        </w:rPr>
        <w:t xml:space="preserve">幢7楼70</w:t>
      </w:r>
      <w:r>
        <w:rPr>
          <w:rFonts w:hint="eastAsia" w:ascii="宋体" w:hAnsi="宋体" w:cs="宋体"/>
          <w:bCs/>
          <w:szCs w:val="21"/>
          <w:lang w:val="en-US" w:eastAsia="zh-CN"/>
        </w:rPr>
        <w:t xml:space="preserve">3</w:t>
      </w:r>
      <w:r>
        <w:rPr>
          <w:rFonts w:hint="eastAsia" w:ascii="宋体" w:hAnsi="宋体" w:cs="宋体"/>
          <w:bCs/>
          <w:szCs w:val="21"/>
          <w:lang w:val="en-US" w:eastAsia="zh-CN"/>
        </w:rPr>
        <w:t xml:space="preserve">-705</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联系人：蒋工、纪工  </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联系电话：15952021627、18851016775</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3.项目联系方式</w:t>
      </w:r>
      <w:r>
        <w:rPr>
          <w:rFonts w:hint="eastAsia" w:ascii="宋体" w:hAnsi="宋体" w:cs="宋体"/>
          <w:bCs/>
          <w:szCs w:val="21"/>
        </w:rPr>
      </w:r>
      <w:r/>
    </w:p>
    <w:p>
      <w:pPr>
        <w:pStyle w:val="756"/>
        <w:ind w:firstLine="363"/>
        <w:spacing w:line="360" w:lineRule="auto"/>
        <w:widowControl/>
        <w:rPr>
          <w:rFonts w:hint="eastAsia" w:ascii="宋体" w:hAnsi="宋体" w:cs="宋体"/>
          <w:bCs/>
          <w:szCs w:val="21"/>
        </w:rPr>
      </w:pPr>
      <w:r>
        <w:rPr>
          <w:rFonts w:hint="eastAsia" w:ascii="宋体" w:hAnsi="宋体" w:cs="宋体"/>
          <w:bCs/>
          <w:szCs w:val="21"/>
        </w:rPr>
        <w:t xml:space="preserve">联系人：蒋工</w:t>
      </w:r>
      <w:r>
        <w:rPr>
          <w:rFonts w:hint="eastAsia" w:ascii="宋体" w:hAnsi="宋体" w:cs="宋体"/>
          <w:bCs/>
          <w:szCs w:val="21"/>
        </w:rPr>
      </w:r>
      <w:r/>
    </w:p>
    <w:p>
      <w:pPr>
        <w:pStyle w:val="756"/>
        <w:ind w:firstLine="363"/>
        <w:spacing w:line="360" w:lineRule="auto"/>
        <w:widowControl/>
        <w:rPr>
          <w:rFonts w:hint="eastAsia" w:ascii="宋体" w:hAnsi="宋体" w:cs="宋体"/>
        </w:rPr>
      </w:pPr>
      <w:r>
        <w:rPr>
          <w:rFonts w:hint="eastAsia" w:ascii="宋体" w:hAnsi="宋体" w:cs="宋体"/>
          <w:bCs/>
          <w:szCs w:val="21"/>
        </w:rPr>
        <w:t xml:space="preserve">电话：15952021627</w:t>
      </w:r>
      <w:r>
        <w:rPr>
          <w:rFonts w:hint="eastAsia" w:ascii="宋体" w:hAnsi="宋体" w:cs="宋体"/>
        </w:rPr>
      </w:r>
      <w:r/>
    </w:p>
    <w:p>
      <w:pPr>
        <w:pStyle w:val="757"/>
        <w:spacing w:line="360" w:lineRule="auto"/>
        <w:rPr>
          <w:rFonts w:hint="eastAsia" w:ascii="宋体" w:hAnsi="宋体" w:cs="宋体"/>
        </w:rPr>
      </w:pPr>
      <w:r/>
      <w:bookmarkStart w:id="12" w:name="_Toc452625218"/>
      <w:r/>
      <w:bookmarkStart w:id="13" w:name="_Toc16162"/>
      <w:r>
        <w:rPr>
          <w:rFonts w:hint="eastAsia" w:ascii="宋体" w:hAnsi="宋体" w:cs="宋体"/>
        </w:rPr>
        <w:br w:type="page" w:clear="all"/>
      </w:r>
      <w:bookmarkStart w:id="14" w:name="_Toc10747"/>
      <w:r>
        <w:rPr>
          <w:rFonts w:hint="eastAsia" w:ascii="宋体" w:hAnsi="宋体" w:cs="宋体"/>
        </w:rPr>
        <w:t xml:space="preserve">投标人须知</w:t>
      </w:r>
      <w:bookmarkEnd w:id="12"/>
      <w:r/>
      <w:bookmarkEnd w:id="13"/>
      <w:r/>
      <w:bookmarkEnd w:id="14"/>
      <w:r>
        <w:rPr>
          <w:rFonts w:hint="eastAsia" w:ascii="宋体" w:hAnsi="宋体" w:cs="宋体"/>
        </w:rPr>
      </w:r>
      <w:r/>
    </w:p>
    <w:p>
      <w:pPr>
        <w:pStyle w:val="756"/>
        <w:ind w:firstLine="424"/>
        <w:spacing w:line="360" w:lineRule="auto"/>
        <w:shd w:val="clear" w:color="auto" w:fill="ffffff"/>
        <w:widowControl/>
        <w:rPr>
          <w:rFonts w:hint="eastAsia" w:ascii="宋体" w:hAnsi="宋体" w:cs="宋体"/>
          <w:szCs w:val="21"/>
        </w:rPr>
        <w:outlineLvl w:val="1"/>
      </w:pPr>
      <w:r/>
      <w:bookmarkStart w:id="15" w:name="_Toc23503"/>
      <w:r>
        <w:rPr>
          <w:rFonts w:hint="eastAsia" w:ascii="宋体" w:hAnsi="宋体" w:cs="宋体"/>
          <w:b/>
          <w:bCs/>
          <w:szCs w:val="21"/>
        </w:rPr>
        <w:t xml:space="preserve">一、总 则</w:t>
      </w:r>
      <w:bookmarkEnd w:id="15"/>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rPr>
          <w:rFonts w:hint="eastAsia" w:ascii="宋体" w:hAnsi="宋体" w:cs="宋体"/>
          <w:szCs w:val="21"/>
        </w:rPr>
      </w:r>
      <w:r/>
    </w:p>
    <w:p>
      <w:pPr>
        <w:pStyle w:val="756"/>
        <w:ind w:firstLine="412"/>
        <w:spacing w:line="360" w:lineRule="auto"/>
        <w:shd w:val="clear" w:color="auto" w:fill="ffffff"/>
        <w:widowControl/>
        <w:rPr>
          <w:rFonts w:hint="eastAsia" w:ascii="宋体" w:hAnsi="宋体" w:cs="宋体"/>
          <w:szCs w:val="21"/>
        </w:rPr>
        <w:outlineLvl w:val="1"/>
      </w:pPr>
      <w:r/>
      <w:bookmarkStart w:id="16" w:name="_Toc824"/>
      <w:r>
        <w:rPr>
          <w:rFonts w:hint="eastAsia" w:ascii="宋体" w:hAnsi="宋体" w:cs="宋体"/>
          <w:b/>
          <w:bCs/>
          <w:szCs w:val="21"/>
        </w:rPr>
        <w:t xml:space="preserve">二、招标文件构成</w:t>
      </w:r>
      <w:bookmarkEnd w:id="16"/>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outlineLvl w:val="1"/>
      </w:pPr>
      <w:r/>
      <w:bookmarkStart w:id="17" w:name="_Toc11515"/>
      <w:r>
        <w:rPr>
          <w:rFonts w:hint="eastAsia" w:ascii="宋体" w:hAnsi="宋体" w:cs="宋体"/>
          <w:b/>
          <w:bCs/>
          <w:szCs w:val="21"/>
        </w:rPr>
        <w:t xml:space="preserve">三、投标文件的编制</w:t>
      </w:r>
      <w:bookmarkEnd w:id="17"/>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rPr>
          <w:rFonts w:hint="eastAsia" w:ascii="宋体" w:hAnsi="宋体" w:cs="宋体"/>
          <w:szCs w:val="21"/>
        </w:rPr>
      </w:r>
      <w:r/>
    </w:p>
    <w:p>
      <w:pPr>
        <w:pStyle w:val="756"/>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szCs w:val="21"/>
        </w:rPr>
      </w:r>
      <w:r/>
    </w:p>
    <w:p>
      <w:pPr>
        <w:pStyle w:val="756"/>
        <w:numPr>
          <w:ilvl w:val="0"/>
          <w:numId w:val="3"/>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szCs w:val="21"/>
        </w:rPr>
      </w:r>
      <w:r/>
    </w:p>
    <w:p>
      <w:pPr>
        <w:pStyle w:val="756"/>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rPr>
          <w:rFonts w:hint="eastAsia" w:ascii="宋体" w:hAnsi="宋体" w:cs="宋体"/>
          <w:b/>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rPr>
          <w:rFonts w:hint="eastAsia" w:ascii="宋体" w:hAnsi="宋体" w:cs="宋体"/>
          <w:szCs w:val="21"/>
        </w:rPr>
      </w:r>
      <w:r/>
    </w:p>
    <w:p>
      <w:pPr>
        <w:pStyle w:val="756"/>
        <w:numPr>
          <w:ilvl w:val="1"/>
          <w:numId w:val="4"/>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rPr>
          <w:rFonts w:hint="eastAsia" w:ascii="宋体" w:hAnsi="宋体" w:cs="宋体"/>
          <w:bCs/>
          <w:szCs w:val="21"/>
        </w:rPr>
      </w:r>
      <w:r/>
    </w:p>
    <w:p>
      <w:pPr>
        <w:pStyle w:val="756"/>
        <w:numPr>
          <w:ilvl w:val="1"/>
          <w:numId w:val="4"/>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rPr>
          <w:rFonts w:hint="eastAsia" w:ascii="宋体" w:hAnsi="宋体" w:cs="宋体"/>
          <w:bCs/>
          <w:szCs w:val="21"/>
        </w:rPr>
      </w:r>
      <w:r/>
    </w:p>
    <w:p>
      <w:pPr>
        <w:pStyle w:val="756"/>
        <w:numPr>
          <w:ilvl w:val="1"/>
          <w:numId w:val="4"/>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rPr>
          <w:rFonts w:hint="eastAsia" w:ascii="宋体" w:hAnsi="宋体" w:cs="宋体"/>
          <w:bCs/>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w:t>
      </w:r>
      <w:r>
        <w:rPr>
          <w:rFonts w:hint="eastAsia" w:ascii="宋体" w:hAnsi="宋体" w:cs="宋体"/>
          <w:szCs w:val="21"/>
          <w:lang w:val="en-US" w:eastAsia="zh-CN"/>
        </w:rPr>
        <w:t xml:space="preserve">分项报价表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（6）《商务条款偏离表》；</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rPr>
          <w:rFonts w:hint="eastAsia" w:ascii="宋体" w:hAnsi="宋体" w:cs="宋体"/>
          <w:szCs w:val="21"/>
        </w:rPr>
      </w:r>
      <w:r/>
    </w:p>
    <w:p>
      <w:pPr>
        <w:pStyle w:val="75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rPr>
          <w:rFonts w:hint="eastAsia" w:ascii="宋体" w:hAnsi="宋体" w:cs="宋体"/>
          <w:szCs w:val="21"/>
          <w:lang w:val="zh-CN"/>
        </w:rPr>
      </w:r>
      <w:r/>
    </w:p>
    <w:p>
      <w:pPr>
        <w:pStyle w:val="75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rPr>
          <w:rFonts w:hint="eastAsia" w:ascii="宋体" w:hAnsi="宋体" w:cs="宋体"/>
          <w:szCs w:val="21"/>
          <w:lang w:val="zh-CN"/>
        </w:rPr>
      </w:r>
      <w:r/>
    </w:p>
    <w:p>
      <w:pPr>
        <w:pStyle w:val="75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rPr>
          <w:rFonts w:hint="eastAsia" w:ascii="宋体" w:hAnsi="宋体" w:cs="宋体"/>
          <w:szCs w:val="21"/>
          <w:lang w:val="zh-CN"/>
        </w:rPr>
      </w:r>
      <w:r/>
    </w:p>
    <w:p>
      <w:pPr>
        <w:pStyle w:val="75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rPr>
          <w:rFonts w:hint="eastAsia" w:ascii="宋体" w:hAnsi="宋体" w:cs="宋体"/>
          <w:szCs w:val="21"/>
          <w:lang w:val="zh-CN"/>
        </w:rPr>
      </w:r>
      <w:r/>
    </w:p>
    <w:p>
      <w:pPr>
        <w:pStyle w:val="75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rPr>
          <w:rFonts w:hint="eastAsia" w:ascii="宋体" w:hAnsi="宋体" w:cs="宋体"/>
          <w:szCs w:val="21"/>
          <w:lang w:val="zh-CN"/>
        </w:rPr>
      </w:r>
      <w:r/>
    </w:p>
    <w:p>
      <w:pPr>
        <w:pStyle w:val="75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rPr>
          <w:rFonts w:hint="eastAsia" w:ascii="宋体" w:hAnsi="宋体" w:cs="宋体"/>
          <w:szCs w:val="21"/>
          <w:lang w:val="zh-CN"/>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rPr>
          <w:rFonts w:hint="eastAsia" w:ascii="宋体" w:hAnsi="宋体" w:cs="宋体"/>
          <w:b/>
          <w:bCs/>
          <w:szCs w:val="21"/>
        </w:rPr>
      </w:r>
      <w:r/>
    </w:p>
    <w:p>
      <w:pPr>
        <w:pStyle w:val="756"/>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rPr>
          <w:rFonts w:hint="eastAsia" w:ascii="宋体" w:hAnsi="宋体" w:cs="宋体"/>
          <w:szCs w:val="21"/>
        </w:rPr>
      </w:r>
      <w:r/>
    </w:p>
    <w:p>
      <w:pPr>
        <w:pStyle w:val="756"/>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rPr>
          <w:rFonts w:ascii="Arial" w:hAnsi="Arial"/>
          <w:color w:val="000000"/>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rPr>
          <w:rFonts w:hint="eastAsia" w:ascii="宋体" w:hAnsi="宋体" w:cs="宋体"/>
          <w:b/>
          <w:bCs/>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rPr>
          <w:rFonts w:hint="eastAsia" w:ascii="宋体" w:hAnsi="宋体" w:cs="宋体"/>
          <w:b/>
          <w:bCs/>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w:t>
      </w:r>
      <w:r>
        <w:rPr>
          <w:rFonts w:hint="eastAsia" w:ascii="宋体" w:hAnsi="宋体" w:cs="宋体"/>
          <w:b/>
          <w:szCs w:val="21"/>
        </w:rPr>
        <w:t xml:space="preserve">本次招标，中标人根据中标额参照《招标代理服务费管理暂行办法》（国家发展计划委员会计价格【2002】1980号）代理服务招标收费基准费率80%计</w:t>
      </w:r>
      <w:r>
        <w:rPr>
          <w:rFonts w:hint="eastAsia" w:ascii="宋体" w:hAnsi="宋体" w:cs="宋体"/>
          <w:b/>
          <w:szCs w:val="21"/>
          <w:lang w:val="en-US" w:eastAsia="zh-CN"/>
        </w:rPr>
        <w:t xml:space="preserve">取</w:t>
      </w:r>
      <w:r>
        <w:rPr>
          <w:rFonts w:hint="eastAsia" w:ascii="宋体" w:hAnsi="宋体" w:cs="宋体"/>
          <w:b/>
          <w:szCs w:val="21"/>
        </w:rPr>
        <w:t xml:space="preserve">，</w:t>
      </w:r>
      <w:r>
        <w:rPr>
          <w:rFonts w:hint="eastAsia" w:ascii="宋体" w:hAnsi="宋体" w:cs="宋体"/>
          <w:b/>
          <w:szCs w:val="21"/>
          <w:lang w:val="en-US" w:eastAsia="zh-CN"/>
        </w:rPr>
        <w:t xml:space="preserve">评委费按实计取，</w:t>
      </w:r>
      <w:r>
        <w:rPr>
          <w:rFonts w:hint="eastAsia" w:ascii="宋体" w:hAnsi="宋体" w:cs="宋体"/>
          <w:b/>
          <w:szCs w:val="21"/>
        </w:rPr>
        <w:t xml:space="preserve">在领取中标通知书前向采购代理机构支付招标服务费</w:t>
      </w:r>
      <w:r>
        <w:rPr>
          <w:rFonts w:hint="eastAsia" w:ascii="宋体" w:hAnsi="宋体" w:cs="宋体"/>
          <w:b/>
          <w:szCs w:val="21"/>
          <w:lang w:val="en-US" w:eastAsia="zh-CN"/>
        </w:rPr>
        <w:t xml:space="preserve">以及评委费</w:t>
      </w:r>
      <w:r>
        <w:rPr>
          <w:rFonts w:hint="eastAsia" w:ascii="宋体" w:hAnsi="宋体" w:cs="宋体"/>
          <w:b/>
          <w:szCs w:val="21"/>
        </w:rPr>
        <w:t xml:space="preserve">。本项费用无需在投标报价表中单列</w:t>
      </w:r>
      <w:r>
        <w:rPr>
          <w:rFonts w:hint="eastAsia" w:ascii="宋体" w:hAnsi="宋体" w:cs="宋体"/>
          <w:bCs/>
          <w:szCs w:val="21"/>
        </w:rPr>
        <w:t xml:space="preserve">。</w:t>
      </w:r>
      <w:r>
        <w:rPr>
          <w:rFonts w:hint="eastAsia" w:ascii="宋体" w:hAnsi="宋体" w:cs="宋体"/>
          <w:bCs/>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16.3开标公证费：无。</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outlineLvl w:val="1"/>
      </w:pPr>
      <w:r/>
      <w:bookmarkStart w:id="18" w:name="_Toc2984"/>
      <w:r>
        <w:rPr>
          <w:rFonts w:hint="eastAsia" w:ascii="宋体" w:hAnsi="宋体" w:cs="宋体"/>
          <w:b/>
          <w:bCs/>
          <w:szCs w:val="21"/>
        </w:rPr>
        <w:t xml:space="preserve">四、投标文件的递交</w:t>
      </w:r>
      <w:bookmarkEnd w:id="18"/>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rPr>
          <w:rFonts w:hint="eastAsia" w:ascii="宋体" w:hAnsi="宋体" w:cs="宋体"/>
          <w:b/>
          <w:bCs/>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rPr>
          <w:rFonts w:hint="eastAsia" w:ascii="宋体" w:hAnsi="宋体" w:cs="宋体"/>
          <w:b/>
          <w:bCs/>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outlineLvl w:val="1"/>
      </w:pPr>
      <w:r/>
      <w:bookmarkStart w:id="19" w:name="_Toc26611"/>
      <w:r>
        <w:rPr>
          <w:rFonts w:hint="eastAsia" w:ascii="宋体" w:hAnsi="宋体" w:cs="宋体"/>
          <w:b/>
          <w:bCs/>
          <w:szCs w:val="21"/>
        </w:rPr>
        <w:t xml:space="preserve">五、开标、评标与定标</w:t>
      </w:r>
      <w:bookmarkEnd w:id="19"/>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rPr>
          <w:rFonts w:hint="eastAsia" w:ascii="宋体" w:hAnsi="宋体" w:cs="宋体"/>
          <w:szCs w:val="21"/>
        </w:rPr>
      </w:r>
      <w:r/>
    </w:p>
    <w:p>
      <w:pPr>
        <w:pStyle w:val="756"/>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21.3投标人不足3家的，不得开标。</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rPr>
          <w:rFonts w:hint="eastAsia" w:ascii="宋体" w:hAnsi="宋体" w:cs="宋体"/>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rPr>
          <w:rFonts w:hint="eastAsia" w:ascii="宋体" w:hAnsi="宋体" w:cs="宋体"/>
          <w:bCs/>
          <w:szCs w:val="21"/>
        </w:rPr>
      </w:r>
      <w:r/>
    </w:p>
    <w:p>
      <w:pPr>
        <w:pStyle w:val="75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rPr>
          <w:rFonts w:hint="eastAsia" w:ascii="宋体" w:hAnsi="宋体" w:cs="宋体"/>
          <w:bCs/>
          <w:szCs w:val="21"/>
        </w:rPr>
      </w:r>
      <w:r/>
    </w:p>
    <w:p>
      <w:pPr>
        <w:pStyle w:val="75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rPr>
          <w:rFonts w:hint="eastAsia" w:ascii="宋体" w:hAnsi="宋体" w:cs="宋体"/>
          <w:bCs/>
          <w:szCs w:val="21"/>
        </w:rPr>
      </w:r>
      <w:r/>
    </w:p>
    <w:p>
      <w:pPr>
        <w:pStyle w:val="75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rPr>
          <w:rFonts w:hint="eastAsia" w:ascii="宋体" w:hAnsi="宋体" w:cs="宋体"/>
          <w:bCs/>
          <w:szCs w:val="21"/>
        </w:rPr>
      </w:r>
      <w:r/>
    </w:p>
    <w:p>
      <w:pPr>
        <w:pStyle w:val="756"/>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rPr>
          <w:rFonts w:hint="eastAsia" w:ascii="宋体" w:hAnsi="宋体" w:cs="宋体"/>
          <w:bCs/>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rPr>
          <w:rFonts w:hint="eastAsia" w:ascii="宋体" w:hAnsi="宋体" w:cs="宋体"/>
          <w:b/>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投标人上传电子投标文件的时间迟于招标公告中规定的投标截止时间。</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投标人在苏采云系统规定的时间内未成功解密电子投标文件的。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投标人未按照招标文件要求上传电子投标文件的。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同一投标人提交两个（含两个）以上不同的投标报价的。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投标人不具备招标文件中规定资格要求的。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投标人的报价超过了采购预算或最高限价的。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未通过资格性审查及符合性审查的。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不符合招标文件中规定的实质性要求和条件的。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不同投标人的电子投标文件出自同一台电脑；</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投标人存在串通投标情形的；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 投标文件含有采购人不能接受的附加条件的。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投标文件未按照招标文件要求加盖CA电子公章的。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加“</w:t>
      </w:r>
      <w:r>
        <w:rPr>
          <w:rFonts w:hint="eastAsia" w:ascii="宋体" w:hAnsi="宋体" w:cs="宋体"/>
          <w:b/>
          <w:bCs/>
        </w:rPr>
        <w:t xml:space="preserve">*</w:t>
      </w:r>
      <w:r>
        <w:rPr>
          <w:rFonts w:ascii="宋体" w:hAnsi="宋体" w:cs="宋体"/>
          <w:b/>
          <w:szCs w:val="21"/>
        </w:rPr>
        <w:t xml:space="preserve">”参数响应有负偏离的；</w:t>
      </w:r>
      <w:r>
        <w:rPr>
          <w:rFonts w:hint="eastAsia" w:ascii="宋体" w:hAnsi="宋体" w:cs="宋体"/>
          <w:b/>
          <w:szCs w:val="21"/>
        </w:rPr>
      </w:r>
      <w:r/>
    </w:p>
    <w:p>
      <w:pPr>
        <w:pStyle w:val="756"/>
        <w:numPr>
          <w:ilvl w:val="0"/>
          <w:numId w:val="5"/>
        </w:numPr>
        <w:ind w:left="0" w:firstLine="422"/>
        <w:spacing w:line="360" w:lineRule="auto"/>
        <w:shd w:val="clear" w:color="auto" w:fill="ffffff"/>
        <w:widowControl/>
        <w:rPr>
          <w:rFonts w:hint="eastAsia" w:ascii="宋体" w:hAnsi="宋体" w:cs="宋体"/>
          <w:b/>
          <w:szCs w:val="21"/>
        </w:rPr>
      </w:pPr>
      <w:r>
        <w:rPr>
          <w:rFonts w:ascii="宋体" w:hAnsi="宋体" w:cs="宋体"/>
          <w:b/>
          <w:szCs w:val="21"/>
        </w:rPr>
        <w:t xml:space="preserve">不符合法律、法规和招标文件规定的其它实质性条款（须经评标委员会半数以上同意）。</w:t>
      </w:r>
      <w:r>
        <w:rPr>
          <w:rFonts w:hint="eastAsia" w:ascii="宋体" w:hAnsi="宋体" w:cs="宋体"/>
          <w:b/>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rPr>
          <w:rFonts w:hint="eastAsia" w:ascii="宋体" w:hAnsi="宋体" w:cs="宋体"/>
          <w:b/>
          <w:bCs/>
          <w:szCs w:val="21"/>
        </w:rPr>
      </w:r>
      <w:r/>
    </w:p>
    <w:p>
      <w:pPr>
        <w:pStyle w:val="756"/>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rPr>
          <w:rFonts w:hint="eastAsia" w:ascii="宋体" w:hAnsi="宋体" w:cs="宋体"/>
          <w:b/>
          <w:bCs/>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rPr>
          <w:rFonts w:hint="eastAsia" w:ascii="宋体" w:hAnsi="宋体" w:cs="宋体"/>
          <w:b/>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rPr>
          <w:rFonts w:hint="eastAsia" w:ascii="宋体" w:hAnsi="宋体" w:cs="宋体"/>
          <w:b/>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rPr>
          <w:rFonts w:hint="eastAsia" w:ascii="宋体" w:hAnsi="宋体" w:cs="宋体"/>
          <w:b/>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rPr>
          <w:rFonts w:hint="eastAsia" w:ascii="宋体" w:hAnsi="宋体" w:cs="宋体"/>
          <w:szCs w:val="21"/>
        </w:rPr>
      </w:r>
      <w:r/>
    </w:p>
    <w:p>
      <w:pPr>
        <w:pStyle w:val="756"/>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outlineLvl w:val="1"/>
      </w:pPr>
      <w:r/>
      <w:bookmarkStart w:id="20" w:name="_Toc1425"/>
      <w:r>
        <w:rPr>
          <w:rFonts w:hint="eastAsia" w:ascii="宋体" w:hAnsi="宋体" w:cs="宋体"/>
          <w:b/>
          <w:bCs/>
          <w:szCs w:val="21"/>
        </w:rPr>
        <w:t xml:space="preserve">六、签订合同</w:t>
      </w:r>
      <w:bookmarkEnd w:id="20"/>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宋体"/>
          <w:b/>
          <w:bCs/>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outlineLvl w:val="1"/>
      </w:pPr>
      <w:r/>
      <w:bookmarkStart w:id="21" w:name="_Toc745"/>
      <w:r>
        <w:rPr>
          <w:rFonts w:hint="eastAsia" w:ascii="宋体" w:hAnsi="宋体" w:cs="宋体"/>
          <w:b/>
          <w:bCs/>
          <w:szCs w:val="21"/>
        </w:rPr>
        <w:t xml:space="preserve">七、质疑和投诉</w:t>
      </w:r>
      <w:bookmarkEnd w:id="21"/>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rPr>
          <w:rFonts w:hint="eastAsia" w:ascii="宋体" w:hAnsi="宋体" w:cs="宋体"/>
          <w:b/>
          <w:bCs/>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rPr>
          <w:rFonts w:hint="eastAsia" w:ascii="宋体" w:hAnsi="宋体" w:cs="宋体"/>
          <w:szCs w:val="21"/>
        </w:rPr>
      </w:r>
      <w:r/>
    </w:p>
    <w:p>
      <w:pPr>
        <w:pStyle w:val="75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任何单位和个人对代理机构在招标采购活动中的违法行为，有权控告和检举，联系电话：025-86636139（采购代理机构质量管理部门）、025-86636853（采购代理机构纪检监察部门）。</w:t>
      </w:r>
      <w:r>
        <w:rPr>
          <w:rFonts w:hint="eastAsia" w:ascii="宋体" w:hAnsi="宋体" w:cs="宋体"/>
          <w:szCs w:val="21"/>
        </w:rPr>
      </w:r>
      <w:r/>
    </w:p>
    <w:p>
      <w:pPr>
        <w:pStyle w:val="756"/>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rPr>
          <w:rFonts w:hint="eastAsia" w:ascii="宋体" w:hAnsi="宋体" w:cs="宋体"/>
          <w:szCs w:val="21"/>
        </w:rPr>
      </w:r>
      <w:r/>
    </w:p>
    <w:p>
      <w:pPr>
        <w:pStyle w:val="756"/>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rPr>
      </w:r>
      <w:r/>
    </w:p>
    <w:p>
      <w:pPr>
        <w:pStyle w:val="756"/>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rPr>
          <w:rFonts w:hint="eastAsia" w:ascii="宋体" w:hAnsi="宋体" w:cs="宋体"/>
        </w:rPr>
      </w:r>
      <w:r/>
    </w:p>
    <w:p>
      <w:pPr>
        <w:pStyle w:val="756"/>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rPr>
      </w:r>
      <w:r/>
    </w:p>
    <w:p>
      <w:pPr>
        <w:pStyle w:val="756"/>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rPr>
          <w:rFonts w:hint="eastAsia" w:ascii="宋体" w:hAnsi="宋体" w:cs="宋体"/>
          <w:szCs w:val="21"/>
        </w:rPr>
      </w:r>
      <w:r/>
    </w:p>
    <w:p>
      <w:pPr>
        <w:pStyle w:val="756"/>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rPr>
          <w:rFonts w:hint="eastAsia" w:ascii="宋体" w:hAnsi="宋体" w:cs="宋体"/>
        </w:rPr>
      </w:r>
      <w:r/>
    </w:p>
    <w:p>
      <w:pPr>
        <w:pStyle w:val="756"/>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rPr>
          <w:rFonts w:hint="eastAsia" w:ascii="宋体" w:hAnsi="宋体" w:cs="宋体"/>
        </w:rPr>
      </w:r>
      <w:r/>
    </w:p>
    <w:p>
      <w:pPr>
        <w:pStyle w:val="756"/>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rPr>
          <w:rFonts w:hint="eastAsia" w:ascii="宋体" w:hAnsi="宋体" w:cs="宋体"/>
        </w:rPr>
      </w:r>
      <w:r/>
    </w:p>
    <w:p>
      <w:pPr>
        <w:pStyle w:val="756"/>
        <w:rPr>
          <w:rFonts w:hint="eastAsia" w:ascii="宋体" w:hAnsi="宋体" w:cs="宋体"/>
        </w:rPr>
      </w:pPr>
      <w:r/>
      <w:bookmarkStart w:id="22" w:name="_Toc481057145"/>
      <w:r>
        <w:rPr>
          <w:rFonts w:hint="eastAsia" w:ascii="宋体" w:hAnsi="宋体" w:cs="宋体"/>
        </w:rPr>
        <w:br w:type="page" w:clear="all"/>
      </w:r>
      <w:r>
        <w:rPr>
          <w:rFonts w:hint="eastAsia" w:ascii="宋体" w:hAnsi="宋体" w:cs="宋体"/>
        </w:rPr>
      </w:r>
      <w:r/>
    </w:p>
    <w:p>
      <w:pPr>
        <w:pStyle w:val="757"/>
        <w:spacing w:line="360" w:lineRule="auto"/>
        <w:rPr>
          <w:rFonts w:hint="eastAsia" w:ascii="宋体" w:hAnsi="宋体" w:cs="宋体"/>
        </w:rPr>
      </w:pPr>
      <w:r>
        <w:rPr>
          <w:rFonts w:hint="eastAsia" w:ascii="宋体" w:hAnsi="宋体" w:cs="宋体"/>
        </w:rPr>
        <w:t xml:space="preserve"> </w:t>
      </w:r>
      <w:bookmarkStart w:id="23" w:name="_Toc18829"/>
      <w:r/>
      <w:bookmarkStart w:id="24" w:name="_Toc32573"/>
      <w:r>
        <w:rPr>
          <w:rFonts w:hint="eastAsia" w:ascii="宋体" w:hAnsi="宋体" w:cs="宋体"/>
        </w:rPr>
        <w:t xml:space="preserve">评标标准</w:t>
      </w:r>
      <w:bookmarkEnd w:id="22"/>
      <w:r/>
      <w:bookmarkEnd w:id="23"/>
      <w:r/>
      <w:bookmarkEnd w:id="24"/>
      <w:r>
        <w:rPr>
          <w:rFonts w:hint="eastAsia" w:ascii="宋体" w:hAnsi="宋体" w:cs="宋体"/>
        </w:rPr>
      </w:r>
      <w:r/>
    </w:p>
    <w:p>
      <w:pPr>
        <w:pStyle w:val="756"/>
        <w:ind w:firstLine="482"/>
        <w:spacing w:line="360" w:lineRule="auto"/>
        <w:rPr>
          <w:b/>
          <w:bCs/>
          <w:sz w:val="24"/>
        </w:rPr>
        <w:outlineLvl w:val="1"/>
      </w:pPr>
      <w:r/>
      <w:bookmarkStart w:id="25" w:name="_Toc2139"/>
      <w:r>
        <w:rPr>
          <w:rFonts w:hint="eastAsia"/>
          <w:b/>
          <w:bCs/>
          <w:sz w:val="24"/>
        </w:rPr>
        <w:t xml:space="preserve">1</w:t>
      </w:r>
      <w:r>
        <w:rPr>
          <w:b/>
          <w:bCs/>
          <w:sz w:val="24"/>
        </w:rPr>
        <w:t xml:space="preserve">.资格审查</w:t>
      </w:r>
      <w:bookmarkEnd w:id="25"/>
      <w:r>
        <w:rPr>
          <w:b/>
          <w:bCs/>
          <w:sz w:val="24"/>
        </w:rPr>
      </w:r>
      <w:r/>
    </w:p>
    <w:p>
      <w:pPr>
        <w:pStyle w:val="756"/>
        <w:ind w:firstLine="420"/>
        <w:jc w:val="left"/>
        <w:spacing w:line="360" w:lineRule="auto"/>
        <w:widowControl/>
        <w:rPr>
          <w:b/>
          <w:szCs w:val="21"/>
        </w:rPr>
      </w:pPr>
      <w:r>
        <w:rPr>
          <w:szCs w:val="21"/>
        </w:rPr>
        <w:t xml:space="preserve">开标结束后，采购人或代理机构将依法对投标人的资格进行审查。资格审查的内容如下：</w:t>
      </w:r>
      <w:r>
        <w:rPr>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4203"/>
        <w:gridCol w:w="4261"/>
      </w:tblGrid>
      <w:tr>
        <w:trPr/>
        <w:tc>
          <w:tcPr>
            <w:tcW w:w="443" w:type="dxa"/>
            <w:vAlign w:val="center"/>
            <w:textDirection w:val="lrTb"/>
            <w:noWrap w:val="false"/>
          </w:tcPr>
          <w:p>
            <w:pPr>
              <w:pStyle w:val="756"/>
              <w:jc w:val="center"/>
              <w:spacing w:line="360" w:lineRule="auto"/>
              <w:rPr>
                <w:bCs/>
                <w:szCs w:val="21"/>
              </w:rPr>
            </w:pPr>
            <w:r>
              <w:rPr>
                <w:bCs/>
                <w:szCs w:val="21"/>
              </w:rPr>
              <w:t xml:space="preserve">序号</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审查要素</w:t>
            </w:r>
            <w:r>
              <w:rPr>
                <w:bCs/>
                <w:szCs w:val="21"/>
              </w:rPr>
            </w:r>
            <w:r/>
          </w:p>
        </w:tc>
        <w:tc>
          <w:tcPr>
            <w:tcW w:w="2294" w:type="dxa"/>
            <w:vAlign w:val="top"/>
            <w:textDirection w:val="lrTb"/>
            <w:noWrap w:val="false"/>
          </w:tcPr>
          <w:p>
            <w:pPr>
              <w:pStyle w:val="756"/>
              <w:jc w:val="center"/>
              <w:spacing w:line="360" w:lineRule="auto"/>
              <w:rPr>
                <w:bCs/>
                <w:szCs w:val="21"/>
              </w:rPr>
            </w:pPr>
            <w:r>
              <w:rPr>
                <w:bCs/>
                <w:szCs w:val="21"/>
              </w:rPr>
              <w:t xml:space="preserve">审查内容</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1</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具有独立承担民事责任的能力</w:t>
            </w:r>
            <w:r>
              <w:rPr>
                <w:bCs/>
                <w:szCs w:val="21"/>
              </w:rPr>
            </w:r>
            <w:r/>
          </w:p>
        </w:tc>
        <w:tc>
          <w:tcPr>
            <w:tcW w:w="2294" w:type="dxa"/>
            <w:vAlign w:val="top"/>
            <w:textDirection w:val="lrTb"/>
            <w:noWrap w:val="false"/>
          </w:tcPr>
          <w:p>
            <w:pPr>
              <w:pStyle w:val="756"/>
              <w:jc w:val="center"/>
              <w:spacing w:line="360" w:lineRule="auto"/>
              <w:rPr>
                <w:bCs/>
                <w:szCs w:val="21"/>
              </w:rPr>
            </w:pPr>
            <w:r>
              <w:rPr>
                <w:bCs/>
                <w:szCs w:val="21"/>
              </w:rPr>
              <w:t xml:space="preserve">法人或者其他组织的营业执照等证明文件；</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2</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具有良好的商业信誉和健全的财务会计制度</w:t>
            </w:r>
            <w:r>
              <w:rPr>
                <w:bCs/>
                <w:szCs w:val="21"/>
              </w:rPr>
            </w:r>
            <w:r/>
          </w:p>
        </w:tc>
        <w:tc>
          <w:tcPr>
            <w:tcW w:w="2294" w:type="dxa"/>
            <w:vAlign w:val="center"/>
            <w:textDirection w:val="lrTb"/>
            <w:noWrap w:val="false"/>
          </w:tcPr>
          <w:p>
            <w:pPr>
              <w:pStyle w:val="756"/>
              <w:jc w:val="center"/>
              <w:spacing w:line="360" w:lineRule="auto"/>
              <w:rPr>
                <w:bCs/>
                <w:szCs w:val="21"/>
              </w:rPr>
            </w:pPr>
            <w:r>
              <w:rPr>
                <w:bCs/>
                <w:szCs w:val="21"/>
              </w:rPr>
              <w:t xml:space="preserve">2023年度财务报告（成立不满一年的提供至少一个月），或银行出具的资信证明或</w:t>
            </w:r>
            <w:r>
              <w:rPr>
                <w:rFonts w:hint="eastAsia" w:ascii="宋体" w:hAnsi="宋体" w:cs="宋体"/>
                <w:bCs/>
                <w:szCs w:val="21"/>
              </w:rPr>
              <w:t xml:space="preserve">《南京市政府采购供应商信用记录表暨信用承诺书》</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3</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具有履行合同所必需的设备和专业技术能力</w:t>
            </w:r>
            <w:r>
              <w:rPr>
                <w:bCs/>
                <w:szCs w:val="21"/>
              </w:rPr>
            </w:r>
            <w:r/>
          </w:p>
        </w:tc>
        <w:tc>
          <w:tcPr>
            <w:tcW w:w="2294" w:type="dxa"/>
            <w:vAlign w:val="center"/>
            <w:textDirection w:val="lrTb"/>
            <w:noWrap w:val="false"/>
          </w:tcPr>
          <w:p>
            <w:pPr>
              <w:pStyle w:val="756"/>
              <w:jc w:val="center"/>
              <w:spacing w:line="360" w:lineRule="auto"/>
              <w:rPr>
                <w:bCs/>
                <w:szCs w:val="21"/>
              </w:rPr>
            </w:pPr>
            <w:r>
              <w:rPr>
                <w:bCs/>
                <w:szCs w:val="21"/>
              </w:rPr>
              <w:t xml:space="preserve">提供具备履行合同所必需的设备和专业技术能力的书面声明或</w:t>
            </w:r>
            <w:r>
              <w:rPr>
                <w:rFonts w:hint="eastAsia" w:ascii="宋体" w:hAnsi="宋体" w:cs="宋体"/>
                <w:bCs/>
                <w:szCs w:val="21"/>
              </w:rPr>
              <w:t xml:space="preserve">《南京市政府采购供应商信用记录表暨信用承诺书》</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4</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有依法缴纳税收和社会保障资金的良好记录</w:t>
            </w:r>
            <w:r>
              <w:rPr>
                <w:bCs/>
                <w:szCs w:val="21"/>
              </w:rPr>
            </w:r>
            <w:r/>
          </w:p>
        </w:tc>
        <w:tc>
          <w:tcPr>
            <w:tcW w:w="2294" w:type="dxa"/>
            <w:vAlign w:val="center"/>
            <w:textDirection w:val="lrTb"/>
            <w:noWrap w:val="false"/>
          </w:tcPr>
          <w:p>
            <w:pPr>
              <w:pStyle w:val="756"/>
              <w:jc w:val="center"/>
              <w:spacing w:line="360" w:lineRule="auto"/>
              <w:rPr>
                <w:bCs/>
                <w:szCs w:val="21"/>
              </w:rPr>
            </w:pPr>
            <w:r>
              <w:rPr>
                <w:bCs/>
                <w:szCs w:val="21"/>
              </w:rPr>
              <w:t xml:space="preserve">参加本次政府采购活动前半年内（至少一个月）依法缴纳税收和社会保险资金的相关材料或</w:t>
            </w:r>
            <w:r>
              <w:rPr>
                <w:rFonts w:hint="eastAsia" w:ascii="宋体" w:hAnsi="宋体" w:cs="宋体"/>
                <w:bCs/>
                <w:szCs w:val="21"/>
              </w:rPr>
              <w:t xml:space="preserve">《南京市政府采购供应商信用记录表暨信用承诺书》</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5</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参加政府采购活动前三年内，在经营活动中没有重大违法记录</w:t>
            </w:r>
            <w:r>
              <w:rPr>
                <w:bCs/>
                <w:szCs w:val="21"/>
              </w:rPr>
            </w:r>
            <w:r/>
          </w:p>
        </w:tc>
        <w:tc>
          <w:tcPr>
            <w:tcW w:w="2294" w:type="dxa"/>
            <w:vAlign w:val="center"/>
            <w:textDirection w:val="lrTb"/>
            <w:noWrap w:val="false"/>
          </w:tcPr>
          <w:p>
            <w:pPr>
              <w:pStyle w:val="756"/>
              <w:jc w:val="center"/>
              <w:spacing w:line="360" w:lineRule="auto"/>
              <w:rPr>
                <w:bCs/>
                <w:szCs w:val="21"/>
              </w:rPr>
            </w:pPr>
            <w:r>
              <w:rPr>
                <w:bCs/>
                <w:szCs w:val="21"/>
              </w:rPr>
              <w:t xml:space="preserve">（1）</w:t>
            </w:r>
            <w:r>
              <w:rPr>
                <w:rFonts w:hint="eastAsia"/>
                <w:bCs/>
                <w:szCs w:val="21"/>
              </w:rPr>
              <w:t xml:space="preserve">书面声明</w:t>
            </w:r>
            <w:r>
              <w:rPr>
                <w:bCs/>
                <w:szCs w:val="21"/>
              </w:rPr>
              <w:t xml:space="preserve">或</w:t>
            </w:r>
            <w:r>
              <w:rPr>
                <w:rFonts w:hint="eastAsia" w:ascii="宋体" w:hAnsi="宋体" w:cs="宋体"/>
                <w:bCs/>
                <w:szCs w:val="21"/>
              </w:rPr>
              <w:t xml:space="preserve">《南京市政府采购供应商信用记录表暨信用承诺书》</w:t>
            </w:r>
            <w:r>
              <w:rPr>
                <w:bCs/>
                <w:szCs w:val="21"/>
              </w:rPr>
            </w:r>
            <w:r/>
          </w:p>
          <w:p>
            <w:pPr>
              <w:pStyle w:val="756"/>
              <w:jc w:val="center"/>
              <w:spacing w:line="360" w:lineRule="auto"/>
              <w:rPr>
                <w:bCs/>
                <w:szCs w:val="21"/>
              </w:rPr>
            </w:pPr>
            <w:r>
              <w:rPr>
                <w:bCs/>
                <w:szCs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6</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法律、行政法规规定的其他条件</w:t>
            </w:r>
            <w:r>
              <w:rPr>
                <w:bCs/>
                <w:szCs w:val="21"/>
              </w:rPr>
            </w:r>
            <w:r/>
          </w:p>
        </w:tc>
        <w:tc>
          <w:tcPr>
            <w:tcW w:w="2294" w:type="dxa"/>
            <w:vAlign w:val="center"/>
            <w:textDirection w:val="lrTb"/>
            <w:noWrap w:val="false"/>
          </w:tcPr>
          <w:p>
            <w:pPr>
              <w:pStyle w:val="756"/>
              <w:jc w:val="center"/>
              <w:spacing w:line="360" w:lineRule="auto"/>
              <w:rPr>
                <w:bCs/>
                <w:szCs w:val="21"/>
              </w:rPr>
            </w:pPr>
            <w:r>
              <w:rPr>
                <w:bCs/>
                <w:szCs w:val="21"/>
              </w:rPr>
              <w:t xml:space="preserve">无</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7</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落实政府采购政策需满足的资格要求</w:t>
            </w:r>
            <w:r>
              <w:rPr>
                <w:bCs/>
                <w:szCs w:val="21"/>
              </w:rPr>
            </w:r>
            <w:r/>
          </w:p>
        </w:tc>
        <w:tc>
          <w:tcPr>
            <w:tcW w:w="2294" w:type="dxa"/>
            <w:vAlign w:val="center"/>
            <w:textDirection w:val="lrTb"/>
            <w:noWrap w:val="false"/>
          </w:tcPr>
          <w:p>
            <w:pPr>
              <w:pStyle w:val="756"/>
              <w:jc w:val="center"/>
              <w:spacing w:line="360" w:lineRule="auto"/>
              <w:rPr>
                <w:bCs/>
                <w:szCs w:val="21"/>
              </w:rPr>
            </w:pPr>
            <w:r>
              <w:rPr>
                <w:rFonts w:hint="eastAsia"/>
                <w:bCs/>
                <w:szCs w:val="21"/>
              </w:rPr>
              <w:t xml:space="preserve">无</w:t>
            </w:r>
            <w:r>
              <w:rPr>
                <w:bCs/>
                <w:szCs w:val="21"/>
              </w:rPr>
            </w:r>
            <w:r/>
          </w:p>
        </w:tc>
      </w:tr>
      <w:tr>
        <w:trPr/>
        <w:tc>
          <w:tcPr>
            <w:tcW w:w="443" w:type="dxa"/>
            <w:vAlign w:val="center"/>
            <w:textDirection w:val="lrTb"/>
            <w:noWrap w:val="false"/>
          </w:tcPr>
          <w:p>
            <w:pPr>
              <w:pStyle w:val="756"/>
              <w:jc w:val="center"/>
              <w:spacing w:line="360" w:lineRule="auto"/>
              <w:rPr>
                <w:bCs/>
                <w:szCs w:val="21"/>
              </w:rPr>
            </w:pPr>
            <w:r>
              <w:rPr>
                <w:bCs/>
                <w:szCs w:val="21"/>
              </w:rPr>
              <w:t xml:space="preserve">8</w:t>
            </w:r>
            <w:r>
              <w:rPr>
                <w:bCs/>
                <w:szCs w:val="21"/>
              </w:rPr>
            </w:r>
            <w:r/>
          </w:p>
        </w:tc>
        <w:tc>
          <w:tcPr>
            <w:tcW w:w="2263" w:type="dxa"/>
            <w:vAlign w:val="center"/>
            <w:textDirection w:val="lrTb"/>
            <w:noWrap w:val="false"/>
          </w:tcPr>
          <w:p>
            <w:pPr>
              <w:pStyle w:val="756"/>
              <w:jc w:val="center"/>
              <w:spacing w:line="360" w:lineRule="auto"/>
              <w:rPr>
                <w:bCs/>
                <w:szCs w:val="21"/>
              </w:rPr>
            </w:pPr>
            <w:r>
              <w:rPr>
                <w:bCs/>
                <w:szCs w:val="21"/>
              </w:rPr>
              <w:t xml:space="preserve">本项目的特定资格要求</w:t>
            </w:r>
            <w:r>
              <w:rPr>
                <w:bCs/>
                <w:szCs w:val="21"/>
              </w:rPr>
            </w:r>
            <w:r/>
          </w:p>
        </w:tc>
        <w:tc>
          <w:tcPr>
            <w:tcW w:w="2294" w:type="dxa"/>
            <w:vAlign w:val="center"/>
            <w:textDirection w:val="lrTb"/>
            <w:noWrap w:val="false"/>
          </w:tcPr>
          <w:p>
            <w:pPr>
              <w:pStyle w:val="756"/>
              <w:jc w:val="center"/>
              <w:spacing w:line="360" w:lineRule="auto"/>
              <w:rPr>
                <w:bCs/>
                <w:szCs w:val="21"/>
              </w:rPr>
            </w:pPr>
            <w:r>
              <w:rPr>
                <w:rFonts w:hint="eastAsia"/>
                <w:bCs/>
                <w:szCs w:val="21"/>
              </w:rPr>
              <w:t xml:space="preserve">无</w:t>
            </w:r>
            <w:r>
              <w:rPr>
                <w:bCs/>
                <w:szCs w:val="21"/>
              </w:rPr>
            </w:r>
            <w:r/>
          </w:p>
        </w:tc>
      </w:tr>
    </w:tbl>
    <w:p>
      <w:pPr>
        <w:pStyle w:val="756"/>
        <w:ind w:firstLine="482"/>
        <w:spacing w:line="360" w:lineRule="auto"/>
        <w:rPr>
          <w:b/>
          <w:bCs/>
          <w:sz w:val="24"/>
        </w:rPr>
        <w:outlineLvl w:val="1"/>
      </w:pPr>
      <w:r/>
      <w:bookmarkStart w:id="26" w:name="_Toc8486"/>
      <w:r>
        <w:rPr>
          <w:rFonts w:hint="eastAsia"/>
          <w:b/>
          <w:bCs/>
          <w:sz w:val="24"/>
        </w:rPr>
        <w:t xml:space="preserve">2</w:t>
      </w:r>
      <w:r>
        <w:rPr>
          <w:b/>
          <w:bCs/>
          <w:sz w:val="24"/>
        </w:rPr>
        <w:t xml:space="preserve">.符合性审查</w:t>
      </w:r>
      <w:bookmarkEnd w:id="26"/>
      <w:r>
        <w:rPr>
          <w:b/>
          <w:bCs/>
          <w:sz w:val="24"/>
        </w:rPr>
      </w:r>
      <w:r/>
    </w:p>
    <w:p>
      <w:pPr>
        <w:pStyle w:val="756"/>
        <w:ind w:firstLine="420"/>
        <w:spacing w:line="360" w:lineRule="auto"/>
        <w:rPr>
          <w:szCs w:val="21"/>
        </w:rPr>
      </w:pPr>
      <w:r>
        <w:rPr>
          <w:rFonts w:hint="eastAsia"/>
          <w:szCs w:val="21"/>
        </w:rPr>
        <w:t xml:space="preserve">2</w:t>
      </w:r>
      <w:r>
        <w:rPr>
          <w:szCs w:val="21"/>
        </w:rPr>
        <w:t xml:space="preserve">.1 评标委员会将对符合资格的投标人的投标文件进行符合性审查，审查内容主要是投标文件的有效性和对招标文件的响应程度，以确定是否满足招标文件的实质性要求。</w:t>
      </w:r>
      <w:r>
        <w:rPr>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3681"/>
        <w:gridCol w:w="4718"/>
      </w:tblGrid>
      <w:tr>
        <w:trPr/>
        <w:tc>
          <w:tcPr>
            <w:tcW w:w="478" w:type="dxa"/>
            <w:vAlign w:val="center"/>
            <w:textDirection w:val="lrTb"/>
            <w:noWrap w:val="false"/>
          </w:tcPr>
          <w:p>
            <w:pPr>
              <w:pStyle w:val="756"/>
              <w:jc w:val="center"/>
              <w:spacing w:line="360" w:lineRule="auto"/>
              <w:rPr>
                <w:b/>
                <w:szCs w:val="21"/>
              </w:rPr>
            </w:pPr>
            <w:r>
              <w:rPr>
                <w:b/>
                <w:szCs w:val="21"/>
              </w:rPr>
              <w:t xml:space="preserve">序号</w:t>
            </w:r>
            <w:r>
              <w:rPr>
                <w:b/>
                <w:szCs w:val="21"/>
              </w:rPr>
            </w:r>
            <w:r/>
          </w:p>
        </w:tc>
        <w:tc>
          <w:tcPr>
            <w:tcW w:w="1981" w:type="dxa"/>
            <w:vAlign w:val="center"/>
            <w:textDirection w:val="lrTb"/>
            <w:noWrap w:val="false"/>
          </w:tcPr>
          <w:p>
            <w:pPr>
              <w:pStyle w:val="756"/>
              <w:jc w:val="center"/>
              <w:spacing w:line="360" w:lineRule="auto"/>
              <w:rPr>
                <w:b/>
                <w:szCs w:val="21"/>
              </w:rPr>
            </w:pPr>
            <w:r>
              <w:rPr>
                <w:b/>
                <w:szCs w:val="21"/>
              </w:rPr>
              <w:t xml:space="preserve">审查要素</w:t>
            </w:r>
            <w:r>
              <w:rPr>
                <w:b/>
                <w:szCs w:val="21"/>
              </w:rPr>
            </w:r>
            <w:r/>
          </w:p>
        </w:tc>
        <w:tc>
          <w:tcPr>
            <w:tcW w:w="2539" w:type="dxa"/>
            <w:vAlign w:val="center"/>
            <w:textDirection w:val="lrTb"/>
            <w:noWrap w:val="false"/>
          </w:tcPr>
          <w:p>
            <w:pPr>
              <w:pStyle w:val="756"/>
              <w:jc w:val="center"/>
              <w:spacing w:line="360" w:lineRule="auto"/>
              <w:rPr>
                <w:b/>
                <w:szCs w:val="21"/>
              </w:rPr>
            </w:pPr>
            <w:r>
              <w:rPr>
                <w:b/>
                <w:szCs w:val="21"/>
              </w:rPr>
              <w:t xml:space="preserve">审查内容</w:t>
            </w:r>
            <w:r>
              <w:rPr>
                <w:b/>
                <w:szCs w:val="21"/>
              </w:rPr>
            </w:r>
            <w:r/>
          </w:p>
        </w:tc>
      </w:tr>
      <w:tr>
        <w:trPr/>
        <w:tc>
          <w:tcPr>
            <w:tcW w:w="478" w:type="dxa"/>
            <w:vAlign w:val="center"/>
            <w:vMerge w:val="restart"/>
            <w:textDirection w:val="lrTb"/>
            <w:noWrap w:val="false"/>
          </w:tcPr>
          <w:p>
            <w:pPr>
              <w:pStyle w:val="756"/>
              <w:jc w:val="center"/>
              <w:spacing w:line="360" w:lineRule="auto"/>
              <w:rPr>
                <w:szCs w:val="21"/>
              </w:rPr>
            </w:pPr>
            <w:r>
              <w:rPr>
                <w:szCs w:val="21"/>
              </w:rPr>
              <w:t xml:space="preserve">1</w:t>
            </w:r>
            <w:r>
              <w:rPr>
                <w:szCs w:val="21"/>
              </w:rPr>
            </w:r>
            <w:r/>
          </w:p>
        </w:tc>
        <w:tc>
          <w:tcPr>
            <w:tcW w:w="1981" w:type="dxa"/>
            <w:vAlign w:val="center"/>
            <w:vMerge w:val="restart"/>
            <w:textDirection w:val="lrTb"/>
            <w:noWrap w:val="false"/>
          </w:tcPr>
          <w:p>
            <w:pPr>
              <w:pStyle w:val="756"/>
              <w:jc w:val="center"/>
              <w:spacing w:line="360" w:lineRule="auto"/>
              <w:rPr>
                <w:szCs w:val="21"/>
              </w:rPr>
            </w:pPr>
            <w:r>
              <w:rPr>
                <w:szCs w:val="21"/>
              </w:rPr>
              <w:t xml:space="preserve">投标文件有效性</w:t>
            </w:r>
            <w:r>
              <w:rPr>
                <w:szCs w:val="21"/>
              </w:rPr>
            </w:r>
            <w:r/>
          </w:p>
        </w:tc>
        <w:tc>
          <w:tcPr>
            <w:tcW w:w="2539" w:type="dxa"/>
            <w:vAlign w:val="center"/>
            <w:textDirection w:val="lrTb"/>
            <w:noWrap w:val="false"/>
          </w:tcPr>
          <w:p>
            <w:pPr>
              <w:pStyle w:val="756"/>
              <w:jc w:val="center"/>
              <w:spacing w:line="360" w:lineRule="auto"/>
              <w:rPr>
                <w:szCs w:val="21"/>
              </w:rPr>
            </w:pPr>
            <w:r>
              <w:rPr>
                <w:szCs w:val="21"/>
              </w:rPr>
              <w:t xml:space="preserve">投标文件的有效电子签章。</w:t>
            </w:r>
            <w:r>
              <w:rPr>
                <w:szCs w:val="21"/>
              </w:rPr>
            </w:r>
            <w:r/>
          </w:p>
        </w:tc>
      </w:tr>
      <w:tr>
        <w:trPr>
          <w:trHeight w:val="602"/>
        </w:trPr>
        <w:tc>
          <w:tcPr>
            <w:tcW w:w="478" w:type="dxa"/>
            <w:vAlign w:val="center"/>
            <w:vMerge w:val="continue"/>
            <w:textDirection w:val="lrTb"/>
            <w:noWrap w:val="false"/>
          </w:tcPr>
          <w:p>
            <w:pPr>
              <w:pStyle w:val="756"/>
              <w:ind w:firstLine="420"/>
              <w:jc w:val="center"/>
              <w:spacing w:line="360" w:lineRule="auto"/>
              <w:rPr>
                <w:szCs w:val="21"/>
              </w:rPr>
            </w:pPr>
            <w:r>
              <w:rPr>
                <w:szCs w:val="21"/>
              </w:rPr>
            </w:r>
            <w:r/>
          </w:p>
        </w:tc>
        <w:tc>
          <w:tcPr>
            <w:tcW w:w="1981" w:type="dxa"/>
            <w:vAlign w:val="center"/>
            <w:vMerge w:val="continue"/>
            <w:textDirection w:val="lrTb"/>
            <w:noWrap w:val="false"/>
          </w:tcPr>
          <w:p>
            <w:pPr>
              <w:pStyle w:val="756"/>
              <w:ind w:firstLine="420"/>
              <w:jc w:val="center"/>
              <w:spacing w:line="360" w:lineRule="auto"/>
              <w:rPr>
                <w:szCs w:val="21"/>
              </w:rPr>
            </w:pPr>
            <w:r>
              <w:rPr>
                <w:szCs w:val="21"/>
              </w:rPr>
            </w:r>
            <w:r/>
          </w:p>
        </w:tc>
        <w:tc>
          <w:tcPr>
            <w:tcW w:w="2539" w:type="dxa"/>
            <w:vAlign w:val="center"/>
            <w:textDirection w:val="lrTb"/>
            <w:noWrap w:val="false"/>
          </w:tcPr>
          <w:p>
            <w:pPr>
              <w:pStyle w:val="756"/>
              <w:jc w:val="center"/>
              <w:spacing w:line="360" w:lineRule="auto"/>
              <w:rPr>
                <w:szCs w:val="21"/>
              </w:rPr>
            </w:pPr>
            <w:r>
              <w:rPr>
                <w:szCs w:val="21"/>
              </w:rPr>
              <w:t xml:space="preserve">未发现属无效投标的情形。</w:t>
            </w:r>
            <w:r>
              <w:rPr>
                <w:szCs w:val="21"/>
              </w:rPr>
            </w:r>
            <w:r/>
          </w:p>
        </w:tc>
      </w:tr>
      <w:tr>
        <w:trPr>
          <w:trHeight w:val="1152"/>
        </w:trPr>
        <w:tc>
          <w:tcPr>
            <w:tcW w:w="478" w:type="dxa"/>
            <w:vAlign w:val="center"/>
            <w:textDirection w:val="lrTb"/>
            <w:noWrap w:val="false"/>
          </w:tcPr>
          <w:p>
            <w:pPr>
              <w:pStyle w:val="756"/>
              <w:jc w:val="center"/>
              <w:spacing w:line="360" w:lineRule="auto"/>
              <w:rPr>
                <w:szCs w:val="21"/>
              </w:rPr>
            </w:pPr>
            <w:r>
              <w:rPr>
                <w:szCs w:val="21"/>
              </w:rPr>
              <w:t xml:space="preserve">2</w:t>
            </w:r>
            <w:r>
              <w:rPr>
                <w:szCs w:val="21"/>
              </w:rPr>
            </w:r>
            <w:r/>
          </w:p>
        </w:tc>
        <w:tc>
          <w:tcPr>
            <w:tcW w:w="1981" w:type="dxa"/>
            <w:vAlign w:val="center"/>
            <w:textDirection w:val="lrTb"/>
            <w:noWrap w:val="false"/>
          </w:tcPr>
          <w:p>
            <w:pPr>
              <w:pStyle w:val="756"/>
              <w:jc w:val="center"/>
              <w:spacing w:line="360" w:lineRule="auto"/>
              <w:rPr>
                <w:szCs w:val="21"/>
              </w:rPr>
            </w:pPr>
            <w:r>
              <w:rPr>
                <w:szCs w:val="21"/>
              </w:rPr>
              <w:t xml:space="preserve">对招标文件响应程度</w:t>
            </w:r>
            <w:r>
              <w:rPr>
                <w:szCs w:val="21"/>
              </w:rPr>
            </w:r>
            <w:r/>
          </w:p>
        </w:tc>
        <w:tc>
          <w:tcPr>
            <w:tcW w:w="2539" w:type="dxa"/>
            <w:vAlign w:val="top"/>
            <w:textDirection w:val="lrTb"/>
            <w:noWrap w:val="false"/>
          </w:tcPr>
          <w:p>
            <w:pPr>
              <w:pStyle w:val="756"/>
              <w:jc w:val="center"/>
              <w:spacing w:line="360" w:lineRule="auto"/>
              <w:rPr>
                <w:szCs w:val="21"/>
              </w:rPr>
            </w:pPr>
            <w:r>
              <w:rPr>
                <w:szCs w:val="21"/>
              </w:rPr>
              <w:t xml:space="preserve">审查投标文件，以确定其是否满足招标文件的实质性要求。不满足招标文件的实质性要求的，投标无效。</w:t>
            </w:r>
            <w:r>
              <w:rPr>
                <w:szCs w:val="21"/>
              </w:rPr>
            </w:r>
            <w:r/>
          </w:p>
        </w:tc>
      </w:tr>
    </w:tbl>
    <w:p>
      <w:pPr>
        <w:pStyle w:val="756"/>
        <w:ind w:firstLine="482"/>
        <w:spacing w:line="360" w:lineRule="auto"/>
        <w:rPr>
          <w:b/>
          <w:bCs/>
          <w:sz w:val="24"/>
        </w:rPr>
        <w:outlineLvl w:val="1"/>
      </w:pPr>
      <w:r/>
      <w:bookmarkStart w:id="27" w:name="_Toc28420"/>
      <w:r>
        <w:rPr>
          <w:rFonts w:hint="eastAsia"/>
          <w:b/>
          <w:bCs/>
          <w:sz w:val="24"/>
        </w:rPr>
        <w:t xml:space="preserve">3</w:t>
      </w:r>
      <w:r>
        <w:rPr>
          <w:b/>
          <w:bCs/>
          <w:sz w:val="24"/>
        </w:rPr>
        <w:t xml:space="preserve">.</w:t>
      </w:r>
      <w:r>
        <w:rPr>
          <w:rFonts w:hint="eastAsia"/>
          <w:b/>
          <w:bCs/>
          <w:sz w:val="24"/>
        </w:rPr>
        <w:t xml:space="preserve">详细评审</w:t>
      </w:r>
      <w:bookmarkEnd w:id="27"/>
      <w:r>
        <w:rPr>
          <w:b/>
          <w:bCs/>
          <w:sz w:val="24"/>
        </w:rPr>
      </w:r>
      <w:r/>
    </w:p>
    <w:p>
      <w:pPr>
        <w:pStyle w:val="756"/>
        <w:ind w:firstLine="422"/>
        <w:jc w:val="left"/>
        <w:spacing w:line="360" w:lineRule="auto"/>
        <w:widowControl/>
        <w:rPr>
          <w:b/>
          <w:szCs w:val="21"/>
        </w:rPr>
      </w:pPr>
      <w:r>
        <w:rPr>
          <w:b/>
          <w:szCs w:val="21"/>
        </w:rPr>
        <w:t xml:space="preserve">本项目采用综合评分法。</w:t>
      </w:r>
      <w:r>
        <w:rPr>
          <w:szCs w:val="21"/>
        </w:rPr>
        <w:t xml:space="preserve">评标结果按评审后得分(得分保留到小数点后2位，四舍五入)由高到低顺序排列。得分相同的，按投标报价由低到高顺序排列。得分且投标报价相同的并列。投标文件满足招标文件全部实质性要求</w:t>
      </w:r>
      <w:r>
        <w:rPr>
          <w:rFonts w:hint="eastAsia"/>
          <w:szCs w:val="21"/>
        </w:rPr>
        <w:t xml:space="preserve">且得分最高的</w:t>
      </w:r>
      <w:r>
        <w:rPr>
          <w:szCs w:val="21"/>
        </w:rPr>
        <w:t xml:space="preserve">投标人为</w:t>
      </w:r>
      <w:r>
        <w:rPr>
          <w:rFonts w:hint="eastAsia"/>
          <w:szCs w:val="21"/>
        </w:rPr>
        <w:t xml:space="preserve">本项目</w:t>
      </w:r>
      <w:r>
        <w:rPr>
          <w:szCs w:val="21"/>
        </w:rPr>
        <w:t xml:space="preserve">中标候选人</w:t>
      </w:r>
      <w:r>
        <w:rPr>
          <w:rFonts w:hint="eastAsia"/>
          <w:szCs w:val="21"/>
        </w:rPr>
        <w:t xml:space="preserve">。</w:t>
      </w:r>
      <w:r>
        <w:rPr>
          <w:b/>
          <w:szCs w:val="21"/>
        </w:rPr>
      </w:r>
      <w:r/>
    </w:p>
    <w:tbl>
      <w:tblPr>
        <w:tblW w:w="9717"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76"/>
        <w:gridCol w:w="1526"/>
        <w:gridCol w:w="6030"/>
        <w:gridCol w:w="885"/>
      </w:tblGrid>
      <w:tr>
        <w:trPr>
          <w:trHeight w:val="23"/>
        </w:trPr>
        <w:tc>
          <w:tcPr>
            <w:tcW w:w="1276" w:type="dxa"/>
            <w:vAlign w:val="center"/>
            <w:textDirection w:val="lrTb"/>
            <w:noWrap w:val="false"/>
          </w:tcPr>
          <w:p>
            <w:pPr>
              <w:pStyle w:val="756"/>
              <w:jc w:val="center"/>
              <w:widowControl/>
              <w:rPr>
                <w:rFonts w:hint="eastAsia" w:ascii="宋体" w:hAnsi="宋体" w:cs="宋体"/>
                <w:b/>
                <w:bCs/>
                <w:szCs w:val="21"/>
              </w:rPr>
            </w:pPr>
            <w:r/>
            <w:bookmarkStart w:id="28" w:name="_Hlk118956316"/>
            <w:r>
              <w:rPr>
                <w:rFonts w:hint="eastAsia" w:ascii="宋体" w:hAnsi="宋体" w:cs="宋体"/>
                <w:b/>
                <w:bCs/>
                <w:szCs w:val="21"/>
              </w:rPr>
              <w:t xml:space="preserve">评分项目</w:t>
            </w: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评审因素</w:t>
            </w:r>
            <w:r>
              <w:rPr>
                <w:rFonts w:hint="eastAsia" w:ascii="宋体" w:hAnsi="宋体" w:cs="宋体"/>
                <w:b/>
                <w:bCs/>
                <w:szCs w:val="21"/>
              </w:rPr>
            </w:r>
            <w:r/>
          </w:p>
        </w:tc>
        <w:tc>
          <w:tcPr>
            <w:tcW w:w="6030"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评审标准</w:t>
            </w:r>
            <w:r>
              <w:rPr>
                <w:rFonts w:hint="eastAsia" w:ascii="宋体" w:hAnsi="宋体" w:cs="宋体"/>
                <w:b/>
                <w:bCs/>
                <w:szCs w:val="21"/>
              </w:rPr>
            </w:r>
            <w:r/>
          </w:p>
        </w:tc>
        <w:tc>
          <w:tcPr>
            <w:tcW w:w="885"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23"/>
        </w:trPr>
        <w:tc>
          <w:tcPr>
            <w:tcW w:w="127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价格部分（30%）</w:t>
            </w: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价格</w:t>
            </w:r>
            <w:r>
              <w:rPr>
                <w:rFonts w:hint="eastAsia" w:ascii="宋体" w:hAnsi="宋体" w:cs="宋体"/>
                <w:b/>
                <w:bCs/>
                <w:szCs w:val="21"/>
              </w:rPr>
            </w:r>
            <w:r/>
          </w:p>
        </w:tc>
        <w:tc>
          <w:tcPr>
            <w:tcW w:w="6030" w:type="dxa"/>
            <w:vAlign w:val="center"/>
            <w:textDirection w:val="lrTb"/>
            <w:noWrap w:val="false"/>
          </w:tcPr>
          <w:p>
            <w:pPr>
              <w:pStyle w:val="756"/>
              <w:jc w:val="left"/>
              <w:widowControl/>
              <w:rPr>
                <w:rFonts w:hint="eastAsia" w:ascii="宋体" w:hAnsi="宋体" w:cs="宋体"/>
                <w:szCs w:val="21"/>
              </w:rPr>
            </w:pPr>
            <w:r>
              <w:rPr>
                <w:rFonts w:hint="eastAsia" w:ascii="宋体" w:hAnsi="宋体" w:cs="宋体"/>
                <w:szCs w:val="21"/>
              </w:rPr>
              <w:t xml:space="preserve">采用低价优先法计算，即满足采购文件要求且最终报价最低的响应报价为评审基准价，其价格分为满分。其他供应商的价格分统一按照下列公式计算：响应报价得分=(评审基准价/响应报价)×30（小数点保留两位）</w:t>
            </w:r>
            <w:r>
              <w:rPr>
                <w:rFonts w:hint="eastAsia" w:ascii="宋体" w:hAnsi="宋体" w:cs="宋体"/>
                <w:szCs w:val="21"/>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23"/>
        </w:trPr>
        <w:tc>
          <w:tcPr>
            <w:tcW w:w="127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技术部分（20%）</w:t>
            </w: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产品设备性能</w:t>
            </w:r>
            <w:r>
              <w:rPr>
                <w:rFonts w:hint="eastAsia" w:ascii="宋体" w:hAnsi="宋体" w:cs="宋体"/>
                <w:b/>
                <w:bCs/>
                <w:szCs w:val="21"/>
              </w:rPr>
            </w:r>
            <w:r/>
          </w:p>
        </w:tc>
        <w:tc>
          <w:tcPr>
            <w:tcW w:w="6030" w:type="dxa"/>
            <w:vAlign w:val="center"/>
            <w:textDirection w:val="lrTb"/>
            <w:noWrap w:val="false"/>
          </w:tcPr>
          <w:p>
            <w:pPr>
              <w:pStyle w:val="756"/>
              <w:jc w:val="left"/>
              <w:widowControl/>
              <w:rPr>
                <w:rFonts w:hint="eastAsia" w:ascii="宋体" w:hAnsi="宋体" w:cs="宋体"/>
                <w:szCs w:val="21"/>
              </w:rPr>
            </w:pPr>
            <w:r>
              <w:rPr>
                <w:rFonts w:hint="eastAsia" w:cs="宋体"/>
                <w:color w:val="ff0000"/>
                <w:sz w:val="24"/>
                <w:szCs w:val="32"/>
              </w:rPr>
              <w:t xml:space="preserve"> </w:t>
            </w:r>
            <w:r>
              <w:rPr>
                <w:rFonts w:hint="eastAsia" w:ascii="宋体" w:hAnsi="宋体" w:cs="宋体"/>
                <w:szCs w:val="21"/>
              </w:rPr>
              <w:t xml:space="preserve">供应商所投安防设备设备技术指标及参数全部满足招标文件要求的得20分。技术要求须逐项响应。每一项▲负偏离扣2分，其他每一项负偏离扣0.5分，扣完为止。（标记▲需要提供该项所要求的证明材料，并在响应位置标明证明材料的具体索引位置（具体到证明材料的页码和条目并用醒目的标记注明）</w:t>
            </w:r>
            <w:r>
              <w:rPr>
                <w:rFonts w:hint="eastAsia" w:ascii="宋体" w:hAnsi="宋体" w:cs="宋体"/>
                <w:szCs w:val="21"/>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r>
            <w:r/>
          </w:p>
        </w:tc>
      </w:tr>
      <w:tr>
        <w:trPr>
          <w:trHeight w:val="23"/>
        </w:trPr>
        <w:tc>
          <w:tcPr>
            <w:tcW w:w="1276" w:type="dxa"/>
            <w:vAlign w:val="center"/>
            <w:vMerge w:val="restart"/>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商务部分（19%）</w:t>
            </w: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履约能力</w:t>
            </w:r>
            <w:r>
              <w:rPr>
                <w:rFonts w:hint="eastAsia" w:ascii="宋体" w:hAnsi="宋体" w:cs="宋体"/>
                <w:b/>
                <w:bCs/>
                <w:szCs w:val="21"/>
              </w:rPr>
            </w:r>
            <w:r/>
          </w:p>
        </w:tc>
        <w:tc>
          <w:tcPr>
            <w:tcW w:w="6030" w:type="dxa"/>
            <w:vAlign w:val="center"/>
            <w:textDirection w:val="lrTb"/>
            <w:noWrap w:val="false"/>
          </w:tcPr>
          <w:p>
            <w:pPr>
              <w:pStyle w:val="756"/>
              <w:numPr>
                <w:ilvl w:val="0"/>
                <w:numId w:val="6"/>
              </w:numPr>
              <w:jc w:val="left"/>
              <w:widowControl/>
              <w:tabs>
                <w:tab w:val="left" w:pos="312" w:leader="none"/>
              </w:tabs>
              <w:rPr>
                <w:rFonts w:hint="eastAsia" w:ascii="宋体" w:hAnsi="宋体" w:cs="宋体"/>
                <w:szCs w:val="21"/>
              </w:rPr>
            </w:pPr>
            <w:r>
              <w:rPr>
                <w:rFonts w:hint="eastAsia" w:ascii="宋体" w:hAnsi="宋体" w:cs="宋体"/>
                <w:szCs w:val="21"/>
              </w:rPr>
              <w:t xml:space="preserve">供应商具有电子与智能化工程专业承包贰</w:t>
            </w:r>
            <w:bookmarkStart w:id="29" w:name="OLE_LINK84"/>
            <w:r/>
            <w:bookmarkStart w:id="30" w:name="OLE_LINK83"/>
            <w:r>
              <w:rPr>
                <w:rFonts w:hint="eastAsia" w:ascii="宋体" w:hAnsi="宋体" w:cs="宋体"/>
                <w:szCs w:val="21"/>
              </w:rPr>
              <w:t xml:space="preserve">级</w:t>
            </w:r>
            <w:bookmarkEnd w:id="29"/>
            <w:r/>
            <w:bookmarkEnd w:id="30"/>
            <w:r>
              <w:rPr>
                <w:rFonts w:hint="eastAsia" w:ascii="宋体" w:hAnsi="宋体" w:cs="宋体"/>
                <w:szCs w:val="21"/>
              </w:rPr>
              <w:t xml:space="preserve">资质得1分，壹级得2分；（须提供有效期内资质证书复印件并加盖公章）</w:t>
            </w:r>
            <w:r>
              <w:rPr>
                <w:rFonts w:hint="eastAsia" w:ascii="宋体" w:hAnsi="宋体" w:cs="宋体"/>
                <w:szCs w:val="21"/>
              </w:rPr>
            </w:r>
            <w:r/>
          </w:p>
          <w:p>
            <w:pPr>
              <w:pStyle w:val="756"/>
              <w:numPr>
                <w:ilvl w:val="0"/>
                <w:numId w:val="6"/>
              </w:numPr>
              <w:jc w:val="left"/>
              <w:widowControl/>
              <w:tabs>
                <w:tab w:val="left" w:pos="312" w:leader="none"/>
              </w:tabs>
              <w:rPr>
                <w:rFonts w:hint="eastAsia" w:ascii="宋体" w:hAnsi="宋体" w:cs="宋体"/>
                <w:szCs w:val="21"/>
              </w:rPr>
            </w:pPr>
            <w:r>
              <w:rPr>
                <w:rFonts w:hint="eastAsia" w:ascii="宋体" w:hAnsi="宋体" w:cs="宋体"/>
                <w:szCs w:val="21"/>
              </w:rPr>
              <w:t xml:space="preserve">投标人具备安防工程企业设计施工维护能力证书壹级资质得2分，不满足或未提供得0分。（须提供有效期内资质证书复印件并加盖投标人公章）</w:t>
            </w:r>
            <w:r>
              <w:rPr>
                <w:rFonts w:hint="eastAsia" w:ascii="宋体" w:hAnsi="宋体" w:cs="宋体"/>
                <w:szCs w:val="21"/>
              </w:rPr>
            </w:r>
            <w:r/>
          </w:p>
          <w:p>
            <w:pPr>
              <w:pStyle w:val="1063"/>
            </w:pPr>
            <w:r/>
            <w:bookmarkStart w:id="31" w:name="OLE_LINK98"/>
            <w:r/>
            <w:bookmarkStart w:id="32" w:name="OLE_LINK99"/>
            <w:r>
              <w:rPr>
                <w:rFonts w:hint="eastAsia" w:ascii="宋体" w:hAnsi="宋体" w:cs="宋体"/>
                <w:szCs w:val="21"/>
              </w:rPr>
              <w:t xml:space="preserve">3.</w:t>
            </w:r>
            <w:r>
              <w:rPr>
                <w:rFonts w:hint="eastAsia"/>
              </w:rPr>
              <w:t xml:space="preserve"> </w:t>
            </w:r>
            <w:r>
              <w:rPr>
                <w:rFonts w:hint="eastAsia" w:ascii="宋体" w:hAnsi="宋体" w:cs="宋体"/>
                <w:szCs w:val="21"/>
              </w:rPr>
              <w:t xml:space="preserve">供应商应具备较好的</w:t>
            </w:r>
            <w:bookmarkEnd w:id="31"/>
            <w:r/>
            <w:bookmarkEnd w:id="32"/>
            <w:r>
              <w:rPr>
                <w:rFonts w:hint="eastAsia" w:ascii="宋体" w:hAnsi="宋体" w:cs="宋体"/>
                <w:szCs w:val="21"/>
              </w:rPr>
              <w:t xml:space="preserve">软件开发综合能力，具备软件过程及能力成熟度评估</w:t>
            </w:r>
            <w:r>
              <w:rPr>
                <w:rFonts w:hint="eastAsia" w:ascii="宋体" w:hAnsi="宋体" w:cs="宋体"/>
                <w:color w:val="000000"/>
                <w:szCs w:val="21"/>
              </w:rPr>
              <w:t xml:space="preserve">CMMI5及以上能力</w:t>
            </w:r>
            <w:r>
              <w:rPr>
                <w:rFonts w:hint="eastAsia" w:ascii="宋体" w:hAnsi="宋体" w:cs="宋体"/>
                <w:szCs w:val="21"/>
              </w:rPr>
              <w:t xml:space="preserve">成熟度等级证书的得2分，不满足或未提供得0分。（提供证书扫描件并加盖公章）</w:t>
            </w:r>
            <w:r/>
          </w:p>
          <w:p>
            <w:pPr>
              <w:pStyle w:val="756"/>
              <w:jc w:val="left"/>
              <w:widowControl/>
              <w:rPr>
                <w:rFonts w:hint="eastAsia" w:ascii="宋体" w:hAnsi="宋体" w:cs="宋体"/>
                <w:szCs w:val="21"/>
              </w:rPr>
            </w:pPr>
            <w:r>
              <w:rPr>
                <w:rFonts w:hint="eastAsia" w:ascii="宋体" w:hAnsi="宋体" w:cs="宋体"/>
                <w:szCs w:val="21"/>
              </w:rPr>
              <w:t xml:space="preserve">4.投标人具备CCRC信息系统安全集成服务资质三级及以上得1分，提供证书复印件加盖公章，原件备查，不满足或未提供得0分（提供证书扫描件并加盖公章）</w:t>
            </w:r>
            <w:r>
              <w:rPr>
                <w:rFonts w:hint="eastAsia" w:ascii="宋体" w:hAnsi="宋体" w:cs="宋体"/>
                <w:szCs w:val="21"/>
              </w:rPr>
            </w:r>
            <w:r/>
          </w:p>
          <w:p>
            <w:pPr>
              <w:pStyle w:val="756"/>
              <w:jc w:val="left"/>
              <w:widowControl/>
              <w:rPr>
                <w:rFonts w:hint="eastAsia" w:ascii="宋体" w:hAnsi="宋体" w:cs="宋体"/>
                <w:szCs w:val="21"/>
              </w:rPr>
            </w:pPr>
            <w:r>
              <w:rPr>
                <w:rFonts w:hint="eastAsia" w:ascii="宋体" w:hAnsi="宋体" w:cs="宋体"/>
                <w:szCs w:val="21"/>
              </w:rPr>
              <w:t xml:space="preserve">5.投标人具备运行维护ITSS三级及以上得2分，提供证书复印件加盖公章，原件备查，不满足或未提供得0分（提供证书扫描件并加盖公章）</w:t>
            </w:r>
            <w:r>
              <w:rPr>
                <w:rFonts w:hint="eastAsia" w:ascii="宋体" w:hAnsi="宋体" w:cs="宋体"/>
                <w:szCs w:val="21"/>
              </w:rPr>
            </w:r>
            <w:r/>
          </w:p>
          <w:p>
            <w:pPr>
              <w:pStyle w:val="756"/>
              <w:jc w:val="left"/>
              <w:widowControl/>
            </w:pPr>
            <w:r>
              <w:rPr>
                <w:rFonts w:hint="eastAsia" w:ascii="宋体" w:hAnsi="宋体" w:cs="宋体"/>
                <w:szCs w:val="21"/>
              </w:rPr>
              <w:t xml:space="preserve">6. 投标人具备ISO9001质量管理体系认证得2分，提供证书复印件加盖公章，原件备查。不满足或未提供得0分。（提供证书扫描件并加盖公章）</w:t>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r>
      <w:tr>
        <w:trPr>
          <w:trHeight w:val="23"/>
        </w:trPr>
        <w:tc>
          <w:tcPr>
            <w:tcW w:w="1276" w:type="dxa"/>
            <w:vAlign w:val="center"/>
            <w:vMerge w:val="continue"/>
            <w:textDirection w:val="lrTb"/>
            <w:noWrap w:val="false"/>
          </w:tcPr>
          <w:p>
            <w:pPr>
              <w:pStyle w:val="756"/>
              <w:jc w:val="left"/>
              <w:widowControl/>
              <w:rPr>
                <w:rFonts w:hint="eastAsia" w:ascii="宋体" w:hAnsi="宋体" w:cs="宋体"/>
                <w:b/>
                <w:bCs/>
                <w:szCs w:val="21"/>
              </w:rPr>
            </w:pP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业绩</w:t>
            </w:r>
            <w:r>
              <w:rPr>
                <w:rFonts w:hint="eastAsia" w:ascii="宋体" w:hAnsi="宋体" w:cs="宋体"/>
                <w:b/>
                <w:bCs/>
                <w:szCs w:val="21"/>
              </w:rPr>
            </w:r>
            <w:r/>
          </w:p>
        </w:tc>
        <w:tc>
          <w:tcPr>
            <w:tcW w:w="6030" w:type="dxa"/>
            <w:vAlign w:val="center"/>
            <w:textDirection w:val="lrTb"/>
            <w:noWrap w:val="false"/>
          </w:tcPr>
          <w:p>
            <w:pPr>
              <w:pStyle w:val="756"/>
              <w:jc w:val="left"/>
              <w:widowControl/>
              <w:rPr>
                <w:rFonts w:hint="eastAsia" w:ascii="宋体" w:hAnsi="宋体" w:cs="宋体"/>
                <w:szCs w:val="21"/>
              </w:rPr>
            </w:pPr>
            <w:r>
              <w:rPr>
                <w:rFonts w:hint="eastAsia" w:ascii="宋体" w:hAnsi="宋体" w:cs="宋体"/>
                <w:szCs w:val="21"/>
              </w:rPr>
              <w:t xml:space="preserve">投标人自2019年10月1日起至今（以合同签订时间为准）具有安防或监控类项目案例的，每提供一个得2分，此项最高得8分，不满足或未提供得0分。（须提供合同复印件并加盖投标人公章）</w:t>
            </w:r>
            <w:r>
              <w:rPr>
                <w:rFonts w:hint="eastAsia" w:ascii="宋体" w:hAnsi="宋体" w:cs="宋体"/>
                <w:szCs w:val="21"/>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497"/>
        </w:trPr>
        <w:tc>
          <w:tcPr>
            <w:tcW w:w="1276" w:type="dxa"/>
            <w:vAlign w:val="center"/>
            <w:vMerge w:val="restart"/>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实施及服务能力（31%）</w:t>
            </w: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技术服务方案</w:t>
            </w:r>
            <w:r>
              <w:rPr>
                <w:rFonts w:hint="eastAsia" w:ascii="宋体" w:hAnsi="宋体" w:cs="宋体"/>
                <w:b/>
                <w:bCs/>
                <w:szCs w:val="21"/>
              </w:rPr>
            </w:r>
            <w:r/>
          </w:p>
        </w:tc>
        <w:tc>
          <w:tcPr>
            <w:tcW w:w="6030" w:type="dxa"/>
            <w:vAlign w:val="center"/>
            <w:textDirection w:val="lrTb"/>
            <w:noWrap w:val="false"/>
          </w:tcPr>
          <w:p>
            <w:pPr>
              <w:pStyle w:val="756"/>
              <w:spacing w:line="276" w:lineRule="auto"/>
              <w:rPr>
                <w:rFonts w:hint="eastAsia" w:ascii="宋体" w:hAnsi="宋体" w:cs="宋体"/>
                <w:szCs w:val="21"/>
              </w:rPr>
            </w:pPr>
            <w:r>
              <w:rPr>
                <w:rFonts w:hint="eastAsia" w:ascii="宋体" w:hAnsi="宋体"/>
                <w:szCs w:val="21"/>
                <w:lang w:val="zh-CN"/>
              </w:rPr>
              <w:t xml:space="preserve">评委</w:t>
            </w:r>
            <w:r>
              <w:rPr>
                <w:rFonts w:hint="eastAsia" w:ascii="宋体" w:hAnsi="宋体" w:cs="宋体"/>
                <w:szCs w:val="21"/>
              </w:rPr>
              <w:t xml:space="preserve">根据投标人提供的技术方案及服务实施方案进行综合评定，括但不限于设备的运输、安装、调试、技术服务指导及交付计划等进行综合评分。</w:t>
            </w:r>
            <w:r>
              <w:rPr>
                <w:rFonts w:hint="eastAsia" w:ascii="宋体" w:hAnsi="宋体" w:cs="宋体"/>
                <w:szCs w:val="21"/>
              </w:rPr>
            </w:r>
            <w:r/>
          </w:p>
          <w:p>
            <w:pPr>
              <w:pStyle w:val="756"/>
              <w:jc w:val="left"/>
              <w:spacing w:line="300" w:lineRule="auto"/>
              <w:rPr>
                <w:rFonts w:hint="eastAsia" w:ascii="宋体" w:hAnsi="宋体" w:cs="宋体"/>
                <w:szCs w:val="21"/>
              </w:rPr>
            </w:pPr>
            <w:r>
              <w:rPr>
                <w:rFonts w:hint="eastAsia" w:ascii="宋体" w:hAnsi="宋体"/>
                <w:szCs w:val="21"/>
                <w:lang w:val="zh-CN"/>
              </w:rPr>
              <w:t xml:space="preserve"> （</w:t>
            </w:r>
            <w:r>
              <w:rPr>
                <w:rFonts w:hint="eastAsia" w:ascii="宋体" w:hAnsi="宋体"/>
                <w:szCs w:val="21"/>
              </w:rPr>
              <w:t xml:space="preserve">1</w:t>
            </w:r>
            <w:r>
              <w:rPr>
                <w:rFonts w:hint="eastAsia" w:ascii="宋体" w:hAnsi="宋体"/>
                <w:szCs w:val="21"/>
                <w:lang w:val="zh-CN"/>
              </w:rPr>
              <w:t xml:space="preserve">）</w:t>
            </w:r>
            <w:r>
              <w:rPr>
                <w:rFonts w:hint="eastAsia" w:ascii="宋体" w:hAnsi="宋体" w:cs="宋体"/>
                <w:szCs w:val="21"/>
              </w:rPr>
              <w:t xml:space="preserve">技术方案及服务实施方案设计合理、可实施性强且满足本项目实际采购需求的得7分；</w:t>
            </w:r>
            <w:r>
              <w:rPr>
                <w:rFonts w:hint="eastAsia" w:ascii="宋体" w:hAnsi="宋体" w:cs="宋体"/>
                <w:szCs w:val="21"/>
              </w:rPr>
            </w:r>
            <w:r/>
          </w:p>
          <w:p>
            <w:pPr>
              <w:pStyle w:val="756"/>
              <w:jc w:val="left"/>
              <w:spacing w:line="300" w:lineRule="auto"/>
              <w:rPr>
                <w:rFonts w:hint="eastAsia" w:ascii="宋体" w:hAnsi="宋体" w:cs="宋体"/>
                <w:szCs w:val="21"/>
              </w:rPr>
            </w:pPr>
            <w:r>
              <w:rPr>
                <w:rFonts w:hint="eastAsia" w:ascii="宋体" w:hAnsi="宋体" w:cs="宋体"/>
                <w:szCs w:val="21"/>
              </w:rPr>
              <w:t xml:space="preserve">（2）技术方案及服务实施方案比较合理 、比较可行且基本满足本项目采购需求的得4分；</w:t>
            </w:r>
            <w:r>
              <w:rPr>
                <w:rFonts w:hint="eastAsia" w:ascii="宋体" w:hAnsi="宋体" w:cs="宋体"/>
                <w:szCs w:val="21"/>
              </w:rPr>
            </w:r>
            <w:r/>
          </w:p>
          <w:p>
            <w:pPr>
              <w:pStyle w:val="756"/>
              <w:jc w:val="left"/>
              <w:spacing w:line="300" w:lineRule="auto"/>
              <w:rPr>
                <w:rFonts w:hint="eastAsia" w:ascii="宋体" w:hAnsi="宋体" w:cs="宋体"/>
                <w:szCs w:val="21"/>
              </w:rPr>
            </w:pPr>
            <w:r>
              <w:rPr>
                <w:rFonts w:hint="eastAsia" w:ascii="宋体" w:hAnsi="宋体" w:cs="宋体"/>
                <w:szCs w:val="21"/>
              </w:rPr>
              <w:t xml:space="preserve">（3）技术方案及服务实施方案简单、笼统且对本项目采购需求满足程度不足的得1分；</w:t>
            </w:r>
            <w:r>
              <w:rPr>
                <w:rFonts w:hint="eastAsia" w:ascii="宋体" w:hAnsi="宋体" w:cs="宋体"/>
                <w:szCs w:val="21"/>
              </w:rPr>
            </w:r>
            <w:r/>
          </w:p>
          <w:p>
            <w:pPr>
              <w:pStyle w:val="756"/>
              <w:jc w:val="left"/>
              <w:widowControl/>
              <w:rPr>
                <w:rFonts w:hint="eastAsia" w:ascii="宋体" w:hAnsi="宋体" w:cs="宋体"/>
                <w:szCs w:val="21"/>
                <w:lang w:bidi="ar"/>
              </w:rPr>
            </w:pPr>
            <w:r>
              <w:rPr>
                <w:rFonts w:hint="eastAsia" w:ascii="宋体" w:hAnsi="宋体" w:cs="宋体"/>
                <w:szCs w:val="21"/>
              </w:rPr>
              <w:t xml:space="preserve">（4）未提供不得分。</w:t>
            </w:r>
            <w:r>
              <w:rPr>
                <w:rFonts w:hint="eastAsia" w:ascii="宋体" w:hAnsi="宋体" w:cs="宋体"/>
                <w:szCs w:val="21"/>
                <w:lang w:bidi="ar"/>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trHeight w:val="23"/>
        </w:trPr>
        <w:tc>
          <w:tcPr>
            <w:tcW w:w="1276" w:type="dxa"/>
            <w:vAlign w:val="center"/>
            <w:vMerge w:val="continue"/>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售后服务方案</w:t>
            </w:r>
            <w:r>
              <w:rPr>
                <w:rFonts w:hint="eastAsia" w:ascii="宋体" w:hAnsi="宋体" w:cs="宋体"/>
                <w:b/>
                <w:bCs/>
                <w:szCs w:val="21"/>
              </w:rPr>
            </w:r>
            <w:r/>
          </w:p>
        </w:tc>
        <w:tc>
          <w:tcPr>
            <w:tcW w:w="6030" w:type="dxa"/>
            <w:vAlign w:val="center"/>
            <w:textDirection w:val="lrTb"/>
            <w:noWrap w:val="false"/>
          </w:tcPr>
          <w:p>
            <w:pPr>
              <w:pStyle w:val="756"/>
              <w:spacing w:line="276" w:lineRule="auto"/>
              <w:rPr>
                <w:rFonts w:hint="eastAsia" w:ascii="宋体" w:hAnsi="宋体" w:cs="宋体"/>
                <w:szCs w:val="21"/>
              </w:rPr>
            </w:pPr>
            <w:r>
              <w:rPr>
                <w:rFonts w:hint="eastAsia" w:ascii="宋体" w:hAnsi="宋体" w:cs="宋体"/>
                <w:szCs w:val="21"/>
              </w:rPr>
              <w:t xml:space="preserve">根据投标人提供的售后服务方案进行综合评定，包括但不限售后服务人员配置情况、售后服务内容、项目交付用户后出现故障响应时间等进行综合评分。</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（1）售后服务方案详细、具体，合理可行，具有实际可操作性，且派驻每周7天，每天8小时工作时间段现场运维人员的得5分；</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（2）售后服务方案较为详细、完整，基本满足采购工作要求的，且派驻每周7天，每天6小时工作时间段现场运维人员的得3分</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（3）售后服务方案简单、笼统，可行性一般，且派驻且派驻每周7天，每天4小时工作时间段现场运维人员的得1分；</w:t>
            </w:r>
            <w:r>
              <w:rPr>
                <w:rFonts w:hint="eastAsia" w:ascii="宋体" w:hAnsi="宋体" w:cs="宋体"/>
                <w:szCs w:val="21"/>
              </w:rPr>
            </w:r>
            <w:r/>
          </w:p>
          <w:p>
            <w:pPr>
              <w:pStyle w:val="756"/>
              <w:jc w:val="left"/>
              <w:widowControl/>
              <w:rPr>
                <w:rFonts w:hint="eastAsia" w:ascii="宋体" w:hAnsi="宋体" w:cs="宋体"/>
                <w:szCs w:val="21"/>
              </w:rPr>
            </w:pPr>
            <w:r>
              <w:rPr>
                <w:rFonts w:hint="eastAsia" w:ascii="宋体" w:hAnsi="宋体" w:cs="宋体"/>
                <w:szCs w:val="21"/>
              </w:rPr>
              <w:t xml:space="preserve">（4）未提供不得分。</w:t>
            </w:r>
            <w:r>
              <w:rPr>
                <w:rFonts w:hint="eastAsia" w:ascii="宋体" w:hAnsi="宋体" w:cs="宋体"/>
                <w:szCs w:val="21"/>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23"/>
        </w:trPr>
        <w:tc>
          <w:tcPr>
            <w:tcW w:w="1276" w:type="dxa"/>
            <w:vAlign w:val="center"/>
            <w:vMerge w:val="continue"/>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应急方案</w:t>
            </w:r>
            <w:r>
              <w:rPr>
                <w:rFonts w:hint="eastAsia" w:ascii="宋体" w:hAnsi="宋体" w:cs="宋体"/>
                <w:b/>
                <w:bCs/>
                <w:szCs w:val="21"/>
              </w:rPr>
            </w:r>
            <w:r/>
          </w:p>
          <w:p>
            <w:pPr>
              <w:pStyle w:val="756"/>
              <w:jc w:val="center"/>
              <w:widowControl/>
              <w:rPr>
                <w:rFonts w:hint="eastAsia" w:ascii="宋体" w:hAnsi="宋体" w:cs="宋体"/>
                <w:b/>
                <w:bCs/>
                <w:szCs w:val="21"/>
              </w:rPr>
            </w:pPr>
            <w:r>
              <w:rPr>
                <w:rFonts w:hint="eastAsia" w:ascii="宋体" w:hAnsi="宋体" w:cs="宋体"/>
                <w:b/>
                <w:bCs/>
                <w:szCs w:val="21"/>
              </w:rPr>
            </w:r>
            <w:r/>
          </w:p>
        </w:tc>
        <w:tc>
          <w:tcPr>
            <w:tcW w:w="6030" w:type="dxa"/>
            <w:vAlign w:val="center"/>
            <w:textDirection w:val="lrTb"/>
            <w:noWrap w:val="false"/>
          </w:tcPr>
          <w:p>
            <w:pPr>
              <w:pStyle w:val="756"/>
              <w:spacing w:line="276" w:lineRule="auto"/>
              <w:rPr>
                <w:rFonts w:hint="eastAsia" w:ascii="宋体" w:hAnsi="宋体" w:cs="宋体"/>
                <w:szCs w:val="21"/>
              </w:rPr>
            </w:pPr>
            <w:r>
              <w:rPr>
                <w:rFonts w:hint="eastAsia" w:ascii="宋体" w:hAnsi="宋体" w:cs="宋体"/>
                <w:szCs w:val="21"/>
              </w:rPr>
              <w:t xml:space="preserve">根据投标人提供的应急预案进行综合评定，包括但不限各种突发事件应急处理预案、应对解决措施等进行综合评分。</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（1）应急预案详细、具体，对本项目针对性强，具有实际可操作性的得，且提供12块硬盘和1台网络存储服务器放置项目现场机房留作维修备用的得3分 ；</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（2）应急预案较为详细、完整，对本项目针对性较强，且提供12块硬盘或1台网络存储服务器放置项目现场机房留作维修备用的得2 分 ； </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（3）应急预案较为简单、笼统，对本项目针对性不强，且不提供12块硬盘或1台网络存储服务器放置项目现场机房留作维修备用的得1分 ； </w:t>
            </w:r>
            <w:r>
              <w:rPr>
                <w:rFonts w:hint="eastAsia" w:ascii="宋体" w:hAnsi="宋体" w:cs="宋体"/>
                <w:szCs w:val="21"/>
              </w:rPr>
            </w:r>
            <w:r/>
          </w:p>
          <w:p>
            <w:pPr>
              <w:pStyle w:val="756"/>
              <w:spacing w:line="276" w:lineRule="auto"/>
              <w:rPr>
                <w:rFonts w:hint="eastAsia" w:ascii="宋体" w:hAnsi="宋体"/>
                <w:szCs w:val="21"/>
                <w:lang w:val="zh-CN"/>
              </w:rPr>
            </w:pPr>
            <w:r>
              <w:rPr>
                <w:rFonts w:hint="eastAsia" w:ascii="宋体" w:hAnsi="宋体" w:cs="宋体"/>
                <w:szCs w:val="21"/>
              </w:rPr>
              <w:t xml:space="preserve">（4）未提供不得分。</w:t>
            </w:r>
            <w:r>
              <w:rPr>
                <w:rFonts w:hint="eastAsia" w:ascii="宋体" w:hAnsi="宋体"/>
                <w:szCs w:val="21"/>
                <w:lang w:val="zh-CN"/>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23"/>
        </w:trPr>
        <w:tc>
          <w:tcPr>
            <w:tcW w:w="1276" w:type="dxa"/>
            <w:vAlign w:val="center"/>
            <w:vMerge w:val="continue"/>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r>
            <w:r/>
          </w:p>
        </w:tc>
        <w:tc>
          <w:tcPr>
            <w:tcW w:w="1526" w:type="dxa"/>
            <w:vAlign w:val="center"/>
            <w:textDirection w:val="lrTb"/>
            <w:noWrap w:val="false"/>
          </w:tcPr>
          <w:p>
            <w:pPr>
              <w:pStyle w:val="756"/>
              <w:jc w:val="center"/>
              <w:widowControl/>
              <w:rPr>
                <w:rFonts w:hint="eastAsia" w:ascii="宋体" w:hAnsi="宋体" w:cs="宋体"/>
                <w:b/>
                <w:bCs/>
                <w:szCs w:val="21"/>
              </w:rPr>
            </w:pPr>
            <w:r>
              <w:rPr>
                <w:rFonts w:hint="eastAsia" w:ascii="宋体" w:hAnsi="宋体" w:cs="宋体"/>
                <w:b/>
                <w:bCs/>
                <w:szCs w:val="21"/>
              </w:rPr>
              <w:t xml:space="preserve">系统对接方案</w:t>
            </w:r>
            <w:r>
              <w:rPr>
                <w:rFonts w:hint="eastAsia" w:ascii="宋体" w:hAnsi="宋体" w:cs="宋体"/>
                <w:b/>
                <w:bCs/>
                <w:szCs w:val="21"/>
              </w:rPr>
            </w:r>
            <w:r/>
          </w:p>
        </w:tc>
        <w:tc>
          <w:tcPr>
            <w:tcW w:w="6030" w:type="dxa"/>
            <w:vAlign w:val="center"/>
            <w:textDirection w:val="lrTb"/>
            <w:noWrap w:val="false"/>
          </w:tcPr>
          <w:p>
            <w:pPr>
              <w:pStyle w:val="756"/>
              <w:jc w:val="left"/>
              <w:widowControl/>
              <w:rPr>
                <w:rFonts w:hint="eastAsia" w:ascii="宋体" w:hAnsi="宋体" w:cs="宋体"/>
                <w:szCs w:val="21"/>
              </w:rPr>
            </w:pPr>
            <w:r>
              <w:rPr>
                <w:rFonts w:hint="eastAsia" w:ascii="宋体" w:hAnsi="宋体" w:cs="宋体"/>
                <w:szCs w:val="21"/>
              </w:rPr>
              <w:t xml:space="preserve">评委根据投标人所投安防设备要与原有及新建安防平台对接兼容并互联互通，需提供对接方案并出具保证现有系统使用承诺函加盖公章，承诺函格式自拟。</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（1）对接方案详细、具体，满足采购工作要求的，具有实际可操作性保证现有系统正常运行的得3分；</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（2）对接方案方案较为详细、完整，基本满足采购工作要求的，基本保证现有系统正常运行的得2分</w:t>
            </w:r>
            <w:r>
              <w:rPr>
                <w:rFonts w:hint="eastAsia" w:ascii="宋体" w:hAnsi="宋体" w:cs="宋体"/>
                <w:szCs w:val="21"/>
              </w:rPr>
            </w:r>
            <w:r/>
          </w:p>
          <w:p>
            <w:pPr>
              <w:pStyle w:val="756"/>
              <w:spacing w:line="276" w:lineRule="auto"/>
              <w:rPr>
                <w:rFonts w:hint="eastAsia" w:ascii="宋体" w:hAnsi="宋体" w:cs="宋体"/>
                <w:szCs w:val="21"/>
              </w:rPr>
            </w:pPr>
            <w:r>
              <w:rPr>
                <w:rFonts w:hint="eastAsia" w:ascii="宋体" w:hAnsi="宋体" w:cs="宋体"/>
                <w:szCs w:val="21"/>
              </w:rPr>
              <w:t xml:space="preserve">（3）对接方案方案简单、笼统，可行性一般，得1分；</w:t>
            </w:r>
            <w:r>
              <w:rPr>
                <w:rFonts w:hint="eastAsia" w:ascii="宋体" w:hAnsi="宋体" w:cs="宋体"/>
                <w:szCs w:val="21"/>
              </w:rPr>
            </w:r>
            <w:r/>
          </w:p>
          <w:p>
            <w:pPr>
              <w:pStyle w:val="792"/>
              <w:ind w:left="0" w:right="1470"/>
              <w:rPr>
                <w:rFonts w:hint="eastAsia" w:ascii="宋体" w:hAnsi="宋体" w:cs="宋体"/>
                <w:szCs w:val="21"/>
              </w:rPr>
            </w:pPr>
            <w:r>
              <w:rPr>
                <w:rFonts w:hint="eastAsia" w:ascii="宋体" w:hAnsi="宋体" w:cs="宋体"/>
                <w:szCs w:val="21"/>
              </w:rPr>
              <w:t xml:space="preserve">（4）未提供不得分。</w:t>
            </w:r>
            <w:r>
              <w:rPr>
                <w:rFonts w:hint="eastAsia" w:ascii="宋体" w:hAnsi="宋体" w:cs="宋体"/>
                <w:szCs w:val="21"/>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23"/>
        </w:trPr>
        <w:tc>
          <w:tcPr>
            <w:tcW w:w="1276" w:type="dxa"/>
            <w:vAlign w:val="center"/>
            <w:vMerge w:val="continue"/>
            <w:textDirection w:val="lrTb"/>
            <w:noWrap w:val="false"/>
          </w:tcPr>
          <w:p>
            <w:pPr>
              <w:pStyle w:val="756"/>
              <w:jc w:val="left"/>
              <w:widowControl/>
              <w:rPr>
                <w:rFonts w:hint="eastAsia" w:ascii="宋体" w:hAnsi="宋体" w:cs="宋体"/>
                <w:b/>
                <w:bCs/>
                <w:szCs w:val="21"/>
              </w:rPr>
            </w:pPr>
            <w:r>
              <w:rPr>
                <w:rFonts w:hint="eastAsia" w:ascii="宋体" w:hAnsi="宋体" w:cs="宋体"/>
                <w:b/>
                <w:bCs/>
                <w:szCs w:val="21"/>
              </w:rPr>
            </w:r>
            <w:r/>
          </w:p>
        </w:tc>
        <w:tc>
          <w:tcPr>
            <w:tcW w:w="1526" w:type="dxa"/>
            <w:vAlign w:val="center"/>
            <w:textDirection w:val="lrTb"/>
            <w:noWrap w:val="false"/>
          </w:tcPr>
          <w:p>
            <w:pPr>
              <w:pStyle w:val="756"/>
              <w:ind w:firstLine="211"/>
              <w:jc w:val="left"/>
              <w:rPr>
                <w:rFonts w:hint="eastAsia" w:ascii="宋体" w:hAnsi="宋体" w:cs="宋体"/>
                <w:b/>
                <w:bCs/>
                <w:szCs w:val="21"/>
              </w:rPr>
            </w:pPr>
            <w:r>
              <w:rPr>
                <w:rFonts w:hint="eastAsia" w:ascii="宋体" w:hAnsi="宋体" w:cs="宋体"/>
                <w:b/>
                <w:bCs/>
                <w:szCs w:val="21"/>
              </w:rPr>
              <w:t xml:space="preserve">培训服务方案</w:t>
            </w:r>
            <w:r>
              <w:rPr>
                <w:rFonts w:hint="eastAsia" w:ascii="宋体" w:hAnsi="宋体" w:cs="宋体"/>
                <w:b/>
                <w:bCs/>
                <w:szCs w:val="21"/>
              </w:rPr>
            </w:r>
            <w:r/>
          </w:p>
        </w:tc>
        <w:tc>
          <w:tcPr>
            <w:tcW w:w="6030" w:type="dxa"/>
            <w:vAlign w:val="center"/>
            <w:textDirection w:val="lrTb"/>
            <w:noWrap w:val="false"/>
          </w:tcPr>
          <w:p>
            <w:pPr>
              <w:pStyle w:val="756"/>
              <w:rPr>
                <w:rFonts w:hint="eastAsia" w:ascii="宋体" w:hAnsi="宋体"/>
                <w:szCs w:val="21"/>
                <w:lang w:val="zh-CN"/>
              </w:rPr>
            </w:pPr>
            <w:r>
              <w:rPr>
                <w:rFonts w:hint="eastAsia" w:ascii="宋体" w:hAnsi="宋体"/>
                <w:szCs w:val="21"/>
                <w:lang w:val="zh-CN"/>
              </w:rPr>
              <w:t xml:space="preserve">评委根据</w:t>
            </w:r>
            <w:r>
              <w:rPr>
                <w:rFonts w:hint="eastAsia" w:ascii="宋体" w:hAnsi="宋体"/>
                <w:szCs w:val="21"/>
              </w:rPr>
              <w:t xml:space="preserve">投标人</w:t>
            </w:r>
            <w:r>
              <w:rPr>
                <w:rFonts w:hint="eastAsia" w:ascii="宋体" w:hAnsi="宋体"/>
                <w:szCs w:val="21"/>
                <w:lang w:val="zh-CN"/>
              </w:rPr>
              <w:t xml:space="preserve">提供的培训方案(包含但不限于硬件、软件、安装、售后等内容)进行评分。</w:t>
            </w:r>
            <w:r>
              <w:rPr>
                <w:rFonts w:hint="eastAsia" w:ascii="宋体" w:hAnsi="宋体"/>
                <w:szCs w:val="21"/>
                <w:lang w:val="zh-CN"/>
              </w:rPr>
            </w:r>
            <w:r/>
          </w:p>
          <w:p>
            <w:pPr>
              <w:pStyle w:val="756"/>
              <w:spacing w:line="276"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）方案目标明确、内容完整、安排合理、针对性强的得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lang w:val="zh-CN"/>
              </w:rPr>
            </w:r>
            <w:r/>
          </w:p>
          <w:p>
            <w:pPr>
              <w:pStyle w:val="756"/>
              <w:spacing w:line="276"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）方案目标较明确、内容较完整、安排较合理、针对性较强的得</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lang w:val="zh-CN"/>
              </w:rPr>
            </w:r>
            <w:r/>
          </w:p>
          <w:p>
            <w:pPr>
              <w:pStyle w:val="756"/>
              <w:spacing w:line="276"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）方案目标模糊、内容欠缺、针对性略有欠缺</w:t>
            </w:r>
            <w:r>
              <w:rPr>
                <w:rFonts w:hint="eastAsia" w:ascii="宋体" w:hAnsi="宋体" w:cs="宋体"/>
                <w:szCs w:val="21"/>
              </w:rPr>
              <w:t xml:space="preserve">或</w:t>
            </w:r>
            <w:r>
              <w:rPr>
                <w:rFonts w:hint="eastAsia" w:ascii="宋体" w:hAnsi="宋体" w:cs="宋体"/>
                <w:szCs w:val="21"/>
                <w:lang w:val="zh-CN"/>
              </w:rPr>
              <w:t xml:space="preserve">未提供不得分。</w:t>
            </w:r>
            <w:r>
              <w:rPr>
                <w:rFonts w:hint="eastAsia" w:ascii="宋体" w:hAnsi="宋体" w:cs="宋体"/>
                <w:szCs w:val="21"/>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23"/>
        </w:trPr>
        <w:tc>
          <w:tcPr>
            <w:tcW w:w="1276" w:type="dxa"/>
            <w:vAlign w:val="center"/>
            <w:vMerge w:val="continue"/>
            <w:textDirection w:val="lrTb"/>
            <w:noWrap w:val="false"/>
          </w:tcPr>
          <w:p>
            <w:pPr>
              <w:pStyle w:val="756"/>
              <w:jc w:val="left"/>
              <w:widowControl/>
              <w:rPr>
                <w:rFonts w:hint="eastAsia" w:ascii="宋体" w:hAnsi="宋体" w:cs="宋体"/>
                <w:b/>
                <w:bCs/>
                <w:szCs w:val="21"/>
              </w:rPr>
            </w:pPr>
            <w:r>
              <w:rPr>
                <w:rFonts w:hint="eastAsia" w:ascii="宋体" w:hAnsi="宋体" w:cs="宋体"/>
                <w:b/>
                <w:bCs/>
                <w:szCs w:val="21"/>
              </w:rPr>
            </w:r>
            <w:r/>
          </w:p>
        </w:tc>
        <w:tc>
          <w:tcPr>
            <w:tcW w:w="1526" w:type="dxa"/>
            <w:vAlign w:val="center"/>
            <w:textDirection w:val="lrTb"/>
            <w:noWrap w:val="false"/>
          </w:tcPr>
          <w:p>
            <w:pPr>
              <w:pStyle w:val="756"/>
              <w:jc w:val="left"/>
              <w:widowControl/>
              <w:rPr>
                <w:rFonts w:hint="eastAsia" w:ascii="宋体" w:hAnsi="宋体" w:cs="宋体"/>
                <w:b/>
                <w:bCs/>
                <w:szCs w:val="21"/>
              </w:rPr>
            </w:pPr>
            <w:r>
              <w:rPr>
                <w:rFonts w:hint="eastAsia" w:ascii="宋体" w:hAnsi="宋体" w:cs="宋体"/>
                <w:b/>
                <w:bCs/>
                <w:szCs w:val="21"/>
              </w:rPr>
              <w:t xml:space="preserve">项目人员资质</w:t>
            </w:r>
            <w:r>
              <w:rPr>
                <w:rFonts w:hint="eastAsia" w:ascii="宋体" w:hAnsi="宋体" w:cs="宋体"/>
                <w:b/>
                <w:bCs/>
                <w:szCs w:val="21"/>
              </w:rPr>
            </w:r>
            <w:r/>
          </w:p>
        </w:tc>
        <w:tc>
          <w:tcPr>
            <w:tcW w:w="6030" w:type="dxa"/>
            <w:vAlign w:val="center"/>
            <w:textDirection w:val="lrTb"/>
            <w:noWrap w:val="false"/>
          </w:tcPr>
          <w:p>
            <w:pPr>
              <w:pStyle w:val="756"/>
              <w:jc w:val="left"/>
              <w:widowControl/>
              <w:rPr>
                <w:rFonts w:hint="eastAsia" w:ascii="宋体" w:hAnsi="宋体" w:cs="宋体"/>
                <w:szCs w:val="21"/>
              </w:rPr>
            </w:pPr>
            <w:r>
              <w:rPr>
                <w:rFonts w:hint="eastAsia" w:ascii="宋体" w:hAnsi="宋体" w:cs="宋体"/>
                <w:szCs w:val="21"/>
              </w:rPr>
              <w:t xml:space="preserve">1.投标人指派的项目经理具有工程师及以上证书且同时具有信息系统项目管理师证书，得4分。未提供不得分。（提供证书扫描件并加盖投标人公章。）</w:t>
            </w:r>
            <w:r>
              <w:rPr>
                <w:rFonts w:hint="eastAsia" w:ascii="宋体" w:hAnsi="宋体" w:cs="宋体"/>
                <w:szCs w:val="21"/>
              </w:rPr>
            </w:r>
            <w:r/>
          </w:p>
          <w:p>
            <w:pPr>
              <w:pStyle w:val="756"/>
              <w:jc w:val="left"/>
              <w:widowControl/>
              <w:rPr>
                <w:rFonts w:hint="eastAsia" w:ascii="宋体" w:hAnsi="宋体" w:cs="宋体"/>
                <w:szCs w:val="21"/>
              </w:rPr>
            </w:pPr>
            <w:r>
              <w:rPr>
                <w:rFonts w:hint="eastAsia" w:ascii="宋体" w:hAnsi="宋体" w:cs="宋体"/>
                <w:szCs w:val="21"/>
              </w:rPr>
              <w:t xml:space="preserve">2、其他项目团队人员具备IT服务工程师(ITSS)、信息系统项目管理师证书、系统集成项目管理工程师证书的，每提供一个得2分，最多可得6分。（提供证书扫描件并加盖投标人公章。）（以上人员一人一证，不可重复计分）</w:t>
            </w:r>
            <w:r>
              <w:rPr>
                <w:rFonts w:hint="eastAsia" w:ascii="宋体" w:hAnsi="宋体" w:cs="宋体"/>
                <w:szCs w:val="21"/>
              </w:rPr>
            </w:r>
            <w:r/>
          </w:p>
          <w:p>
            <w:pPr>
              <w:pStyle w:val="756"/>
              <w:jc w:val="left"/>
              <w:widowControl/>
              <w:rPr>
                <w:rFonts w:hint="eastAsia" w:ascii="宋体" w:hAnsi="宋体" w:cs="宋体"/>
                <w:szCs w:val="21"/>
              </w:rPr>
            </w:pPr>
            <w:r>
              <w:rPr>
                <w:rFonts w:hint="eastAsia" w:ascii="宋体" w:hAnsi="宋体" w:cs="宋体"/>
                <w:szCs w:val="21"/>
              </w:rPr>
              <w:t xml:space="preserve">（以上1、2项均需提供证书扫描件及近半年内连续三个月社保缴纳证明并加盖投标人公章）</w:t>
            </w:r>
            <w:r>
              <w:rPr>
                <w:rFonts w:hint="eastAsia" w:ascii="宋体" w:hAnsi="宋体" w:cs="宋体"/>
                <w:szCs w:val="21"/>
              </w:rPr>
            </w:r>
            <w:r/>
          </w:p>
        </w:tc>
        <w:tc>
          <w:tcPr>
            <w:tcW w:w="885" w:type="dxa"/>
            <w:vAlign w:val="center"/>
            <w:textDirection w:val="lrTb"/>
            <w:noWrap w:val="false"/>
          </w:tcPr>
          <w:p>
            <w:pPr>
              <w:pStyle w:val="756"/>
              <w:jc w:val="center"/>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bl>
    <w:p>
      <w:pPr>
        <w:pStyle w:val="991"/>
      </w:pPr>
      <w:r/>
      <w:bookmarkEnd w:id="28"/>
      <w:r/>
      <w:r/>
    </w:p>
    <w:p>
      <w:pPr>
        <w:pStyle w:val="756"/>
        <w:spacing w:line="360" w:lineRule="auto"/>
        <w:rPr>
          <w:rFonts w:hint="eastAsia" w:ascii="宋体" w:hAnsi="宋体" w:cs="宋体"/>
          <w:bCs/>
          <w:szCs w:val="21"/>
        </w:rPr>
      </w:pPr>
      <w:r>
        <w:rPr>
          <w:rFonts w:hint="eastAsia" w:ascii="宋体" w:hAnsi="宋体" w:cs="宋体"/>
          <w:bCs/>
          <w:szCs w:val="21"/>
        </w:rPr>
        <w:t xml:space="preserve">说明：</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2.小微企业价格扣除</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3.监狱和戒毒企业的价格扣除</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rPr>
          <w:rFonts w:hint="eastAsia" w:ascii="宋体" w:hAnsi="宋体" w:cs="宋体"/>
          <w:bCs/>
          <w:szCs w:val="21"/>
        </w:rPr>
      </w:r>
      <w:r/>
    </w:p>
    <w:p>
      <w:pPr>
        <w:pStyle w:val="756"/>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rPr>
          <w:rFonts w:hint="eastAsia" w:ascii="宋体" w:hAnsi="宋体" w:cs="宋体"/>
          <w:bCs/>
          <w:szCs w:val="21"/>
        </w:rPr>
      </w:r>
      <w:r/>
    </w:p>
    <w:p>
      <w:pPr>
        <w:pStyle w:val="756"/>
        <w:spacing w:line="360" w:lineRule="auto"/>
        <w:rPr>
          <w:rFonts w:hint="eastAsia" w:ascii="宋体" w:hAnsi="宋体" w:cs="宋体"/>
          <w:b/>
          <w:bCs/>
          <w:szCs w:val="21"/>
        </w:rPr>
      </w:pPr>
      <w:r>
        <w:rPr>
          <w:rFonts w:hint="eastAsia" w:ascii="宋体" w:hAnsi="宋体" w:cs="宋体"/>
          <w:bCs/>
          <w:szCs w:val="21"/>
        </w:rPr>
        <w:t xml:space="preserve">5. 监狱企业、残疾人福利性单位属于小型、微型企业的，不重复享受政策。</w:t>
      </w:r>
      <w:r>
        <w:rPr>
          <w:rFonts w:hint="eastAsia" w:ascii="宋体" w:hAnsi="宋体" w:cs="宋体"/>
          <w:szCs w:val="21"/>
        </w:rPr>
        <w:br w:type="page" w:clear="all"/>
      </w:r>
      <w:r>
        <w:rPr>
          <w:rFonts w:hint="eastAsia" w:ascii="宋体" w:hAnsi="宋体" w:cs="宋体"/>
          <w:b/>
          <w:bCs/>
          <w:szCs w:val="21"/>
        </w:rPr>
      </w:r>
      <w:r/>
    </w:p>
    <w:p>
      <w:pPr>
        <w:pStyle w:val="757"/>
        <w:spacing w:line="360" w:lineRule="auto"/>
        <w:rPr>
          <w:rFonts w:hint="eastAsia" w:ascii="宋体" w:hAnsi="宋体" w:cs="宋体"/>
        </w:rPr>
      </w:pPr>
      <w:r/>
      <w:bookmarkStart w:id="33" w:name="_Toc31739"/>
      <w:r/>
      <w:bookmarkStart w:id="34" w:name="_Hlk96071152"/>
      <w:r/>
      <w:bookmarkStart w:id="35" w:name="_Toc481057147"/>
      <w:r>
        <w:rPr>
          <w:rFonts w:hint="eastAsia" w:ascii="宋体" w:hAnsi="宋体" w:cs="宋体"/>
        </w:rPr>
        <w:t xml:space="preserve"> </w:t>
      </w:r>
      <w:bookmarkStart w:id="36" w:name="_Toc31366"/>
      <w:r/>
      <w:bookmarkStart w:id="37" w:name="_Toc24218"/>
      <w:r>
        <w:rPr>
          <w:rFonts w:hint="eastAsia" w:ascii="宋体" w:hAnsi="宋体" w:cs="宋体"/>
        </w:rPr>
        <w:t xml:space="preserve">采购需求</w:t>
      </w:r>
      <w:bookmarkEnd w:id="33"/>
      <w:r/>
      <w:bookmarkEnd w:id="36"/>
      <w:r/>
      <w:bookmarkEnd w:id="37"/>
      <w:r>
        <w:rPr>
          <w:rFonts w:hint="eastAsia" w:ascii="宋体" w:hAnsi="宋体" w:cs="宋体"/>
        </w:rPr>
      </w:r>
      <w:r/>
    </w:p>
    <w:p>
      <w:pPr>
        <w:pStyle w:val="756"/>
        <w:numPr>
          <w:ilvl w:val="0"/>
          <w:numId w:val="7"/>
        </w:numPr>
        <w:spacing w:line="360" w:lineRule="auto"/>
        <w:rPr>
          <w:rFonts w:hint="eastAsia" w:ascii="宋体" w:hAnsi="宋体" w:cs="宋体"/>
          <w:b/>
          <w:bCs/>
          <w:spacing w:val="8"/>
          <w:sz w:val="28"/>
          <w:szCs w:val="28"/>
        </w:rPr>
        <w:outlineLvl w:val="1"/>
      </w:pPr>
      <w:r/>
      <w:bookmarkStart w:id="38" w:name="_Toc24181"/>
      <w:r/>
      <w:bookmarkStart w:id="39" w:name="_Toc11434"/>
      <w:r/>
      <w:bookmarkStart w:id="40" w:name="_Hlk139461771"/>
      <w:r>
        <w:rPr>
          <w:rFonts w:hint="eastAsia" w:ascii="宋体" w:hAnsi="宋体" w:cs="宋体"/>
          <w:b/>
          <w:bCs/>
          <w:spacing w:val="8"/>
          <w:sz w:val="28"/>
          <w:szCs w:val="28"/>
        </w:rPr>
        <w:t xml:space="preserve">项目概况</w:t>
      </w:r>
      <w:bookmarkEnd w:id="38"/>
      <w:r>
        <w:rPr>
          <w:rFonts w:hint="eastAsia" w:ascii="宋体" w:hAnsi="宋体" w:cs="宋体"/>
          <w:b/>
          <w:bCs/>
          <w:spacing w:val="8"/>
          <w:sz w:val="28"/>
          <w:szCs w:val="28"/>
        </w:rPr>
      </w:r>
      <w:r/>
    </w:p>
    <w:p>
      <w:pPr>
        <w:pStyle w:val="756"/>
        <w:numPr>
          <w:ilvl w:val="0"/>
          <w:numId w:val="8"/>
        </w:numPr>
        <w:ind w:left="0"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项目背景</w:t>
      </w:r>
      <w:r>
        <w:rPr>
          <w:rFonts w:hint="eastAsia" w:ascii="宋体" w:hAnsi="宋体" w:cs="宋体"/>
          <w:b/>
          <w:bCs/>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南京城墙作为重要历史遗迹，市政府于</w:t>
      </w:r>
      <w:r>
        <w:rPr>
          <w:rFonts w:hint="eastAsia" w:ascii="宋体" w:hAnsi="宋体" w:cs="宋体"/>
          <w:spacing w:val="8"/>
          <w:szCs w:val="21"/>
        </w:rPr>
        <w:t xml:space="preserve">2014年完成了对南京城墙的安全技术防范系统的建设，总投资1400多万元，整个系统已运行了十年，随着电子设备严重老化，部分线路裸露，近几年各种故障频发，已经无法满足城墙的安全防范需求，给南京城墙的保护工作带来了巨大影响。 </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hint="eastAsia" w:ascii="宋体" w:hAnsi="宋体" w:cs="宋体"/>
          <w:spacing w:val="8"/>
          <w:szCs w:val="21"/>
        </w:rPr>
        <w:t xml:space="preserve">城墙安防系统有</w:t>
      </w:r>
      <w:r>
        <w:rPr>
          <w:rFonts w:ascii="宋体" w:hAnsi="宋体" w:cs="宋体"/>
          <w:spacing w:val="8"/>
          <w:szCs w:val="21"/>
        </w:rPr>
        <w:t xml:space="preserve">1</w:t>
      </w:r>
      <w:r>
        <w:rPr>
          <w:rFonts w:hint="eastAsia" w:ascii="宋体" w:hAnsi="宋体" w:cs="宋体"/>
          <w:spacing w:val="8"/>
          <w:szCs w:val="21"/>
        </w:rPr>
        <w:t xml:space="preserve">个监控中心（挹江门）， </w:t>
      </w:r>
      <w:r>
        <w:rPr>
          <w:rFonts w:ascii="宋体" w:hAnsi="宋体" w:cs="宋体"/>
          <w:spacing w:val="8"/>
          <w:szCs w:val="21"/>
        </w:rPr>
        <w:t xml:space="preserve">7</w:t>
      </w:r>
      <w:r>
        <w:rPr>
          <w:rFonts w:hint="eastAsia" w:ascii="宋体" w:hAnsi="宋体" w:cs="宋体"/>
          <w:spacing w:val="8"/>
          <w:szCs w:val="21"/>
        </w:rPr>
        <w:t xml:space="preserve">个分机房（如下表），目前接入</w:t>
      </w:r>
      <w:r>
        <w:rPr>
          <w:rFonts w:ascii="宋体" w:hAnsi="宋体" w:cs="宋体"/>
          <w:spacing w:val="8"/>
          <w:szCs w:val="21"/>
        </w:rPr>
        <w:t xml:space="preserve">567</w:t>
      </w:r>
      <w:r>
        <w:rPr>
          <w:rFonts w:hint="eastAsia" w:ascii="宋体" w:hAnsi="宋体" w:cs="宋体"/>
          <w:spacing w:val="8"/>
          <w:szCs w:val="21"/>
        </w:rPr>
        <w:t xml:space="preserve">个前端摄像头，通过光纤级联和专网连入挹江门控制机房。</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mc:AlternateContent>
          <mc:Choice Requires="wpg">
            <w:drawing>
              <wp:inline xmlns:wp="http://schemas.openxmlformats.org/drawingml/2006/wordprocessingDrawing" distT="0" distB="0" distL="0" distR="0">
                <wp:extent cx="5404714" cy="26668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404714" cy="2666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6pt;height:210.0pt;mso-wrap-distance-left:0.0pt;mso-wrap-distance-top:0.0pt;mso-wrap-distance-right:0.0pt;mso-wrap-distance-bottom:0.0pt;" stroked="f">
                <v:path textboxrect="0,0,0,0"/>
                <v:imagedata r:id="rId14" o:title=""/>
              </v:shape>
            </w:pict>
          </mc:Fallback>
        </mc:AlternateConten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备注：其中博物馆共198路只接入机房预览不存储，</w:t>
      </w:r>
      <w:r>
        <w:rPr>
          <w:rFonts w:hint="eastAsia" w:ascii="宋体" w:hAnsi="宋体" w:cs="宋体"/>
          <w:spacing w:val="8"/>
          <w:szCs w:val="21"/>
        </w:rPr>
        <w:t xml:space="preserve">单独管理。</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根据现场实际勘察，共用567</w:t>
      </w:r>
      <w:r>
        <w:rPr>
          <w:rFonts w:hint="eastAsia" w:ascii="宋体" w:hAnsi="宋体" w:cs="宋体"/>
          <w:spacing w:val="8"/>
          <w:szCs w:val="21"/>
        </w:rPr>
        <w:t xml:space="preserve">路接入，其中博物馆</w:t>
      </w:r>
      <w:r>
        <w:rPr>
          <w:rFonts w:ascii="宋体" w:hAnsi="宋体" w:cs="宋体"/>
          <w:spacing w:val="8"/>
          <w:szCs w:val="21"/>
        </w:rPr>
        <w:t xml:space="preserve">198</w:t>
      </w:r>
      <w:r>
        <w:rPr>
          <w:rFonts w:hint="eastAsia" w:ascii="宋体" w:hAnsi="宋体" w:cs="宋体"/>
          <w:spacing w:val="8"/>
          <w:szCs w:val="21"/>
        </w:rPr>
        <w:t xml:space="preserve">路，监控中心实际控制</w:t>
      </w:r>
      <w:r>
        <w:rPr>
          <w:rFonts w:ascii="宋体" w:hAnsi="宋体" w:cs="宋体"/>
          <w:spacing w:val="8"/>
          <w:szCs w:val="21"/>
        </w:rPr>
        <w:t xml:space="preserve">369</w:t>
      </w:r>
      <w:r>
        <w:rPr>
          <w:rFonts w:hint="eastAsia" w:ascii="宋体" w:hAnsi="宋体" w:cs="宋体"/>
          <w:spacing w:val="8"/>
          <w:szCs w:val="21"/>
        </w:rPr>
        <w:t xml:space="preserve">路，部分设备因供电问题、信号传输，设备故障等原因无法上线，无法接入监控中心。 </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hint="eastAsia" w:ascii="宋体" w:hAnsi="宋体" w:cs="宋体"/>
          <w:spacing w:val="8"/>
          <w:szCs w:val="21"/>
        </w:rPr>
        <w:t xml:space="preserve">显示屏因使用时间过久，设备老化，解码器端口老化，部分画面不清析，存在画面抖动，波纹，颜色失真等现象。</w:t>
      </w:r>
      <w:r>
        <w:rPr>
          <w:rFonts w:hint="eastAsia" w:ascii="宋体" w:hAnsi="宋体" w:cs="宋体"/>
          <w:spacing w:val="8"/>
          <w:szCs w:val="21"/>
        </w:rPr>
      </w:r>
      <w:r/>
    </w:p>
    <w:p>
      <w:pPr>
        <w:pStyle w:val="756"/>
        <w:numPr>
          <w:ilvl w:val="0"/>
          <w:numId w:val="8"/>
        </w:numPr>
        <w:ind w:left="0"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项目概况</w:t>
      </w:r>
      <w:r>
        <w:rPr>
          <w:rFonts w:hint="eastAsia" w:ascii="宋体" w:hAnsi="宋体" w:cs="宋体"/>
          <w:b/>
          <w:bCs/>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摄像机</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景区及城墙进出口，人流量比较大，各种</w:t>
      </w:r>
      <w:r>
        <w:rPr>
          <w:rFonts w:hint="eastAsia" w:ascii="宋体" w:hAnsi="宋体" w:cs="宋体"/>
          <w:spacing w:val="8"/>
          <w:szCs w:val="21"/>
        </w:rPr>
        <w:t xml:space="preserve">突发事件比较集中的区域，设计采用AI智能摄像机，具有主动侦测，越界预警、人脸识别、客流分析和统计等功能，共计62台摄像机。 游客进出口摄像机双向布置，可根据需要接入公安网，用于反恐和社会治安。</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部分售票区域室内外光线有差异，改为星</w:t>
      </w:r>
      <w:r>
        <w:rPr>
          <w:rFonts w:hint="eastAsia" w:ascii="宋体" w:hAnsi="宋体" w:cs="宋体"/>
          <w:spacing w:val="8"/>
          <w:szCs w:val="21"/>
        </w:rPr>
        <w:t xml:space="preserve">光级全彩摄像机，带有宽动态和强光抑制功能，内置拾音器，声音清晰，可以更好加强管理服务。 </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hint="eastAsia" w:ascii="宋体" w:hAnsi="宋体" w:cs="宋体"/>
          <w:spacing w:val="8"/>
          <w:szCs w:val="21"/>
        </w:rPr>
        <w:t xml:space="preserve">考虑到夜间监视效果，城墙上重要位置的普通摄像机更换为星光级全彩摄像机共209台。其中枪机209台，球形摄像机51台。 </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hint="eastAsia" w:ascii="宋体" w:hAnsi="宋体" w:cs="宋体"/>
          <w:spacing w:val="8"/>
          <w:szCs w:val="21"/>
        </w:rPr>
        <w:t xml:space="preserve">维保更换使用年限不长的摄像机进行利旧处理。</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控制箱</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更换统一规格的控制箱(</w:t>
      </w:r>
      <w:r>
        <w:rPr>
          <w:rFonts w:hint="eastAsia" w:ascii="宋体" w:hAnsi="宋体" w:cs="宋体"/>
          <w:spacing w:val="8"/>
          <w:szCs w:val="21"/>
        </w:rPr>
        <w:t xml:space="preserve">室外不锈钢</w:t>
      </w:r>
      <w:r>
        <w:rPr>
          <w:rFonts w:ascii="宋体" w:hAnsi="宋体" w:cs="宋体"/>
          <w:spacing w:val="8"/>
          <w:szCs w:val="21"/>
        </w:rPr>
        <w:t xml:space="preserve">)</w:t>
      </w:r>
      <w:r>
        <w:rPr>
          <w:rFonts w:hint="eastAsia" w:ascii="宋体" w:hAnsi="宋体" w:cs="宋体"/>
          <w:spacing w:val="8"/>
          <w:szCs w:val="21"/>
        </w:rPr>
        <w:t xml:space="preserve">具备智能运维功能的控制箱共</w:t>
      </w:r>
      <w:r>
        <w:rPr>
          <w:rFonts w:ascii="宋体" w:hAnsi="宋体" w:cs="宋体"/>
          <w:spacing w:val="8"/>
          <w:szCs w:val="21"/>
        </w:rPr>
        <w:t xml:space="preserve">164</w:t>
      </w:r>
      <w:r>
        <w:rPr>
          <w:rFonts w:hint="eastAsia" w:ascii="宋体" w:hAnsi="宋体" w:cs="宋体"/>
          <w:spacing w:val="8"/>
          <w:szCs w:val="21"/>
        </w:rPr>
        <w:t xml:space="preserve">台，箱内成套需配置散热、配套电源、传输设备和防雷设备等，箱盖定制专用</w:t>
      </w:r>
      <w:r>
        <w:rPr>
          <w:rFonts w:ascii="宋体" w:hAnsi="宋体" w:cs="宋体"/>
          <w:spacing w:val="8"/>
          <w:szCs w:val="21"/>
        </w:rPr>
        <w:t xml:space="preserve">LOGO</w:t>
      </w:r>
      <w:r>
        <w:rPr>
          <w:rFonts w:hint="eastAsia" w:ascii="宋体" w:hAnsi="宋体" w:cs="宋体"/>
          <w:spacing w:val="8"/>
          <w:szCs w:val="21"/>
        </w:rPr>
        <w:t xml:space="preserve">。</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立杆 </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城墙内的旅游打卡区域监控立杆更换统一</w:t>
      </w:r>
      <w:r>
        <w:rPr>
          <w:rFonts w:hint="eastAsia" w:ascii="宋体" w:hAnsi="宋体" w:cs="宋体"/>
          <w:spacing w:val="8"/>
          <w:szCs w:val="21"/>
        </w:rPr>
        <w:t xml:space="preserve">外观、尺寸的监控立杆，其它区域立杆利旧，数量为</w:t>
      </w:r>
      <w:r>
        <w:rPr>
          <w:rFonts w:ascii="宋体" w:hAnsi="宋体" w:cs="宋体"/>
          <w:spacing w:val="8"/>
          <w:szCs w:val="21"/>
        </w:rPr>
        <w:t xml:space="preserve">180</w:t>
      </w:r>
      <w:r>
        <w:rPr>
          <w:rFonts w:hint="eastAsia" w:ascii="宋体" w:hAnsi="宋体" w:cs="宋体"/>
          <w:spacing w:val="8"/>
          <w:szCs w:val="21"/>
        </w:rPr>
        <w:t xml:space="preserve">套。空旷区域立杆采用</w:t>
      </w:r>
      <w:r>
        <w:rPr>
          <w:rFonts w:ascii="宋体" w:hAnsi="宋体" w:cs="宋体"/>
          <w:spacing w:val="8"/>
          <w:szCs w:val="21"/>
        </w:rPr>
        <w:t xml:space="preserve">3.5</w:t>
      </w:r>
      <w:r>
        <w:rPr>
          <w:rFonts w:hint="eastAsia" w:ascii="宋体" w:hAnsi="宋体" w:cs="宋体"/>
          <w:spacing w:val="8"/>
          <w:szCs w:val="21"/>
        </w:rPr>
        <w:t xml:space="preserve">米即可，其他区域采用</w:t>
      </w:r>
      <w:r>
        <w:rPr>
          <w:rFonts w:ascii="宋体" w:hAnsi="宋体" w:cs="宋体"/>
          <w:spacing w:val="8"/>
          <w:szCs w:val="21"/>
        </w:rPr>
        <w:t xml:space="preserve">4.5</w:t>
      </w:r>
      <w:r>
        <w:rPr>
          <w:rFonts w:hint="eastAsia" w:ascii="宋体" w:hAnsi="宋体" w:cs="宋体"/>
          <w:spacing w:val="8"/>
          <w:szCs w:val="21"/>
        </w:rPr>
        <w:t xml:space="preserve">米，保证监控范围和效果，黑龙江路段围墙较高，立杆采用</w:t>
      </w:r>
      <w:r>
        <w:rPr>
          <w:rFonts w:ascii="宋体" w:hAnsi="宋体" w:cs="宋体"/>
          <w:spacing w:val="8"/>
          <w:szCs w:val="21"/>
        </w:rPr>
        <w:t xml:space="preserve">6</w:t>
      </w:r>
      <w:r>
        <w:rPr>
          <w:rFonts w:hint="eastAsia" w:ascii="宋体" w:hAnsi="宋体" w:cs="宋体"/>
          <w:spacing w:val="8"/>
          <w:szCs w:val="21"/>
        </w:rPr>
        <w:t xml:space="preserve">米，专用定制</w:t>
      </w:r>
      <w:r>
        <w:rPr>
          <w:rFonts w:ascii="宋体" w:hAnsi="宋体" w:cs="宋体"/>
          <w:spacing w:val="8"/>
          <w:szCs w:val="21"/>
        </w:rPr>
        <w:t xml:space="preserve">LOGO</w:t>
      </w:r>
      <w:r>
        <w:rPr>
          <w:rFonts w:hint="eastAsia" w:ascii="宋体" w:hAnsi="宋体" w:cs="宋体"/>
          <w:spacing w:val="8"/>
          <w:szCs w:val="21"/>
        </w:rPr>
        <w:t xml:space="preserve">，美观大方。尽量减少对城墙的损伤，城墙上立杆，尽量利旧或定制立杆，减少地笼更换。</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传输线路</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更换部分老化、信号不稳定部分的传输线缆(</w:t>
      </w:r>
      <w:r>
        <w:rPr>
          <w:rFonts w:hint="eastAsia" w:ascii="宋体" w:hAnsi="宋体" w:cs="宋体"/>
          <w:spacing w:val="8"/>
          <w:szCs w:val="21"/>
        </w:rPr>
        <w:t xml:space="preserve">网线、电源线、光纤等</w:t>
      </w:r>
      <w:r>
        <w:rPr>
          <w:rFonts w:ascii="宋体" w:hAnsi="宋体" w:cs="宋体"/>
          <w:spacing w:val="8"/>
          <w:szCs w:val="21"/>
        </w:rPr>
        <w:t xml:space="preserve">)</w:t>
      </w:r>
      <w:r>
        <w:rPr>
          <w:rFonts w:hint="eastAsia" w:ascii="宋体" w:hAnsi="宋体" w:cs="宋体"/>
          <w:spacing w:val="8"/>
          <w:szCs w:val="21"/>
        </w:rPr>
        <w:t xml:space="preserve">，裸线整改，所有线缆穿管敷设。 </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hint="eastAsia" w:ascii="宋体" w:hAnsi="宋体" w:cs="宋体"/>
          <w:spacing w:val="8"/>
          <w:szCs w:val="21"/>
        </w:rPr>
        <w:t xml:space="preserve">解放门区域部分摄像机采用无线传输，更换网桥及相关设备。</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传输设备</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在前端设备箱中交换机采用强力抗干</w:t>
      </w:r>
      <w:r>
        <w:rPr>
          <w:rFonts w:hint="eastAsia" w:ascii="宋体" w:hAnsi="宋体" w:cs="宋体"/>
          <w:spacing w:val="8"/>
          <w:szCs w:val="21"/>
        </w:rPr>
        <w:t xml:space="preserve">扰能力、耐高温、耐腐蚀、抗静电的工业交换机和收发器，后端采用插卡式光纤收发器，便于集中管理和维护。</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接线设备</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光纤终端盒改用机架式，便于维护和管理。</w:t>
      </w:r>
      <w:r>
        <w:rPr>
          <w:rFonts w:hint="eastAsia" w:ascii="宋体" w:hAnsi="宋体" w:cs="宋体"/>
          <w:spacing w:val="8"/>
          <w:szCs w:val="21"/>
        </w:rPr>
        <w:t xml:space="preserve">电源采用开关电源，接入PDU，替换原有的接线板。</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交换机</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更换同一品牌，便于管理和维护，</w:t>
      </w:r>
      <w:r>
        <w:rPr>
          <w:rFonts w:hint="eastAsia" w:ascii="宋体" w:hAnsi="宋体" w:cs="宋体"/>
          <w:spacing w:val="8"/>
          <w:szCs w:val="21"/>
        </w:rPr>
        <w:t xml:space="preserve">在网络出口配备高性能防火墙，加强网络安全管理，确保数据安全。</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存储</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采用磁盘阵列，根据设计规范，存储时间为3个月。</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hint="eastAsia" w:ascii="宋体" w:hAnsi="宋体" w:cs="宋体"/>
          <w:spacing w:val="8"/>
          <w:szCs w:val="21"/>
        </w:rPr>
        <w:t xml:space="preserve">管理平台</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新一代的管理平台基于设备侧提供的大量视频、图</w:t>
      </w:r>
      <w:r>
        <w:rPr>
          <w:rFonts w:hint="eastAsia" w:ascii="宋体" w:hAnsi="宋体" w:cs="宋体"/>
          <w:spacing w:val="8"/>
          <w:szCs w:val="21"/>
        </w:rPr>
        <w:t xml:space="preserve">像等感知数据，依托于先进的人工智能、算法策略等技术，为用户打造出清晰、安全、灵活、高效的管理环境。</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color w:val="000000"/>
          <w:spacing w:val="8"/>
          <w:szCs w:val="21"/>
        </w:rPr>
      </w:pPr>
      <w:r>
        <w:rPr>
          <w:rFonts w:hint="eastAsia" w:ascii="宋体" w:hAnsi="宋体" w:cs="宋体"/>
          <w:color w:val="000000"/>
          <w:spacing w:val="8"/>
          <w:szCs w:val="21"/>
        </w:rPr>
        <w:t xml:space="preserve">配套设备</w:t>
      </w:r>
      <w:r>
        <w:rPr>
          <w:rFonts w:hint="eastAsia" w:ascii="宋体" w:hAnsi="宋体" w:cs="宋体"/>
          <w:color w:val="000000"/>
          <w:spacing w:val="8"/>
          <w:szCs w:val="21"/>
        </w:rPr>
      </w:r>
      <w:r/>
    </w:p>
    <w:p>
      <w:pPr>
        <w:pStyle w:val="756"/>
        <w:ind w:firstLine="452"/>
        <w:spacing w:line="360" w:lineRule="auto"/>
        <w:rPr>
          <w:rFonts w:hint="eastAsia" w:ascii="宋体" w:hAnsi="宋体" w:cs="宋体"/>
          <w:color w:val="000000"/>
          <w:spacing w:val="8"/>
          <w:szCs w:val="21"/>
        </w:rPr>
      </w:pPr>
      <w:r>
        <w:rPr>
          <w:rFonts w:hint="eastAsia" w:ascii="宋体" w:hAnsi="宋体" w:cs="宋体"/>
          <w:color w:val="000000"/>
          <w:spacing w:val="8"/>
          <w:szCs w:val="21"/>
        </w:rPr>
        <w:t xml:space="preserve">制冷空调12.5KW两台</w:t>
      </w:r>
      <w:r>
        <w:rPr>
          <w:rFonts w:hint="eastAsia" w:ascii="宋体" w:hAnsi="宋体" w:cs="宋体"/>
          <w:color w:val="000000"/>
          <w:spacing w:val="8"/>
          <w:szCs w:val="21"/>
          <w:lang w:val="en-US" w:eastAsia="zh-CN"/>
        </w:rPr>
        <w:t xml:space="preserve">等</w:t>
      </w:r>
      <w:r>
        <w:rPr>
          <w:rFonts w:hint="eastAsia" w:ascii="宋体" w:hAnsi="宋体" w:cs="宋体"/>
          <w:color w:val="000000"/>
          <w:spacing w:val="8"/>
          <w:szCs w:val="21"/>
        </w:rPr>
        <w:t xml:space="preserve">。</w:t>
      </w:r>
      <w:r>
        <w:rPr>
          <w:rFonts w:hint="eastAsia" w:ascii="宋体" w:hAnsi="宋体" w:cs="宋体"/>
          <w:color w:val="000000"/>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ascii="宋体" w:hAnsi="宋体" w:cs="宋体"/>
          <w:spacing w:val="8"/>
          <w:szCs w:val="21"/>
        </w:rPr>
        <w:t xml:space="preserve">显示系统</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城墙博物馆指挥中心增加一套监视器拼接屏，采用46寸液晶，设计采用3*6结构合计</w:t>
      </w:r>
      <w:r>
        <w:rPr>
          <w:rFonts w:hint="eastAsia" w:ascii="宋体" w:hAnsi="宋体" w:cs="宋体"/>
          <w:spacing w:val="8"/>
          <w:szCs w:val="21"/>
        </w:rPr>
        <w:t xml:space="preserve">18台,实现运维管理及运营数据实时显示。</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ascii="宋体" w:hAnsi="宋体" w:cs="宋体"/>
          <w:spacing w:val="8"/>
          <w:szCs w:val="21"/>
        </w:rPr>
        <w:t xml:space="preserve">一键报警</w:t>
      </w:r>
      <w:r>
        <w:rPr>
          <w:rFonts w:hint="eastAsia" w:ascii="宋体" w:hAnsi="宋体" w:cs="宋体"/>
          <w:spacing w:val="8"/>
          <w:szCs w:val="21"/>
        </w:rPr>
        <w:t xml:space="preserve">终端</w:t>
      </w:r>
      <w:r>
        <w:rPr>
          <w:rFonts w:hint="eastAsia" w:ascii="宋体" w:hAnsi="宋体" w:cs="宋体"/>
          <w:spacing w:val="8"/>
          <w:szCs w:val="21"/>
        </w:rPr>
      </w:r>
      <w:r/>
    </w:p>
    <w:p>
      <w:pPr>
        <w:pStyle w:val="756"/>
        <w:ind w:firstLine="452"/>
        <w:spacing w:line="360" w:lineRule="auto"/>
        <w:rPr>
          <w:rFonts w:hint="eastAsia" w:ascii="宋体" w:hAnsi="宋体" w:cs="宋体"/>
          <w:color w:val="000000"/>
          <w:spacing w:val="8"/>
          <w:szCs w:val="21"/>
        </w:rPr>
      </w:pPr>
      <w:r>
        <w:rPr>
          <w:rFonts w:ascii="宋体" w:hAnsi="宋体" w:cs="宋体"/>
          <w:color w:val="000000"/>
          <w:spacing w:val="8"/>
          <w:szCs w:val="21"/>
        </w:rPr>
        <w:t xml:space="preserve">随着南京城墙知名度提高，参观的游客越来越多，为更好为游客提供服务，加强安保</w:t>
      </w:r>
      <w:r>
        <w:rPr>
          <w:rFonts w:hint="eastAsia" w:ascii="宋体" w:hAnsi="宋体" w:cs="宋体"/>
          <w:color w:val="000000"/>
          <w:spacing w:val="8"/>
          <w:szCs w:val="21"/>
        </w:rPr>
        <w:t xml:space="preserve">工作，在重要的登城口新增一键报警终端设备，可通过一键报警求助</w:t>
      </w:r>
      <w:r>
        <w:rPr>
          <w:rFonts w:ascii="宋体" w:hAnsi="宋体" w:cs="宋体"/>
          <w:color w:val="000000"/>
          <w:spacing w:val="8"/>
          <w:szCs w:val="21"/>
        </w:rPr>
        <w:t xml:space="preserve">(SOS)</w:t>
      </w:r>
      <w:r>
        <w:rPr>
          <w:rFonts w:hint="eastAsia" w:ascii="宋体" w:hAnsi="宋体" w:cs="宋体"/>
          <w:color w:val="000000"/>
          <w:spacing w:val="8"/>
          <w:szCs w:val="21"/>
        </w:rPr>
        <w:t xml:space="preserve">按钮，发送语音信号至指挥中心，申请与指挥中心通话，共设计</w:t>
      </w:r>
      <w:r>
        <w:rPr>
          <w:rFonts w:ascii="宋体" w:hAnsi="宋体" w:cs="宋体"/>
          <w:color w:val="000000"/>
          <w:spacing w:val="8"/>
          <w:szCs w:val="21"/>
        </w:rPr>
        <w:t xml:space="preserve">30</w:t>
      </w:r>
      <w:r>
        <w:rPr>
          <w:rFonts w:hint="eastAsia" w:ascii="宋体" w:hAnsi="宋体" w:cs="宋体"/>
          <w:color w:val="000000"/>
          <w:spacing w:val="8"/>
          <w:szCs w:val="21"/>
        </w:rPr>
        <w:t xml:space="preserve">套。</w:t>
      </w:r>
      <w:r>
        <w:rPr>
          <w:rFonts w:hint="eastAsia" w:ascii="宋体" w:hAnsi="宋体" w:cs="宋体"/>
          <w:color w:val="000000"/>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ascii="宋体" w:hAnsi="宋体" w:cs="宋体"/>
          <w:spacing w:val="8"/>
          <w:szCs w:val="21"/>
        </w:rPr>
        <w:t xml:space="preserve">智能云巡检</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智能巡检系统以GIS地理信息系统为基础，在基础空间数据上结合GPS定位，实现对人员和设备</w:t>
      </w:r>
      <w:r>
        <w:rPr>
          <w:rFonts w:hint="eastAsia" w:ascii="宋体" w:hAnsi="宋体" w:cs="宋体"/>
          <w:spacing w:val="8"/>
          <w:szCs w:val="21"/>
        </w:rPr>
        <w:t xml:space="preserve">的可视化、规范化和网络化管理，实现资料的信息共享。监控中心的管理平台系统都会自动的进行处理、分析、统计、制作报表等，给管理者提供一个科学、准确的巡检信息和查询依据，同时能大幅提高管理者的工作效率。</w:t>
      </w:r>
      <w:r>
        <w:rPr>
          <w:rFonts w:hint="eastAsia" w:ascii="宋体" w:hAnsi="宋体" w:cs="宋体"/>
          <w:spacing w:val="8"/>
          <w:szCs w:val="21"/>
        </w:rPr>
      </w:r>
      <w:r/>
    </w:p>
    <w:p>
      <w:pPr>
        <w:pStyle w:val="756"/>
        <w:numPr>
          <w:ilvl w:val="0"/>
          <w:numId w:val="9"/>
        </w:numPr>
        <w:ind w:left="0" w:firstLine="452"/>
        <w:spacing w:line="360" w:lineRule="auto"/>
        <w:rPr>
          <w:rFonts w:hint="eastAsia" w:ascii="宋体" w:hAnsi="宋体" w:cs="宋体"/>
          <w:spacing w:val="8"/>
          <w:szCs w:val="21"/>
        </w:rPr>
      </w:pPr>
      <w:r>
        <w:rPr>
          <w:rFonts w:ascii="宋体" w:hAnsi="宋体" w:cs="宋体"/>
          <w:spacing w:val="8"/>
          <w:szCs w:val="21"/>
        </w:rPr>
        <w:t xml:space="preserve">背景音乐</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hint="eastAsia" w:ascii="宋体" w:hAnsi="宋体" w:cs="宋体"/>
          <w:spacing w:val="8"/>
          <w:szCs w:val="21"/>
        </w:rPr>
        <w:t xml:space="preserve">作为全国重点文保单位南京城墙安全防范工程建设的重要组成部分，背景音乐系统在项目的日常管理、播放音乐、信息通告、突发事件紧急广播等方面将发挥着极其重要的作用，同时还为游客提供舒适的旅游环境。在重要部位设计室外防水音柱</w:t>
      </w:r>
      <w:r>
        <w:rPr>
          <w:rFonts w:ascii="宋体" w:hAnsi="宋体" w:cs="宋体"/>
          <w:spacing w:val="8"/>
          <w:szCs w:val="21"/>
        </w:rPr>
        <w:t xml:space="preserve">109</w:t>
      </w:r>
      <w:r>
        <w:rPr>
          <w:rFonts w:hint="eastAsia" w:ascii="宋体" w:hAnsi="宋体" w:cs="宋体"/>
          <w:spacing w:val="8"/>
          <w:szCs w:val="21"/>
        </w:rPr>
        <w:t xml:space="preserve">台，防水音柱安装在监控立杆。</w:t>
      </w:r>
      <w:r>
        <w:rPr>
          <w:rFonts w:hint="eastAsia" w:ascii="宋体" w:hAnsi="宋体" w:cs="宋体"/>
          <w:spacing w:val="8"/>
          <w:szCs w:val="21"/>
        </w:rPr>
      </w:r>
      <w:r/>
    </w:p>
    <w:p>
      <w:pPr>
        <w:pStyle w:val="756"/>
        <w:numPr>
          <w:ilvl w:val="0"/>
          <w:numId w:val="7"/>
        </w:numPr>
        <w:spacing w:line="360" w:lineRule="auto"/>
        <w:rPr>
          <w:rFonts w:hint="eastAsia" w:ascii="宋体" w:hAnsi="宋体" w:cs="宋体"/>
          <w:b/>
          <w:bCs/>
          <w:spacing w:val="8"/>
          <w:sz w:val="28"/>
          <w:szCs w:val="28"/>
        </w:rPr>
        <w:outlineLvl w:val="1"/>
      </w:pPr>
      <w:r/>
      <w:bookmarkStart w:id="41" w:name="_Toc9341"/>
      <w:r>
        <w:rPr>
          <w:rFonts w:hint="eastAsia" w:ascii="宋体" w:hAnsi="宋体" w:cs="宋体"/>
          <w:b/>
          <w:bCs/>
          <w:spacing w:val="8"/>
          <w:sz w:val="28"/>
          <w:szCs w:val="28"/>
        </w:rPr>
        <w:t xml:space="preserve">项目建设以及功能要求</w:t>
      </w:r>
      <w:bookmarkEnd w:id="41"/>
      <w:r>
        <w:rPr>
          <w:rFonts w:hint="eastAsia" w:ascii="宋体" w:hAnsi="宋体" w:cs="宋体"/>
          <w:b/>
          <w:bCs/>
          <w:spacing w:val="8"/>
          <w:sz w:val="28"/>
          <w:szCs w:val="28"/>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与原平台完全兼容</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视频监控</w:t>
      </w:r>
      <w:r>
        <w:rPr>
          <w:rFonts w:hint="eastAsia" w:ascii="宋体" w:hAnsi="宋体" w:cs="宋体"/>
          <w:spacing w:val="8"/>
          <w:szCs w:val="21"/>
        </w:rPr>
        <w:t xml:space="preserve">：通过视频设备进行实时视频画面预览和录像回放查看，辅助安保人员进行重要区域管理。实时预览、录像回放、视频上墙、语音对讲、视频轮巡、全景监控、图片监控、融合监控。支持主流厂商视频设备接入。</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图上监控</w:t>
      </w:r>
      <w:r>
        <w:rPr>
          <w:rFonts w:hint="eastAsia" w:ascii="宋体" w:hAnsi="宋体" w:cs="宋体"/>
          <w:spacing w:val="8"/>
          <w:szCs w:val="21"/>
        </w:rPr>
        <w:t xml:space="preserve">：以地图为载体，将各类设备资源上图进行设备信息查看和控制，实现可视化的管理和应用。资源上图、资源信息展示、实时位置展示、资源操作、报警事件展示、运行轨迹回放；安防资源统一上图，可视化展示和控制。</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紧急报警</w:t>
      </w:r>
      <w:r>
        <w:rPr>
          <w:rFonts w:hint="eastAsia" w:ascii="宋体" w:hAnsi="宋体" w:cs="宋体"/>
          <w:spacing w:val="8"/>
          <w:szCs w:val="21"/>
        </w:rPr>
        <w:t xml:space="preserve">：现场人员通过紧急报警设备一键报警，中心值班人员及时接警和处置。紧急报警接警、远程语音视频对讲、报警记录查询 ；紧急情况一键报警，中心现场双向对讲，可视化远程处置。</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网络拓扑监控</w:t>
      </w:r>
      <w:r>
        <w:rPr>
          <w:rFonts w:hint="eastAsia" w:ascii="宋体" w:hAnsi="宋体" w:cs="宋体"/>
          <w:spacing w:val="8"/>
          <w:szCs w:val="21"/>
        </w:rPr>
        <w:t xml:space="preserve">：自动获取交换机、服务器以及前端设备之间的网络拓扑关系，生成可视化拓扑界面，及时发现交换机、服务器、摄像机等设备异常情况并预警，提升网络设备故障排查工作效率。拓扑展示、拓扑管理、告警管理；网络拓扑可视化展示，拓扑监控实时告警。</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设备巡检</w:t>
      </w:r>
      <w:r>
        <w:rPr>
          <w:rFonts w:hint="eastAsia" w:ascii="宋体" w:hAnsi="宋体" w:cs="宋体"/>
          <w:spacing w:val="8"/>
          <w:szCs w:val="21"/>
        </w:rPr>
        <w:t xml:space="preserve">：实现视频类设备的健康度巡检，包括编码设备、监控点的在线情况，录像完整性检测，视频质量诊断，并提供相应的统计报表。视频诊断、录像检测、设备巡检 ；多种视频质量异常情况诊断，异常实时告警提示，视频质量诊断结果统计展示。</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设备网络管理</w:t>
      </w:r>
      <w:r>
        <w:rPr>
          <w:rFonts w:hint="eastAsia" w:ascii="宋体" w:hAnsi="宋体" w:cs="宋体"/>
          <w:spacing w:val="8"/>
          <w:szCs w:val="21"/>
        </w:rPr>
        <w:t xml:space="preserve">：对接入平台的视频、门禁、停车场、梯控、可视对讲等设备进行在线巡检，及时发现故障设备和掉线设备，使运维工作更加高效和便利。设备在线检测、运维统计报表、设备运行状态展示；设备状态实时监测，设备故障实时告警，设备运维可视化展示。</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越界预警</w:t>
      </w:r>
      <w:r>
        <w:rPr>
          <w:rFonts w:hint="eastAsia" w:ascii="宋体" w:hAnsi="宋体" w:cs="宋体"/>
          <w:spacing w:val="8"/>
          <w:szCs w:val="21"/>
        </w:rPr>
        <w:t xml:space="preserve">：在景区的边界或禁止区域设置监测设备，例如视频监控摄像头、红外传感器等。这些设备可以实时监测区域内的人员活动，并捕捉异常行为。一旦系统检测到越界行为，会自动触发报警机制。针对城墙五个危险区域（重点水体部位）设置报警提示，有违规行为摄像机可发出预警提示音。主动侦测、越界预警；违规事件的预警提示，增加安全机制。</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客流管理</w:t>
      </w:r>
      <w:r>
        <w:rPr>
          <w:rFonts w:hint="eastAsia" w:ascii="宋体" w:hAnsi="宋体" w:cs="宋体"/>
          <w:spacing w:val="8"/>
          <w:szCs w:val="21"/>
        </w:rPr>
        <w:t xml:space="preserve">：通过客流相机实时获取人流量情况、客流变化趋势，在人群拥挤疏导、消费习惯获取等方面为运营方或管理方提供辅助判断和决策。客流数据统计、客流数据分析；多维度客流数据统计，丰富的图表展示。</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周界监测</w:t>
      </w:r>
      <w:r>
        <w:rPr>
          <w:rFonts w:hint="eastAsia" w:ascii="宋体" w:hAnsi="宋体" w:cs="宋体"/>
          <w:spacing w:val="8"/>
          <w:szCs w:val="21"/>
        </w:rPr>
        <w:t xml:space="preserve">：管理人员可通过周界监测系统实现全天候实时监测，帮助用户对重要区域围界范围进行目标监测和预警，保障周界安全。（太平门增加3对红外对射报警探测器）；目标监测、智能复核、预警一张图；全天候实时监测，精准联动预警，信息融合展示；</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AI模型管理</w:t>
      </w:r>
      <w:r>
        <w:rPr>
          <w:rFonts w:hint="eastAsia" w:ascii="宋体" w:hAnsi="宋体" w:cs="宋体"/>
          <w:spacing w:val="8"/>
          <w:szCs w:val="21"/>
        </w:rPr>
        <w:t xml:space="preserve">：通过AI开放平台训练的算法模型，结合智能分析设备，实现算法模型管理和下发、各类事件分析上报等业务。AI智能算法下发、素材收集和上报、AI分析事件接收；算法模型统一管理，个性化事件多样化联动；</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智慧广播</w:t>
      </w:r>
      <w:r>
        <w:rPr>
          <w:rFonts w:hint="eastAsia" w:ascii="宋体" w:hAnsi="宋体" w:cs="宋体"/>
          <w:spacing w:val="8"/>
          <w:szCs w:val="21"/>
        </w:rPr>
        <w:t xml:space="preserve">：通过网络广播设备提供定时广播、实时广播、紧急广播、智能联动广播等应用，满足用户广播场景化、智能化的诉求。控分结合，远程管理。</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机房安全监测</w:t>
      </w:r>
      <w:r>
        <w:rPr>
          <w:rFonts w:hint="eastAsia" w:ascii="宋体" w:hAnsi="宋体" w:cs="宋体"/>
          <w:spacing w:val="8"/>
          <w:szCs w:val="21"/>
        </w:rPr>
        <w:t xml:space="preserve">：通过物联网关设备，结合AR、三维能力，实现机房统一管理、人 员出入管控、环境监测。机房安防管理、温湿度监测、漏水监测、烟感监测、UPS监测、空调监测、供配电监测；可视化管理，机房环境实时监测，人员出入精细化管理；</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数字对讲</w:t>
      </w:r>
      <w:r>
        <w:rPr>
          <w:rFonts w:hint="eastAsia" w:ascii="宋体" w:hAnsi="宋体" w:cs="宋体"/>
          <w:spacing w:val="8"/>
          <w:szCs w:val="21"/>
        </w:rPr>
        <w:t xml:space="preserve">：广阔的通信范围：得益于公用移动通信网络的广泛覆盖，公网对讲机可以实现长距离、跨区域通信，不受传统专网对讲机的地理限制。即时通信：用户可以实现一键即时通讯，无需繁琐的拨号操作，效率高。低部署成本：不需要自行建立基站或者重复基础设施投资，使用现有的公共网络服务。高级功能：对讲机支持文本信息、位置跟踪、SOS紧急呼叫等高级功能。</w:t>
      </w:r>
      <w:r>
        <w:rPr>
          <w:rFonts w:hint="eastAsia" w:ascii="宋体" w:hAnsi="宋体" w:cs="宋体"/>
          <w:spacing w:val="8"/>
          <w:szCs w:val="21"/>
        </w:rPr>
      </w:r>
      <w:r/>
    </w:p>
    <w:p>
      <w:pPr>
        <w:pStyle w:val="756"/>
        <w:numPr>
          <w:ilvl w:val="0"/>
          <w:numId w:val="10"/>
        </w:numPr>
        <w:ind w:left="0" w:firstLine="452"/>
        <w:spacing w:line="360" w:lineRule="auto"/>
        <w:rPr>
          <w:rFonts w:hint="eastAsia" w:ascii="宋体" w:hAnsi="宋体" w:cs="宋体"/>
          <w:spacing w:val="8"/>
          <w:szCs w:val="21"/>
        </w:rPr>
      </w:pPr>
      <w:r>
        <w:rPr>
          <w:rFonts w:ascii="宋体" w:hAnsi="宋体" w:cs="宋体"/>
          <w:spacing w:val="8"/>
          <w:szCs w:val="21"/>
        </w:rPr>
        <w:t xml:space="preserve">基础运维</w:t>
      </w:r>
      <w:r>
        <w:rPr>
          <w:rFonts w:hint="eastAsia" w:ascii="宋体" w:hAnsi="宋体" w:cs="宋体"/>
          <w:spacing w:val="8"/>
          <w:szCs w:val="21"/>
        </w:rPr>
        <w:t xml:space="preserve">：系统支持</w:t>
      </w:r>
      <w:r>
        <w:rPr>
          <w:rFonts w:ascii="宋体" w:hAnsi="宋体" w:cs="宋体"/>
          <w:spacing w:val="8"/>
          <w:szCs w:val="21"/>
        </w:rPr>
        <w:t xml:space="preserve">WEB</w:t>
      </w:r>
      <w:r>
        <w:rPr>
          <w:rFonts w:hint="eastAsia" w:ascii="宋体" w:hAnsi="宋体" w:cs="宋体"/>
          <w:spacing w:val="8"/>
          <w:szCs w:val="21"/>
        </w:rPr>
        <w:t xml:space="preserve">浏览器端、手机APP端、微信端等多元化实现方式，结合物联网、GIS地图、数据挖掘分析等最新技术，能够有效支撑智能运维管理全流程。系统支持多样化报修方式，整个调度过程可控通过签到、现场照片、汇报进度、回单、签退、结果评价、客服回访等环节实现调度的闭环管理。故障单状态全程可视，接单、回单、故障解决确认、归档全环节高效有序。</w:t>
      </w:r>
      <w:r>
        <w:rPr>
          <w:rFonts w:hint="eastAsia" w:ascii="宋体" w:hAnsi="宋体" w:cs="宋体"/>
          <w:spacing w:val="8"/>
          <w:szCs w:val="21"/>
        </w:rPr>
      </w:r>
      <w:r/>
    </w:p>
    <w:p>
      <w:pPr>
        <w:pStyle w:val="756"/>
        <w:numPr>
          <w:ilvl w:val="0"/>
          <w:numId w:val="7"/>
        </w:numPr>
        <w:spacing w:line="360" w:lineRule="auto"/>
        <w:rPr>
          <w:rFonts w:hint="eastAsia" w:ascii="宋体" w:hAnsi="宋体" w:cs="宋体"/>
          <w:b/>
          <w:bCs/>
          <w:spacing w:val="8"/>
          <w:sz w:val="28"/>
          <w:szCs w:val="28"/>
        </w:rPr>
        <w:outlineLvl w:val="1"/>
      </w:pPr>
      <w:r/>
      <w:bookmarkStart w:id="42" w:name="_Toc11598"/>
      <w:r>
        <w:rPr>
          <w:rFonts w:ascii="宋体" w:hAnsi="宋体" w:cs="宋体"/>
          <w:b/>
          <w:bCs/>
          <w:spacing w:val="8"/>
          <w:sz w:val="28"/>
          <w:szCs w:val="28"/>
        </w:rPr>
        <w:t xml:space="preserve">交货时间、地点</w:t>
      </w:r>
      <w:bookmarkEnd w:id="42"/>
      <w:r>
        <w:rPr>
          <w:rFonts w:hint="eastAsia" w:ascii="宋体" w:hAnsi="宋体" w:cs="宋体"/>
          <w:b/>
          <w:bCs/>
          <w:spacing w:val="8"/>
          <w:sz w:val="28"/>
          <w:szCs w:val="28"/>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1、交货时</w:t>
      </w:r>
      <w:r>
        <w:rPr>
          <w:rFonts w:ascii="宋体" w:hAnsi="宋体" w:cs="宋体"/>
          <w:spacing w:val="8"/>
          <w:szCs w:val="21"/>
          <w:highlight w:val="none"/>
        </w:rPr>
        <w:t xml:space="preserve">间：</w:t>
      </w:r>
      <w:r>
        <w:rPr>
          <w:rFonts w:hint="eastAsia" w:ascii="宋体" w:hAnsi="宋体" w:cs="宋体"/>
          <w:spacing w:val="8"/>
          <w:szCs w:val="21"/>
          <w:highlight w:val="none"/>
        </w:rPr>
        <w:t xml:space="preserve">180</w:t>
      </w:r>
      <w:r>
        <w:rPr>
          <w:rFonts w:ascii="宋体" w:hAnsi="宋体" w:cs="宋体"/>
          <w:spacing w:val="8"/>
          <w:szCs w:val="21"/>
          <w:highlight w:val="none"/>
        </w:rPr>
        <w:t xml:space="preserve">天完</w:t>
      </w:r>
      <w:r>
        <w:rPr>
          <w:rFonts w:ascii="宋体" w:hAnsi="宋体" w:cs="宋体"/>
          <w:spacing w:val="8"/>
          <w:szCs w:val="21"/>
        </w:rPr>
        <w:t xml:space="preserve">成设备的供货安装及调试，具体时间以合同签订时间为准。</w:t>
      </w:r>
      <w:r>
        <w:rPr>
          <w:rFonts w:hint="eastAsia" w:ascii="宋体" w:hAnsi="宋体" w:cs="宋体"/>
          <w:spacing w:val="8"/>
          <w:szCs w:val="21"/>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2、供货地点：中标供应商负责将货物运到采购人指定地点，由中标供应商负责办理运输和装卸等。全部运输费用由中标供应商负责，由采购人组织验收，检验不合格或不符合质量要求，中标供应商除无条件退货、返工外，还应承担采购人的一切损失。</w:t>
      </w:r>
      <w:r>
        <w:rPr>
          <w:rFonts w:hint="eastAsia" w:ascii="宋体" w:hAnsi="宋体" w:cs="宋体"/>
          <w:spacing w:val="8"/>
          <w:szCs w:val="21"/>
        </w:rPr>
      </w:r>
      <w:r/>
    </w:p>
    <w:p>
      <w:pPr>
        <w:pStyle w:val="756"/>
        <w:numPr>
          <w:ilvl w:val="0"/>
          <w:numId w:val="7"/>
        </w:numPr>
        <w:spacing w:line="360" w:lineRule="auto"/>
        <w:rPr>
          <w:rFonts w:hint="eastAsia" w:ascii="宋体" w:hAnsi="宋体" w:cs="宋体"/>
          <w:b/>
          <w:bCs/>
          <w:spacing w:val="8"/>
          <w:sz w:val="28"/>
          <w:szCs w:val="28"/>
        </w:rPr>
        <w:outlineLvl w:val="1"/>
      </w:pPr>
      <w:r/>
      <w:bookmarkStart w:id="43" w:name="_Toc16139"/>
      <w:r>
        <w:rPr>
          <w:rFonts w:ascii="宋体" w:hAnsi="宋体" w:cs="宋体"/>
          <w:b/>
          <w:bCs/>
          <w:spacing w:val="8"/>
          <w:sz w:val="28"/>
          <w:szCs w:val="28"/>
        </w:rPr>
        <w:t xml:space="preserve">质保期</w:t>
      </w:r>
      <w:bookmarkEnd w:id="43"/>
      <w:r>
        <w:rPr>
          <w:rFonts w:hint="eastAsia" w:ascii="宋体" w:hAnsi="宋体" w:cs="宋体"/>
          <w:b/>
          <w:bCs/>
          <w:spacing w:val="8"/>
          <w:sz w:val="28"/>
          <w:szCs w:val="28"/>
        </w:rPr>
      </w:r>
      <w:r/>
    </w:p>
    <w:p>
      <w:pPr>
        <w:pStyle w:val="756"/>
        <w:ind w:firstLine="452"/>
        <w:spacing w:line="360" w:lineRule="auto"/>
        <w:rPr>
          <w:rFonts w:hint="eastAsia" w:ascii="宋体" w:hAnsi="宋体" w:cs="宋体"/>
          <w:spacing w:val="8"/>
          <w:szCs w:val="21"/>
        </w:rPr>
      </w:pPr>
      <w:r>
        <w:rPr>
          <w:rFonts w:ascii="宋体" w:hAnsi="宋体" w:cs="宋体"/>
          <w:spacing w:val="8"/>
          <w:szCs w:val="21"/>
        </w:rPr>
        <w:t xml:space="preserve">自验收合格报告签署之日起，项目整体质量保证期为</w:t>
      </w:r>
      <w:r>
        <w:rPr>
          <w:rFonts w:hint="eastAsia" w:ascii="宋体" w:hAnsi="宋体" w:cs="宋体"/>
          <w:spacing w:val="8"/>
          <w:szCs w:val="21"/>
        </w:rPr>
        <w:t xml:space="preserve">3</w:t>
      </w:r>
      <w:r>
        <w:rPr>
          <w:rFonts w:ascii="宋体" w:hAnsi="宋体" w:cs="宋体"/>
          <w:spacing w:val="8"/>
          <w:szCs w:val="21"/>
        </w:rPr>
        <w:t xml:space="preserve">年。质保费用包含在投标总价中。</w:t>
      </w:r>
      <w:r>
        <w:rPr>
          <w:rFonts w:hint="eastAsia" w:ascii="宋体" w:hAnsi="宋体" w:cs="宋体"/>
          <w:spacing w:val="8"/>
          <w:szCs w:val="21"/>
        </w:rPr>
      </w:r>
      <w:r/>
    </w:p>
    <w:p>
      <w:pPr>
        <w:pStyle w:val="756"/>
        <w:numPr>
          <w:ilvl w:val="0"/>
          <w:numId w:val="7"/>
        </w:numPr>
        <w:spacing w:line="360" w:lineRule="auto"/>
        <w:rPr>
          <w:rFonts w:hint="eastAsia" w:ascii="宋体" w:hAnsi="宋体" w:cs="宋体"/>
          <w:b/>
          <w:bCs/>
          <w:spacing w:val="8"/>
          <w:sz w:val="28"/>
          <w:szCs w:val="28"/>
        </w:rPr>
        <w:outlineLvl w:val="1"/>
      </w:pPr>
      <w:r/>
      <w:bookmarkStart w:id="44" w:name="_Toc3700"/>
      <w:r>
        <w:rPr>
          <w:rFonts w:hint="eastAsia" w:ascii="宋体" w:hAnsi="宋体" w:cs="宋体"/>
          <w:b/>
          <w:bCs/>
          <w:spacing w:val="8"/>
          <w:sz w:val="28"/>
          <w:szCs w:val="28"/>
        </w:rPr>
        <w:t xml:space="preserve">付款方式</w:t>
      </w:r>
      <w:bookmarkEnd w:id="44"/>
      <w:r>
        <w:rPr>
          <w:rFonts w:hint="eastAsia" w:ascii="宋体" w:hAnsi="宋体" w:cs="宋体"/>
          <w:b/>
          <w:bCs/>
          <w:spacing w:val="8"/>
          <w:sz w:val="28"/>
          <w:szCs w:val="28"/>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(1)合同签订</w:t>
      </w:r>
      <w:r>
        <w:rPr>
          <w:rFonts w:hint="eastAsia" w:ascii="宋体" w:hAnsi="宋体" w:cs="宋体"/>
          <w:spacing w:val="8"/>
          <w:szCs w:val="21"/>
          <w:highlight w:val="none"/>
          <w:lang w:val="en-US" w:eastAsia="zh-CN"/>
        </w:rPr>
        <w:t xml:space="preserve">后</w:t>
      </w:r>
      <w:r>
        <w:rPr>
          <w:rFonts w:hint="eastAsia" w:ascii="宋体" w:hAnsi="宋体" w:cs="宋体"/>
          <w:spacing w:val="8"/>
          <w:szCs w:val="21"/>
          <w:highlight w:val="none"/>
        </w:rPr>
        <w:t xml:space="preserve">支付合同金额的20%（以财政</w:t>
      </w:r>
      <w:r>
        <w:rPr>
          <w:rFonts w:hint="eastAsia" w:ascii="宋体" w:hAnsi="宋体" w:cs="宋体"/>
          <w:spacing w:val="8"/>
          <w:szCs w:val="21"/>
          <w:highlight w:val="none"/>
          <w:lang w:val="en-US" w:eastAsia="zh-CN"/>
        </w:rPr>
        <w:t xml:space="preserve">资金</w:t>
      </w:r>
      <w:r>
        <w:rPr>
          <w:rFonts w:hint="eastAsia" w:ascii="宋体" w:hAnsi="宋体" w:cs="宋体"/>
          <w:spacing w:val="8"/>
          <w:szCs w:val="21"/>
          <w:highlight w:val="none"/>
        </w:rPr>
        <w:t xml:space="preserve">实际到账为准）:</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(2)项目完成至总进度的50%支付合同金额20%款项:</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(3)项目完成至总进度的80%支付合同金额20%款项:</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(4)项目完工并经采购人初验完成支付合同金额20%款项;</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(5)项目竣工验收通过并在审计结果确认后一次性支付剩余20%款项</w:t>
      </w:r>
      <w:r>
        <w:rPr>
          <w:rFonts w:hint="eastAsia" w:ascii="宋体" w:hAnsi="宋体" w:cs="宋体"/>
          <w:spacing w:val="8"/>
          <w:szCs w:val="21"/>
          <w:highlight w:val="none"/>
        </w:rPr>
      </w:r>
      <w:r/>
    </w:p>
    <w:p>
      <w:pPr>
        <w:pStyle w:val="756"/>
        <w:ind w:firstLine="452"/>
        <w:spacing w:line="360" w:lineRule="auto"/>
        <w:rPr>
          <w:rFonts w:ascii="宋体" w:hAnsi="宋体" w:cs="宋体"/>
          <w:spacing w:val="8"/>
          <w:szCs w:val="21"/>
        </w:rPr>
      </w:pPr>
      <w:r>
        <w:rPr>
          <w:rFonts w:ascii="宋体" w:hAnsi="宋体" w:cs="宋体"/>
          <w:spacing w:val="8"/>
          <w:szCs w:val="21"/>
        </w:rPr>
        <w:t xml:space="preserve">注：付款前乙方需提供符合税务部门要求的增值税专用发票，如果提供的发票是假的或虚开的、税率不符的等不合规的发票，一旦被相关政府部门查出，一切责任由乙方承担。</w:t>
      </w:r>
      <w:r>
        <w:rPr>
          <w:rFonts w:ascii="宋体" w:hAnsi="宋体" w:cs="宋体"/>
          <w:spacing w:val="8"/>
          <w:szCs w:val="21"/>
        </w:rPr>
      </w:r>
      <w:r/>
    </w:p>
    <w:p>
      <w:pPr>
        <w:pStyle w:val="756"/>
        <w:numPr>
          <w:ilvl w:val="0"/>
          <w:numId w:val="7"/>
        </w:numPr>
        <w:spacing w:line="360" w:lineRule="auto"/>
        <w:rPr>
          <w:rFonts w:hint="eastAsia" w:ascii="宋体" w:hAnsi="宋体" w:cs="宋体"/>
          <w:b/>
          <w:bCs/>
          <w:spacing w:val="8"/>
          <w:sz w:val="28"/>
          <w:szCs w:val="28"/>
        </w:rPr>
        <w:outlineLvl w:val="1"/>
      </w:pPr>
      <w:r/>
      <w:bookmarkStart w:id="45" w:name="_Toc14030"/>
      <w:r>
        <w:rPr>
          <w:rFonts w:hint="eastAsia" w:ascii="宋体" w:hAnsi="宋体" w:cs="宋体"/>
          <w:b/>
          <w:bCs/>
          <w:spacing w:val="8"/>
          <w:sz w:val="28"/>
          <w:szCs w:val="28"/>
        </w:rPr>
        <w:t xml:space="preserve">履约保函</w:t>
      </w:r>
      <w:bookmarkEnd w:id="45"/>
      <w:r>
        <w:rPr>
          <w:rFonts w:hint="eastAsia" w:ascii="宋体" w:hAnsi="宋体" w:cs="宋体"/>
          <w:b/>
          <w:bCs/>
          <w:spacing w:val="8"/>
          <w:sz w:val="28"/>
          <w:szCs w:val="28"/>
        </w:rPr>
      </w:r>
      <w:r/>
    </w:p>
    <w:p>
      <w:pPr>
        <w:pStyle w:val="756"/>
        <w:ind w:firstLine="452"/>
        <w:spacing w:line="360" w:lineRule="auto"/>
        <w:rPr>
          <w:rFonts w:ascii="宋体" w:hAnsi="宋体" w:cs="宋体"/>
          <w:spacing w:val="8"/>
          <w:szCs w:val="21"/>
        </w:rPr>
      </w:pPr>
      <w:r>
        <w:rPr>
          <w:rFonts w:hint="eastAsia" w:ascii="宋体" w:hAnsi="宋体" w:cs="宋体"/>
          <w:spacing w:val="8"/>
          <w:szCs w:val="21"/>
        </w:rPr>
        <w:t xml:space="preserve">签订合同后支付首付款前，中标人需提供合同总额5%的履约保函给采购人，保函有效其至项目质保期结束后，该履约保函作为中标人严格履行本合同的担保，如中标人出现违约情开的，采购人可直接书面要求保函开具银行将不超过最高担保额度的款项打入采购人指定账户抵中标人的违约金或赔偿金，不再退还。在合同履行期间，中标人没有出现招标文件及合同定的违约情形，维保期结束后保函自动失效。</w:t>
      </w:r>
      <w:r>
        <w:rPr>
          <w:rFonts w:ascii="宋体" w:hAnsi="宋体" w:cs="宋体"/>
          <w:spacing w:val="8"/>
          <w:szCs w:val="21"/>
        </w:rPr>
      </w:r>
      <w:r/>
    </w:p>
    <w:p>
      <w:pPr>
        <w:pStyle w:val="792"/>
        <w:ind w:left="1470" w:right="1470"/>
        <w:rPr>
          <w:rFonts w:hint="eastAsia" w:ascii="宋体" w:hAnsi="宋体" w:cs="宋体"/>
          <w:spacing w:val="8"/>
          <w:szCs w:val="21"/>
        </w:rPr>
        <w:sectPr>
          <w:footerReference w:type="default" r:id="rId12"/>
          <w:footnotePr/>
          <w:endnotePr>
            <w:numFmt w:val="decimal"/>
          </w:endnotePr>
          <w:type w:val="nextPage"/>
          <w:pgSz w:w="11906" w:h="16838" w:orient="portrait"/>
          <w:pgMar w:top="1134" w:right="1417" w:bottom="1134" w:left="1418" w:header="227" w:footer="720" w:gutter="0"/>
          <w:cols w:num="1" w:sep="0" w:space="1701" w:equalWidth="1"/>
          <w:docGrid w:linePitch="360"/>
        </w:sectPr>
      </w:pPr>
      <w:r>
        <w:rPr>
          <w:rFonts w:hint="eastAsia" w:ascii="宋体" w:hAnsi="宋体" w:cs="宋体"/>
          <w:spacing w:val="8"/>
          <w:szCs w:val="21"/>
        </w:rPr>
      </w:r>
      <w:r/>
    </w:p>
    <w:p>
      <w:pPr>
        <w:pStyle w:val="756"/>
        <w:numPr>
          <w:ilvl w:val="0"/>
          <w:numId w:val="7"/>
        </w:numPr>
        <w:spacing w:line="360" w:lineRule="auto"/>
        <w:rPr>
          <w:rFonts w:hint="eastAsia" w:ascii="宋体" w:hAnsi="宋体" w:cs="宋体"/>
          <w:b/>
          <w:bCs/>
          <w:spacing w:val="8"/>
          <w:sz w:val="28"/>
          <w:szCs w:val="28"/>
          <w:highlight w:val="none"/>
        </w:rPr>
        <w:outlineLvl w:val="1"/>
      </w:pPr>
      <w:r/>
      <w:bookmarkEnd w:id="39"/>
      <w:r/>
      <w:bookmarkEnd w:id="40"/>
      <w:r/>
      <w:bookmarkStart w:id="46" w:name="_Toc19633"/>
      <w:r>
        <w:rPr>
          <w:rFonts w:hint="eastAsia" w:ascii="宋体" w:hAnsi="宋体" w:cs="宋体"/>
          <w:b/>
          <w:bCs/>
          <w:spacing w:val="8"/>
          <w:sz w:val="28"/>
          <w:szCs w:val="28"/>
          <w:highlight w:val="none"/>
        </w:rPr>
        <w:t xml:space="preserve">设备清单</w:t>
      </w:r>
      <w:bookmarkEnd w:id="46"/>
      <w:r>
        <w:rPr>
          <w:rFonts w:hint="eastAsia" w:ascii="宋体" w:hAnsi="宋体" w:cs="宋体"/>
          <w:b/>
          <w:bCs/>
          <w:spacing w:val="8"/>
          <w:sz w:val="28"/>
          <w:szCs w:val="28"/>
          <w:highlight w:val="none"/>
        </w:rPr>
      </w:r>
      <w:r/>
    </w:p>
    <w:tbl>
      <w:tblPr>
        <w:tblW w:w="452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1"/>
        <w:gridCol w:w="687"/>
        <w:gridCol w:w="457"/>
        <w:gridCol w:w="572"/>
        <w:gridCol w:w="11193"/>
      </w:tblGrid>
      <w:tr>
        <w:trPr>
          <w:trHeight w:val="300"/>
        </w:trPr>
        <w:tc>
          <w:tcPr>
            <w:tcBorders>
              <w:top w:val="single" w:color="000000" w:sz="4" w:space="0"/>
              <w:left w:val="single" w:color="000000" w:sz="4" w:space="0"/>
              <w:bottom w:val="single" w:color="000000" w:sz="4" w:space="0"/>
              <w:right w:val="single" w:color="000000" w:sz="4"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71"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14"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18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参数</w:t>
            </w:r>
            <w:r>
              <w:rPr>
                <w:rFonts w:hint="eastAsia" w:ascii="宋体" w:hAnsi="宋体" w:cs="宋体"/>
                <w:b/>
                <w:bCs/>
                <w:color w:val="000000"/>
                <w:sz w:val="20"/>
                <w:szCs w:val="20"/>
              </w:rPr>
            </w:r>
            <w:r/>
          </w:p>
        </w:tc>
      </w:tr>
      <w:tr>
        <w:trPr>
          <w:trHeight w:val="300"/>
        </w:trPr>
        <w:tc>
          <w:tcPr>
            <w:tcBorders>
              <w:top w:val="singl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w:t>
            </w:r>
            <w:r>
              <w:rPr>
                <w:rFonts w:hint="eastAsia" w:ascii="宋体" w:hAnsi="宋体" w:cs="宋体"/>
                <w:b/>
                <w:bCs/>
                <w:color w:val="000000"/>
                <w:sz w:val="20"/>
                <w:szCs w:val="20"/>
              </w:rPr>
            </w:r>
            <w:r/>
          </w:p>
        </w:tc>
        <w:tc>
          <w:tcPr>
            <w:tcBorders>
              <w:top w:val="singl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前端设备</w:t>
            </w:r>
            <w:r>
              <w:rPr>
                <w:rFonts w:hint="eastAsia" w:ascii="宋体" w:hAnsi="宋体" w:cs="宋体"/>
                <w:b/>
                <w:bCs/>
                <w:color w:val="000000"/>
                <w:sz w:val="20"/>
                <w:szCs w:val="20"/>
              </w:rPr>
            </w:r>
            <w:r/>
          </w:p>
        </w:tc>
        <w:tc>
          <w:tcPr>
            <w:tcBorders>
              <w:top w:val="singl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800万变焦AI客流摄像机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支持多种智能模式：客流、人员密度、拥挤检测、人数统计、Smart事件或支持人流密度检测算法，可实现拥挤区域的检测及报警，多种智能模式可按需切换，同时支持定时切换配置</w:t>
            </w:r>
            <w:r>
              <w:rPr>
                <w:rFonts w:hint="eastAsia" w:ascii="宋体" w:hAnsi="宋体" w:cs="宋体"/>
                <w:color w:val="000000"/>
                <w:sz w:val="20"/>
                <w:szCs w:val="20"/>
              </w:rPr>
            </w:r>
            <w:r/>
          </w:p>
        </w:tc>
      </w:tr>
      <w:tr>
        <w:trPr>
          <w:trHeight w:val="96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数统计：支持同时运行区域关注度、在离岗检测、热度图和智慧照明功能；热度图为1个识别区域，智慧照明为3个识别区域，其他功能至多支持8个识别区域，160个目标可检测指定场景内人员的拥挤情况，根据人数和占空比配置密度等级，至多支持8个识别区域；人员密度针对大场景，至多支持1500个目标。拥挤检测针对小场景，至多支持160个目标或可结合人体特征，可对重复客流进行去重，并区分经过客流及出入客流；</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客流：基于行人轨迹分析，统计指定场景内目标人员进入、离开和经过的情况，至多支持3个识别区域，256个目标或者支持排队管理；或者支持区域内人数统计；进入/离开人数统计，并可生成人数统计日/月/年报表，导出使用；</w:t>
            </w:r>
            <w:r>
              <w:rPr>
                <w:rFonts w:hint="eastAsia" w:ascii="宋体" w:hAnsi="宋体" w:cs="宋体"/>
                <w:color w:val="000000"/>
                <w:sz w:val="20"/>
                <w:szCs w:val="20"/>
              </w:rPr>
            </w:r>
            <w:r/>
          </w:p>
        </w:tc>
      </w:tr>
      <w:tr>
        <w:trPr>
          <w:trHeight w:val="96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ff0000"/>
                <w:sz w:val="20"/>
                <w:szCs w:val="20"/>
                <w:lang w:bidi="ar"/>
              </w:rPr>
            </w:pPr>
            <w:r>
              <w:rPr>
                <w:rFonts w:hint="eastAsia" w:ascii="宋体" w:hAnsi="宋体" w:cs="宋体"/>
                <w:color w:val="000000"/>
                <w:sz w:val="20"/>
                <w:szCs w:val="20"/>
                <w:lang w:bidi="ar"/>
              </w:rPr>
              <w:t xml:space="preserve">支持宽动态范围达120 dB，适合逆光环境监控                                                                                                                                                                            </w:t>
            </w:r>
            <w:r>
              <w:rPr>
                <w:rFonts w:ascii="宋体" w:hAnsi="宋体" w:cs="宋体"/>
                <w:sz w:val="20"/>
                <w:szCs w:val="20"/>
                <w:lang w:bidi="ar"/>
              </w:rPr>
              <w:t xml:space="preserve">▲支持人员密度检测功能，可设置最多8个多边形人员密度检测区域，并支持在OSD上叠加每个区域的人数/等级/占空比信息。(需提供具有CMA、ilac-MRA及CNAS标识的第三方检测机构检测报告复印件并加盖原厂公章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ascii="宋体" w:hAnsi="宋体" w:cs="宋体"/>
                <w:sz w:val="20"/>
                <w:szCs w:val="20"/>
                <w:lang w:bidi="ar"/>
              </w:rPr>
              <w:t xml:space="preserve">)</w:t>
            </w:r>
            <w:r>
              <w:rPr>
                <w:rFonts w:hint="eastAsia" w:ascii="宋体" w:hAnsi="宋体" w:cs="宋体"/>
                <w:sz w:val="20"/>
                <w:szCs w:val="20"/>
                <w:lang w:bidi="ar"/>
              </w:rPr>
              <w:t xml:space="preserve">；</w:t>
            </w:r>
            <w:r>
              <w:rPr>
                <w:rFonts w:hint="eastAsia" w:ascii="宋体" w:hAnsi="宋体" w:cs="宋体"/>
                <w:color w:val="ff0000"/>
                <w:sz w:val="20"/>
                <w:szCs w:val="20"/>
                <w:lang w:bidi="ar"/>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图像相关：支持3840 × 2160 @30 fps实时帧率，图像更流畅；支持透雾，并具有多种白平衡模式，适合各种场景需求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系统功能：支持开放型网络视频接口、ISAPI、GB/T28181、E-HOME和ISUP协议接入；支持同时20路取流；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接口功能：内置MicroSD/MicroSDHC/MicroSDXC插槽，最大支持256 GB；支持10 M/100 M自适应网口；支持报警输入输出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安全服务：支持三级用户权限管理，支持授权的用户和密码，支持IP地址过滤</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宽动态：120 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最大图像尺寸：3840 × 2160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最低照度：彩色：0.0005 Lux @（F1.0，AGC ON）</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黑白：0.0001 Lux @（F1.0，AGC ON），0 Lux with Light</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传感器类型：1/1.8" Progressive Scan CMOS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焦距&amp;视场角：2.8~12 mm，水平视场角：104°~41.2°，垂直视场角：54.2°~23.1°，对角视场角：126.5°~47.3°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补光距离：红外光普通监控50 m，人脸抓拍7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白光普通监控30 m，人脸抓拍5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防补光过曝：支持防补光过曝开启和关闭，开启下支持自动和手动，手动支持根据距离等级控制补光灯亮度</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视频压缩标准：主码流：H.265/H.264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子码流：H.265/H.264/MJPEG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网络：1个RJ45 10 M/100 M自适应以太网口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接口类型：外甩线</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电源输出：DC12 V，50 mA，接口类型端子座</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复位：支持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音频：1路输入（Line in），1路输出（Line out），接口类型open裸线，2个内置麦克风，1个内置扬声器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报警：1路输入，1路输出（报警输入支持开关量，报警输出最大支持DC12 V，30 mA），接口类型open裸线</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恢复出厂设置：支持RESET按键，客户端或浏览器恢复</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供电方式：DC：12 V ± 20%，支持防反接保护</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PoE：IEEE 802.3at，Class 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电流及功耗：DC：12 V，1.35 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PoE：IEEE 802.3at，Class 4，最大功耗：18 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启动和工作温湿度：-30 °C~60 °C，湿度小于95%（无凝结）</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存储温湿度：-30 °C~60 °C，湿度小于95%（无凝结）</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防护：IP67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专用支架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壁装支架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外观：银灰色或白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适用范围 适合枪型、筒型、一体型摄像机壁装</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材料 铝合金</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调整角度 水平：360°，垂直：-45°~45°</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400w星光级室外枪型摄像机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179</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400w星光级室外枪型摄像机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最高分辨率可达2560 × 1440 @25 fps，在该分辨率下可输出实时图像</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智能侦测：支持越界侦测，区域入侵侦测或者绊线入侵；区域入侵；快速移动（三项均支持人车分类及精准检测）；徘徊检测；人员聚集；停车检测；</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支持背光补偿，强光抑制，3D数字降噪，120 dB宽动态适应不同视频环境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1个内置麦克风</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支持白光/红外双补光，红外光最远可达50 m，白光最远可达30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符合IP66防尘防水设计，可靠性高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传感器类型：1/2.7" Progressive Scan CMOS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最低照度：彩色：0.005 Lux @（F1.2，AGC ON），0 Lux with IR</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宽动态：120 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焦距&amp;视场角：2.8 mm，水平视场角：97°，垂直视场角：52.3°，对角线视场角：114.3°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 mm，水平视场角：78.8°，垂直视场角:40.5°，对角线视场角：93.9°</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mm，水平视场角：49.1°，垂直视场角：26.3°，对角线视场角：57.2°</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mm，水平视场角：37.5°，垂直视场角：20.7°，对角线视场角：43.3°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 mm，水平视场角：23.4°，垂直视场角：13.3°，对角线视场角：26.88°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补光灯类型：默认白光，可切换红外补光</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补光距离：红外光最远可达50 m，白光最远可达30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波长范围：850 nm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防补光过曝：支持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最大图像尺寸：2560 × 1440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视频压缩标准：主码流：H.265/H.264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子码流：H.265/H.264/MJPEG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音频：1个内置麦克风</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网络：1个RJ45 10 M/100 M自适应以太网口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恢复出厂设置：支持客户端或浏览器恢复</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启动及工作温湿度：-30 ℃~60 ℃，湿度小于95%（无凝结）</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供电方式：DC：12 V ± 25%，支持防反接保护</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PoE：802.3af，Class 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电流及功耗：DC：12 V，0.75 A，最大功耗：9.0 W</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PoE：802.3af，36 V~57 V，0.29 A~0.18 A，最大功耗：10.5 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室外高清枪机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室外高清枪机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最高分辨率可达2688 × 1520  @25 fps，在该分辨率下可输出实时图像</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ff0000"/>
                <w:sz w:val="20"/>
                <w:szCs w:val="20"/>
              </w:rPr>
            </w:pPr>
            <w:r>
              <w:rPr>
                <w:rFonts w:ascii="宋体" w:hAnsi="宋体" w:cs="宋体"/>
                <w:color w:val="000000"/>
                <w:sz w:val="20"/>
                <w:szCs w:val="20"/>
                <w:lang w:bidi="ar"/>
              </w:rPr>
              <w:t xml:space="preserve">▲</w:t>
            </w:r>
            <w:r>
              <w:rPr>
                <w:rFonts w:hint="eastAsia" w:ascii="宋体" w:hAnsi="宋体" w:cs="宋体"/>
                <w:color w:val="000000"/>
                <w:sz w:val="20"/>
                <w:szCs w:val="20"/>
                <w:lang w:bidi="ar"/>
              </w:rPr>
              <w:t xml:space="preserve">具有1个RJ45接口， 1个音频输入接口，1个音频输出接口， 1个报警输入接口，1个报警输出接口，1个SD卡槽（提供产品彩页并加盖原厂公章上传至投标文件）；</w:t>
            </w:r>
            <w:r>
              <w:rPr>
                <w:rFonts w:hint="eastAsia" w:ascii="宋体" w:hAnsi="宋体" w:cs="宋体"/>
                <w:color w:val="ff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支持ROI感兴趣区域增强编码，支持Smart265/264编码，可根据场景情况自适应调整码率分配，有效节省存储成本</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支持开放型网络视频接口，ISAPI，SDK，ISUP5.0，GB28181协议接入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支持1路报警输入，1路报警输出（报警输出最大支持DC12 V，30 mA）1路音频输入，1路音频输出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传感器类型：1/2.7" Progressive Scan CMOS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最大图像尺寸：2688 × 1520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最低照度：彩色：0.005 Lux @（F1.2，AGC ON），0 Lux with IR</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视频压缩标准：主码流：H.265/H.264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子码流：H.265/H.264/MJPEG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第三码流：H.265/H.264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宽动态：120 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视频输出：1 Vp-p 复合视频输出（75 Ω/CVBS）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音频：1路输入（Line in）：3.5 mm，三段式，最大输入幅值：3.3 Vpp，输入阻抗：4.7 kΩ，接口类型：非平衡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1路输出（Line out）：3.5 mm，三段式，最大输出幅值：3.3 Vpp，输出阻抗：100 Ω，接口类型：非平衡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网络：1 个RJ45 10 M/100 M自适应以太网口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SD卡扩展：内置MicroSD/MicroSDHC/MicroSDXC 插槽，最大支持512 GB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报警：1路输入，1路输出（报警输出最大支持DC12 V，30 mA）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RS-485：支持</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复位：支持</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高清镜头</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2.7-13mm|600万|1/2.7"|F1.4|CS接口|红外</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护罩</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金属护罩/标配/铝合金+复合纤维</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专用支架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179</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壁装支架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外观：白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适用范围 适合枪型、筒型、一体型摄像机壁装</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材料 铝合金</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调整角度 水平：360°，垂直：-45°~45°</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400w星光级室内半球摄像机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400w星光级室内半球摄像机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最高分辨率可达2688 × 1520 @25 fps，在该分辨率下可输出实时图像</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支持Smart侦测：10项事件检测，2项异常检测或者网络断开；IP冲突；非法访问；动态检测；视频遮挡；绊线入侵；区域入侵；音频异常侦测；电压检测；外部报警；安全异常；智能动检（人）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支持背光补偿，强光抑制，3D数字降噪，120 dB宽动态适应不同场景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采用高效阵列红外灯，使用寿命长，红外照射距离最远可达30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符合IP66防尘防水设计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传感器类型：1/2.7" Progressive Scan CMOS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最低照度：彩色：0.005 Lux @（F1.2，AGC ON），黑白：0 Lux with IR</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宽动态：120 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调节角度：水平：0°~360°，垂直：0°~75°，旋转：0°~360°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焦距&amp;视场角：2.8 mm，水平视场角：97°，垂直视场角：52.3°，对角线视场角：114.3°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 mm，水平视场角：78.8°，垂直视场角：40.5°，对角线视场角：93.9°</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mm，水平视场角：49.1°，垂直视场角：26.3°，对角线视场角：57.2°</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mm，水平视场角：37.5°，垂直视场角：20.7°，对角线视场角：43.3°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补光灯类型：红外灯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补光距离：最远可达30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红外波长范围：850 nm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防补光过曝：支持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最大图像尺寸：2688 × 1520（默认2560 × 1440）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视频压缩标准：主码流：H.265/H.264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子码流：H.265/H.264/MJPEG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音频：1个内置麦克风</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网络：1个RJ45 10 M/100 M自适应以太网口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存储温湿度：-30 ℃~60 ℃，湿度小于95%（无凝结）</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启动及工作温湿度：-30 ℃~60 ℃，湿度小于95%（无凝结）</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供电方式：DC：12 V ± 25%，支持防反接保护</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PoE：802.3af，Class 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电流及功耗：DC：12 V，0.41 A，最大功耗：5 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PoE：（802.3af，36 V~57 V），0.18 A ~0.11 A，最大功耗：6.5 W</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防护：IP66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400w星光球型摄像机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400w星光球型摄像机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支持声光警戒：报警联动白光闪烁报警和声音报警，声音内容可选；</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区域入侵侦测、越界侦测、进入区域侦测和离开区域侦等智能侦测并联动跟踪或者支持绊线入侵；支持区域入侵；支持穿越围栏；支持徘徊检测；支持物品遗留；支持物品搬移；支持快速移动；支持停车检测；支持人员聚集；支持人车分类报警；</w:t>
            </w:r>
            <w:r>
              <w:rPr>
                <w:rFonts w:hint="eastAsia" w:ascii="宋体" w:hAnsi="宋体" w:cs="宋体"/>
                <w:color w:val="000000"/>
                <w:sz w:val="20"/>
                <w:szCs w:val="20"/>
              </w:rPr>
            </w:r>
            <w:r/>
          </w:p>
        </w:tc>
      </w:tr>
      <w:tr>
        <w:trPr>
          <w:trHeight w:val="12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支持切换</w:t>
            </w:r>
            <w:r>
              <w:rPr>
                <w:rFonts w:hint="eastAsia" w:ascii="宋体" w:hAnsi="宋体" w:cs="宋体"/>
                <w:color w:val="000000"/>
                <w:sz w:val="20"/>
                <w:szCs w:val="20"/>
                <w:lang w:bidi="ar"/>
              </w:rPr>
              <w:t xml:space="preserve">为人脸抓拍模式，最大同时抓拍5张人脸或者支持人脸检测；支持优选；支持人脸轨迹框；支持抓拍；支持上报最优的人脸抓图；支持人脸增强；支持人脸属性提取，支持6种属性4种表情：性别，年龄，眼镜，表情（惊讶，平静，高兴，困惑），口罩，胡子；支持人脸抠图区域可设：人脸，单寸照；支持实时抓拍，优选抓拍，支持质量优先三种抓拍策略或者支持人脸检测；                                                                                          </w:t>
            </w:r>
            <w:r>
              <w:rPr>
                <w:rFonts w:hint="eastAsia" w:ascii="宋体" w:hAnsi="宋体" w:cs="宋体"/>
                <w:sz w:val="20"/>
                <w:szCs w:val="20"/>
                <w:lang w:bidi="ar"/>
              </w:rPr>
              <w:t xml:space="preserve">▲支持不低于300个预置位，可按照所设置的预置位完成不小于8条巡航路径，支持不小于4条模式路径设置，支持预置位视频冻结功能；可实现RS485接口优先或RJ45网络接口优先控制功能（</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内置扬声器：功率5 W；30 m不低于60 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IP66，抗干扰能力强，适用于严酷的电磁环境，符合GB/T17626.2/3/4/5/6四级标准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传感器类型：1/2.8＂ progressive scan CMOS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最低照度：彩色：0.005Lux @ (F1.5，AGC ON),黑白：0.001Lux @ (F1.5，AGC ON)；0 lux with IR</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宽动态：支持真宽动态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焦距：5.9-188.8mm 32倍光学变倍</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视场角：60.2°~2.3°（广角~望远）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防补光过曝：支持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红外照射距离：150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报警灯：30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水平范围：360°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垂直范围：-15°-90°(自动翻转)</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水平速度：水平键控速度：0.1°-160°/s,速度可设;水平预置点速度：240°/s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垂直速度：垂直键控速度：0.1°-120°/s,速度可设;垂直预置点速度：200°/s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主码流帧率分辨率：50 Hz：25 fps（2560 × 1440，1920 × 1080，1280 × 960，1280 × 720）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 Hz：24 fps（2560 × 1440，1920 × 1080，1280 × 960，1280 × 720）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视频压缩标准：H.265;H.264;MJPEG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内置扬声器：一个内置扬声器，有效距离可达30 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网络接口：RJ45网口，自适应10M/100M网络数据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SD卡扩展：内置Micro SD卡插槽，支持Micro SD/Micro SDHC/Micro SDXC卡（最大支持512GB）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报警输入：2路报警输入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报警输出：1路报警输出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音频输入：1路音频输入，音频峰值：2-2.4V[p-p]，输入阻抗：1 kΩ±10%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音频输出：1路音频输出，线性电平，阻抗:600Ω</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供电方式：AC24V</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电流及功耗：最大功耗：42 W（其中加热最大功耗：10 W，补光灯最大功耗：18 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工作温湿度：-30℃-65℃;湿度小于90%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恢复出厂设置：支持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除雾：加热玻璃除雾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尺寸：Ø220mm×363.3mm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重量：5 kg</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防护：IP66;抗干扰能力强，适用于严酷的电磁环境，符合GB/T17626.2/3/4/5/6四级标准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专用支架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压铸纯铝合金材质，表面做喷塑处理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带有安装调试口，便于穿线、接线，及后期维修</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采用铝合金精密压铸工艺，强度高，结构可靠</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监控立杆</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3.5米，喷塑，定制横臂，外观，颜色统一</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监控立杆</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4.5米，喷塑，定制横臂，外观，颜色统一</w:t>
            </w:r>
            <w:r>
              <w:rPr>
                <w:rFonts w:hint="eastAsia" w:ascii="宋体" w:hAnsi="宋体" w:cs="宋体"/>
                <w:color w:val="000000"/>
                <w:sz w:val="20"/>
                <w:szCs w:val="20"/>
              </w:rPr>
            </w:r>
            <w:r/>
          </w:p>
        </w:tc>
      </w:tr>
      <w:tr>
        <w:trPr>
          <w:trHeight w:val="73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监控立杆</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6米，喷塑，定制横臂，外观，颜色统一</w:t>
            </w:r>
            <w:r>
              <w:rPr>
                <w:rFonts w:hint="eastAsia" w:ascii="宋体" w:hAnsi="宋体" w:cs="宋体"/>
                <w:color w:val="000000"/>
                <w:sz w:val="20"/>
                <w:szCs w:val="20"/>
              </w:rPr>
            </w:r>
            <w:r/>
          </w:p>
        </w:tc>
      </w:tr>
      <w:tr>
        <w:trPr>
          <w:trHeight w:val="97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立杆基础</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混凝土浇筑，钢筋地笼，镀锌扁铁防雷</w:t>
            </w:r>
            <w:r>
              <w:rPr>
                <w:rFonts w:hint="eastAsia" w:ascii="宋体" w:hAnsi="宋体" w:cs="宋体"/>
                <w:color w:val="000000"/>
                <w:sz w:val="20"/>
                <w:szCs w:val="20"/>
              </w:rPr>
            </w:r>
            <w:r/>
          </w:p>
        </w:tc>
      </w:tr>
      <w:tr>
        <w:trPr>
          <w:trHeight w:val="97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智能运维设备箱</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智能监控设备箱，510mm×400mm x256mm，1.5mm厚冷轧钢板，主要电气配件：2P空气开关、电源防雷器、优质锁具、维修插座等，安装方式抱杆/墙装（含安装配件），自动散热套件，支持二维码巡检。</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光纤终端盒</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164</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8口终端盒</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8口金属光纤终端盒(含熔纤盘,无适配器)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兼容性：支持双工LC、单工SC、单工FC适配器安装，最多支持8个适配器安装；</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主要材料：冷轧板，熔纤盘为ABS工程塑料；</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颜色：灰白色</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产品描述：8口光纤终端盒，可搭配LC、SC、FC光纤适配器使用</w:t>
            </w:r>
            <w:r>
              <w:rPr>
                <w:rFonts w:hint="eastAsia" w:ascii="宋体" w:hAnsi="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技术特性：模块化设计,可灵活选择安装模块数量；采用全密闭式设计，轻便安装；上部背板可打开，内部自带光纤融接盘及光缆固定环。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避雷器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网络部分：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工作电压Un:5V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最大持续工作电压Uc:11V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标称放电电流In:5kA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最大通流容量Imax:10kA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冲击放电电流Iimp:1.5kA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保护水平Up:20V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传输速率Vs:1000Mbps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插入损耗Ae:0.5dB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保护线数:1/2, 3/6, 4/5, 7/8线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响应时间Ta:1ns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接头形式:RJ45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电源部分：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工作电压Un：12V</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标称放电电流In:5kA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最大通流容量Imax:10kA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保护水平Up:60V</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接头形式:压接式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外形尺寸:102.5*56.7*27mm</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保护等级:IP20</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二</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传输设备</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工业交换机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136</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1、2个千兆SFP光口+8个千兆电口POE供电工业交换机，总功率：120W，工作温度：-40~80度，防护等级IP40,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2、交换容量≥20 Gbps；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3、转发性能≥14.88 Mpps；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4、支持≥4K MAC地址表；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5、内部缓存≥1.5 Mbits；</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6、支持无风扇设计。</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交换机电源</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136</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输入：AC 200-240V,输出：DC 52V 2A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1、传输专用，TX/RX1310nm/1.25G；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2、LC，单模/双纤/双向，10km。</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3、工作温度：-40~80度</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工业级光纤收发器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1、接口：4个千兆RJ45，1个千兆SC光口；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2、光纤类型：单模单纤，9/125um；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3、传输距离：0~20公里；（支持POE供电,总功率：60W)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4、波长：Tx1310nm/Rx1550nm；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5、发射功率：-6~-1dB；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6、接收灵敏度：-21dB；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7、安装方式：DIN卡轨；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8、操作温度：-30~70 ˚C；</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9、浪涌防护：4KV；</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10、防护等级：IP40。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插卡式光纤收发器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1、接口：1个千兆RJ45，1个千兆SC光口；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2、光纤类型：单模单纤，9/125um；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3、传输距离：0~20公里；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4、波长：Tx1550/Rx1310；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5、发射功率：-9~-1dB；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6、接收灵敏度：-21dB；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7、操作温度：-10~60 ˚C；</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8、安装方式：插卡式，与机箱配合使用。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光纤收发器机箱</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1、槽位数量：16个；</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2、安装方式：19英寸，3U高机架；（铝合金）</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3、存储温度：-40～85˚C；</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4、操作温度：-30~70˚C；</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5、相对湿度：5～95%（无凝露）；</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6、电源特性：2个电源，AC220V双电源冗余备份；</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7、输出功率：≤95W。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24口交换机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w:t>
            </w:r>
            <w:r>
              <w:rPr>
                <w:rFonts w:hint="eastAsia" w:ascii="宋体" w:hAnsi="宋体" w:cs="宋体"/>
                <w:sz w:val="20"/>
                <w:szCs w:val="20"/>
                <w:lang w:bidi="ar"/>
              </w:rPr>
              <w:t xml:space="preserve">756Gbps/7.56Tbps</w:t>
            </w:r>
            <w:r>
              <w:rPr>
                <w:rFonts w:hint="eastAsia" w:ascii="宋体" w:hAnsi="宋体" w:cs="宋体"/>
                <w:color w:val="000000"/>
                <w:sz w:val="20"/>
                <w:szCs w:val="20"/>
                <w:lang w:bidi="ar"/>
              </w:rPr>
              <w:t xml:space="preserve">，包转发率：222Mpps；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2、24个千兆SFP光口 （其中8个combo千兆电口） * 4万兆SFP+端口 *1扩展槽；1个mini USB + 1USB，双电源、双风扇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3、支持MAC表项≥64K；</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4、支持静态路由、RIP v1/v2、OSPF、BGP、ISIS、RIPng、OSPFv3、ISISv6、BGP4+；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5、支持VxLAN功能，支持BGP EVPN，支持分布式 Anycast 网关；</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6、支持控制器基于WEB界面进行VxLAN Fabric配置并下发给交换机；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7、支持DHCPv6 Snooping，IP Source Guard，SAVI等安全特性；</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8、支持G.8032（ERPS）标准以太环网协议，故障倒换收敛时间小于50ms；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9、支持SNMP v1/v2/v3、Telnet、RMON、SSHv2；</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10、支持通过命令行、Web、中文图形化配置软件等方式进行配置和管理。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24口交换机</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1、交换容量：336Gbps/3.36Tbps，包转发率：126Mpps；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2、提供24 个 10/100/1000Base-T 以太网端口，4个万兆 SFP+；</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3、设备采用无风扇架构，减少噪音；</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4、支持静态路由、RIP v1/v2、OSPF、BGP、ISIS、RIPng、OSPFv3；</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5、端口缓存：GE 接口在 512 Bytes 下的端口缓存容量≥ 1001.5KB；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6、MSTP：收敛时间≤58ms ，恢复时间≤13ms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7、支持DHCPv6 Snooping，IP Source Guard，SAVI等安全特性；</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8、支持G.8032（ERPS）标准以太环网协议，故障倒换收敛时间小于50ms；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9、支持SNMP v1/v2/v3、Telnet、RMON、SSHv2；</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10、支持通过命令行、Web、中文图形化配置软件等方式进行配置和管理。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光模块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272</w:t>
            </w:r>
            <w:r>
              <w:rPr>
                <w:rFonts w:hint="eastAsia" w:ascii="宋体" w:hAnsi="宋体" w:cs="宋体"/>
                <w:color w:val="000000"/>
                <w:sz w:val="20"/>
                <w:szCs w:val="20"/>
              </w:rPr>
            </w:r>
            <w:r/>
          </w:p>
        </w:tc>
        <w:tc>
          <w:tcPr>
            <w:tcBorders>
              <w:top w:val="single" w:color="000000" w:sz="8"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1、TX1310nm/1.25G，RX1310nm/1.25G；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2、LC，10km；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3、0～70℃；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4、SFP；</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5、发射光功率:-6～-1dBm；</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6、接收灵敏度（低值）:-21dBm。</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网络防火墙</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1、硬件规格：标准1U机箱，冗余电源；配置≥8个10/100/1000M自适应电，≥2个SFP插槽，≥2个SFP+插槽，≥1个Console口，≥1个扩展插槽；</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2、性能参数：网络处理能力≥5Gbps，应用层吞吐≥3G，并发连接≥180万，每秒新建连接≥7万/秒；包含IPSec VPN（≥300授权）、SSL VPN（≥300个授权）功能模块.</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3、维保信息：三年规则库升级授权（IPS+AV+URL），三年维保服务。</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4、支持灵活的细粒度引流策略，可基于源安全域、目的安全域、源用户、源地址、目的地址、服务、VLAN、服务链、流量方向（内网到外网/外网到内网）的引流策略，并详细记录日志。</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5、所投产品必须支持与互联网云端联动，至少实现病毒云查杀、URL云识别、应用云识别、云沙箱、威胁情报云检测等功能。</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6、能够对HTTP/FTP/POP3/SMTP/IMAP/SMB六种协议进行病毒查杀；本地病毒库规模大于3000万。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一键报警终端</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操作系统：嵌入式操作系统</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屏幕尺寸：无屏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屏幕分辨率：无</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操作方式：1个实体按键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 通信方式：有线网络或者全数字</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 网络协议：支持TCP/IP、RTSP、ISUP、SDK、国标、私有sip、标准sip、ONVIF</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 硬件接口：RJ45*2，电源接口*1，RS485*1，IO输入*2，IO输出*2，防拆报警*1，3.5mm音频输入接口*1，3.5mm音频输出接口*1，TF/micro SD卡接口*1（最大支持256G）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 安装方式：壁挂安装</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 供电方式：DC12V（标配电源适配器）、POE（802.3at）</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 设备功耗：≤24W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 工作温度：-25℃-＋55℃</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 工作湿度：10%-95%</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 防护等级：IP54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【功能特性】：</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支持一键报警，和管理中心双向语音对讲，中心呼叫前端报警盒；</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 支持监听功能、广播功能；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支持通过语音关键字识别进行报警呼叫；</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sz w:val="20"/>
                <w:szCs w:val="20"/>
              </w:rPr>
            </w:pPr>
            <w:r>
              <w:rPr>
                <w:rFonts w:hint="eastAsia" w:ascii="宋体" w:hAnsi="宋体" w:cs="宋体"/>
                <w:sz w:val="20"/>
                <w:szCs w:val="20"/>
                <w:lang w:bidi="ar"/>
              </w:rPr>
              <w:t xml:space="preserve">4. ▲支持移动侦测功能，当指定区域内有人员或物体移动时可自动向主机报警并可设置指定时间段开启该功能（</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 支持防拆报警/喧哗报警等功能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核心交换机（原有备用）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1、交换容量：38.4Tbps/168Tbps，包转发率：7200Mpps/36000Mpps，主控冗余，可以提供更好的整机可靠性</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2、为保证网络核心层虚拟化的性能，要求堆叠系统跨框双向转发时延≤1.6us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3、为保证网络的数据通信安全性，要求所投设备支持MACsec加密技术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4、支持内置智能图形化管理功能（SmartMC），对于下联设备具备统一管理的功能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能够通过图形化界面对组内设备进行配置文件一键下发；对拓扑内的设备或设备组批量进行版本升级</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5、虚拟交换机内部流量完全隔离，且表现空间完全独立，整机的MAC、ARP等表项随着虚拟交换机个数增加而倍增。</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6、通过MDC技术可以创建3个虚拟交换机。</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7、实配：24千兆光接口，24千兆电接口，4万兆光接口，双主控引擎，24个光转电模块，冗余电源。</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存储设备</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磁盘阵列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1、4U机架式36盘位网络存储设备，搭载64位多核处理器，1+1冗余电源、冗余风扇，实现7×24小时稳定运行；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2、处理器：1颗64位多核处理器；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3、系统内存：8GB（可扩展至64GB）；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4、系统盘：1×240GB SSD（后置）；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5、存储接口：36个SATA接口，支持硬盘热插拔，可满配4TB/6TB/8TB/10TB/16TB硬盘；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6、网络接口：4个2.5G数据网口，1个千兆管理口；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7、其他接口：1×COM，2×USB2.0（前置），2×USB3.0（后置），1×VGA（前置），1×HDMI（后置）；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8、整机电源：1200W，1+1冗余电源；</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sz w:val="20"/>
                <w:szCs w:val="20"/>
              </w:rPr>
            </w:pPr>
            <w:r>
              <w:rPr>
                <w:rFonts w:hint="eastAsia" w:ascii="宋体" w:hAnsi="宋体" w:cs="宋体"/>
                <w:sz w:val="20"/>
                <w:szCs w:val="20"/>
                <w:lang w:bidi="ar"/>
              </w:rPr>
              <w:t xml:space="preserve">9、▲具有防偶发死机的措施（如硬件或软件狗），死机后的自动恢复时间应≤5min（</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10、支持视频流、图片直写；</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11、支持ONVIF、GB/T 28181、RTSP等标准协议；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12、支持VRAID、RAID0、1、5、6、10等多种RAID模式；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13、支持RAID降级可读写(VRAID)，支持全局热备(RAID0、1、5、6、10)，多重保护数据安全；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14、支持局部重构，原盘或其克隆盘拔出设备后再插回，未被覆盖数据可快速恢复；</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15、支持定时录像、事件录像、手动录像等多种录像方式；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16、支持视频检索功能，按照监控点编号、录像类型、时间组合等条件查询；</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17、支持视频回放功能，正序回放、定位回放、倍速回放等功能；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18、支持按需取流功能，未处于录像计划时间内的通道不占用网络带宽；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19、支持BMC业务保护；</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20、满配16T硬盘36块。</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8路硬盘录像机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1、配置：存储接口：≥8个SATA接口，满配4TB硬盘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2、视频接口：≥2×HDMI，2×VGA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3、网络接口：≥2×RJ45 10/100/1000Mbps自适应以太网口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4、报警接口：≥16路报警输入，≥4路报警输出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5、输入带宽：≥80Mbps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6、输出带宽：≥160Mbps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7、接入能力：≥8路H.264、H.265格式高清码流接入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8、解码能力：最大支持12×1080P</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9、显示能力：最大支持4K+1080P异源输出</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10、具有2个HDMI接口、2个VGA接口、2个RJ45网络接口、2个USB2.0接口、1个USB3.0接口、1个RS232接口、1个RS485接口、1个eSata接口；具有1路音频输入接口、2路音频输出接口，16路报警输入接口、9路报警输出接口，1个DC 12V输出接口；可内置8个SATA接口硬盘。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11、可接入1T、2T、3T、4T、6T、8T、10T、12TB、14TB、16TB容量的SATA接口硬盘；</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12、可接入8路分辨率为1920×1080的视频图像；支持最大接入带宽80Mbps，最大存储带宽80Mbps，最大转发带宽160Mbps，最大回放带宽160Mbps</w:t>
            </w:r>
            <w:r>
              <w:rPr>
                <w:rFonts w:hint="eastAsia" w:ascii="宋体" w:hAnsi="宋体" w:cs="宋体"/>
                <w:color w:val="000000"/>
                <w:sz w:val="20"/>
                <w:szCs w:val="20"/>
              </w:rPr>
            </w:r>
            <w:r/>
          </w:p>
        </w:tc>
      </w:tr>
      <w:tr>
        <w:trPr>
          <w:trHeight w:val="96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13、预览分辨率支持：8160×3616(25帧/秒)、8208×3072（25帧</w:t>
            </w:r>
            <w:r>
              <w:rPr>
                <w:rFonts w:hint="eastAsia" w:ascii="宋体" w:hAnsi="宋体" w:cs="宋体"/>
                <w:color w:val="000000"/>
                <w:sz w:val="20"/>
                <w:szCs w:val="20"/>
                <w:lang w:bidi="ar"/>
              </w:rPr>
              <w:t xml:space="preserve">/秒）、8160×2304（25帧/秒）、6912×2800(25帧/秒)、5760×1696(25帧/秒)、5520×2400（25帧/秒）、4096×2160（25帧/秒）、4000×3000(25帧/秒)、3072×3072(25帧/秒)、4096×2160（25帧/秒）、3840×2160(25帧/秒)、2560×2560(25帧/秒)、2560×1440(25帧/秒)、1920×1080(25帧/秒) 、1280×960(25帧/秒)、1280×720(25帧/秒)、704×576(25帧/秒)。</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14、可同时显示输出8路H.265编码、30fps、1920×1080格式的视频图像，或同时输出3路 H.265编码、25fps、4096×2160或者3840×2160格式的视频图像，或同时解码2路 H.265编码、20fps、4000×3000格式的视频图像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15、可同时正放或倒放4路H.265/H.264编码、2560×1440格式的视频图像，或者3路H.264编码、4096×2160格式的视频图像；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16、具有存储安全保障功能，当存储压力过高或硬盘出现性能不足时，可优先录像业务存储；</w:t>
            </w:r>
            <w:r>
              <w:rPr>
                <w:rFonts w:hint="eastAsia" w:ascii="宋体" w:hAnsi="宋体" w:cs="宋体"/>
                <w:color w:val="000000"/>
                <w:sz w:val="20"/>
                <w:szCs w:val="20"/>
              </w:rPr>
            </w:r>
            <w:r/>
          </w:p>
        </w:tc>
      </w:tr>
      <w:tr>
        <w:trPr>
          <w:trHeight w:val="12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17、支持在线检查硬盘的运行状态、健康状态，包括低温警报、高温警报、异步信号恢复警报、重新分配扇区技术警报，读取恢复警报、无法修复的错误警报、机械故障警报、接口CRC警报、机械故障警报、硬复位警报、软复位警报、磁头加载率警报、电源接通复位率警报、总工作负载率警报、生命周期内工作负载总量警报、上电复位警报、磁头加载计数警报、电源开启小时警报；或者支持前智能人脸检测、人脸识别、视频结构化、周界防范、智能动检、立体行为分析、人像检测、人群分布、人数统计、热度图、车牌识别、车辆密度；</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18、支持网络状态检测，支持网络延时、丢包测试，支持网络抓包备份。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19、支持本地和远程进行IPv6配置，IPv6支持设置多种模式：路由公告、自动获取、手动配置；</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20、接入警戒摄像机，支持对IPC的声音和闪光参数进行配置， 支持通过移动侦测、区域入侵、越界侦测、进入区域和离开区域事件联动一个或多个IPC的声光报警，可以对声光联动一键撤防。</w:t>
            </w:r>
            <w:r>
              <w:rPr>
                <w:rFonts w:hint="eastAsia" w:ascii="宋体" w:hAnsi="宋体" w:cs="宋体"/>
                <w:color w:val="000000"/>
                <w:sz w:val="20"/>
                <w:szCs w:val="20"/>
              </w:rPr>
            </w:r>
            <w:r/>
          </w:p>
        </w:tc>
      </w:tr>
      <w:tr>
        <w:trPr>
          <w:trHeight w:val="73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sz w:val="20"/>
                <w:szCs w:val="20"/>
              </w:rPr>
            </w:pPr>
            <w:r>
              <w:rPr>
                <w:rFonts w:hint="eastAsia" w:ascii="宋体" w:hAnsi="宋体" w:cs="宋体"/>
                <w:sz w:val="20"/>
                <w:szCs w:val="20"/>
                <w:lang w:bidi="ar"/>
              </w:rPr>
              <w:t xml:space="preserve">21、▲接入带有温度报警、烟雾报警、障碍物遮挡报警、移动报警、防拆报警、紧急报警的智慧消防相机，当触发报警时，样机可联动录像、抓拍并保存图片、弹出报警画面、声音警告、上传中心、发送邮件、触发报警输出，并按通道、时间、类型检索报警图片，录像搜索结果支持图片和列表两种展现形式（</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32路硬盘录像机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1、机架式16盘位嵌入式网络硬盘录像机，采用短机箱设计，搭载高性能电源</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2、存储接口：≥16个SATA接口，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3、视频接口：≥2×HDMI，2×VGA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4、网络接口：≥2×RJ45 10/100/1000Mbps自适应以太网口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5、报警接口：≥16路报警输入，9路报警输出（其中第9路支持CTRL 12V）</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6、接入能力：≥32路H.264、H.265格式高清码流接入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7、解码能力：最大支持12×1080P</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8、显示能力：最大支持4K+1080P异源输出</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9、具有2个HDMI接口、2个VGA接口、2个RJ45 千兆网络接口；2个USB2.0接口、2个USB3.0接口、1个RS232接口、1个RS485接口（可接入RS485键盘）；具有1路音频输入接口、2路音频输出接口、16路报警输入接口、9路报警输出接口（其中第9路支持受控直流12V输出）、具有1路直流12V输出接口（12V 1A）、可内置16块SATA接口硬盘</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10、可接入 1T、2T、3T、4T、6T、8T、10T、12TB、14TB、16TB、18TB、20TB 容量的 SATA接口硬盘；可接入 AI 硬盘； 支持不同品牌、不同转速的监控级和企业级硬盘混合接入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11、支持最大接入带宽 384Mbps，最大存储带宽  384Mbps，最大转发带宽  384Mbps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12、可同时显示输出24路2MP、 H.265 编码、25fps、1920×1080 格式的视频图像</w:t>
            </w:r>
            <w:r>
              <w:rPr>
                <w:rFonts w:hint="eastAsia" w:ascii="宋体" w:hAnsi="宋体" w:cs="宋体"/>
                <w:color w:val="000000"/>
                <w:sz w:val="20"/>
                <w:szCs w:val="20"/>
              </w:rPr>
            </w:r>
            <w:r/>
          </w:p>
        </w:tc>
      </w:tr>
      <w:tr>
        <w:trPr>
          <w:trHeight w:val="96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sz w:val="20"/>
                <w:szCs w:val="20"/>
                <w:lang w:bidi="ar"/>
              </w:rPr>
              <w:t xml:space="preserve">3、▲支持报警事件、异常事件计数提醒功能，以图标形式在监控界面上提醒用户，异常事件包括硬盘满、硬盘错误、网络断开、IP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14、可接入带有温度报警、烟雾报警、障碍物遮挡报警、移动报警、防拆报警、紧急报警的智慧消防摄像机进行报警联动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15、支持接入具有专家模式的移动侦测的摄像机，移动侦测报警能够区分是人、车还是其它目标产生，可录像和记录报警信息</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16、满配10T硬盘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64路硬盘录像机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机架式16盘位嵌入式网络硬盘录像机，整机采用短机箱设计，搭载1+1冗余电源</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存储接口：≥16个SATA接口，支持硬盘热插拔，可满配20TB硬盘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视频接口：≥2×HDMI，2×VGA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网络接口：≥2×RJ45 10/100/1000Mbps自适应以太网口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报警接口：≥16路报警输入，9路报警输出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输入带宽：≥384Mbps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输出带宽：≥256Mbps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接入能力：64路H.264、H.265格式高清码流接入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解码能力：最大支持32×1080P</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显示能力：最大支持8K+1080P、2×4K异源输出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RAID模式：RAID0、RAID1、RAID5、RAID6、RAID10，支持全局热备盘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可接入1T、2T、3T、4T、6T、8T、10T、12TB、14TB、16TB、18TB容量的SATA接口硬盘</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可接入64路分辨率为1920×1080的视频图像，支持最大接入带宽384Mbps，最大存储带宽384Mbps，最大转发带宽256Mbps，最大回放带宽256Mbps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设备具有2个HDMI接口，2个VGA接口，1个CVBS接口，支持3组异源输出，每组输出可独立配置全局音频预览</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HDMI接口最大支持8K输出，当一路输出8K时，另一路最高支持1080P输出；两个HDMI接口可同时支持双4K异源输出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CVBS接口支持10档亮度调节；支持PAL和NTSC制式切换；CVBS最大支持16分屏</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接入带有人体测温功能的IPC，支持在预览界面以卡片形式实时展示体温信息，体温正常为绿色，体温异常为红色，支持根据体温状态联动语音输出，语音支持“体温正常”、“体温异常”。支持按体温状态、温度范围检索人脸图片</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热成像侦测，接入带有火点检测、船只检测、吸烟检测、温差报警功能的IPC，当触发报警时，样机可联动录像、抓拍并保存图片、弹出报警画面、声音警告、上传中心、发送邮件、触发报警输出，可联动外接球机预置点、球机轮巡、球机轨迹，并按通道、时间、类型检索报警图片，检索结果支持图片和列表两种展现形式</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在线检查硬盘的运行状态、健康状态，包括低温警报、高温警报、异步信号恢复警报、重新分配扇区技术警报，读取恢复警报、无法修复的错误警报、机械故障警报、接口CRC警报、机械故障警报、硬复位警报、软复位警报、磁头加载率警报、电源接通复位率警报、总工作负载率警报、生命周期内工作负载总量警报、上电复位警报、磁头加载计数警报、电源开启小时警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具有磁盘阵列功能，支持RAID0、RAID1、RAID5、RAID6、RAID10、RAID50、RAID60、JBOD模式；支持一键创建RAID5阵列功能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支持将设备日志上传到日志服务器，可配置日志服务器IP地址和端口</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满配16T硬盘</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四</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显示设备</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46吋拼接监视器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1、LCD显示单元为：46“超窄边液晶屏；物理分辨率达到1920×1080，响应时间≤8.5ms；</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sz w:val="20"/>
                <w:szCs w:val="20"/>
              </w:rPr>
            </w:pPr>
            <w:r>
              <w:rPr>
                <w:rFonts w:hint="eastAsia" w:ascii="宋体" w:hAnsi="宋体" w:cs="宋体"/>
                <w:sz w:val="20"/>
                <w:szCs w:val="20"/>
                <w:lang w:bidi="ar"/>
              </w:rPr>
              <w:t xml:space="preserve">2、▲LCD显示单元物理拼缝≤2.5mm，亮度达到500cd/㎡，对比度达到1000:1,图像显示清晰度≥950TVL，亮度鉴别等级为11级，亮度均匀性≥90%；（</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3、LCD显示单元具有视频输入接口：HDMI*1、DVI*1、VGA*1、USB*1，视频输出接口：HDMI*1，控制接口：RS232 IN * 1、RS232 OUT * 1；</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4、显控系统支持远程开关机控制，支持拼接墙整墙的开关机、定时开关机操作；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5、液晶显示单元支持HDMI环通拼接功能；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6、拼接屏具有将输入的4K信号源旋转90度、180度和270度的功能；</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7、液晶拼接屏支持遥控器一键给所有屏幕分配不同ID编号，同时支持在所有屏幕拥有不同ID时遥控器可以任意选中1块屏幕或多块屏幕进行操作；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8、液晶拼接屏菜单中可自定义划分0-255灰阶为10、20或50段，针对不同屏幕不同灰阶色差做精细化调节；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9、内置MPEG、JPEG和Real Media解码器，支持点播U盘、移动硬盘中的视频、图片、音频或文本资源；</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10、支持远程控制和在线运维；</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11、采用无风扇设计，静音防尘；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12、支持壁挂、落地、吊装等多种安装方式；</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13、采用金属外壳，防辐射、防磁场、防强电场干扰。</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气动前维护落地支架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前封板，后留空；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材质：优质冷轧钢板(SPCC)</w:t>
            </w:r>
            <w:r>
              <w:rPr>
                <w:rFonts w:hint="eastAsia" w:ascii="宋体" w:hAnsi="宋体" w:cs="宋体"/>
                <w:color w:val="000000"/>
                <w:sz w:val="20"/>
                <w:szCs w:val="20"/>
              </w:rPr>
              <w:t xml:space="preserve">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表面处理：静电喷塑，涂层厚度&gt;60微米</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弧度：0°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适用规模：适合5行10列以内的拼接规模</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可定制范围：厚度（245mm-600mm），颜色，底座高度（≥200mm），前开门，后封板/后开门，拉杆长度，LOGO，储物隔板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控制键盘</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屏幕区和摇杆区采用分体设计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支持网络方式接入本司全系列DVR、DVS、NVR、网络摄像机、球机等设备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支持在触控屏上预览图像或通过HDMI/DVI将图像投到外接显示屏上</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支持控制视频综合平台、解码器、多屏控制器或NVR&amp;解码上墙一体机，直观展示电视墙布局</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支持云台控制，支持预置点、巡航设置与调用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支持回放硬盘录像机上的录像文件，支持控制解码器回放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支持抓图、录像功能，文件保存至U盘或上传至FTP服务器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支持最多添加8000台设备，支持以ONVIF协议接入设备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支持通过excel批量添加点位，借助U盘导入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两级用户权限，支持32个用户 ，1个admin管理员用户和31个操作员用户</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支持接入iSecure（海豚）平台</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支持U盘升级及导入/导出配置文件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支持接入综合安防平台</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支持语音识别，通过指定的语音指令实现快捷切换操作。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显示屏：≥10.1英寸TFT LCD</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控制方式：网络方式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电源：DC12V/POE</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功耗：≤15W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最大解码分辨率：4路1080P或1路4K</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工作温度：-10℃--＋55℃</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工作湿度：10％--90％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网络接口：≥1个</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摇杆类型：四维单按键摇杆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USB接口：≥USB2.0x2</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视频接口：≥DVIx1;HDMIx1</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视频解码器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≥4路HDMI进+≥24路HDMI出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标准机架式机箱，运营级ATCA机箱系统，满足中小规模的监控需求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插拔式模块化设计，可根据需求灵活选择机型</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业务模块支持智能风扇自动调温，确保系统稳定可靠</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支持HDMI信号输入输出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支持H.264/H.265编码，默认采用H.264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解码支持H.265、H.264、MJPEG等主流的编码格式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支持4路高清视频编码能力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支持192路高清视频解码能力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视频输出最大的LED带载能力为单口230 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支持3200 W高清视频解码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支持24个显示屏的任意大屏拼接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单输出口支持1/4/6/8/9/16/25画面分割显示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支持开窗和漫游，最多支持384个窗口，单屏支持3个图层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支持电视墙预览</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最大支持128个预设场景，用户可以自定义每个场景电视墙布局</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支持虚拟LED功能，最多添加字幕8个，单墙3个</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支持WEB方式、Android和IOS客户端访问和操作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支持ONVIF协议接入设备解码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支持GB28181协议接入平台实现管理和操作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整机解码能力：≥192路1080P30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整机编码能力：≥4路1080P60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整机拼接能力：≥24路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整机功耗：≤240 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电视墙规模：≤24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场景数量：≥128</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工作湿度：10% ～ 90%</w:t>
            </w:r>
            <w:r>
              <w:rPr>
                <w:rFonts w:hint="eastAsia" w:ascii="宋体" w:hAnsi="宋体" w:cs="宋体"/>
                <w:color w:val="000000"/>
                <w:sz w:val="20"/>
                <w:szCs w:val="20"/>
              </w:rPr>
            </w:r>
            <w:r/>
          </w:p>
        </w:tc>
      </w:tr>
      <w:tr>
        <w:trPr>
          <w:trHeight w:val="96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输入分辨率：支持1024×768@60Hz、1280×1024@60Hz、1366×768@60Hz、1440×900@60Hz、1680×1050@60Hz、1280×960@60Hz、1600×1200@60Hz、1280×720P@50Hz、1280×720P@60Hz、1920×1080P@50Hz、1920×1080P@60Hz、1920×1200@60Hz、3840×2160@30Hz（仅奇数口），支持自定义输入分辨率，宽高范围800×600～3840×2160，宽度4对齐，高度2对齐</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视频编码格式：支持H265/H264，默认H264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视频编码通道数：≥4</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视频编码能力：编码支持子码流及主码流类型，其中子码流含CIF(352×288)/FCIF(704×576)，主码流含 720P(1280×720)/XVGA(1280×960)/UXGA(1600×1200)/1080P(1920×1080)/XGA(1024×768)/WXGA(1360×768)/SXGA(1280×1024)/SXGA(1400×1050)/WSXGA(1440×900)/WSXGA+(1680×1050)/1920×1200/3840×2160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音频输入接口数：≥4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音频输入接口类型：HDMI内嵌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音频编码格式：G722.1,G711_U,G711_A,AAC</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视频输出分辨率：XGA_60 Hz(1024×768@60 Hz)/SXGA_60 Hz(1280×1024@60 Hz)/720P_60 Hz(1280×720@60 Hz)/UXGA_60 Hz(1600×1200@60 Hz)/WSXGA_60 Hz(1680×1050@60 Hz)/WUXGA_60 Hz(1920×1200@60 Hz)/1080P_60 Hz(1920×1080@60 Hz)/4K_30 Hz(3840×2160@30 Hz)</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视频解码格式：H264,H265,Smart264,Smart265,MJPEG</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视频解码通道：≥384</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视频解码能力：H264/H265/Smart264/Smart265格式，12路3200W/2400W，或24路1600W，或30路1200W，或48路800W，或60路600W，或96路400W，或192路1080P，384路720P/D1 及以下分辨率实时解码。（每4个输出口一组，共享解码能力）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MJPEG格式，支持24路200W解码。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音频输出接口数：≥24</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音频输出接口类型：HDMI内嵌</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音频解码格式：G711-A,G711-U,G722.1,G726-16/U/A,MPEG,AAC-LC</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none" w:color="000000" w:sz="4"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五</w:t>
            </w:r>
            <w:r>
              <w:rPr>
                <w:rFonts w:hint="eastAsia" w:ascii="宋体" w:hAnsi="宋体" w:cs="宋体"/>
                <w:b/>
                <w:bCs/>
                <w:color w:val="000000"/>
                <w:sz w:val="20"/>
                <w:szCs w:val="20"/>
              </w:rPr>
            </w:r>
            <w:r/>
          </w:p>
        </w:tc>
        <w:tc>
          <w:tcPr>
            <w:tcBorders>
              <w:top w:val="none" w:color="000000" w:sz="4" w:space="0"/>
              <w:left w:val="none" w:color="000000" w:sz="4" w:space="0"/>
              <w:bottom w:val="none" w:color="000000" w:sz="4"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单兵系统</w:t>
            </w:r>
            <w:r>
              <w:rPr>
                <w:rFonts w:hint="eastAsia" w:ascii="宋体" w:hAnsi="宋体" w:cs="宋体"/>
                <w:b/>
                <w:bCs/>
                <w:color w:val="000000"/>
                <w:sz w:val="20"/>
                <w:szCs w:val="20"/>
              </w:rPr>
            </w:r>
            <w:r/>
          </w:p>
        </w:tc>
        <w:tc>
          <w:tcPr>
            <w:tcBorders>
              <w:top w:val="none" w:color="000000" w:sz="4" w:space="0"/>
              <w:left w:val="none" w:color="000000" w:sz="4" w:space="0"/>
              <w:bottom w:val="none" w:color="000000" w:sz="4"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手持单兵</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支持二维码巡更方案</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支持NFC读卡巡更方案</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支持室外GPS定位+电子地图巡更方案</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支持远程巡更任务接收，巡更任务管理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支持巡更人员登录注册，进行权限管理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支持巡更任务查询，巡更任务提醒等协助巡更的功能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有网络环境下支持巡更记录实时上传；</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无网络环境下支持巡更记录断点续传；</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支持NFC协议；支持ISO15693、ISO14443A/B、ISO14443A</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图像采集：前置摄像头500万像素；后置摄像头1300万像素；</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5.5英寸高清触摸屏，1440*720分辨率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四核2.0GHz处理器，2GB RAM，32GB ROM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内置高灵敏度卫星定位模块，支持北斗，GPS，Glonass定位；</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防水、防尘、防摔（IP68）,支持1.5米防摔，适合全天候野外作业</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4G全网通</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巡更二维码</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定制</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六</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背景音乐</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管理主机</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不低于E5800/2GB DDR3/500GB/独立显卡ATI Radeon HD 5450/20英寸/DVD-ROM</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数字化IP网络广播客户端管理软件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1、软件是整个系统的运行核心，统一管理系统内所有音频终端，包括寻呼话筒、对讲终端、广播终端和消防接口设备，实时显示音频终端的IP地址、在线状态、任务状态、音量等运行状态；</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撑各音频终端的运行，负责音频流传输管理，响应各音频终端播放请求和音频全双工交换，支持B/S架构VN.LK07838，通过网页登陆可进行终端管理、用户管理、节目播放管理、音频文件管理、录音存贮、内部通讯调度处理等功能；</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3、管理节目库资源，为所有音频终端器提供定时播放和实时点播媒体服务，响应各终端的节目播放请求，为各音频工作站提供数据接口服务；</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4、提供全双工语音数据交换，响应各对讲终端的呼叫和通话请求，支持一键呼叫、一键对讲、一键求助、一键报警等通话模式，支持自动接听、手动接听，支持自定义接听提示音；</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6、支持终端短路输入联动触发，可任意设置联动触发方案和触发终端数量，触发方案包括短路输出、音乐播放、巡更警报等；</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7、编程定时任务，支持编程多套定时方案，支持选择任意终端和设置任意时间；支持定时任务执行测试、设置重复周期。支持定时任务多种音源选择（音乐播放、声卡采集、终端采集）；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8、支持多套定时打铃方案同时启用，每套定时打铃方案支持多套任务同时进行，支持一键启用/停用所有方案；</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9、支持定时打铃功能，支持打铃方案克隆，任务执行与停止控制、定时任务禁用与启用功能；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10.支持定时巡更功能，支持自定义巡更任务的执行时间及重复周期，可自定义指示灯闪烁间隔时间0-30s；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11、支持今日任务列表查看，管理今日执行的所有定时任务信息和执行状态。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12、日志记录系统运行状态，实时记录系统运行及终端工作状态，每次呼叫、通话和广播操作均有记录</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13、支持对≥8路功率分区终端进行功率控制分区设置，通过web页面后台或分控客户端均可设置分区；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14、支持对终端设置时间显示配置，可设置1-6级别亮度值，可设置断网后不显示时间等模式；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15、支持对终端设置不同的灯光模式，可分别自定义设置红灯亮、红灯灭、绿灯/蓝灯亮、绿灯/蓝灯灭时间0-10S；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16、支持配置终端冻结时间，在终端被冻结期间禁止终端执行任务；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17、支持广播、对讲、实时采集、终端监听进行录音；支持文本广播功能，可实现将文本转成语音，支持后台调整语速；</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18、支持后台换肤功能，可根据喜好自由切换皮肤主题；</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19、支持终端明细导出功能，支持通过表格方式导出当前系统终端的配置详情。支持批量修改定时任务的时间、执行终端。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LK系列调音台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1、支持≥4路Mic输入兼容≥4路线路输入接口，话筒接口幻象电源：≥+48V，≥4组立体线性输入；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2、具有≥1组立体声主输出、≥1组辅助输出、≥1组立体声监听输出、≥1路耳机监听输出、≥1组CD/Tape输出；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3、每路单声道输入通道设有≥3段EQ，设有峰值LED指示灯；</w:t>
            </w:r>
            <w:r>
              <w:rPr>
                <w:rFonts w:hint="eastAsia" w:ascii="宋体" w:hAnsi="宋体" w:cs="宋体"/>
                <w:color w:val="000000"/>
                <w:sz w:val="20"/>
                <w:szCs w:val="20"/>
              </w:rPr>
            </w:r>
            <w:r/>
          </w:p>
        </w:tc>
      </w:tr>
      <w:tr>
        <w:trPr>
          <w:trHeight w:val="121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4、内置≥24位DSP效果器，提供≥100种预设效果。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IP音频采集器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1、采集设备支持将模拟音频采集编码成数字音频，具有≥1路RJ45网络接口，支持定时采播任务、临时采播任务功能；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2、具有≥2组RCA音频输入接口，支持音量调节功能；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3、采播任务支持≥3种采集音质可选，支持普通、中级、高级音质选择模式；</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4、支持声压触发采集外部音源，智能识别音频,自动建立采集任务,可自定义执行区域,可自定义延时关闭时间。</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CD播放器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1.吸入式机芯；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2.支持自动播放控制；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3支持播放：CD/VCD/MP3/DVD碟片；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4.支持内置宽频监听扬声器；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5.支持内置MP3播放器，可读USB和SD卡；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6.可通过面板按键或红外遥控器控制操作。</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7.支持上电自动播放功能。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多功能音源控制嵌入软件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1.软件内嵌于终端设备，支撑设备各项基本功能的运行。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2.支持系统+ESS解码方案，超强纠错功能。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3.支持播放CD等碟片。</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4.支持读取U盘或SD卡，并且播放媒体文件。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调谐器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1.调频、调幅（AM/FM）立体声二波段接收可选，电台频率记忆存储≥99个；</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2.电台频率自动搜索存储功能，且有断电记忆功能；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3.≥两组接收天线输入：AM接收天线输入；FM接收天线75Ω输入；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4.≥1路音频信号左右声道（L /R）输出；</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5.可通过面板按键或红外遥控器控制操作。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收音机控制嵌入软件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1.软件内嵌于终端设备，支撑设备各项基本功能的运行。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2.支持选择调频、调幅（FM/AM）二波段接收。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3.支持FM接收频率范围76MHz~108MHz。</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4.支持电台频率自动搜索及存储功能，存储电台可达99个。</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5.支持断电记忆功能。</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寻呼话筒</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1、采用话筒桌面式设计，带有显示屏，带触摸控制功能；显示屏自带数字键、功能键，支持通过触摸呼叫广播，支持呼叫分区及多个分区，呼叫全区广播；可支持≥10个按键自定义一键呼叫广播功能；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2、内置≥1路网络硬件音频解码模块，具有≥1路RJ45网络接口，≥100Mbps传输速率；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3、支持监听任意终端功能，内置≥2W全频扬声器，实现双向通话和网络监听；</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4、支持≥1路音频线路输入，支持采集播放功能；具有≥1路音频线路输出，可外接功率放大器；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5、支持直接操作呼叫或对讲任意终端，支持通过话筒广播呼叫功能，广播延时≤100毫秒；</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6、支持多种呼叫策略，包括无响应转移、占线转移、关机转移；自动接听、手动接听，支持自定义接听提示音，支持转移时间、无人接听时间、呼叫等待时间自定义；</w:t>
            </w:r>
            <w:r>
              <w:rPr>
                <w:rFonts w:hint="eastAsia" w:ascii="宋体" w:hAnsi="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7、具有≥1个3.5耳机接口、≥1路3.5话筒输入接口；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话筒呼叫控制嵌入软件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1.软件内嵌于话筒设备，实现话筒呼叫控制功能，支撑设备各项基本功能的运行。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2.授权操作管理功能，支持服务器统一配置管理用户及密码。</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3.支持新配置注册智能语音提示功能。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4.支持多种呼叫策略，包括呼叫转移、呼叫等待、无人接听提醒等。</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5.支持双向对讲功能，可与另一方对讲终端实现双向语音传输功能。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6.可实现分区/全区进行喊话/广播功能。</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7.支持单独调节音量。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IP网络音箱</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1、内置≥1路网络硬件音频解码模块,具有≥1路RJ45网络接口，≥100Mbps传输速率；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2、支持≥1路音频线路输入接口，具有独立的音量调节功能；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3、设备集成有数字功放，功率≥2×20W（MAX），≥一路接主音箱，≥一路外接到副音箱；</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4、内置≥2级优先级功能设计：(1)AUX与网路背景音乐信号同级，混音输出。(2)网络报警信号优先AUX与网络背景音乐信号；</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5、支持IPv6、IPv4网络协议。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IP有源音箱扩声软件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1.软件内嵌于IP有源音箱扩声终端设备，支撑设备各项基本功能的运行。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2.嵌入DSP音频处理技术，高保真解码音频文件；支持远程点播功能，支持节目播放。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3.支持新配置注册智能语音提示功能。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4.支持播放背景音乐功能，支持单独调节音量。</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5.支持播放本地服务器的MP3文件；支持单独播放或分区/全区播放。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消防报警接口器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1.标准机柜式设计，≥1U高度。</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2.设备采用嵌入式计算机技术和DSP音频处理技术设计。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 ≥16路消防短路信号输入，可无限扩展输入接口，方便更大的系统使用。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4.面板支持一键取消任务。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5.标配网络接口，全速率连接最高可达100M。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6.支持广播系统对终端进行远程固件升级，无需到终端本地升级，减轻维护人员工作强度。</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7.网络接口：标准RJ45输入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8.传输速率：100Mbps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9.支持协议：TCP/IP、UDP、IGMP（组播）</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10.短路接口：工业标准压线接线端子</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消防语音系统软件</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1.软件内嵌于消防语音系统主机设备，支撑设备各项基本功能的运行。</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2.支持分区监听、设备状态实时查看。</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3.实现对设备的控制、信号切换。</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电源时序器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1.机柜式设计，黑色氧化铝拉丝面板；</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2.支持≥16路电源输出，具有≥14个AC220V(10A)，≥2个AC220V(16A)接口， 电源插口总容量达≥6KVA；</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3.设有船型开关，可手动控制≥16个电源上断电；也可与定时器、智能控制器相连接，实现自动控制；支持配置CH1和CH2通道为受控或不受控状态。</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4.有≥1路24V消防信号输入接口；≥1路消防短路报警触发信号输出。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IP网络音柱</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109</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1、一体化结构设计，内置≥一路网络数字音频解码模块，内置数字功率放大器模块，额定功率≥30W；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2、当现场设备不接地线情况，当终端空闲时，会自动播放提示音；当正常接地后，设备才不再继续提示；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3、支持服务器统一授权操作管理功能，统一配置管理用户及密码功能；支持≥100级自定义音频优先级默音控制功能；</w:t>
            </w:r>
            <w:r>
              <w:rPr>
                <w:rFonts w:hint="eastAsia" w:ascii="宋体" w:hAnsi="宋体" w:cs="宋体"/>
                <w:color w:val="000000"/>
                <w:sz w:val="20"/>
                <w:szCs w:val="20"/>
              </w:rPr>
            </w:r>
            <w:r/>
          </w:p>
        </w:tc>
      </w:tr>
      <w:tr>
        <w:trPr>
          <w:trHeight w:val="121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4、支持现场电压过高，自动断电保护；当电压恢复正常，可以自动上电重新上线。带</w:t>
            </w:r>
            <w:r>
              <w:rPr>
                <w:rFonts w:hint="eastAsia" w:ascii="宋体" w:hAnsi="宋体" w:cs="宋体"/>
                <w:color w:val="000000"/>
                <w:sz w:val="20"/>
                <w:szCs w:val="20"/>
                <w:lang w:bidi="ar"/>
              </w:rPr>
              <w:t xml:space="preserve">有1路本地线路输入，1路本地话筒输入：可将外接音频（卡座、笔记本、话筒等）送入网络音箱本地线路、话筒接口实现本地多媒体扩音；具备智能电源管理功能，设备采用内置判断功放的运行状态，在无工作状态时功放自动进入休眠状态，当有播放任务时，功放自动启动；包含功能模块：100V定压备份模块，网络离线备份模块，2.4G接入模块，蓝牙接入模块，电子教鞭模块；传输距离远：可在开阔地带范围内稳定传输音频数据；支持3.5MM音频输入和麦克风输入；音箱断网、断电时，IP主音箱和副音箱支持100V定压功放推动工作；支持调音面板接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一键报警对讲主机</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8"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≥10.1寸高清触摸屏，集成≥200万高清摄像头，摄像头支持角度调节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2.支持H.264/H.265解码显示，≥4路开关量输入，≥4路继电器输出</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3.对接显示器功能：设备支持通过HDMI和VGA接口扩展显示关联视频通道；设备支持最大256G SD卡，支持存储双向对讲通话时录像的双向混音音视频复合流；支持管理机本地SD卡存储的音视频文件回放</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呼叫转移功能：设备支持前端设备呼叫中心管理机时，通过呼叫转移功能将呼叫信息转移到其他中心后端管理机上；并支持将呼叫信息通过电话网关转接至座机或手机终端；设备支持多台前端设备与多台中心管理机实时多方通话</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sz w:val="20"/>
                <w:szCs w:val="20"/>
              </w:rPr>
            </w:pPr>
            <w:r>
              <w:rPr>
                <w:rFonts w:hint="eastAsia" w:ascii="宋体" w:hAnsi="宋体" w:cs="宋体"/>
                <w:sz w:val="20"/>
                <w:szCs w:val="20"/>
                <w:lang w:bidi="ar"/>
              </w:rPr>
              <w:t xml:space="preserve">5.▲支持留影留言功能，可通过本机进行留影录像、留言录音，并可回放，可显示新的留影留言消息提示和已阅读提示（</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6.广播功能：管理机可对前端设备进行实时语音广播，支持可分区域和分组广播</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7.监视监听功能：中心管理机可监听前端设备声音，中心管理机在监听同时可查看前端设备的视频图像</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8.录音录像功能：前端设备与管理机对讲通话时，前端设备视频和通话时双向混音音频可被管理机存储录像</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无线网桥</w:t>
            </w:r>
            <w:r>
              <w:rPr>
                <w:rFonts w:hint="eastAsia" w:ascii="宋体" w:hAnsi="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t xml:space="preserve">1、适用频段：2.4GHz；</w:t>
            </w:r>
            <w:r>
              <w:rPr>
                <w:rFonts w:hint="eastAsia" w:ascii="宋体" w:hAnsi="宋体" w:cs="宋体"/>
                <w:color w:val="000000"/>
                <w:sz w:val="20"/>
                <w:szCs w:val="20"/>
              </w:rPr>
            </w:r>
            <w:r/>
          </w:p>
          <w:p>
            <w:pPr>
              <w:pStyle w:val="756"/>
              <w:jc w:val="left"/>
              <w:rPr>
                <w:rFonts w:hint="eastAsia" w:ascii="宋体" w:hAnsi="宋体" w:cs="宋体"/>
                <w:color w:val="000000"/>
                <w:sz w:val="20"/>
                <w:szCs w:val="20"/>
              </w:rPr>
            </w:pPr>
            <w:r>
              <w:rPr>
                <w:rFonts w:hint="eastAsia" w:ascii="宋体" w:hAnsi="宋体" w:cs="宋体"/>
                <w:color w:val="000000"/>
                <w:sz w:val="20"/>
                <w:szCs w:val="20"/>
              </w:rPr>
              <w:t xml:space="preserve">2、无线协议：WIFI 4；</w:t>
            </w:r>
            <w:r>
              <w:rPr>
                <w:rFonts w:hint="eastAsia" w:ascii="宋体" w:hAnsi="宋体" w:cs="宋体"/>
                <w:color w:val="000000"/>
                <w:sz w:val="20"/>
                <w:szCs w:val="20"/>
              </w:rPr>
            </w:r>
            <w:r/>
          </w:p>
          <w:p>
            <w:pPr>
              <w:pStyle w:val="756"/>
              <w:jc w:val="left"/>
              <w:rPr>
                <w:rFonts w:hint="eastAsia" w:ascii="宋体" w:hAnsi="宋体" w:cs="宋体"/>
                <w:color w:val="000000"/>
                <w:sz w:val="20"/>
                <w:szCs w:val="20"/>
              </w:rPr>
            </w:pPr>
            <w:r>
              <w:rPr>
                <w:rFonts w:hint="eastAsia" w:ascii="宋体" w:hAnsi="宋体" w:cs="宋体"/>
                <w:color w:val="000000"/>
                <w:sz w:val="20"/>
                <w:szCs w:val="20"/>
              </w:rPr>
              <w:t xml:space="preserve">3、无限速率：300M；</w:t>
            </w:r>
            <w:r>
              <w:rPr>
                <w:rFonts w:hint="eastAsia" w:ascii="宋体" w:hAnsi="宋体" w:cs="宋体"/>
                <w:color w:val="000000"/>
                <w:sz w:val="20"/>
                <w:szCs w:val="20"/>
              </w:rPr>
            </w:r>
            <w:r/>
          </w:p>
          <w:p>
            <w:pPr>
              <w:pStyle w:val="756"/>
              <w:jc w:val="left"/>
              <w:rPr>
                <w:rFonts w:hint="eastAsia" w:ascii="宋体" w:hAnsi="宋体" w:cs="宋体"/>
                <w:color w:val="000000"/>
                <w:sz w:val="20"/>
                <w:szCs w:val="20"/>
              </w:rPr>
            </w:pPr>
            <w:r>
              <w:rPr>
                <w:rFonts w:hint="eastAsia" w:ascii="宋体" w:hAnsi="宋体" w:cs="宋体"/>
                <w:color w:val="000000"/>
                <w:sz w:val="20"/>
                <w:szCs w:val="20"/>
              </w:rPr>
              <w:t xml:space="preserve">4、供电方式：POE/DC供电；</w:t>
            </w:r>
            <w:r>
              <w:rPr>
                <w:rFonts w:hint="eastAsia" w:ascii="宋体" w:hAnsi="宋体" w:cs="宋体"/>
                <w:color w:val="000000"/>
                <w:sz w:val="20"/>
                <w:szCs w:val="20"/>
              </w:rPr>
            </w:r>
            <w:r/>
          </w:p>
          <w:p>
            <w:pPr>
              <w:pStyle w:val="756"/>
              <w:jc w:val="left"/>
              <w:rPr>
                <w:rFonts w:hint="eastAsia" w:ascii="宋体" w:hAnsi="宋体" w:cs="宋体"/>
                <w:color w:val="000000"/>
                <w:sz w:val="20"/>
                <w:szCs w:val="20"/>
              </w:rPr>
            </w:pPr>
            <w:r>
              <w:rPr>
                <w:rFonts w:hint="eastAsia" w:ascii="宋体" w:hAnsi="宋体" w:cs="宋体"/>
                <w:color w:val="000000"/>
                <w:sz w:val="20"/>
                <w:szCs w:val="20"/>
              </w:rPr>
              <w:t xml:space="preserve">5、LAN输出口：百兆网口。</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七</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其他配套设备</w:t>
            </w:r>
            <w:r>
              <w:rPr>
                <w:rFonts w:hint="eastAsia" w:ascii="宋体" w:hAnsi="宋体" w:cs="宋体"/>
                <w:b/>
                <w:bCs/>
                <w:color w:val="000000"/>
                <w:sz w:val="20"/>
                <w:szCs w:val="20"/>
              </w:rPr>
            </w:r>
            <w:r/>
          </w:p>
        </w:tc>
        <w:tc>
          <w:tcPr>
            <w:tcBorders>
              <w:top w:val="none" w:color="000000" w:sz="4" w:space="0"/>
              <w:left w:val="none" w:color="000000" w:sz="4" w:space="0"/>
              <w:bottom w:val="none" w:color="000000" w:sz="4" w:space="0"/>
              <w:right w:val="none" w:color="000000" w:sz="4" w:space="0"/>
            </w:tcBorders>
            <w:tcW w:w="171" w:type="dxa"/>
            <w:vAlign w:val="center"/>
            <w:textDirection w:val="lrTb"/>
            <w:noWrap/>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服务器机柜</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8"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1、19英寸标准机架式机柜，符合GB/T3047.2标准，尺寸600*1200*2000MM；</w:t>
            </w:r>
            <w:r>
              <w:rPr>
                <w:rFonts w:hint="eastAsia" w:ascii="宋体" w:hAnsi="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2、全部采用优质冷轧钢板，厚度：方孔条1.5，其他0.8mm，机柜表面采用先喷砂，后喷塑的表面处理工艺，保证机柜表面涂层的牢固可靠，耐酸碱、耐腐蚀、防静电。</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配电柜</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1、不少于25个32A/2P开关，包含机柜内总开关、浪涌保护器、二级避雷器、三级避雷器、配件等。（尺寸600*1200*2000MM）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机架式UPS</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1、不间断电源（机架式UPS）不间断电源设计，单机容量30KVA，标准19寸机架，UPS主机支持三进三出；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2、UPS模块配有LED显示屏，可以直观显示；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3、告警功能：具有过载、市电异常、UPS故障、电池欠压等多种告警功能；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4、保护功能：具有短路、过载、过温、电池欠压、输出过欠压、风扇故障告警、防雷多种保护；</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5、整流输入电压范围：208-478VAC；</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6、输入功率因数：≥0.99；</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7、输入频率范围（Hz）：40～70；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8、输出电压波形：正弦波THDV≤1%（100％线性负载）；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9、输出功率因数：UPS的输出功率因数=1；</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10、电池电压（Vdc）：360～600（30~50节可选，默认36节）。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11、输出电压（Vac）：380/400/415（线电压)/220/230/240（相电压)；</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12、输出频率精度：市电模式，可设置±1%、±2%、±4%、±5%、±10%；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13、电池模式：（50/60±0.1%） Hz；</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14、输出过载能力：负载≤110%，60min，≤125%，维持10min，≤150%维持1min，＞150% 立即转旁路；</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15、UPS的控制管理电路应由多个MCU/DSP等微处理器进行控制，实现整流与逆变分别管理。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128</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1、电池容量：12V100AH 蓄电池；</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2、外观要求：无变形、漏液、裂纹及污迹；标识清晰；</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3、结构要求：正负极端子有明显标志，便于链接；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4、阻燃性能：负荷YD/T799-2010中第6.4条的要求；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5、密封反应效率：密封反应效率≥97%；</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6、端电压均衡性：开路状态下，最高与最低电压差值≤26mV；浮充状态：进入浮充24小时后，端电压差值≤53mV；放电状态：端电压差值≤127mV；</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7、容量一致性：同组蓄电池10小时率容量试验时，最大实际容量与最小实际容量差值≤1.6%；</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8、蓄电池间连接电压降：△U≤ 7 mV</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9、容量一致性：同组蓄电池10小时率容量试验时，最大实际容量与最小实际容量差值≤2%</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11、为了提高蓄电池的安全性，蓄电池必须标配防漏液绝缘毯或防护托盘等防漏液措施。</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蓄电池柜</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每个电池柜可装32节12V100AH电池。</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电池组配套附件</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电池空开、蓄电池连接线、主机到电池连接线缆BVR16mm²</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柜式冷空调12.5KW</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1、制冷型式每台机组含有一台压缩机；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2、制冷量要求：≥11.9kW，全系统可弹性支持N，N+1冗余结构，风量-m3/h：≥2600，电加热：≥3kW；</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3、▲专业的低载除湿设计，可以实现显冷量≤2KW及相对湿度≥94%情况下的轻载除湿功能，除湿量不小于3kg/h（</w:t>
            </w:r>
            <w:r>
              <w:rPr>
                <w:rFonts w:ascii="宋体" w:hAnsi="宋体" w:cs="宋体"/>
                <w:sz w:val="20"/>
                <w:szCs w:val="20"/>
                <w:lang w:bidi="ar"/>
              </w:rPr>
              <w:t xml:space="preserve">需提供具有CMA、ilac-MRA及CNAS标识的第三方检测机构检测报告复印件并加盖原厂公章</w:t>
            </w:r>
            <w:r>
              <w:rPr>
                <w:rFonts w:hint="eastAsia" w:ascii="宋体" w:hAnsi="宋体" w:cs="宋体"/>
                <w:sz w:val="20"/>
                <w:szCs w:val="20"/>
                <w:lang w:bidi="ar"/>
              </w:rPr>
              <w:t xml:space="preserve">上传至投标文件</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4、采用环保型制冷剂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10KVA，高频塔式采用数字化控制技术、三电平技术和高频电源变换技术具有体积小、性能高、可靠性高等特点；</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额定容量：10000VA / 9000W</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输入电压范围：80～275Vac</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相数：单相三线</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输入频率范围：50/60±10%（自适应）</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输入功率因数：&gt;0.99（满载）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输出电压：208/220/230/240±1%</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输出频率：市电模式：与电网同步；电池模式：50/60±0.2%</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整机效率：最高可达95%</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功率因数：0. 9（默认）</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过载能力：115%-130%过载：10min；130%-150%过载：30s；150%以上过载：0.5s</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电池电压：192-240V可设置  （默认16节）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输出方式（塔式）：接线排</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工作温度： -5~40℃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海拔高度：≤1000米,超过指定海拔高度时，按照国标要求降容。</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告警功能：电池低压、市电异常、UPS故障、输出过载、输出短路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保护功能：电池欠压保护、过载保护、短路保护、过温保护、输入过压保护</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通信功能：RS232，EPO（标配），可选配USB、SNMP、干接点等。</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节</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1、电池容量：12V100AH 蓄电池；</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2、外观要求：无变形、漏液、裂纹及污迹；标识清晰；</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3、结构要求：正负极端子有明显标志，便于链接；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4、阻燃性能：负荷YD/T799-2010中第6.4条的要求；  </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5、密封反应效率：密封反应效率≥97%；</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电池柜</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安装方式：框架焊接式，前后插板；</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材料类型：冷轧钢板（SPCC）</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板材厚度：左壁厚度0.7mm,右壁厚度0.7mm,顶盖厚度0.6mm；层板：30*30角铁；层板尺寸415*769</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其他板厚：立柱为角铁型材增加加强筋结构，柜体为整体受力结构。备注：可装≥16只12V100AH电池。</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电池组配套附件</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适配100AH/16节电池箱用。</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操作台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四联，监控专用，规格参见图纸，具体款式根据实际需求定制。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55吋监视器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≥42英寸安防监视器4K塑胶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支持3840*2160@60Hz超高清显示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支持通过串口连接中控设备，进行远程集中控制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实时监控设备温度，高温报警</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内置喇叭及功放，支持3.5 mm音频输入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支持U盘点播，含文本、图片、音频、视频等多种格式多媒体播放</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支持7 × 24 小时工作模式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42吋监视器</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≥42英寸安防监视器4K塑胶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支持3840*2160@60Hz超高清显示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支持通过串口连接中控设备，进行远程集中控制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实时监控设备温度，高温报警</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内置喇叭及功放，支持3.5 mm音频输入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支持U盘点播，含文本、图片、音频、视频等多种格式多媒体播放</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none" w:color="000000" w:sz="4"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none" w:color="000000" w:sz="4"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支持7 × 24 小时工作模式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视频解码器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要求设备具备器具有≥1个HDMI接口、≥1个语音接口、≥8路报警输入、≥8路报警输出、≥1个RS485接口、≥1个RS232 接口、≥1个CVBS模拟视频输出接口和≥1个RJ45 网线接口。具有≥1个电源指示灯，≥2个硬盘指示灯。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可对客户端电脑桌面解码输出显示。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可通过客户端软件导入和导出设备配置参数。 。</w:t>
            </w:r>
            <w:r>
              <w:rPr>
                <w:rFonts w:hint="eastAsia" w:ascii="宋体" w:hAnsi="宋体" w:cs="宋体"/>
                <w:color w:val="000000"/>
                <w:sz w:val="20"/>
                <w:szCs w:val="20"/>
              </w:rPr>
            </w:r>
            <w:r/>
          </w:p>
        </w:tc>
      </w:tr>
      <w:tr>
        <w:trPr>
          <w:trHeight w:val="144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可通过客户端软件设置输出分辨率为1024×768（60Hz）、1280×1024（60Hz）、1280×720（60Hz）、1280×720（50Hz）、1920×1080（50Hz）、1920×1080（60Hz）、1600×1200（60Hz）、1680×1050（60Hz）、3840x2160（30Hz）。</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可对以下分辨率的视频图像进行解码后输出：16路分辨率为4000×3000（20fps）的H.264、H.265、Smart264、Smart265、MPEG4视频图像； </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可对以下编码格式的视频图像进行解码后输出：H.264、H.265、Smart264、Smart265、MPEG4视频图像。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可对以下分辨率及编码格式的视频图像进行解码后输出：4路分辨率为1920×1080（30fps）的MJPEG视频图像。</w:t>
            </w:r>
            <w:r>
              <w:rPr>
                <w:rFonts w:hint="eastAsia" w:ascii="宋体" w:hAnsi="宋体" w:cs="宋体"/>
                <w:color w:val="000000"/>
                <w:sz w:val="20"/>
                <w:szCs w:val="20"/>
              </w:rPr>
            </w:r>
            <w:r/>
          </w:p>
        </w:tc>
      </w:tr>
      <w:tr>
        <w:trPr>
          <w:trHeight w:val="96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可通过VGA视频输入接口接入分辨率为10</w:t>
            </w:r>
            <w:r>
              <w:rPr>
                <w:rFonts w:hint="eastAsia" w:ascii="宋体" w:hAnsi="宋体" w:cs="宋体"/>
                <w:color w:val="000000"/>
                <w:sz w:val="20"/>
                <w:szCs w:val="20"/>
                <w:lang w:bidi="ar"/>
              </w:rPr>
              <w:t xml:space="preserve">24×768（60Hz）、800×600（60Hz）、1280×1024（60Hz）、1280×720（60Hz）、1280×720（50Hz）、1280×960（60Hz）、1600×1200（60Hz）、1920×1080（50Hz）、1920×1080（60Hz）、1680×1050（60Hz）、1366×768（60Hz）、1280×800（60Hz）、1440×900（60Hz）的视频图像并显示。支持解码音频格式为G.722、G.711A、G.726、G.711U、MPEG2-L2、AAC的文件。</w:t>
            </w:r>
            <w:r>
              <w:rPr>
                <w:rFonts w:hint="eastAsia" w:ascii="宋体" w:hAnsi="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设备接入具有智能分析功能的摄像机，可解码显示智能分析信息，包括移动侦测、越界入侵、区域入侵、起身离开等，并上传报警信息。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管理工作站</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CPU：≥i5 10400；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内存：≥8GB；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硬盘：≥128GB SATA SSD +1TB SATA HDD；</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显示器：≥21.5英寸；</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2G独显；</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操作系统：Windows 10 IoT版或一上班。</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42U机柜</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规格型号：2000*600*600</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22U机柜</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规格型号：1200*600*600</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rPr>
                <w:rFonts w:hint="eastAsia"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甲级防火门</w:t>
            </w:r>
            <w:r>
              <w:rPr>
                <w:rFonts w:hint="eastAsia"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规格型号：2000*900，国标，含门套、五金，原门拆除恢复，彩钢板墙面开门洞。</w:t>
            </w:r>
            <w:r>
              <w:rPr>
                <w:rFonts w:hint="eastAsia" w:ascii="宋体" w:hAnsi="宋体" w:cs="宋体"/>
                <w:color w:val="000000"/>
                <w:sz w:val="20"/>
                <w:szCs w:val="20"/>
                <w:lang w:bidi="ar"/>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八</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综合管线</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弱电手井</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座</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600*600*800，该项包含，成品铸铁井盖，土方开挖，回填，绿化恢复</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室外PE管</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DN25，该项包含土方开挖，回填，绿化恢复，所有安装辅材。</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室外PE管</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DN32，该项包含土方开挖，回填，绿化恢复，所有安装辅材。</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室外PE50管</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DN50，该项包含土方开挖，回填，绿化恢复，所有安装辅材。</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32芯光纤</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主干32芯室外单模，铠装，低烟无卤（含敷设、熔接）</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4芯光纤</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分支4芯室外单模，铠装，低烟无卤（含敷设、熔接）</w:t>
            </w:r>
            <w:r>
              <w:rPr>
                <w:rFonts w:hint="eastAsia" w:ascii="宋体" w:hAnsi="宋体" w:cs="宋体"/>
                <w:color w:val="000000"/>
                <w:sz w:val="20"/>
                <w:szCs w:val="20"/>
              </w:rPr>
            </w:r>
            <w:r/>
          </w:p>
        </w:tc>
      </w:tr>
      <w:tr>
        <w:trPr>
          <w:trHeight w:val="73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光纤配线架</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24口，含耦合器，熔接尾纤，满配</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主干电源</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8000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YJV3*4（含敷设、熔接）</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分支电源</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RVV2*1.0，室外防水，低烟无卤（含敷设、熔接）</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六类非屏蔽双绞线</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箱</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室外防水，低烟无卤（含敷设、熔接）</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光纤跳线</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656</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单模LC-LC  3m</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光纤跳线</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1088</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单模SC-LC 3m</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光纤跳线</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单模SC-SC  3m</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安装辅材</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包含各类接插件，包含安装所需所有辅助材料，同时满足验收规范要求的各类辅助材料。</w:t>
            </w:r>
            <w:r>
              <w:rPr>
                <w:rFonts w:hint="eastAsia" w:ascii="宋体" w:hAnsi="宋体" w:cs="宋体"/>
                <w:color w:val="000000"/>
                <w:sz w:val="20"/>
                <w:szCs w:val="20"/>
              </w:rPr>
            </w:r>
            <w:r/>
          </w:p>
        </w:tc>
      </w:tr>
      <w:tr>
        <w:trPr>
          <w:trHeight w:val="300"/>
        </w:trPr>
        <w:tc>
          <w:tcPr>
            <w:tcBorders>
              <w:top w:val="none" w:color="000000" w:sz="4" w:space="0"/>
              <w:left w:val="none" w:color="000000" w:sz="4" w:space="0"/>
              <w:bottom w:val="none" w:color="000000" w:sz="4" w:space="0"/>
              <w:right w:val="none" w:color="000000" w:sz="4"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九</w:t>
            </w:r>
            <w:r>
              <w:rPr>
                <w:rFonts w:hint="eastAsia" w:ascii="宋体" w:hAnsi="宋体" w:cs="宋体"/>
                <w:b/>
                <w:bCs/>
                <w:color w:val="000000"/>
                <w:sz w:val="20"/>
                <w:szCs w:val="20"/>
              </w:rPr>
            </w:r>
            <w:r/>
          </w:p>
        </w:tc>
        <w:tc>
          <w:tcPr>
            <w:tcBorders>
              <w:top w:val="none" w:color="000000" w:sz="4" w:space="0"/>
              <w:left w:val="single" w:color="000000" w:sz="8"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报警系统</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总线报警主机（含报警软件及授权）</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防区数量：板载≥8路（探测器100m以内），可通过防区模块扩展至256路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继电器数量：板载≥4路（距离50m以内），可通过继电器模块扩展至256路</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传输距离：双总线，每条总线最长支持2.4Km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硬件接口：≥RS485*1、≥MBUS*2、≥RJ45*1，≥PSTN*1，≥4G*1，≥RS232*1（可接报警打印机）</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安装方式：壁挂安装 8、供电方式：AC220V（自带电源适配器）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总线防区扩展模块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1、设备类型：总线单防区扩展模块</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2、防区数量：≥1个</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警灯警号</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1、设备类型：声光警号（声光报警器）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2、警灯颜色：红色</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3、报警音量：≥105dB</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4、使用环境：室内/外（IP54室外防水）</w:t>
            </w:r>
            <w:r>
              <w:rPr>
                <w:rFonts w:hint="eastAsia" w:ascii="宋体" w:hAnsi="宋体" w:cs="宋体"/>
                <w:color w:val="000000"/>
                <w:sz w:val="20"/>
                <w:szCs w:val="20"/>
              </w:rPr>
            </w:r>
            <w:r/>
          </w:p>
        </w:tc>
      </w:tr>
      <w:tr>
        <w:trPr>
          <w:trHeight w:val="3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5、安装方式：支持壁挂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控制键盘</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1、设备类型：控制键盘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2、通讯协议：支持RS485</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3、传输距离：不小于800m</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4、使用环境：室内</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5、显示屏：LCD或优于</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6、操作按键：不小于20个</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7、指示灯：≥5个</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8、蜂鸣器：支持</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9、安装方式：支持壁挂</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报警主机蓄电池</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充电后备电池（12V7AH，报警主机专用）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标准电压 12V</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额定容量 7.0Ah</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基本型红外对射</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四光束主动红外对射探测器，室外探测距离≥100米</w:t>
            </w:r>
            <w:r>
              <w:rPr>
                <w:rFonts w:hint="eastAsia" w:ascii="宋体" w:hAnsi="宋体" w:cs="宋体"/>
                <w:color w:val="000000"/>
                <w:sz w:val="20"/>
                <w:szCs w:val="20"/>
              </w:rPr>
            </w:r>
            <w:r/>
          </w:p>
        </w:tc>
      </w:tr>
      <w:tr>
        <w:trPr>
          <w:trHeight w:val="495"/>
        </w:trPr>
        <w:tc>
          <w:tcPr>
            <w:tcBorders>
              <w:top w:val="none" w:color="000000" w:sz="4" w:space="0"/>
              <w:left w:val="none" w:color="000000" w:sz="4" w:space="0"/>
              <w:bottom w:val="none" w:color="000000" w:sz="4" w:space="0"/>
              <w:right w:val="none" w:color="000000" w:sz="4" w:space="0"/>
            </w:tcBorders>
            <w:tcW w:w="172" w:type="dxa"/>
            <w:vAlign w:val="center"/>
            <w:textDirection w:val="lrTb"/>
            <w:noWrap/>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十</w:t>
            </w:r>
            <w:r>
              <w:rPr>
                <w:rFonts w:hint="eastAsia" w:ascii="宋体" w:hAnsi="宋体" w:cs="宋体"/>
                <w:color w:val="000000"/>
                <w:sz w:val="20"/>
                <w:szCs w:val="20"/>
              </w:rPr>
            </w:r>
            <w:r/>
          </w:p>
        </w:tc>
        <w:tc>
          <w:tcPr>
            <w:tcBorders>
              <w:top w:val="none" w:color="000000" w:sz="4" w:space="0"/>
              <w:left w:val="single" w:color="000000" w:sz="8"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综合管理平台</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平台服务器</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2U单路标准机架式服务器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CPU：配置1颗intel至强4510处理器，核数≥12核，主频≥2.4GHz</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内存：配置64G DDR5，8根内存插槽，最大支持扩展至1TB内存</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硬盘：配置2块1.2T 10K 2.5寸 SAS硬盘，默认支持8个3.5寸/2.5寸硬盘，可选最大支持12个3.5寸/2.5寸硬盘，可选兼容4个NVMe硬盘</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阵列卡：配置SAS+HBA卡，支持RAID 0/1/10;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PCIE扩展：支持4个PCIe扩展插槽（包括1个OCP 插槽），其中2个PCIe 5.0</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网口：板载2个千兆电口； 支持选配10GbE、25GbE SFP+等多种网络接口</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其他接口：1个RJ45管理接口，后置2个USB 3.0接口，前置2个USB2.0接口，1个VGA接口</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电源：标配550W（1+1）高效白金热插拔冗余电源</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基础包</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1、提供门户首页内容自定义能力，支持自定义快捷入口、自定义菜单内容、自定义页面元素设置；支持门户展示元素自定义，包括页面logo图标、修改网站标题、设置并添加网站外部链接；</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2、提供统一的认证、鉴权管理、应用管理、菜单管理、用户管理、角色管理、组织管理、资源管理等能力；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3、提供用户权限管理能力，包括菜单权限、组织权限、区域权限、资源权限、功能控制权限；</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4、提供组织、区域、设备、人员、卡片、车辆等资源统一管理；</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5、提供用户安全管理，支持账户绑定用户mac地址及IP地址能力，提供账户安全设置，支持账户密码有效期设置，支持登录类型（Web端、PC客户端、移动端）和认证方式（密码、PKI）的配置；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6、提供NTP校时服务能力，支持对设备和服务器统一校时;</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7、提供数据、服务等统一开放能力；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8、提供系统运行状态监测能力，包括运行服务监控、运行服务统计、运行数据报告和运行服务解析概览。</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9、满足智慧安防、城墙文物保护、智慧旅游多功能业务需求。</w:t>
            </w:r>
            <w:r>
              <w:rPr>
                <w:rFonts w:hint="eastAsia" w:ascii="宋体" w:hAnsi="宋体" w:cs="宋体"/>
                <w:color w:val="000000"/>
                <w:sz w:val="20"/>
                <w:szCs w:val="20"/>
              </w:rPr>
            </w:r>
            <w:r/>
          </w:p>
        </w:tc>
      </w:tr>
      <w:tr>
        <w:trPr>
          <w:trHeight w:val="72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视频监控管理</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1400</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监控应用提供视频管理服务，支持编码设备通过SDK协议、Ehome协议、ISUP5.0协议、GB28181协议、ONVIF协议、接入平台，实现视频预览、录像回放、视频上墙、视频事件监控服务能力，并且在网络带宽不足、有流量限制的网络环境下可以通过以图片替代视频的模式提供监控服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一、视频预览</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1、支持视频实时预览能力，实现预览窗口布局切换、预览画面自适应及全屏切换；</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2、支持云台控制、实时抓图、紧急录像、即时回放、主子码流切换、声音开启\关闭、辅屏预览（1个辅屏）、对讲、广播、报警输出控制的能力；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3、支持智能规则展示的能力（如：针对热成像设备温度信息实时展示）；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4、支持资源视图管理能力，以视图形式管理监控点、视频预览轮巡等自定义资源组，其中视图类型包含公有视图和私有视图；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5、支持全景视频监控预览能力，支持球型鹰眼、全景摄像机的全景模式；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二、录像回放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1、支持录像计划管理能力，支持实时录像计划、录像回传计划；</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2、支持录像回放能力，支持多画面同步回放和异步回放切换、超高倍速回放、分段回放、录像下载、录像剪辑、录像标签、录像锁定、录像抓图；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三、图片监控</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1、支持视频预览与图片实时监控模式切换能力，实现图片监控模式；</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2、支持图片查询回放能力，实现按监控点、时间段展示抓拍图片；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3、支持图片自动播放能力，支持图片自动播放速度可设置；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4、支持图片下载能力；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四、视频上墙</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1、支持电视墙场景管理能力，实现场景窗口配置、场景切换计划配置以及轮巡计划的管理；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2、支持上墙控制能力，实现场景一键上墙、场景切换、电视墙切换、监控点上下墙、轮巡控制操作；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五、视频事件</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1、支持视频事件布撤防能力，可按计划模版进行布防，事件类型包括移动侦测、视频丢失、视频遮挡、报警输入、报警输出。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入侵报警管理</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入侵报警应用基于前端防区探测器进行园区范围内的入侵行为或意外事件的迅速感知和处理，实现针对园区内部的高效安全防范。</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1、支持报警子系统管理能力，包含布防、撤防、消警控制操作；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2、支持防区管理能力，包含旁路、旁路恢复操作；</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3、支持实时入侵报警能力；</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4、支持历史入侵报警事件查询及导出能力。</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紧急报警管理</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路</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紧急报警应用基于紧急报警设备和事件联动应用服务能力，通过视频、语音对讲能力处理突发的紧急事件、紧急求助，完成报警求助接警业务。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1、支持紧急报警实时监测能力，可实时查看现场视频画面，并可报警人员对讲沟通；</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2、支持历史报警事件查询及导出能力。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基础客流管理</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应用于出入口、通道、街区等人员进出场景，进行客流量数据展示。</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1、配合双目客流相机、客流摄像相机、人员检测系列相机（倾斜客流模式）使用，精确获取进出人数，进而提供进客流、出客流、保有量、集客力的数据展示；（统计数据来源于设备自身计数）</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2、报表类型：包括客流量、客流排行、客流同环比、客流实时变化分析、设备客流量、过店客流进店率统计；</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3、客流预警报警：通过设置客流预警报警阈值，达到阈值时产生报警。</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密度客流管理</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配合人员密度相机进行人员密度统计，统计数据来源于设备自身计数。展示各区域不同时间维度下的人员密度和同环比。</w:t>
            </w:r>
            <w:r>
              <w:rPr>
                <w:rFonts w:hint="eastAsia" w:ascii="宋体" w:hAnsi="宋体" w:cs="宋体"/>
                <w:color w:val="000000"/>
                <w:sz w:val="20"/>
                <w:szCs w:val="20"/>
              </w:rPr>
            </w:r>
            <w:r/>
          </w:p>
        </w:tc>
      </w:tr>
      <w:tr>
        <w:trPr>
          <w:trHeight w:val="300"/>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十一</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运维服务</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69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智能运维平台</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1</w:t>
            </w:r>
            <w:r>
              <w:rPr>
                <w:rFonts w:hint="eastAsia" w:ascii="宋体" w:hAnsi="宋体" w:cs="宋体"/>
                <w:color w:val="000000"/>
                <w:sz w:val="18"/>
                <w:szCs w:val="18"/>
                <w:lang w:bidi="ar"/>
              </w:rPr>
              <w:t xml:space="preserve">、平台采用微服务架构，平台架构符合</w:t>
            </w:r>
            <w:r>
              <w:rPr>
                <w:rFonts w:eastAsia="等线"/>
                <w:color w:val="000000"/>
                <w:sz w:val="18"/>
                <w:szCs w:val="18"/>
                <w:lang w:bidi="ar"/>
              </w:rPr>
              <w:t xml:space="preserve">B/S</w:t>
            </w:r>
            <w:r>
              <w:rPr>
                <w:rFonts w:hint="eastAsia" w:ascii="宋体" w:hAnsi="宋体" w:cs="宋体"/>
                <w:color w:val="000000"/>
                <w:sz w:val="18"/>
                <w:szCs w:val="18"/>
                <w:lang w:bidi="ar"/>
              </w:rPr>
              <w:t xml:space="preserve">模式，系统内置集中式账户管理、授权管理模块，能够根据人员级别分配不同的操作权限，为不同层级的用户提供精准权限控制。通过数据监测、数据分析、资源供应的智能运维平台，实现运维精确化、移动互联网化、可视化管理，用先进的技术手段和标准化的管理确保项目业务应用系统稳定运行。</w:t>
            </w:r>
            <w:r>
              <w:rPr>
                <w:rFonts w:eastAsia="等线"/>
                <w:color w:val="000000"/>
                <w:sz w:val="18"/>
                <w:szCs w:val="18"/>
              </w:rPr>
            </w:r>
            <w:r/>
          </w:p>
        </w:tc>
      </w:tr>
      <w:tr>
        <w:trPr>
          <w:trHeight w:val="46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2</w:t>
            </w:r>
            <w:r>
              <w:rPr>
                <w:rFonts w:hint="eastAsia" w:ascii="宋体" w:hAnsi="宋体" w:cs="宋体"/>
                <w:color w:val="000000"/>
                <w:sz w:val="18"/>
                <w:szCs w:val="18"/>
                <w:lang w:bidi="ar"/>
              </w:rPr>
              <w:t xml:space="preserve">、设备报修管理：平台支持多样化设备报修方式，整个调度派单过程可控，通过设备报修（故障类型、故障位置、故障描述、故障图片）、故障派单、到场（现场照片）、回单、结果评价等环节实现调度的闭环管理。故障单状态全程可视，接单、回单、故障解决确认、归档全环节高效有序。</w:t>
            </w:r>
            <w:r>
              <w:rPr>
                <w:rFonts w:eastAsia="等线"/>
                <w:color w:val="000000"/>
                <w:sz w:val="18"/>
                <w:szCs w:val="18"/>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3</w:t>
            </w:r>
            <w:r>
              <w:rPr>
                <w:rFonts w:hint="eastAsia" w:ascii="宋体" w:hAnsi="宋体" w:cs="宋体"/>
                <w:color w:val="000000"/>
                <w:sz w:val="18"/>
                <w:szCs w:val="18"/>
                <w:lang w:bidi="ar"/>
              </w:rPr>
              <w:t xml:space="preserve">、服务商管理：支持记录和存档服务商的基础信息、人员信息和项目资料、合同资料。</w:t>
            </w:r>
            <w:r>
              <w:rPr>
                <w:rFonts w:eastAsia="等线"/>
                <w:color w:val="000000"/>
                <w:sz w:val="18"/>
                <w:szCs w:val="18"/>
              </w:rPr>
            </w:r>
            <w:r/>
          </w:p>
        </w:tc>
      </w:tr>
      <w:tr>
        <w:trPr>
          <w:trHeight w:val="46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4</w:t>
            </w:r>
            <w:r>
              <w:rPr>
                <w:rFonts w:hint="eastAsia" w:ascii="宋体" w:hAnsi="宋体" w:cs="宋体"/>
                <w:color w:val="000000"/>
                <w:sz w:val="18"/>
                <w:szCs w:val="18"/>
                <w:lang w:bidi="ar"/>
              </w:rPr>
              <w:t xml:space="preserve">、知识问题库：包含运维工程师针对实际问题的解决方案合集、知识整理等，支持添加照片、接线图、说明书、配置示例等作为附件信息，支撑后续类似问题的高效解决。</w:t>
            </w:r>
            <w:r>
              <w:rPr>
                <w:rFonts w:eastAsia="等线"/>
                <w:color w:val="000000"/>
                <w:sz w:val="18"/>
                <w:szCs w:val="18"/>
              </w:rPr>
            </w:r>
            <w:r/>
          </w:p>
        </w:tc>
      </w:tr>
      <w:tr>
        <w:trPr>
          <w:trHeight w:val="46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5</w:t>
            </w:r>
            <w:r>
              <w:rPr>
                <w:rFonts w:hint="eastAsia" w:ascii="宋体" w:hAnsi="宋体" w:cs="宋体"/>
                <w:color w:val="000000"/>
                <w:sz w:val="18"/>
                <w:szCs w:val="18"/>
                <w:lang w:bidi="ar"/>
              </w:rPr>
              <w:t xml:space="preserve">、统计报表：支持定期对运维管理情况进行总结，对出现的问题给予说明，统计内容包含工单统计、故障趋势分析、解决时长统计、接单时长统计、工单数统计等。</w:t>
            </w:r>
            <w:r>
              <w:rPr>
                <w:rFonts w:eastAsia="等线"/>
                <w:color w:val="000000"/>
                <w:sz w:val="18"/>
                <w:szCs w:val="18"/>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6</w:t>
            </w:r>
            <w:r>
              <w:rPr>
                <w:rFonts w:hint="eastAsia" w:ascii="宋体" w:hAnsi="宋体" w:cs="宋体"/>
                <w:color w:val="000000"/>
                <w:sz w:val="18"/>
                <w:szCs w:val="18"/>
                <w:lang w:bidi="ar"/>
              </w:rPr>
              <w:t xml:space="preserve">、可接入主流单兵设备。</w:t>
            </w:r>
            <w:r>
              <w:rPr>
                <w:rFonts w:eastAsia="等线"/>
                <w:color w:val="000000"/>
                <w:sz w:val="18"/>
                <w:szCs w:val="18"/>
              </w:rPr>
            </w:r>
            <w:r/>
          </w:p>
        </w:tc>
      </w:tr>
      <w:tr>
        <w:trPr>
          <w:trHeight w:val="46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7</w:t>
            </w:r>
            <w:r>
              <w:rPr>
                <w:rFonts w:hint="eastAsia" w:ascii="宋体" w:hAnsi="宋体" w:cs="宋体"/>
                <w:color w:val="000000"/>
                <w:sz w:val="18"/>
                <w:szCs w:val="18"/>
                <w:lang w:bidi="ar"/>
              </w:rPr>
              <w:t xml:space="preserve">、</w:t>
            </w:r>
            <w:r>
              <w:rPr>
                <w:rFonts w:eastAsia="等线"/>
                <w:color w:val="000000"/>
                <w:sz w:val="18"/>
                <w:szCs w:val="18"/>
                <w:lang w:bidi="ar"/>
              </w:rPr>
              <w:t xml:space="preserve">APP</w:t>
            </w:r>
            <w:r>
              <w:rPr>
                <w:rFonts w:hint="eastAsia" w:ascii="宋体" w:hAnsi="宋体" w:cs="宋体"/>
                <w:color w:val="000000"/>
                <w:sz w:val="18"/>
                <w:szCs w:val="18"/>
                <w:lang w:bidi="ar"/>
              </w:rPr>
              <w:t xml:space="preserve">：运维平台配套，实现快速报修、进度跟踪、工单管理、工单统计、运维助手等功能，为一线工作人员的实际运维工作提供一个强大的移动互联网管控平台。</w:t>
            </w:r>
            <w:r>
              <w:rPr>
                <w:rFonts w:eastAsia="等线"/>
                <w:color w:val="000000"/>
                <w:sz w:val="18"/>
                <w:szCs w:val="18"/>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eastAsia="等线"/>
                <w:color w:val="000000"/>
                <w:sz w:val="18"/>
                <w:szCs w:val="18"/>
              </w:rPr>
            </w:pPr>
            <w:r>
              <w:rPr>
                <w:rFonts w:eastAsia="等线"/>
                <w:color w:val="000000"/>
                <w:sz w:val="18"/>
                <w:szCs w:val="18"/>
                <w:lang w:bidi="ar"/>
              </w:rPr>
              <w:t xml:space="preserve">8</w:t>
            </w:r>
            <w:r>
              <w:rPr>
                <w:rFonts w:hint="eastAsia" w:ascii="宋体" w:hAnsi="宋体" w:cs="宋体"/>
                <w:color w:val="000000"/>
                <w:sz w:val="18"/>
                <w:szCs w:val="18"/>
                <w:lang w:bidi="ar"/>
              </w:rPr>
              <w:t xml:space="preserve">、系统管理：支持用户管理、组织机构管理、维保位置管理、角色权限管理等基础配置功能。</w:t>
            </w:r>
            <w:r>
              <w:rPr>
                <w:rFonts w:eastAsia="等线"/>
                <w:color w:val="000000"/>
                <w:sz w:val="18"/>
                <w:szCs w:val="18"/>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GIS信息服务</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提供各类资源图上展示及控制操作，在地图上可展示各类资源点的地理位置，通过接收资源点报警事件，实现报警信息可视化展示。</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1、支持地图配置能力，包括矢量三维地图，包含在线、离线GIS地图（自定义）；</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2、支持资源上图配置能力，实现资源的地图可视化展示及控制操作，资源类型包含监控点、报警输出、报警输入、防区、报警输入、报警输出、报警主机IO输出等；</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3、支持事件可视化监控能力，实时展示报警事件，支持历史报警事件查询；</w:t>
            </w:r>
            <w:r>
              <w:rPr>
                <w:rFonts w:hint="eastAsia" w:ascii="宋体" w:hAnsi="宋体" w:cs="宋体"/>
                <w:color w:val="000000"/>
                <w:sz w:val="20"/>
                <w:szCs w:val="20"/>
              </w:rPr>
            </w:r>
            <w:r/>
          </w:p>
        </w:tc>
      </w:tr>
      <w:tr>
        <w:trPr>
          <w:trHeight w:val="49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4、图形化方式展示各资源点(包括设备、监控点、图片场景)的位置情况，并可通过点击资源点查看资源点的详细信息和进行图片检索、实时预览、录像回放等操作；支持GIS地图和静态地图两种类型地图。</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设备运维管理</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对接入平台的安防设备进行在线巡检，及时发现故障设备和掉线设备，使运维工作更加高效，便利。</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1、支持监控摄像机、编码设备、存储设备、解码设备等物联设备在线状态、工作状态、硬盘状态、指标采集。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2、支持监控点通道的在线状态、录制状态、录像完整性、录像保存天数指标检测。</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3、支持告警信息统计展现。并支持对监控点、编码设备、解码设备、视频综合矩阵、NVR/CVR、云储存、等扩展门禁设备、门禁点、读卡器、梯控设备/梯控读卡器/可视对讲的告警阈值进行配置。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4、提供视频运维报表统计能力，包含区域综合排名统计、录像完整性统计、录像存储达标统计、在线状态统计、离线时长统计报表。</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5、支持巡检计划配置，可以按照类型和资源以及自定义的巡检周期进行巡检计划配置。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6、支持SDK、ehome、isup5.0、GB28181、部标808、Open Network Video Interface、ISAPI协议等主流协议。</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应用可对特定的设施设备进行巡查，可通过平台添加要巡查的设备设施，配置巡查计划。其中要巡查的设备设施可指定巡查类型，每种巡查类型都包含有不同的设备部件和巡查标准，可方便巡查人员对比检查，并支持导出相关巡查报表</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支持1000路设备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视频质量管理运维</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视频质量诊断应用，提供视频图像诊断和监测服务。</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1、支持监控点通道的图像质量诊断结果统计和查看。</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2、支持图像模糊、图像过亮、图像偏色、图像过暗、图像过亮、视频抖动、视频丢帧、场景变换、视频遮挡、对比度、条纹干扰、噪声干扰、信号丢失、黑白图像指标诊断。</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3、支持码流分辨率、编码格式指标采集。。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4、支持诊断对比图查看和诊断结果矫正功能。</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5、支持巡检计划配置，可以按照类型和资源以及自定义的巡检周期进行巡检计划配置。</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6、支持监控点图像质量统计报表，展现各类诊断故障数量。</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6、支持SDK、ehome、isup5.0、GB28181、部标808、Open Network Video Interface、ISAPI协议。</w:t>
            </w:r>
            <w:r>
              <w:rPr>
                <w:rFonts w:hint="eastAsia" w:ascii="宋体" w:hAnsi="宋体" w:cs="宋体"/>
                <w:color w:val="000000"/>
                <w:sz w:val="20"/>
                <w:szCs w:val="20"/>
              </w:rPr>
            </w:r>
            <w:r/>
          </w:p>
        </w:tc>
      </w:tr>
      <w:tr>
        <w:trPr>
          <w:trHeight w:val="73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网络设备运维管理</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支持交换机、服务器设备自动发现；支持交换机、服务器、摄像机拓扑可视化监控展现；支持拓扑告警信息查看和处理；支持的单个设备线路查看；支持拓扑编辑。</w:t>
            </w:r>
            <w:r>
              <w:rPr>
                <w:rFonts w:hint="eastAsia" w:ascii="宋体" w:hAnsi="宋体" w:cs="宋体"/>
                <w:color w:val="000000"/>
                <w:sz w:val="20"/>
                <w:szCs w:val="20"/>
              </w:rPr>
            </w:r>
            <w:r/>
          </w:p>
        </w:tc>
      </w:tr>
      <w:tr>
        <w:trPr>
          <w:trHeight w:val="73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AI模型管理</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提供模型管理、模型下发、智能分析配置、抓图计划配置。通过将AI模型下发至设备，为设备通道配置智能分析任务，使设备拥有针对特定对象和场景的智能分析能力，能够解决碎片化场景下的智能分析问题。</w:t>
            </w:r>
            <w:r>
              <w:rPr>
                <w:rFonts w:hint="eastAsia" w:ascii="宋体" w:hAnsi="宋体" w:cs="宋体"/>
                <w:color w:val="000000"/>
                <w:sz w:val="20"/>
                <w:szCs w:val="20"/>
              </w:rPr>
            </w:r>
            <w:r/>
          </w:p>
        </w:tc>
      </w:tr>
      <w:tr>
        <w:trPr>
          <w:trHeight w:val="480"/>
        </w:trPr>
        <w:tc>
          <w:tcPr>
            <w:tcBorders>
              <w:top w:val="single" w:color="000000" w:sz="8" w:space="0"/>
              <w:left w:val="single" w:color="000000" w:sz="8" w:space="0"/>
              <w:bottom w:val="single" w:color="000000" w:sz="8" w:space="0"/>
              <w:right w:val="single" w:color="000000" w:sz="8" w:space="0"/>
            </w:tcBorders>
            <w:tcW w:w="172"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动环管理</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restart"/>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为机房等环境量变化影响较大的场景中，实现针对目标地点的环境量监控，以及对ups、配电、空调的控制，以保证现场环境稳定，防止设备受损。</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1、提供动环设备统一接入管理能力，包含动环设备、视频动环一体机、在线检测设备；</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2、提供动环监控参数配置能力，包含开关管理、OSD配置管理；</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3、提供环境量实时监测能力；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4、提供环境量报警检测能力；</w:t>
            </w:r>
            <w:r>
              <w:rPr>
                <w:rFonts w:hint="eastAsia" w:ascii="宋体" w:hAnsi="宋体" w:cs="宋体"/>
                <w:color w:val="000000"/>
                <w:sz w:val="20"/>
                <w:szCs w:val="20"/>
              </w:rPr>
            </w:r>
            <w:r/>
          </w:p>
        </w:tc>
      </w:tr>
      <w:tr>
        <w:trPr>
          <w:trHeight w:val="285"/>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5、提供报警输入监控、开关控制、空调控制、SCADA控制能力；</w:t>
            </w:r>
            <w:r>
              <w:rPr>
                <w:rFonts w:hint="eastAsia" w:ascii="宋体" w:hAnsi="宋体" w:cs="宋体"/>
                <w:color w:val="000000"/>
                <w:sz w:val="20"/>
                <w:szCs w:val="20"/>
              </w:rPr>
            </w:r>
            <w:r/>
          </w:p>
        </w:tc>
      </w:tr>
      <w:tr>
        <w:trPr>
          <w:trHeight w:val="300"/>
        </w:trPr>
        <w:tc>
          <w:tcPr>
            <w:tcBorders>
              <w:top w:val="single" w:color="000000" w:sz="8" w:space="0"/>
              <w:left w:val="single" w:color="000000" w:sz="8" w:space="0"/>
              <w:bottom w:val="single" w:color="000000" w:sz="8" w:space="0"/>
              <w:right w:val="single" w:color="000000" w:sz="8" w:space="0"/>
            </w:tcBorders>
            <w:tcW w:w="172"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57"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171"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214" w:type="dxa"/>
            <w:vAlign w:val="center"/>
            <w:vMerge w:val="continue"/>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6、提供环境量统计查询及报表展示能力；</w:t>
            </w:r>
            <w:r>
              <w:rPr>
                <w:rFonts w:ascii="宋体" w:hAnsi="宋体" w:cs="宋体"/>
                <w:color w:val="000000"/>
                <w:sz w:val="20"/>
                <w:szCs w:val="20"/>
                <w:lang w:bidi="ar"/>
              </w:rPr>
            </w:r>
            <w:r/>
          </w:p>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7、包含软硬件，根据现场进行深化。</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十二</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相关服务及其他</w:t>
            </w:r>
            <w:r>
              <w:rPr>
                <w:rFonts w:hint="eastAsia" w:ascii="宋体" w:hAnsi="宋体" w:cs="宋体"/>
                <w:b/>
                <w:bCs/>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rPr>
                <w:rFonts w:hint="eastAsia" w:ascii="宋体" w:hAnsi="宋体" w:cs="宋体"/>
                <w:color w:val="000000"/>
                <w:sz w:val="20"/>
                <w:szCs w:val="20"/>
              </w:rPr>
            </w:pP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原有光纤线路检测</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对原有光缆衰减情况进行测试，自备检测仪器，并提供相关报表。</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原有电缆线路检测</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对原有双绞线衰减情况进行测试，自备检测仪器，并提供相关报表。</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原有立杆拆除</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含拆除、清运、围挡、现场恢复、安全文明施工等。不得对城墙本体有任何损伤。</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原有设备拆除</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含拆除、清运、围挡、现场恢复、安全文明施工等。不得对城墙本体有任何损伤。</w:t>
            </w:r>
            <w:r>
              <w:rPr>
                <w:rFonts w:hint="eastAsia" w:ascii="宋体" w:hAnsi="宋体" w:cs="宋体"/>
                <w:color w:val="000000"/>
                <w:sz w:val="20"/>
                <w:szCs w:val="20"/>
              </w:rPr>
            </w:r>
            <w:r/>
          </w:p>
        </w:tc>
      </w:tr>
      <w:tr>
        <w:trPr>
          <w:trHeight w:val="495"/>
        </w:trPr>
        <w:tc>
          <w:tcPr>
            <w:tcBorders>
              <w:top w:val="none" w:color="000000" w:sz="4" w:space="0"/>
              <w:left w:val="single" w:color="000000" w:sz="8" w:space="0"/>
              <w:bottom w:val="single" w:color="000000" w:sz="8" w:space="0"/>
              <w:right w:val="single" w:color="000000" w:sz="8" w:space="0"/>
            </w:tcBorders>
            <w:tcW w:w="172"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57"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设备调试</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171"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214" w:type="dxa"/>
            <w:vAlign w:val="center"/>
            <w:textDirection w:val="lrTb"/>
            <w:noWrap w:val="false"/>
          </w:tcPr>
          <w:p>
            <w:pPr>
              <w:pStyle w:val="756"/>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none" w:color="000000" w:sz="4" w:space="0"/>
              <w:left w:val="none" w:color="000000" w:sz="4" w:space="0"/>
              <w:bottom w:val="single" w:color="000000" w:sz="8" w:space="0"/>
              <w:right w:val="single" w:color="000000" w:sz="8" w:space="0"/>
            </w:tcBorders>
            <w:tcW w:w="4187" w:type="dxa"/>
            <w:vAlign w:val="center"/>
            <w:textDirection w:val="lrTb"/>
            <w:noWrap w:val="false"/>
          </w:tcPr>
          <w:p>
            <w:pPr>
              <w:pStyle w:val="756"/>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包含对接运营商专网联调，原有城墙博物馆198路摄像机接口接入、清凉山约300路已建设备接入，测试、调试至验收完毕，均包含其中，分步调试不影响现有系统正常运行。备注：所有设备三年质保。</w:t>
            </w:r>
            <w:r>
              <w:rPr>
                <w:rFonts w:hint="eastAsia" w:ascii="宋体" w:hAnsi="宋体" w:cs="宋体"/>
                <w:color w:val="000000"/>
                <w:sz w:val="20"/>
                <w:szCs w:val="20"/>
              </w:rPr>
            </w:r>
            <w:r/>
          </w:p>
        </w:tc>
      </w:tr>
    </w:tbl>
    <w:p>
      <w:pPr>
        <w:pStyle w:val="756"/>
        <w:spacing w:line="360" w:lineRule="auto"/>
        <w:rPr>
          <w:rFonts w:hint="eastAsia" w:ascii="宋体" w:hAnsi="宋体" w:cs="宋体"/>
          <w:b/>
          <w:bCs/>
          <w:spacing w:val="8"/>
          <w:sz w:val="28"/>
          <w:szCs w:val="28"/>
        </w:rPr>
      </w:pPr>
      <w:r>
        <w:rPr>
          <w:rFonts w:hint="eastAsia" w:ascii="宋体" w:hAnsi="宋体" w:cs="宋体"/>
          <w:b/>
          <w:bCs/>
          <w:spacing w:val="8"/>
          <w:sz w:val="28"/>
          <w:szCs w:val="28"/>
        </w:rPr>
      </w:r>
      <w:r/>
    </w:p>
    <w:p>
      <w:pPr>
        <w:pStyle w:val="1078"/>
        <w:spacing w:line="360" w:lineRule="auto"/>
        <w:rPr>
          <w:rFonts w:hint="eastAsia" w:hAnsi="宋体" w:cs="Times New Roman"/>
          <w:bCs/>
          <w:color w:val="000000"/>
          <w:sz w:val="21"/>
        </w:rPr>
      </w:pPr>
      <w:r>
        <w:rPr>
          <w:rFonts w:hint="eastAsia" w:hAnsi="宋体" w:cs="Times New Roman"/>
          <w:bCs/>
          <w:color w:val="000000"/>
          <w:sz w:val="21"/>
        </w:rPr>
      </w:r>
      <w:r/>
    </w:p>
    <w:p>
      <w:pPr>
        <w:pStyle w:val="1078"/>
        <w:spacing w:line="360" w:lineRule="auto"/>
        <w:sectPr>
          <w:footnotePr/>
          <w:endnotePr>
            <w:numFmt w:val="decimal"/>
          </w:endnotePr>
          <w:type w:val="nextPage"/>
          <w:pgSz w:w="16838" w:h="11906" w:orient="landscape"/>
          <w:pgMar w:top="1417" w:right="1134" w:bottom="1417" w:left="1134" w:header="227" w:footer="720" w:gutter="0"/>
          <w:cols w:num="1" w:sep="0" w:space="1701" w:equalWidth="1"/>
          <w:docGrid w:linePitch="360"/>
        </w:sectPr>
      </w:pPr>
      <w:r/>
      <w:bookmarkEnd w:id="34"/>
      <w:r/>
      <w:bookmarkEnd w:id="35"/>
      <w:r/>
      <w:r/>
    </w:p>
    <w:p>
      <w:pPr>
        <w:pStyle w:val="757"/>
        <w:spacing w:line="360" w:lineRule="auto"/>
        <w:rPr>
          <w:rFonts w:hint="eastAsia" w:ascii="宋体" w:hAnsi="宋体" w:eastAsia="宋体" w:cs="宋体"/>
        </w:rPr>
      </w:pPr>
      <w:r>
        <w:rPr>
          <w:rFonts w:hint="eastAsia" w:ascii="宋体" w:hAnsi="宋体" w:eastAsia="宋体" w:cs="宋体"/>
        </w:rPr>
        <w:t xml:space="preserve"> </w:t>
      </w:r>
      <w:bookmarkStart w:id="47" w:name="_Toc11555"/>
      <w:r/>
      <w:bookmarkStart w:id="48" w:name="_Toc28129"/>
      <w:r/>
      <w:bookmarkStart w:id="49" w:name="_Toc9765"/>
      <w:r>
        <w:rPr>
          <w:rFonts w:hint="eastAsia" w:ascii="宋体" w:hAnsi="宋体" w:eastAsia="宋体" w:cs="宋体"/>
        </w:rPr>
        <w:t xml:space="preserve">合同主要条款及格式</w:t>
      </w:r>
      <w:bookmarkEnd w:id="47"/>
      <w:r/>
      <w:bookmarkEnd w:id="48"/>
      <w:r/>
      <w:bookmarkEnd w:id="49"/>
      <w:r>
        <w:rPr>
          <w:rFonts w:hint="eastAsia" w:ascii="宋体" w:hAnsi="宋体" w:eastAsia="宋体" w:cs="宋体"/>
        </w:rPr>
      </w:r>
      <w:r/>
    </w:p>
    <w:p>
      <w:pPr>
        <w:pStyle w:val="756"/>
      </w:pPr>
      <w:r/>
      <w:bookmarkStart w:id="50" w:name="_Toc20823315"/>
      <w:r/>
      <w:bookmarkEnd w:id="50"/>
      <w:r/>
      <w:bookmarkStart w:id="51" w:name="_Toc513029243"/>
      <w:r/>
      <w:bookmarkEnd w:id="51"/>
      <w:r/>
      <w:bookmarkStart w:id="52" w:name="_Toc16938559"/>
      <w:r/>
      <w:bookmarkEnd w:id="52"/>
      <w:r/>
      <w:r/>
    </w:p>
    <w:p>
      <w:pPr>
        <w:pStyle w:val="756"/>
        <w:jc w:val="center"/>
        <w:spacing w:line="360" w:lineRule="auto"/>
        <w:shd w:val="clear" w:color="auto" w:fill="ffffff"/>
        <w:widowControl/>
        <w:rPr>
          <w:rFonts w:hint="eastAsia" w:ascii="宋体" w:hAnsi="宋体" w:cs="宋体"/>
          <w:b/>
          <w:bCs/>
          <w:sz w:val="32"/>
          <w:szCs w:val="32"/>
        </w:rPr>
      </w:pPr>
      <w:r>
        <w:rPr>
          <w:rFonts w:hint="eastAsia" w:ascii="宋体" w:hAnsi="宋体" w:cs="宋体"/>
          <w:b/>
          <w:bCs/>
          <w:sz w:val="32"/>
          <w:szCs w:val="32"/>
        </w:rPr>
      </w:r>
      <w:r/>
    </w:p>
    <w:p>
      <w:pPr>
        <w:pStyle w:val="756"/>
        <w:jc w:val="center"/>
        <w:spacing w:line="360" w:lineRule="auto"/>
        <w:shd w:val="clear" w:color="auto" w:fill="ffffff"/>
        <w:widowControl/>
        <w:rPr>
          <w:rFonts w:hint="eastAsia" w:ascii="宋体" w:hAnsi="宋体" w:cs="宋体"/>
          <w:sz w:val="44"/>
          <w:szCs w:val="44"/>
        </w:rPr>
      </w:pPr>
      <w:r>
        <w:rPr>
          <w:rFonts w:hint="eastAsia" w:ascii="宋体" w:hAnsi="宋体" w:cs="宋体"/>
          <w:sz w:val="44"/>
          <w:szCs w:val="44"/>
        </w:rPr>
        <w:t xml:space="preserve">南京市政府采购合同</w:t>
      </w:r>
      <w:r>
        <w:rPr>
          <w:rFonts w:hint="eastAsia" w:ascii="宋体" w:hAnsi="宋体" w:cs="宋体"/>
          <w:sz w:val="44"/>
          <w:szCs w:val="44"/>
        </w:rPr>
      </w:r>
      <w:r/>
    </w:p>
    <w:p>
      <w:pPr>
        <w:pStyle w:val="756"/>
        <w:ind w:firstLine="315"/>
        <w:spacing w:line="360" w:lineRule="auto"/>
        <w:shd w:val="clear" w:color="auto" w:fill="ffffff"/>
        <w:widowControl/>
        <w:rPr>
          <w:rFonts w:hint="eastAsia" w:ascii="宋体" w:hAnsi="宋体" w:cs="宋体"/>
          <w:szCs w:val="21"/>
        </w:rPr>
      </w:pPr>
      <w:r>
        <w:rPr>
          <w:rFonts w:hint="eastAsia" w:ascii="宋体" w:hAnsi="宋体" w:cs="宋体"/>
          <w:b/>
          <w:bCs/>
          <w:sz w:val="32"/>
          <w:szCs w:val="32"/>
        </w:rPr>
        <w:t xml:space="preserve">           </w:t>
      </w:r>
      <w:r>
        <w:rPr>
          <w:rFonts w:hint="eastAsia" w:ascii="宋体" w:hAnsi="宋体" w:cs="宋体"/>
          <w:b/>
          <w:bCs/>
          <w:sz w:val="32"/>
        </w:rPr>
        <w:t xml:space="preserve"> </w:t>
      </w:r>
      <w:r>
        <w:rPr>
          <w:rFonts w:hint="eastAsia" w:ascii="宋体" w:hAnsi="宋体" w:cs="宋体"/>
          <w:sz w:val="32"/>
          <w:szCs w:val="32"/>
        </w:rPr>
        <w:t xml:space="preserve"> </w:t>
      </w:r>
      <w:r>
        <w:rPr>
          <w:rFonts w:hint="eastAsia" w:ascii="宋体" w:hAnsi="宋体" w:cs="宋体"/>
          <w:szCs w:val="21"/>
        </w:rPr>
      </w:r>
      <w:r/>
    </w:p>
    <w:p>
      <w:pPr>
        <w:pStyle w:val="756"/>
        <w:ind w:firstLine="315"/>
        <w:spacing w:line="360" w:lineRule="auto"/>
        <w:shd w:val="clear" w:color="auto" w:fill="ffffff"/>
        <w:widowControl/>
        <w:rPr>
          <w:rFonts w:hint="eastAsia" w:ascii="宋体" w:hAnsi="宋体" w:cs="宋体"/>
          <w:szCs w:val="21"/>
        </w:rPr>
      </w:pPr>
      <w:r>
        <w:rPr>
          <w:rFonts w:hint="eastAsia" w:ascii="宋体" w:hAnsi="宋体" w:cs="宋体"/>
          <w:sz w:val="32"/>
          <w:szCs w:val="32"/>
        </w:rPr>
        <w:t xml:space="preserve"> </w:t>
      </w:r>
      <w:r>
        <w:rPr>
          <w:rFonts w:hint="eastAsia" w:ascii="宋体" w:hAnsi="宋体" w:cs="宋体"/>
          <w:szCs w:val="21"/>
        </w:rPr>
      </w:r>
      <w:r/>
    </w:p>
    <w:p>
      <w:pPr>
        <w:pStyle w:val="756"/>
        <w:ind w:firstLine="315"/>
        <w:spacing w:line="360" w:lineRule="auto"/>
        <w:shd w:val="clear" w:color="auto" w:fill="ffffff"/>
        <w:widowControl/>
        <w:rPr>
          <w:rFonts w:hint="eastAsia" w:ascii="宋体" w:hAnsi="宋体" w:cs="宋体"/>
          <w:szCs w:val="21"/>
        </w:rPr>
      </w:pPr>
      <w:r>
        <w:rPr>
          <w:rFonts w:hint="eastAsia" w:ascii="宋体" w:hAnsi="宋体" w:cs="宋体"/>
          <w:b/>
          <w:bCs/>
          <w:sz w:val="36"/>
          <w:szCs w:val="36"/>
        </w:rPr>
        <w:t xml:space="preserve"> </w:t>
      </w:r>
      <w:r>
        <w:rPr>
          <w:rFonts w:hint="eastAsia" w:ascii="宋体" w:hAnsi="宋体" w:cs="宋体"/>
          <w:szCs w:val="21"/>
        </w:rPr>
      </w:r>
      <w:r/>
    </w:p>
    <w:p>
      <w:pPr>
        <w:pStyle w:val="756"/>
        <w:ind w:firstLine="315"/>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t xml:space="preserve"> </w:t>
      </w:r>
      <w:r>
        <w:rPr>
          <w:rFonts w:hint="eastAsia" w:ascii="宋体" w:hAnsi="宋体" w:cs="宋体"/>
          <w:b/>
          <w:bCs/>
          <w:sz w:val="36"/>
          <w:szCs w:val="36"/>
        </w:rPr>
      </w:r>
      <w:r/>
    </w:p>
    <w:p>
      <w:pPr>
        <w:pStyle w:val="756"/>
        <w:ind w:firstLine="315"/>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pStyle w:val="756"/>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pStyle w:val="756"/>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rPr>
          <w:rFonts w:hint="eastAsia" w:ascii="宋体" w:hAnsi="宋体" w:cs="宋体"/>
          <w:sz w:val="32"/>
          <w:szCs w:val="32"/>
        </w:rPr>
      </w:r>
      <w:r/>
    </w:p>
    <w:p>
      <w:pPr>
        <w:pStyle w:val="756"/>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rPr>
          <w:rFonts w:hint="eastAsia" w:ascii="宋体" w:hAnsi="宋体" w:cs="宋体"/>
          <w:sz w:val="32"/>
          <w:szCs w:val="32"/>
        </w:rPr>
      </w:r>
      <w:r/>
    </w:p>
    <w:p>
      <w:pPr>
        <w:pStyle w:val="756"/>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rPr>
          <w:rFonts w:hint="eastAsia" w:ascii="宋体" w:hAnsi="宋体" w:cs="宋体"/>
          <w:sz w:val="32"/>
          <w:szCs w:val="32"/>
        </w:rPr>
      </w:r>
      <w:r/>
    </w:p>
    <w:p>
      <w:pPr>
        <w:pStyle w:val="756"/>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供货单位 ：</w:t>
      </w:r>
      <w:r>
        <w:rPr>
          <w:rFonts w:hint="eastAsia" w:ascii="宋体" w:hAnsi="宋体" w:cs="宋体"/>
          <w:b/>
          <w:bCs/>
          <w:sz w:val="32"/>
          <w:szCs w:val="32"/>
          <w:u w:val="single"/>
        </w:rPr>
        <w:t xml:space="preserve">          </w:t>
      </w:r>
      <w:r>
        <w:rPr>
          <w:rFonts w:hint="eastAsia" w:ascii="宋体" w:hAnsi="宋体" w:cs="宋体"/>
          <w:sz w:val="32"/>
          <w:szCs w:val="32"/>
        </w:rPr>
      </w:r>
      <w:r/>
    </w:p>
    <w:p>
      <w:pPr>
        <w:pStyle w:val="756"/>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rPr>
          <w:rFonts w:hint="eastAsia" w:ascii="宋体" w:hAnsi="宋体" w:cs="宋体"/>
          <w:sz w:val="32"/>
          <w:szCs w:val="32"/>
        </w:rPr>
      </w:r>
      <w:r/>
    </w:p>
    <w:p>
      <w:pPr>
        <w:pStyle w:val="756"/>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rPr>
          <w:rFonts w:hint="eastAsia" w:ascii="宋体" w:hAnsi="宋体" w:cs="宋体"/>
          <w:sz w:val="32"/>
          <w:szCs w:val="32"/>
        </w:rPr>
      </w:r>
      <w:r/>
    </w:p>
    <w:p>
      <w:pPr>
        <w:pStyle w:val="756"/>
        <w:ind w:firstLine="2984"/>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 </w:t>
      </w:r>
      <w:r>
        <w:rPr>
          <w:rFonts w:hint="eastAsia" w:ascii="宋体" w:hAnsi="宋体" w:cs="宋体"/>
          <w:sz w:val="32"/>
          <w:szCs w:val="32"/>
        </w:rPr>
      </w:r>
      <w:r/>
    </w:p>
    <w:p>
      <w:pPr>
        <w:pStyle w:val="756"/>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pStyle w:val="756"/>
        <w:jc w:val="center"/>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南 京 市 财 政 局 监 制</w:t>
      </w:r>
      <w:r>
        <w:rPr>
          <w:rFonts w:hint="eastAsia" w:ascii="宋体" w:hAnsi="宋体" w:cs="宋体"/>
          <w:sz w:val="32"/>
          <w:szCs w:val="32"/>
        </w:rPr>
      </w:r>
      <w:r/>
    </w:p>
    <w:p>
      <w:pPr>
        <w:pStyle w:val="756"/>
        <w:spacing w:line="360" w:lineRule="auto"/>
        <w:shd w:val="clear" w:color="auto" w:fill="ffffff"/>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756"/>
        <w:spacing w:line="360" w:lineRule="auto"/>
        <w:shd w:val="clear" w:color="auto" w:fill="ffffff"/>
        <w:widowControl/>
        <w:rPr>
          <w:rFonts w:hint="eastAsia" w:ascii="宋体" w:hAnsi="宋体" w:cs="宋体"/>
        </w:rPr>
      </w:pPr>
      <w:r>
        <w:rPr>
          <w:rFonts w:hint="eastAsia" w:ascii="宋体" w:hAnsi="宋体" w:cs="宋体"/>
        </w:rPr>
        <w:t xml:space="preserve">合同编号：</w:t>
      </w:r>
      <w:r>
        <w:rPr>
          <w:rFonts w:hint="eastAsia" w:ascii="宋体" w:hAnsi="宋体" w:cs="宋体"/>
        </w:rPr>
      </w:r>
      <w:r/>
    </w:p>
    <w:p>
      <w:pPr>
        <w:pStyle w:val="756"/>
        <w:spacing w:line="360" w:lineRule="auto"/>
        <w:shd w:val="clear" w:color="auto" w:fill="ffffff"/>
        <w:widowControl/>
        <w:rPr>
          <w:rFonts w:hint="eastAsia" w:ascii="宋体" w:hAnsi="宋体" w:cs="宋体"/>
        </w:rPr>
      </w:pPr>
      <w:r>
        <w:rPr>
          <w:rFonts w:hint="eastAsia" w:ascii="宋体" w:hAnsi="宋体" w:cs="宋体"/>
        </w:rPr>
        <w:t xml:space="preserve">政府采购计划号：</w:t>
      </w:r>
      <w:r>
        <w:rPr>
          <w:rFonts w:hint="eastAsia" w:ascii="宋体" w:hAnsi="宋体" w:cs="宋体"/>
        </w:rPr>
      </w:r>
      <w:r/>
    </w:p>
    <w:p>
      <w:pPr>
        <w:pStyle w:val="756"/>
        <w:jc w:val="center"/>
        <w:spacing w:line="360" w:lineRule="auto"/>
        <w:shd w:val="clear" w:color="auto" w:fill="ffffff"/>
        <w:widowControl/>
        <w:rPr>
          <w:rFonts w:hint="eastAsia" w:ascii="宋体" w:hAnsi="宋体" w:cs="宋体"/>
        </w:rPr>
      </w:pPr>
      <w:r>
        <w:rPr>
          <w:rFonts w:hint="eastAsia" w:ascii="宋体" w:hAnsi="宋体" w:cs="宋体"/>
        </w:rPr>
        <w:t xml:space="preserve"> </w:t>
      </w:r>
      <w:r>
        <w:rPr>
          <w:rFonts w:hint="eastAsia" w:ascii="宋体" w:hAnsi="宋体" w:cs="宋体"/>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756"/>
              <w:jc w:val="left"/>
              <w:spacing w:line="360" w:lineRule="auto"/>
              <w:widowControl/>
              <w:rPr>
                <w:rFonts w:hint="eastAsia" w:ascii="宋体" w:hAnsi="宋体" w:cs="宋体"/>
              </w:rPr>
            </w:pPr>
            <w:r>
              <w:rPr>
                <w:rFonts w:hint="eastAsia" w:ascii="宋体" w:hAnsi="宋体" w:cs="宋体"/>
              </w:rPr>
              <w:t xml:space="preserve">采购人（以下称甲方）：</w:t>
            </w:r>
            <w:r>
              <w:rPr>
                <w:rFonts w:hint="eastAsia" w:ascii="宋体" w:hAnsi="宋体" w:cs="宋体"/>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756"/>
              <w:jc w:val="left"/>
              <w:spacing w:line="360" w:lineRule="auto"/>
              <w:widowControl/>
              <w:rPr>
                <w:rFonts w:hint="eastAsia" w:ascii="宋体" w:hAnsi="宋体" w:cs="宋体"/>
              </w:rPr>
            </w:pPr>
            <w:r>
              <w:rPr>
                <w:rFonts w:hint="eastAsia" w:ascii="宋体" w:hAnsi="宋体" w:cs="宋体"/>
              </w:rPr>
              <w:t xml:space="preserve">供应商（以下称乙方）：</w:t>
            </w:r>
            <w:r>
              <w:rPr>
                <w:rFonts w:ascii="宋体" w:hAnsi="宋体" w:cs="宋体"/>
              </w:rPr>
              <w:t xml:space="preserve"> </w:t>
            </w:r>
            <w:r>
              <w:rPr>
                <w:rFonts w:hint="eastAsia" w:ascii="宋体" w:hAnsi="宋体" w:cs="宋体"/>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756"/>
              <w:jc w:val="left"/>
              <w:spacing w:line="360" w:lineRule="auto"/>
              <w:widowControl/>
              <w:rPr>
                <w:rFonts w:hint="eastAsia" w:ascii="宋体" w:hAnsi="宋体" w:cs="宋体"/>
              </w:rPr>
            </w:pPr>
            <w:r>
              <w:rPr>
                <w:rFonts w:hint="eastAsia" w:ascii="宋体" w:hAnsi="宋体" w:cs="宋体"/>
              </w:rPr>
              <w:t xml:space="preserve">住所地：</w:t>
            </w:r>
            <w:r>
              <w:rPr>
                <w:rFonts w:hint="eastAsia" w:ascii="宋体" w:hAnsi="宋体" w:cs="宋体"/>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756"/>
              <w:jc w:val="left"/>
              <w:spacing w:line="360" w:lineRule="auto"/>
              <w:widowControl/>
              <w:rPr>
                <w:rFonts w:hint="eastAsia" w:ascii="宋体" w:hAnsi="宋体" w:cs="宋体"/>
              </w:rPr>
            </w:pPr>
            <w:r>
              <w:rPr>
                <w:rFonts w:hint="eastAsia" w:ascii="宋体" w:hAnsi="宋体" w:cs="宋体"/>
              </w:rPr>
              <w:t xml:space="preserve">住所地：</w:t>
            </w:r>
            <w:r>
              <w:rPr>
                <w:rFonts w:hint="eastAsia" w:ascii="宋体" w:hAnsi="宋体" w:cs="宋体"/>
              </w:rPr>
            </w:r>
            <w:r/>
          </w:p>
        </w:tc>
      </w:tr>
    </w:tbl>
    <w:p>
      <w:pPr>
        <w:pStyle w:val="756"/>
        <w:ind w:firstLine="420"/>
        <w:spacing w:line="360" w:lineRule="auto"/>
        <w:rPr>
          <w:rFonts w:hint="eastAsia" w:ascii="宋体" w:hAnsi="宋体" w:cs="宋体"/>
          <w:bCs/>
        </w:rPr>
      </w:pPr>
      <w:r/>
      <w:bookmarkStart w:id="53" w:name="_Toc15718"/>
      <w:r>
        <w:rPr>
          <w:rFonts w:hint="eastAsia" w:ascii="宋体" w:hAnsi="宋体" w:cs="宋体"/>
          <w:bCs/>
        </w:rPr>
        <w:t xml:space="preserve">根据《中华人民共和国政府采购法》《中华人民共和国民法典》，由</w:t>
      </w:r>
      <w:r>
        <w:rPr>
          <w:rFonts w:hint="eastAsia" w:ascii="宋体" w:hAnsi="宋体" w:cs="宋体"/>
          <w:bCs/>
          <w:u w:val="single"/>
        </w:rPr>
        <w:t xml:space="preserve">南京城墙保护管理中心</w:t>
      </w:r>
      <w:r>
        <w:rPr>
          <w:rFonts w:hint="eastAsia" w:ascii="宋体" w:hAnsi="宋体" w:cs="宋体"/>
          <w:bCs/>
        </w:rPr>
        <w:t xml:space="preserve">（甲方）委托</w:t>
      </w:r>
      <w:r>
        <w:rPr>
          <w:rFonts w:hint="eastAsia" w:ascii="宋体" w:hAnsi="宋体" w:cs="宋体"/>
          <w:bCs/>
          <w:u w:val="single"/>
        </w:rPr>
        <w:t xml:space="preserve">    </w:t>
      </w:r>
      <w:r>
        <w:rPr>
          <w:rFonts w:hint="eastAsia" w:ascii="宋体" w:hAnsi="宋体" w:cs="宋体"/>
          <w:bCs/>
        </w:rPr>
        <w:t xml:space="preserve">（乙方）承担本合同规定内容。经双方友好协商，签订本合同。</w:t>
      </w:r>
      <w:bookmarkEnd w:id="53"/>
      <w:r>
        <w:rPr>
          <w:rFonts w:hint="eastAsia" w:ascii="宋体" w:hAnsi="宋体" w:cs="宋体"/>
          <w:bCs/>
        </w:rPr>
      </w:r>
      <w:r/>
    </w:p>
    <w:p>
      <w:pPr>
        <w:pStyle w:val="756"/>
        <w:ind w:firstLine="422"/>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第一条合同标的</w:t>
      </w:r>
      <w:r>
        <w:rPr>
          <w:rFonts w:hint="eastAsia" w:ascii="宋体" w:hAnsi="宋体" w:cs="宋体"/>
          <w:color w:val="000000"/>
        </w:rPr>
        <w:t xml:space="preserve"> </w:t>
      </w:r>
      <w:r>
        <w:rPr>
          <w:rFonts w:hint="eastAsia" w:ascii="宋体" w:hAnsi="宋体" w:cs="宋体"/>
          <w:color w:val="000000"/>
        </w:rPr>
      </w:r>
      <w:r/>
    </w:p>
    <w:p>
      <w:pPr>
        <w:pStyle w:val="756"/>
        <w:ind w:firstLine="420"/>
        <w:spacing w:line="360" w:lineRule="auto"/>
        <w:rPr>
          <w:rFonts w:hint="eastAsia" w:ascii="宋体" w:hAnsi="宋体" w:cs="宋体"/>
          <w:spacing w:val="8"/>
        </w:rPr>
      </w:pPr>
      <w:r>
        <w:rPr>
          <w:rFonts w:hint="eastAsia" w:ascii="宋体" w:hAnsi="宋体" w:cs="宋体"/>
        </w:rPr>
        <w:t xml:space="preserve">乙方根据甲方要求提供下列货物：</w:t>
      </w:r>
      <w:r>
        <w:rPr>
          <w:rFonts w:hint="eastAsia" w:ascii="宋体" w:hAnsi="宋体" w:cs="宋体"/>
          <w:bCs/>
          <w:szCs w:val="21"/>
        </w:rPr>
        <w:t xml:space="preserve">南京城墙景区安防设备改造项目</w:t>
      </w:r>
      <w:r>
        <w:rPr>
          <w:rFonts w:hint="eastAsia" w:ascii="宋体" w:hAnsi="宋体" w:cs="宋体"/>
          <w:spacing w:val="8"/>
        </w:rPr>
        <w:t xml:space="preserve">。</w:t>
      </w:r>
      <w:r>
        <w:rPr>
          <w:rFonts w:hint="eastAsia" w:ascii="宋体" w:hAnsi="宋体" w:cs="宋体"/>
          <w:spacing w:val="8"/>
        </w:rPr>
      </w:r>
      <w:r/>
    </w:p>
    <w:p>
      <w:pPr>
        <w:pStyle w:val="756"/>
        <w:ind w:firstLine="422"/>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具体内容详见乙方响应性文件等。</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b/>
          <w:bCs/>
          <w:color w:val="000000"/>
        </w:rPr>
      </w:pPr>
      <w:r>
        <w:rPr>
          <w:rFonts w:hint="eastAsia" w:ascii="宋体" w:hAnsi="宋体" w:cs="宋体"/>
          <w:b/>
          <w:bCs/>
          <w:color w:val="000000"/>
        </w:rPr>
        <w:t xml:space="preserve">第二条合同总价款</w:t>
      </w:r>
      <w:r>
        <w:rPr>
          <w:rFonts w:hint="eastAsia" w:ascii="宋体" w:hAnsi="宋体" w:cs="宋体"/>
          <w:b/>
          <w:bCs/>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本合同项下货物价款为</w:t>
      </w:r>
      <w:r>
        <w:rPr>
          <w:rFonts w:hint="eastAsia" w:ascii="宋体" w:hAnsi="宋体" w:cs="宋体"/>
          <w:color w:val="000000"/>
          <w:u w:val="single"/>
        </w:rPr>
        <w:t xml:space="preserve">      </w:t>
      </w:r>
      <w:r>
        <w:rPr>
          <w:rFonts w:hint="eastAsia" w:ascii="宋体" w:hAnsi="宋体" w:cs="宋体"/>
          <w:color w:val="000000"/>
        </w:rPr>
        <w:t xml:space="preserve">（大写）人民币，分项价款在“分项报价表”中明确。</w:t>
      </w:r>
      <w:r>
        <w:rPr>
          <w:rFonts w:hint="eastAsia" w:ascii="宋体" w:hAnsi="宋体" w:cs="宋体"/>
          <w:color w:val="000000"/>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30"/>
        <w:gridCol w:w="640"/>
        <w:gridCol w:w="634"/>
        <w:gridCol w:w="708"/>
        <w:gridCol w:w="3282"/>
        <w:gridCol w:w="989"/>
        <w:gridCol w:w="729"/>
        <w:gridCol w:w="839"/>
        <w:gridCol w:w="437"/>
      </w:tblGrid>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品牌</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val="en-US" w:eastAsia="zh-CN" w:bidi="ar"/>
              </w:rPr>
              <w:t xml:space="preserve">含税</w:t>
            </w:r>
            <w:r>
              <w:rPr>
                <w:rFonts w:hint="eastAsia" w:ascii="宋体" w:hAnsi="宋体" w:cs="宋体"/>
                <w:b/>
                <w:bCs/>
                <w:color w:val="000000"/>
                <w:sz w:val="20"/>
                <w:szCs w:val="20"/>
                <w:lang w:bidi="ar"/>
              </w:rPr>
              <w:t xml:space="preserve">单价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合计</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备注</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w:t>
            </w: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bl>
    <w:p>
      <w:pPr>
        <w:pStyle w:val="756"/>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本合同总价款包含以下内容：</w:t>
      </w:r>
      <w:r>
        <w:rPr>
          <w:rFonts w:hint="eastAsia" w:ascii="宋体" w:hAnsi="宋体" w:cs="宋体"/>
          <w:color w:val="000000"/>
        </w:rPr>
      </w:r>
      <w:r/>
    </w:p>
    <w:p>
      <w:pPr>
        <w:pStyle w:val="756"/>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（1）货物设计、制造、包装、仓储、运输、装卸、保险、安装、调试及其材料；</w:t>
      </w:r>
      <w:r>
        <w:rPr>
          <w:rFonts w:hint="eastAsia" w:ascii="宋体" w:hAnsi="宋体" w:cs="宋体"/>
          <w:color w:val="000000"/>
        </w:rPr>
      </w:r>
      <w:r/>
    </w:p>
    <w:p>
      <w:pPr>
        <w:pStyle w:val="756"/>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（2）验收合格之前保管及保修期内备品备件、专用工具、伴随服务、技术图纸资料、人员培训发生的所有含税费用；</w:t>
      </w:r>
      <w:r>
        <w:rPr>
          <w:rFonts w:hint="eastAsia" w:ascii="宋体" w:hAnsi="宋体" w:cs="宋体"/>
          <w:color w:val="000000"/>
        </w:rPr>
      </w:r>
      <w:r/>
    </w:p>
    <w:p>
      <w:pPr>
        <w:pStyle w:val="756"/>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（3）支付给员工的工资和国家强制缴纳的各种社会保障资金；</w:t>
      </w:r>
      <w:r>
        <w:rPr>
          <w:rFonts w:hint="eastAsia" w:ascii="宋体" w:hAnsi="宋体" w:cs="宋体"/>
          <w:color w:val="000000"/>
        </w:rPr>
      </w:r>
      <w:r/>
    </w:p>
    <w:p>
      <w:pPr>
        <w:pStyle w:val="756"/>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（4）乙方应当提供的伴随服务/售后服务费用；</w:t>
      </w:r>
      <w:r>
        <w:rPr>
          <w:rFonts w:hint="eastAsia" w:ascii="宋体" w:hAnsi="宋体" w:cs="宋体"/>
          <w:color w:val="000000"/>
        </w:rPr>
      </w:r>
      <w:r/>
    </w:p>
    <w:p>
      <w:pPr>
        <w:pStyle w:val="756"/>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（5）乙方认为需要的其他费用。</w:t>
      </w:r>
      <w:r>
        <w:rPr>
          <w:rFonts w:hint="eastAsia" w:ascii="宋体" w:hAnsi="宋体" w:cs="宋体"/>
          <w:color w:val="000000"/>
        </w:rPr>
      </w:r>
      <w:r/>
    </w:p>
    <w:p>
      <w:pPr>
        <w:pStyle w:val="756"/>
        <w:ind w:firstLine="420"/>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本合同为总价合同，合同执行期间合同总价不变。</w:t>
      </w:r>
      <w:r>
        <w:rPr>
          <w:rFonts w:hint="eastAsia" w:ascii="宋体" w:hAnsi="宋体" w:cs="宋体"/>
          <w:color w:val="000000"/>
        </w:rPr>
      </w:r>
      <w:r/>
    </w:p>
    <w:p>
      <w:pPr>
        <w:pStyle w:val="756"/>
        <w:ind w:firstLine="422"/>
        <w:spacing w:line="360" w:lineRule="auto"/>
        <w:shd w:val="clear" w:color="auto" w:fill="ffffff"/>
        <w:widowControl/>
        <w:rPr>
          <w:rFonts w:hint="eastAsia" w:ascii="宋体" w:hAnsi="宋体" w:cs="宋体"/>
          <w:b/>
          <w:bCs/>
          <w:color w:val="000000"/>
        </w:rPr>
      </w:pPr>
      <w:r>
        <w:rPr>
          <w:rFonts w:hint="eastAsia" w:ascii="宋体" w:hAnsi="宋体" w:cs="宋体"/>
          <w:b/>
          <w:bCs/>
          <w:color w:val="000000"/>
        </w:rPr>
        <w:t xml:space="preserve">第三条 供货期以及供货地点</w:t>
      </w:r>
      <w:r>
        <w:rPr>
          <w:rFonts w:hint="eastAsia" w:ascii="宋体" w:hAnsi="宋体" w:cs="宋体"/>
          <w:b/>
          <w:bCs/>
          <w:color w:val="000000"/>
        </w:rPr>
      </w:r>
      <w:r/>
    </w:p>
    <w:p>
      <w:pPr>
        <w:pStyle w:val="756"/>
        <w:ind w:firstLine="420"/>
        <w:spacing w:line="360" w:lineRule="auto"/>
        <w:shd w:val="clear" w:color="auto" w:fill="ffffff"/>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供货期</w:t>
      </w:r>
      <w:r>
        <w:rPr>
          <w:rFonts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rPr>
      </w:r>
      <w:r/>
    </w:p>
    <w:p>
      <w:pPr>
        <w:pStyle w:val="756"/>
        <w:ind w:firstLine="420"/>
        <w:spacing w:line="360" w:lineRule="auto"/>
        <w:shd w:val="clear" w:color="auto" w:fill="ffffff"/>
        <w:widowControl/>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供货地点</w:t>
      </w:r>
      <w:r>
        <w:rPr>
          <w:rFonts w:hint="eastAsia" w:ascii="宋体" w:hAnsi="宋体" w:cs="宋体"/>
          <w:color w:val="000000"/>
          <w:u w:val="single"/>
        </w:rPr>
        <w:t xml:space="preserve">：                   </w:t>
      </w:r>
      <w:r>
        <w:rPr>
          <w:rFonts w:ascii="宋体" w:hAnsi="宋体" w:cs="宋体"/>
          <w:color w:val="000000"/>
        </w:rPr>
        <w:t xml:space="preserve">。</w:t>
      </w:r>
      <w:r>
        <w:rPr>
          <w:rFonts w:hint="eastAsia" w:ascii="宋体" w:hAnsi="宋体" w:cs="宋体"/>
          <w:color w:val="000000"/>
        </w:rPr>
      </w:r>
      <w:r/>
    </w:p>
    <w:p>
      <w:pPr>
        <w:pStyle w:val="756"/>
        <w:ind w:firstLine="422"/>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第四条 组成本合同的有关文件</w:t>
      </w:r>
      <w:r>
        <w:rPr>
          <w:rFonts w:hint="eastAsia" w:ascii="宋体" w:hAnsi="宋体" w:cs="宋体"/>
          <w:color w:val="000000"/>
        </w:rPr>
        <w:t xml:space="preserve"> </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招标文件、投标（响应）文件，以及与本次采购活动相关的文件及有关附件是本合同不可分割的组成部分，与本合同具有同等法律效力，这些文件包括但不限于：</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（1）投标（响应）文件和报价表；</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（2）供货一览表；</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（3）交货一览表；</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（4）技术规格响应表；</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（5）投标（响应）承诺；</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（6）服务承诺；</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（7）中标（成交）通知书；</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（8）甲乙双方商定的其它文件。</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b/>
          <w:bCs/>
          <w:color w:val="000000"/>
        </w:rPr>
      </w:pPr>
      <w:r>
        <w:rPr>
          <w:rFonts w:hint="eastAsia" w:ascii="宋体" w:hAnsi="宋体" w:cs="宋体"/>
          <w:b/>
          <w:bCs/>
          <w:color w:val="000000"/>
        </w:rPr>
        <w:t xml:space="preserve">第五条 权利保证</w:t>
      </w:r>
      <w:r>
        <w:rPr>
          <w:rFonts w:hint="eastAsia" w:ascii="宋体" w:hAnsi="宋体" w:cs="宋体"/>
          <w:b/>
          <w:bCs/>
          <w:color w:val="000000"/>
        </w:rPr>
      </w:r>
      <w:r/>
    </w:p>
    <w:p>
      <w:pPr>
        <w:pStyle w:val="756"/>
        <w:ind w:firstLine="420"/>
        <w:jc w:val="left"/>
        <w:spacing w:line="360" w:lineRule="auto"/>
        <w:shd w:val="clear" w:color="auto" w:fill="ffffff"/>
        <w:widowControl/>
        <w:rPr>
          <w:rFonts w:hint="eastAsia" w:ascii="宋体" w:hAnsi="宋体" w:cs="宋体"/>
          <w:bCs/>
        </w:rPr>
      </w:pPr>
      <w:r>
        <w:rPr>
          <w:rFonts w:hint="eastAsia" w:ascii="宋体" w:hAnsi="宋体" w:cs="宋体"/>
          <w:color w:val="000000"/>
        </w:rPr>
        <w:t xml:space="preserve">乙方应保证为甲方提供货物、服务任何一部分时不受第三方提出侵犯其专利权、版权、商标权或其他权利的起诉。一旦出现侵权，乙方应承担全部责任</w:t>
      </w:r>
      <w:r>
        <w:rPr>
          <w:rFonts w:hint="eastAsia" w:ascii="宋体" w:hAnsi="宋体" w:cs="宋体"/>
          <w:bCs/>
        </w:rPr>
        <w:t xml:space="preserve">。</w:t>
      </w:r>
      <w:r>
        <w:rPr>
          <w:rFonts w:hint="eastAsia" w:ascii="宋体" w:hAnsi="宋体" w:cs="宋体"/>
          <w:bCs/>
        </w:rPr>
      </w:r>
      <w:r/>
    </w:p>
    <w:p>
      <w:pPr>
        <w:pStyle w:val="756"/>
        <w:numPr>
          <w:ilvl w:val="0"/>
          <w:numId w:val="11"/>
        </w:numPr>
        <w:ind w:firstLine="422"/>
        <w:spacing w:line="360" w:lineRule="auto"/>
        <w:rPr>
          <w:rFonts w:hint="eastAsia" w:ascii="宋体" w:hAnsi="宋体" w:cs="宋体"/>
          <w:b/>
          <w:bCs/>
          <w:color w:val="000000"/>
        </w:rPr>
      </w:pPr>
      <w:r>
        <w:rPr>
          <w:rFonts w:hint="eastAsia" w:ascii="宋体" w:hAnsi="宋体" w:cs="宋体"/>
          <w:b/>
          <w:bCs/>
          <w:color w:val="000000"/>
        </w:rPr>
        <w:t xml:space="preserve">质量保证</w:t>
      </w:r>
      <w:r>
        <w:rPr>
          <w:rFonts w:hint="eastAsia" w:ascii="宋体" w:hAnsi="宋体" w:cs="宋体"/>
          <w:b/>
          <w:bCs/>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1.乙方所提供的货物的技术规格应与招标文件规定的技术规格及所附的“采购需求偏离表”相一致；若技术性能无特殊说明，则按国家有关部门最新颁布的标准及规范为准。</w:t>
      </w:r>
      <w:r>
        <w:rPr>
          <w:rFonts w:hint="eastAsia" w:ascii="宋体" w:hAnsi="宋体" w:cs="宋体"/>
          <w:color w:val="000000"/>
        </w:rPr>
      </w:r>
      <w:r/>
    </w:p>
    <w:p>
      <w:pPr>
        <w:pStyle w:val="756"/>
        <w:ind w:firstLine="420"/>
        <w:spacing w:line="360" w:lineRule="auto"/>
        <w:rPr>
          <w:rFonts w:hint="eastAsia" w:ascii="宋体" w:hAnsi="宋体" w:cs="宋体"/>
          <w:color w:val="000000"/>
        </w:rPr>
      </w:pPr>
      <w:r>
        <w:rPr>
          <w:rFonts w:hint="eastAsia" w:ascii="宋体" w:hAnsi="宋体" w:cs="宋体"/>
          <w:color w:val="000000"/>
        </w:rPr>
        <w:t xml:space="preserve">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b/>
          <w:bCs/>
          <w:color w:val="000000"/>
        </w:rPr>
      </w:pPr>
      <w:r>
        <w:rPr>
          <w:rFonts w:hint="eastAsia" w:ascii="宋体" w:hAnsi="宋体" w:cs="宋体"/>
          <w:b/>
          <w:bCs/>
          <w:color w:val="000000"/>
        </w:rPr>
        <w:t xml:space="preserve">第七条 包装要求</w:t>
      </w:r>
      <w:r>
        <w:rPr>
          <w:rFonts w:hint="eastAsia" w:ascii="宋体" w:hAnsi="宋体" w:cs="宋体"/>
          <w:b/>
          <w:bCs/>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2、每一包装单元内应附详细的装箱单和质量合格凭证。</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rPr>
      </w:pPr>
      <w:r>
        <w:rPr>
          <w:rFonts w:hint="eastAsia" w:ascii="宋体" w:hAnsi="宋体" w:cs="宋体"/>
          <w:b/>
          <w:bCs/>
          <w:color w:val="000000"/>
        </w:rPr>
        <w:t xml:space="preserve">第八条 </w:t>
      </w:r>
      <w:r>
        <w:rPr>
          <w:rFonts w:hint="eastAsia" w:ascii="宋体" w:hAnsi="宋体" w:cs="宋体"/>
          <w:b/>
          <w:bCs/>
        </w:rPr>
        <w:t xml:space="preserve">交付使用和验收</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1、</w:t>
      </w:r>
      <w:r>
        <w:rPr>
          <w:rFonts w:hint="eastAsia" w:ascii="宋体" w:hAnsi="宋体"/>
          <w:bCs/>
        </w:rPr>
        <w:t xml:space="preserve">自合同签订之日起</w:t>
      </w:r>
      <w:r>
        <w:rPr>
          <w:rFonts w:hint="eastAsia" w:ascii="宋体" w:hAnsi="宋体"/>
          <w:bCs/>
          <w:u w:val="single"/>
        </w:rPr>
        <w:t xml:space="preserve">    </w:t>
      </w:r>
      <w:r>
        <w:rPr>
          <w:rFonts w:hint="eastAsia" w:ascii="宋体" w:hAnsi="宋体"/>
          <w:bCs/>
        </w:rPr>
        <w:t xml:space="preserve">天内完成供货和配送，不合格产品保证无条件、无理由3天内更换</w:t>
      </w:r>
      <w:r>
        <w:rPr>
          <w:rFonts w:hint="eastAsia" w:ascii="宋体" w:hAnsi="宋体" w:cs="宋体"/>
        </w:rPr>
        <w:t xml:space="preserve">。</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2、乙方交付的货物应当完全符合本合同或者招标文件规定、投标文件所承诺的数量和规格要求。乙方提供的货物不符合招标文件、投标文件和合同规定的，甲方有权拒收货物，由此引起的风险，由乙方承担。</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3、货物的到货验收包括：型号、规格、数量、外观质量及货物包装是否完好。</w:t>
      </w:r>
      <w:r>
        <w:rPr>
          <w:rFonts w:hint="eastAsia" w:ascii="宋体" w:hAnsi="宋体" w:cs="宋体"/>
        </w:rPr>
      </w:r>
      <w:r/>
    </w:p>
    <w:p>
      <w:pPr>
        <w:pStyle w:val="756"/>
        <w:ind w:firstLine="420"/>
        <w:spacing w:line="360" w:lineRule="auto"/>
        <w:rPr>
          <w:rFonts w:hint="eastAsia" w:ascii="宋体" w:hAnsi="宋体" w:cs="宋体"/>
        </w:rPr>
      </w:pPr>
      <w:r>
        <w:rPr>
          <w:rFonts w:hint="eastAsia" w:ascii="宋体" w:hAnsi="宋体" w:cs="宋体"/>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rPr>
      </w:r>
      <w:r/>
    </w:p>
    <w:p>
      <w:pPr>
        <w:pStyle w:val="991"/>
        <w:spacing w:line="360" w:lineRule="auto"/>
        <w:rPr>
          <w:rFonts w:hint="eastAsia" w:ascii="宋体" w:hAnsi="宋体" w:cs="宋体"/>
        </w:rPr>
      </w:pPr>
      <w:r>
        <w:rPr>
          <w:rFonts w:hint="eastAsia" w:ascii="宋体" w:hAnsi="宋体" w:cs="宋体"/>
        </w:rPr>
        <w:t xml:space="preserve">5、货物和系统调试验收的标准：</w:t>
      </w:r>
      <w:r>
        <w:rPr>
          <w:rFonts w:hint="eastAsia" w:ascii="宋体" w:hAnsi="宋体" w:cs="宋体"/>
          <w:lang w:val="zh-CN"/>
        </w:rPr>
        <w:t xml:space="preserve">按行业通行标准和乙方投标文件的承诺。</w:t>
      </w:r>
      <w:r>
        <w:rPr>
          <w:rFonts w:hint="eastAsia" w:ascii="宋体" w:hAnsi="宋体" w:cs="宋体"/>
        </w:rPr>
        <w:t xml:space="preserve">甲方可自行组织或邀请相关专家或国家认可的质量检测机构参加验收，甲方负责组织本合同项目的验收工作，具体实施及相关费用由乙方负责承担。</w:t>
      </w:r>
      <w:r>
        <w:rPr>
          <w:rFonts w:hint="eastAsia" w:ascii="宋体" w:hAnsi="宋体" w:cs="宋体"/>
        </w:rPr>
      </w:r>
      <w:r/>
    </w:p>
    <w:p>
      <w:pPr>
        <w:pStyle w:val="756"/>
        <w:ind w:firstLine="420"/>
        <w:jc w:val="left"/>
        <w:spacing w:line="360" w:lineRule="auto"/>
        <w:shd w:val="clear" w:color="auto" w:fill="ffffff"/>
        <w:widowControl/>
        <w:rPr>
          <w:rFonts w:hint="eastAsia" w:ascii="宋体" w:hAnsi="宋体" w:cs="宋体"/>
          <w:b/>
          <w:bCs/>
        </w:rPr>
      </w:pPr>
      <w:r>
        <w:rPr>
          <w:rFonts w:hint="eastAsia" w:ascii="宋体" w:hAnsi="宋体" w:cs="宋体"/>
          <w:b/>
          <w:bCs/>
        </w:rPr>
        <w:t xml:space="preserve">第九条 伴随服务／售后服务</w:t>
      </w:r>
      <w:r>
        <w:rPr>
          <w:rFonts w:hint="eastAsia" w:ascii="宋体" w:hAnsi="宋体" w:cs="宋体"/>
          <w:b/>
          <w:bCs/>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1、乙方应按照国家有关法律法规规章和“三包”规定，以及合同所附的“服务承诺”提供服务。</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2、除前款规定外，乙方还应提供下列服务：</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（1）货物的现场安装、调试和/或启动监督；</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（2）就货物的安装、启动、运行及维护等对甲方人员进行免费培训。</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3、若招标文件中不包含有关伴随服务或售后服务的承诺，双方作如下约定：</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（2）所购货物按乙方投标承诺提供免费维护和质量保证，保修费用计入总价；</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（3）保修期内，乙方负责对其提供的货物整机进行维修和系统维护，不再收取任何费用，但不可抗力（如火灾、雷击等）造成的故障除外；</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（4）货物故障报修的响应时间按乙方投标承诺执行；</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（5）若货物故障在检修8小时后仍无法排除，乙方应在48小时内免费提供不低于故障货物规格型号档次的备用货物供甲方使用，直至故障修复；</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（6）所有货物保修服务方式均为乙方上门保修，即由乙方派员到货物使用现场维修，由此产生的一切费用均由乙方承担；</w:t>
      </w:r>
      <w:r>
        <w:rPr>
          <w:rFonts w:hint="eastAsia" w:ascii="宋体" w:hAnsi="宋体" w:cs="宋体"/>
          <w:bCs/>
          <w:color w:val="000000"/>
          <w:szCs w:val="21"/>
        </w:rPr>
      </w:r>
      <w:r/>
    </w:p>
    <w:p>
      <w:pPr>
        <w:pStyle w:val="756"/>
        <w:ind w:firstLine="420"/>
        <w:spacing w:line="360" w:lineRule="auto"/>
        <w:rPr>
          <w:rFonts w:hint="eastAsia" w:ascii="宋体" w:hAnsi="宋体" w:cs="宋体"/>
          <w:color w:val="000000"/>
        </w:rPr>
      </w:pPr>
      <w:r>
        <w:rPr>
          <w:rFonts w:hint="eastAsia" w:ascii="宋体" w:hAnsi="宋体" w:cs="宋体"/>
          <w:bCs/>
          <w:color w:val="000000"/>
          <w:szCs w:val="21"/>
        </w:rPr>
        <w:t xml:space="preserve">（7）保修期后的货物维护由双方商定。</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第十条 合同款支付</w:t>
      </w:r>
      <w:r>
        <w:rPr>
          <w:rFonts w:hint="eastAsia" w:ascii="宋体" w:hAnsi="宋体" w:cs="宋体"/>
          <w:color w:val="000000"/>
        </w:rPr>
      </w:r>
      <w:r/>
    </w:p>
    <w:p>
      <w:pPr>
        <w:pStyle w:val="756"/>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1、本合同项下所有款项均以人民币支付。</w:t>
      </w:r>
      <w:r>
        <w:rPr>
          <w:rFonts w:hint="eastAsia" w:ascii="宋体" w:hAnsi="宋体" w:cs="宋体"/>
          <w:color w:val="000000"/>
          <w:lang w:val="zh-CN"/>
        </w:rPr>
      </w:r>
      <w:r/>
    </w:p>
    <w:p>
      <w:pPr>
        <w:pStyle w:val="756"/>
        <w:ind w:firstLine="420"/>
        <w:spacing w:line="360" w:lineRule="auto"/>
        <w:rPr>
          <w:rFonts w:hint="eastAsia" w:ascii="宋体" w:hAnsi="宋体" w:cs="宋体"/>
          <w:highlight w:val="none"/>
          <w:lang w:val="zh-CN"/>
        </w:rPr>
      </w:pPr>
      <w:r>
        <w:rPr>
          <w:rFonts w:hint="eastAsia" w:ascii="宋体" w:hAnsi="宋体" w:cs="宋体"/>
          <w:highlight w:val="none"/>
        </w:rPr>
        <w:t xml:space="preserve">2</w:t>
      </w:r>
      <w:r>
        <w:rPr>
          <w:rFonts w:hint="eastAsia" w:ascii="宋体" w:hAnsi="宋体" w:cs="宋体"/>
          <w:highlight w:val="none"/>
          <w:lang w:val="zh-CN"/>
        </w:rPr>
        <w:t xml:space="preserve">、付款方式：</w:t>
      </w:r>
      <w:r>
        <w:rPr>
          <w:rFonts w:hint="eastAsia" w:ascii="宋体" w:hAnsi="宋体" w:cs="宋体"/>
          <w:highlight w:val="none"/>
          <w:lang w:val="zh-CN"/>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(1)合同签订</w:t>
      </w:r>
      <w:r>
        <w:rPr>
          <w:rFonts w:hint="eastAsia" w:ascii="宋体" w:hAnsi="宋体" w:cs="宋体"/>
          <w:spacing w:val="8"/>
          <w:szCs w:val="21"/>
          <w:highlight w:val="none"/>
          <w:lang w:val="en-US" w:eastAsia="zh-CN"/>
        </w:rPr>
        <w:t xml:space="preserve">后</w:t>
      </w:r>
      <w:r>
        <w:rPr>
          <w:rFonts w:hint="eastAsia" w:ascii="宋体" w:hAnsi="宋体" w:cs="宋体"/>
          <w:spacing w:val="8"/>
          <w:szCs w:val="21"/>
          <w:highlight w:val="none"/>
        </w:rPr>
        <w:t xml:space="preserve">支付合同金额的20%（以财政</w:t>
      </w:r>
      <w:r>
        <w:rPr>
          <w:rFonts w:hint="eastAsia" w:ascii="宋体" w:hAnsi="宋体" w:cs="宋体"/>
          <w:spacing w:val="8"/>
          <w:szCs w:val="21"/>
          <w:highlight w:val="none"/>
          <w:lang w:val="en-US" w:eastAsia="zh-CN"/>
        </w:rPr>
        <w:t xml:space="preserve">资金</w:t>
      </w:r>
      <w:r>
        <w:rPr>
          <w:rFonts w:hint="eastAsia" w:ascii="宋体" w:hAnsi="宋体" w:cs="宋体"/>
          <w:spacing w:val="8"/>
          <w:szCs w:val="21"/>
          <w:highlight w:val="none"/>
        </w:rPr>
        <w:t xml:space="preserve">实际到账为准）:</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(2)项目完成至总进度的50%支付合同金额20%款项:</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(3)项目完成至总进度的80%支付合同金额20%款项:</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(4)项目完工并经采购人初验完成支付合同金额20%款项;</w:t>
      </w:r>
      <w:r>
        <w:rPr>
          <w:rFonts w:hint="eastAsia" w:ascii="宋体" w:hAnsi="宋体" w:cs="宋体"/>
          <w:spacing w:val="8"/>
          <w:szCs w:val="21"/>
          <w:highlight w:val="none"/>
        </w:rPr>
      </w:r>
      <w:r/>
    </w:p>
    <w:p>
      <w:pPr>
        <w:pStyle w:val="756"/>
        <w:ind w:firstLine="452"/>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(5)项目竣工验收通过并在审计结果确认后一次性支付剩余20%款项</w:t>
      </w:r>
      <w:r>
        <w:rPr>
          <w:rFonts w:hint="eastAsia" w:ascii="宋体" w:hAnsi="宋体" w:cs="宋体"/>
          <w:spacing w:val="8"/>
          <w:szCs w:val="21"/>
          <w:highlight w:val="none"/>
        </w:rPr>
      </w:r>
      <w:r/>
    </w:p>
    <w:p>
      <w:pPr>
        <w:pStyle w:val="756"/>
        <w:ind w:firstLine="420"/>
        <w:spacing w:line="360" w:lineRule="auto"/>
        <w:rPr>
          <w:rFonts w:hint="eastAsia" w:ascii="宋体" w:hAnsi="宋体" w:cs="宋体"/>
          <w:highlight w:val="yellow"/>
          <w:lang w:val="zh-CN"/>
        </w:rPr>
      </w:pPr>
      <w:r>
        <w:rPr>
          <w:rFonts w:hint="eastAsia" w:ascii="宋体" w:hAnsi="宋体" w:cs="宋体"/>
          <w:highlight w:val="yellow"/>
          <w:lang w:val="zh-CN"/>
        </w:rPr>
      </w:r>
      <w:r/>
    </w:p>
    <w:p>
      <w:pPr>
        <w:pStyle w:val="756"/>
        <w:ind w:firstLine="420"/>
        <w:spacing w:line="360" w:lineRule="auto"/>
        <w:rPr>
          <w:rFonts w:hint="eastAsia" w:ascii="宋体" w:hAnsi="宋体" w:cs="宋体"/>
        </w:rPr>
      </w:pPr>
      <w:r>
        <w:rPr>
          <w:rFonts w:ascii="宋体" w:hAnsi="宋体" w:cs="宋体"/>
        </w:rPr>
        <w:t xml:space="preserve">注：付款前乙方需提供符合税务部门要求的增值税专用发票，如果提供的发票是假的或虚开的、税率不符的等不合规的发票，一旦被相关政府部门查出，一切责任由乙方承担。</w:t>
      </w:r>
      <w:r>
        <w:rPr>
          <w:rFonts w:hint="eastAsia" w:ascii="宋体" w:hAnsi="宋体" w:cs="宋体"/>
        </w:rPr>
      </w:r>
      <w:r/>
    </w:p>
    <w:p>
      <w:pPr>
        <w:pStyle w:val="756"/>
        <w:ind w:firstLine="422"/>
        <w:spacing w:line="360" w:lineRule="auto"/>
        <w:rPr>
          <w:rFonts w:hint="eastAsia" w:ascii="宋体" w:hAnsi="宋体" w:cs="宋体"/>
          <w:color w:val="000000"/>
        </w:rPr>
      </w:pPr>
      <w:r>
        <w:rPr>
          <w:rFonts w:hint="eastAsia" w:ascii="宋体" w:hAnsi="宋体" w:cs="宋体"/>
          <w:b/>
          <w:bCs/>
          <w:color w:val="000000"/>
        </w:rPr>
        <w:t xml:space="preserve">第十一条 违约责任  </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1、甲方无正当理由拒收货物、拒付货物款的，由甲方向乙方偿付合同总价的5%违约金。 </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3、如乙方不能交付货物、完成安装调试的，乙方应向甲方支付合同总价5%的违约金。</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4、乙方逾期交付的，每逾期1天，乙方向甲方偿付合同总额的5‰的滞纳金。如乙方逾期交付达5天，甲方有权解除合同，解除合同的通知自到达乙方时生效。</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5、乙方所交付的货物品种、型号、规格不符合合同规定的，甲方有权拒收。甲方拒收的， 乙方应向甲方支付货款总额5%的违约金。</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7、乙方未按本合同的规定和“服务承诺”提供伴随服务/售后服务的，应按合同总价款的 5%向甲方承担违约责任。</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8、乙方在承担上述3-6款一项或多项违约责任后，仍应继续履行合同规定的义务（甲方解除合同的除外）。甲方未能及时追究乙方的任何一项违约责任并不表明甲方放弃追究乙方该项或其他违约责任。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9、乙方投标属虚假承诺，或经权威部门检测提供的货物不能满足投标文件要求，或是由于乙方的过错造成合同无法继续履行的，乙方应向甲方支付合同总价30%赔偿金。</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第十二条 合同的变更和终止</w:t>
      </w:r>
      <w:r>
        <w:rPr>
          <w:rFonts w:hint="eastAsia" w:ascii="宋体" w:hAnsi="宋体" w:cs="宋体"/>
          <w:color w:val="000000"/>
        </w:rPr>
      </w:r>
      <w:r/>
    </w:p>
    <w:p>
      <w:pPr>
        <w:pStyle w:val="756"/>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1、除《政府采购法》第50条第二款规定的情形外，本合同一经签订，甲乙双方不得擅自变更、中止或终止合同。</w:t>
      </w:r>
      <w:r>
        <w:rPr>
          <w:rFonts w:hint="eastAsia" w:ascii="宋体" w:hAnsi="宋体" w:cs="宋体"/>
          <w:color w:val="000000"/>
          <w:lang w:val="zh-CN"/>
        </w:rPr>
      </w:r>
      <w:r/>
    </w:p>
    <w:p>
      <w:pPr>
        <w:pStyle w:val="756"/>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2、</w:t>
      </w:r>
      <w:r>
        <w:rPr>
          <w:rFonts w:hint="eastAsia" w:ascii="宋体" w:hAnsi="宋体" w:cs="宋体"/>
          <w:color w:val="000000"/>
        </w:rPr>
        <w:t xml:space="preserve">除发生法律规定的不能预见、不能避免并不能克服的客观情况外，甲乙双方不得放弃或拒绝履行合同。</w:t>
      </w:r>
      <w:r>
        <w:rPr>
          <w:rFonts w:hint="eastAsia" w:ascii="宋体" w:hAnsi="宋体" w:cs="宋体"/>
          <w:color w:val="000000"/>
          <w:lang w:val="zh-CN"/>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第十三条 合同的转让</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乙方不得擅自部分或全部转让其应履行的合同义务，否则甲方有权解除本合同，并要求乙方赔偿全部损失。</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第十四条 争议的解决</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1、因服务的质量问题发生争议的，应当由甲方邀请国家认可的质量检测机构对服务质量进行鉴定。符合标准的，鉴定费由甲方承担；不符合质量标准的，鉴定费由乙方承担。</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2、因履行本合同引起的或与本合同有关的争议，甲、乙双方应首先通过友好协商解决，如果协商不能解决争议，则采取以下第（1）种方式解决争议：</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（1）向甲方所在地有管辖权的人民法院提起诉讼；</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（2）向南京仲裁委员会按其仲裁规则申请仲裁。</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如没有约定，默认采取第（1）种方式解决争议。</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3、在诉讼期间，除非甲方书面要求中止或解除合同，否则乙方应继续履行合同约定义务。</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第十五条 诚实信用</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乙方应诚实信用，严格按照采购文件要求和承诺履行合同，不向甲方进行商业贿赂或者提供不正当利益。</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b/>
          <w:bCs/>
          <w:color w:val="000000"/>
        </w:rPr>
        <w:t xml:space="preserve">第十六条 合同生效及其他</w:t>
      </w:r>
      <w:r>
        <w:rPr>
          <w:rFonts w:hint="eastAsia" w:ascii="宋体" w:hAnsi="宋体" w:cs="宋体"/>
          <w:color w:val="000000"/>
        </w:rPr>
      </w:r>
      <w:r/>
    </w:p>
    <w:p>
      <w:pPr>
        <w:pStyle w:val="756"/>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1、1.本合同自签订之日起生效，两个工作日内在财政部门指定的媒体上公告。</w:t>
      </w:r>
      <w:r>
        <w:rPr>
          <w:rFonts w:hint="eastAsia" w:ascii="宋体" w:hAnsi="宋体" w:cs="宋体"/>
        </w:rPr>
      </w:r>
      <w:r/>
    </w:p>
    <w:p>
      <w:pPr>
        <w:pStyle w:val="756"/>
        <w:ind w:firstLine="420"/>
        <w:jc w:val="left"/>
        <w:spacing w:line="360" w:lineRule="auto"/>
        <w:rPr>
          <w:rFonts w:hint="eastAsia" w:ascii="宋体" w:hAnsi="宋体" w:cs="宋体"/>
        </w:rPr>
      </w:pPr>
      <w:r>
        <w:rPr>
          <w:rFonts w:hint="eastAsia" w:ascii="宋体" w:hAnsi="宋体" w:cs="宋体"/>
          <w:color w:val="000000"/>
        </w:rPr>
        <w:t xml:space="preserve">2、</w:t>
      </w:r>
      <w:r>
        <w:rPr>
          <w:rFonts w:hint="eastAsia" w:ascii="宋体" w:hAnsi="宋体" w:cs="宋体"/>
        </w:rPr>
        <w:t xml:space="preserve">本合同一式伍份，甲乙双方各执贰份，一份交招标机构存档。</w:t>
      </w:r>
      <w:r>
        <w:rPr>
          <w:rFonts w:hint="eastAsia" w:ascii="宋体" w:hAnsi="宋体" w:cs="宋体"/>
        </w:rPr>
      </w:r>
      <w:r/>
    </w:p>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3、本合同应按照中华人民共和国的现行法律进行解释。</w:t>
      </w:r>
      <w:r>
        <w:rPr>
          <w:rFonts w:hint="eastAsia" w:ascii="宋体" w:hAnsi="宋体" w:cs="宋体"/>
          <w:color w:val="000000"/>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甲方：（盖章）</w:t>
            </w:r>
            <w:r>
              <w:rPr>
                <w:rFonts w:hint="eastAsia" w:ascii="宋体" w:hAns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乙方：（盖章）</w:t>
            </w:r>
            <w:r>
              <w:rPr>
                <w:rFonts w:hint="eastAsia" w:ascii="宋体" w:hAnsi="宋体" w:cs="宋体"/>
                <w:color w:val="000000"/>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法定代表人或其代理人：</w:t>
            </w:r>
            <w:r>
              <w:rPr>
                <w:rFonts w:hint="eastAsia" w:ascii="宋体" w:hAns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法定代表人或其代理人：</w:t>
            </w:r>
            <w:r>
              <w:rPr>
                <w:rFonts w:hint="eastAsia" w:ascii="宋体" w:hAnsi="宋体" w:cs="宋体"/>
                <w:color w:val="000000"/>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电话：</w:t>
            </w:r>
            <w:r>
              <w:rPr>
                <w:rFonts w:hint="eastAsia" w:ascii="宋体" w:hAns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电话：</w:t>
            </w:r>
            <w:r>
              <w:rPr>
                <w:rFonts w:hint="eastAsia" w:ascii="宋体" w:hAnsi="宋体" w:cs="宋体"/>
                <w:color w:val="000000"/>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开户银行：</w:t>
            </w:r>
            <w:r>
              <w:rPr>
                <w:rFonts w:hint="eastAsia" w:ascii="宋体" w:hAns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开户银行：</w:t>
            </w:r>
            <w:r>
              <w:rPr>
                <w:rFonts w:hint="eastAsia" w:ascii="宋体" w:hAnsi="宋体" w:cs="宋体"/>
                <w:color w:val="000000"/>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账号：</w:t>
            </w:r>
            <w:r>
              <w:rPr>
                <w:rFonts w:hint="eastAsia" w:ascii="宋体" w:hAns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账号：</w:t>
            </w:r>
            <w:r>
              <w:rPr>
                <w:rFonts w:hint="eastAsia" w:ascii="宋体" w:hAnsi="宋体" w:cs="宋体"/>
                <w:color w:val="000000"/>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日期：年月日</w:t>
            </w:r>
            <w:r>
              <w:rPr>
                <w:rFonts w:hint="eastAsia" w:ascii="宋体" w:hAnsi="宋体" w:cs="宋体"/>
                <w:color w:val="000000"/>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56"/>
              <w:ind w:firstLine="420"/>
              <w:jc w:val="left"/>
              <w:spacing w:line="360" w:lineRule="auto"/>
              <w:shd w:val="clear" w:color="auto" w:fill="ffffff"/>
              <w:widowControl/>
              <w:rPr>
                <w:rFonts w:hint="eastAsia" w:ascii="宋体" w:hAnsi="宋体" w:cs="宋体"/>
                <w:color w:val="000000"/>
              </w:rPr>
            </w:pPr>
            <w:r>
              <w:rPr>
                <w:rFonts w:hint="eastAsia" w:ascii="宋体" w:hAnsi="宋体" w:cs="宋体"/>
                <w:color w:val="000000"/>
              </w:rPr>
              <w:t xml:space="preserve">日期：年月日</w:t>
            </w:r>
            <w:r>
              <w:rPr>
                <w:rFonts w:hint="eastAsia" w:ascii="宋体" w:hAnsi="宋体" w:cs="宋体"/>
                <w:color w:val="000000"/>
              </w:rPr>
            </w:r>
            <w:r/>
          </w:p>
        </w:tc>
      </w:tr>
    </w:tbl>
    <w:p>
      <w:pPr>
        <w:pStyle w:val="991"/>
        <w:rPr>
          <w:rFonts w:hint="eastAsia" w:ascii="宋体" w:hAnsi="宋体" w:cs="宋体"/>
          <w:color w:val="000000"/>
        </w:rPr>
      </w:pPr>
      <w:r>
        <w:rPr>
          <w:rFonts w:hint="eastAsia" w:ascii="宋体" w:hAnsi="宋体" w:cs="宋体"/>
          <w:color w:val="000000"/>
        </w:rPr>
      </w:r>
      <w:r/>
    </w:p>
    <w:p>
      <w:pPr>
        <w:pStyle w:val="756"/>
        <w:ind w:firstLine="420"/>
        <w:spacing w:line="460" w:lineRule="exact"/>
        <w:rPr>
          <w:rFonts w:hint="eastAsia" w:ascii="宋体" w:hAnsi="宋体" w:cs="宋体"/>
          <w:bCs/>
          <w:szCs w:val="21"/>
        </w:rPr>
      </w:pPr>
      <w:r>
        <w:rPr>
          <w:rFonts w:hint="eastAsia" w:ascii="宋体" w:hAnsi="宋体" w:cs="宋体"/>
          <w:bCs/>
          <w:szCs w:val="21"/>
        </w:rPr>
      </w:r>
      <w:r/>
    </w:p>
    <w:p>
      <w:pPr>
        <w:pStyle w:val="796"/>
        <w:rPr>
          <w:lang w:val="zh-CN"/>
        </w:rPr>
      </w:pPr>
      <w:r>
        <w:rPr>
          <w:lang w:val="zh-CN"/>
        </w:rPr>
      </w:r>
      <w:r/>
    </w:p>
    <w:p>
      <w:pPr>
        <w:pStyle w:val="756"/>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757"/>
        <w:numPr>
          <w:ilvl w:val="0"/>
          <w:numId w:val="12"/>
        </w:numPr>
        <w:rPr>
          <w:rFonts w:hint="eastAsia" w:ascii="宋体" w:hAnsi="宋体" w:cs="宋体"/>
        </w:rPr>
      </w:pPr>
      <w:r/>
      <w:bookmarkStart w:id="54" w:name="_Toc15886"/>
      <w:r/>
      <w:bookmarkStart w:id="55" w:name="_Toc25122"/>
      <w:r/>
      <w:bookmarkStart w:id="56" w:name="_Toc12451"/>
      <w:r>
        <w:rPr>
          <w:rFonts w:hint="eastAsia" w:ascii="宋体" w:hAnsi="宋体" w:cs="宋体"/>
        </w:rPr>
        <w:t xml:space="preserve">投标文件格式及附件</w:t>
      </w:r>
      <w:bookmarkEnd w:id="54"/>
      <w:r/>
      <w:bookmarkEnd w:id="55"/>
      <w:r/>
      <w:bookmarkEnd w:id="56"/>
      <w:r>
        <w:rPr>
          <w:rFonts w:hint="eastAsia" w:ascii="宋体" w:hAnsi="宋体" w:cs="宋体"/>
        </w:rPr>
      </w:r>
      <w:r/>
    </w:p>
    <w:p>
      <w:pPr>
        <w:pStyle w:val="991"/>
        <w:ind w:firstLine="0"/>
        <w:rPr>
          <w:rFonts w:hint="eastAsia" w:ascii="宋体" w:hAnsi="宋体" w:cs="宋体"/>
        </w:rPr>
      </w:pPr>
      <w:r>
        <w:rPr>
          <w:rFonts w:hint="eastAsia" w:ascii="宋体" w:hAnsi="宋体" w:cs="宋体"/>
        </w:rPr>
      </w:r>
      <w:r/>
    </w:p>
    <w:p>
      <w:pPr>
        <w:pStyle w:val="756"/>
        <w:jc w:val="left"/>
        <w:spacing w:line="240" w:lineRule="atLeast"/>
        <w:widowControl/>
        <w:rPr>
          <w:rFonts w:hint="eastAsia" w:ascii="宋体" w:hAnsi="宋体" w:cs="宋体"/>
          <w:b/>
          <w:bCs/>
          <w:szCs w:val="21"/>
        </w:rPr>
      </w:pPr>
      <w:r>
        <w:rPr>
          <w:rFonts w:hint="eastAsia" w:ascii="宋体" w:hAnsi="宋体" w:cs="宋体"/>
          <w:b/>
          <w:bCs/>
          <w:szCs w:val="21"/>
        </w:rPr>
      </w:r>
      <w:r/>
    </w:p>
    <w:p>
      <w:pPr>
        <w:pStyle w:val="756"/>
        <w:spacing w:line="440" w:lineRule="exact"/>
        <w:rPr>
          <w:rFonts w:hint="eastAsia" w:ascii="宋体" w:hAnsi="宋体" w:cs="宋体"/>
          <w:sz w:val="20"/>
          <w:szCs w:val="20"/>
        </w:rPr>
      </w:pPr>
      <w:r>
        <w:rPr>
          <w:rFonts w:hint="eastAsia" w:ascii="宋体" w:hAnsi="宋体" w:cs="宋体"/>
          <w:sz w:val="20"/>
          <w:szCs w:val="20"/>
        </w:rPr>
      </w:r>
      <w:r/>
    </w:p>
    <w:p>
      <w:pPr>
        <w:pStyle w:val="756"/>
        <w:spacing w:line="440" w:lineRule="exact"/>
        <w:rPr>
          <w:rFonts w:hint="eastAsia" w:ascii="宋体" w:hAnsi="宋体" w:cs="宋体"/>
          <w:sz w:val="20"/>
          <w:szCs w:val="20"/>
        </w:rPr>
      </w:pPr>
      <w:r>
        <w:rPr>
          <w:rFonts w:hint="eastAsia" w:ascii="宋体" w:hAnsi="宋体" w:cs="宋体"/>
          <w:sz w:val="20"/>
          <w:szCs w:val="20"/>
        </w:rPr>
      </w:r>
      <w:r/>
    </w:p>
    <w:p>
      <w:pPr>
        <w:pStyle w:val="756"/>
        <w:spacing w:line="440" w:lineRule="exact"/>
        <w:rPr>
          <w:rFonts w:hint="eastAsia" w:ascii="宋体" w:hAnsi="宋体" w:cs="宋体"/>
          <w:sz w:val="20"/>
          <w:szCs w:val="20"/>
        </w:rPr>
      </w:pPr>
      <w:r>
        <w:rPr>
          <w:rFonts w:hint="eastAsia" w:ascii="宋体" w:hAnsi="宋体" w:cs="宋体"/>
          <w:sz w:val="20"/>
          <w:szCs w:val="20"/>
        </w:rPr>
      </w:r>
      <w:r/>
    </w:p>
    <w:p>
      <w:pPr>
        <w:pStyle w:val="756"/>
        <w:rPr>
          <w:rFonts w:hint="eastAsia" w:ascii="宋体" w:hAnsi="宋体" w:cs="宋体"/>
          <w:sz w:val="22"/>
          <w:szCs w:val="22"/>
        </w:rPr>
      </w:pPr>
      <w:r>
        <w:rPr>
          <w:rFonts w:hint="eastAsia" w:ascii="宋体" w:hAnsi="宋体" w:cs="宋体"/>
          <w:sz w:val="22"/>
          <w:szCs w:val="22"/>
        </w:rPr>
      </w:r>
      <w:r/>
    </w:p>
    <w:p>
      <w:pPr>
        <w:pStyle w:val="756"/>
        <w:rPr>
          <w:rFonts w:hint="eastAsia" w:ascii="宋体" w:hAnsi="宋体" w:cs="宋体"/>
          <w:sz w:val="22"/>
          <w:szCs w:val="22"/>
        </w:rPr>
      </w:pPr>
      <w:r>
        <w:rPr>
          <w:rFonts w:hint="eastAsia" w:ascii="宋体" w:hAnsi="宋体" w:cs="宋体"/>
          <w:sz w:val="22"/>
          <w:szCs w:val="22"/>
        </w:rPr>
      </w:r>
      <w:r/>
    </w:p>
    <w:p>
      <w:pPr>
        <w:pStyle w:val="756"/>
        <w:jc w:val="center"/>
        <w:rPr>
          <w:rFonts w:hint="eastAsia" w:ascii="宋体" w:hAnsi="宋体" w:cs="宋体"/>
          <w:sz w:val="52"/>
          <w:szCs w:val="52"/>
        </w:rPr>
      </w:pPr>
      <w:r>
        <w:rPr>
          <w:rFonts w:hint="eastAsia" w:ascii="宋体" w:hAnsi="宋体" w:cs="宋体"/>
          <w:sz w:val="52"/>
          <w:szCs w:val="52"/>
        </w:rPr>
        <w:t xml:space="preserve">投标文件</w:t>
      </w:r>
      <w:r>
        <w:rPr>
          <w:rFonts w:hint="eastAsia" w:ascii="宋体" w:hAnsi="宋体" w:cs="宋体"/>
          <w:sz w:val="52"/>
          <w:szCs w:val="52"/>
        </w:rPr>
      </w:r>
      <w:r/>
    </w:p>
    <w:p>
      <w:pPr>
        <w:pStyle w:val="756"/>
        <w:rPr>
          <w:rFonts w:hint="eastAsia" w:ascii="宋体" w:hAnsi="宋体" w:cs="宋体"/>
          <w:sz w:val="36"/>
          <w:szCs w:val="36"/>
        </w:rPr>
      </w:pPr>
      <w:r>
        <w:rPr>
          <w:rFonts w:hint="eastAsia" w:ascii="宋体" w:hAnsi="宋体" w:cs="宋体"/>
          <w:sz w:val="36"/>
          <w:szCs w:val="36"/>
        </w:rPr>
      </w:r>
      <w:r/>
    </w:p>
    <w:p>
      <w:pPr>
        <w:pStyle w:val="756"/>
        <w:rPr>
          <w:rFonts w:hint="eastAsia" w:ascii="宋体" w:hAnsi="宋体" w:cs="宋体"/>
          <w:sz w:val="36"/>
          <w:szCs w:val="36"/>
        </w:rPr>
      </w:pPr>
      <w:r>
        <w:rPr>
          <w:rFonts w:hint="eastAsia" w:ascii="宋体" w:hAnsi="宋体" w:cs="宋体"/>
          <w:sz w:val="36"/>
          <w:szCs w:val="36"/>
        </w:rPr>
      </w:r>
      <w:r/>
    </w:p>
    <w:p>
      <w:pPr>
        <w:pStyle w:val="756"/>
        <w:rPr>
          <w:rFonts w:hint="eastAsia" w:ascii="宋体" w:hAnsi="宋体" w:cs="宋体"/>
          <w:sz w:val="36"/>
          <w:szCs w:val="36"/>
        </w:rPr>
      </w:pPr>
      <w:r>
        <w:rPr>
          <w:rFonts w:hint="eastAsia" w:ascii="宋体" w:hAnsi="宋体" w:cs="宋体"/>
          <w:sz w:val="36"/>
          <w:szCs w:val="36"/>
        </w:rPr>
      </w:r>
      <w:r/>
    </w:p>
    <w:p>
      <w:pPr>
        <w:pStyle w:val="756"/>
        <w:ind w:firstLine="720"/>
        <w:rPr>
          <w:rFonts w:hint="eastAsia" w:ascii="宋体" w:hAnsi="宋体" w:cs="宋体"/>
          <w:sz w:val="36"/>
          <w:szCs w:val="36"/>
        </w:rPr>
      </w:pPr>
      <w:r>
        <w:rPr>
          <w:rFonts w:hint="eastAsia" w:ascii="宋体" w:hAnsi="宋体" w:cs="宋体"/>
          <w:sz w:val="36"/>
          <w:szCs w:val="36"/>
        </w:rPr>
        <w:t xml:space="preserve">项目名称：</w:t>
      </w:r>
      <w:r>
        <w:rPr>
          <w:rFonts w:hint="eastAsia" w:ascii="宋体" w:hAnsi="宋体" w:cs="宋体"/>
          <w:sz w:val="36"/>
          <w:szCs w:val="36"/>
        </w:rPr>
      </w:r>
      <w:r/>
    </w:p>
    <w:p>
      <w:pPr>
        <w:pStyle w:val="756"/>
        <w:ind w:firstLine="720"/>
        <w:rPr>
          <w:rFonts w:hint="eastAsia" w:ascii="宋体" w:hAnsi="宋体" w:cs="宋体"/>
          <w:sz w:val="36"/>
          <w:szCs w:val="36"/>
        </w:rPr>
      </w:pPr>
      <w:r>
        <w:rPr>
          <w:rFonts w:hint="eastAsia" w:ascii="宋体" w:hAnsi="宋体" w:cs="宋体"/>
          <w:sz w:val="36"/>
          <w:szCs w:val="36"/>
        </w:rPr>
        <w:t xml:space="preserve">招标编号：</w:t>
      </w:r>
      <w:r>
        <w:rPr>
          <w:rFonts w:hint="eastAsia" w:ascii="宋体" w:hAnsi="宋体" w:cs="宋体"/>
          <w:sz w:val="36"/>
          <w:szCs w:val="36"/>
        </w:rPr>
      </w:r>
      <w:r/>
    </w:p>
    <w:p>
      <w:pPr>
        <w:pStyle w:val="756"/>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rPr>
          <w:rFonts w:hint="eastAsia" w:ascii="宋体" w:hAnsi="宋体" w:cs="宋体"/>
          <w:sz w:val="36"/>
          <w:szCs w:val="36"/>
          <w:u w:val="single"/>
        </w:rPr>
      </w:r>
      <w:r/>
    </w:p>
    <w:p>
      <w:pPr>
        <w:pStyle w:val="756"/>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rPr>
          <w:rFonts w:hint="eastAsia" w:ascii="宋体" w:hAnsi="宋体" w:cs="宋体"/>
          <w:sz w:val="28"/>
          <w:szCs w:val="28"/>
        </w:rPr>
      </w:r>
      <w:r/>
    </w:p>
    <w:p>
      <w:pPr>
        <w:pStyle w:val="756"/>
        <w:jc w:val="center"/>
        <w:spacing w:before="312" w:after="312"/>
        <w:rPr>
          <w:rFonts w:hint="eastAsia" w:ascii="宋体" w:hAnsi="宋体" w:cs="宋体"/>
          <w:sz w:val="32"/>
          <w:szCs w:val="32"/>
        </w:rPr>
      </w:pPr>
      <w:r>
        <w:rPr>
          <w:rFonts w:hint="eastAsia" w:ascii="宋体" w:hAnsi="宋体" w:cs="宋体"/>
          <w:sz w:val="32"/>
          <w:szCs w:val="32"/>
        </w:rPr>
        <w:t xml:space="preserve">目录</w:t>
      </w:r>
      <w:r>
        <w:rPr>
          <w:rFonts w:hint="eastAsia" w:ascii="宋体" w:hAnsi="宋体" w:cs="宋体"/>
          <w:sz w:val="32"/>
          <w:szCs w:val="32"/>
        </w:rPr>
      </w:r>
      <w:r/>
    </w:p>
    <w:p>
      <w:pPr>
        <w:pStyle w:val="756"/>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rPr>
          <w:rFonts w:hint="eastAsia" w:ascii="宋体" w:hAnsi="宋体" w:cs="宋体"/>
          <w:szCs w:val="21"/>
        </w:rPr>
      </w:r>
      <w:r/>
    </w:p>
    <w:p>
      <w:pPr>
        <w:pStyle w:val="756"/>
        <w:spacing w:line="440" w:lineRule="exact"/>
        <w:rPr>
          <w:rFonts w:hint="eastAsia" w:ascii="宋体" w:hAnsi="宋体" w:cs="宋体"/>
          <w:szCs w:val="21"/>
        </w:rPr>
        <w:outlineLvl w:val="1"/>
      </w:pPr>
      <w:r>
        <w:rPr>
          <w:rFonts w:hint="eastAsia" w:ascii="宋体" w:hAnsi="宋体" w:cs="宋体"/>
        </w:rPr>
        <w:br w:type="page" w:clear="all"/>
      </w:r>
      <w:bookmarkStart w:id="57" w:name="_Toc21512"/>
      <w:r>
        <w:rPr>
          <w:rFonts w:hint="eastAsia" w:ascii="宋体" w:hAnsi="宋体" w:cs="宋体"/>
          <w:b/>
          <w:bCs/>
          <w:szCs w:val="21"/>
        </w:rPr>
        <w:t xml:space="preserve">附件一、投标申请及声明格式</w:t>
      </w:r>
      <w:bookmarkEnd w:id="57"/>
      <w:r>
        <w:rPr>
          <w:rFonts w:hint="eastAsia" w:ascii="宋体" w:hAnsi="宋体" w:cs="宋体"/>
          <w:szCs w:val="21"/>
        </w:rPr>
      </w:r>
      <w:r/>
    </w:p>
    <w:p>
      <w:pPr>
        <w:pStyle w:val="756"/>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rPr>
          <w:rFonts w:hint="eastAsia" w:ascii="宋体" w:hAnsi="宋体" w:cs="宋体"/>
          <w:b/>
          <w:szCs w:val="21"/>
        </w:rPr>
      </w:r>
      <w:r/>
    </w:p>
    <w:p>
      <w:pPr>
        <w:pStyle w:val="756"/>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致：江苏钶源建设项目管理有限公司</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rPr>
          <w:rFonts w:hint="eastAsia" w:ascii="宋体" w:hAnsi="宋体" w:cs="宋体"/>
          <w:szCs w:val="21"/>
        </w:rPr>
      </w:r>
      <w:r/>
    </w:p>
    <w:p>
      <w:pPr>
        <w:pStyle w:val="756"/>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rPr>
          <w:rFonts w:hint="eastAsia" w:ascii="宋体" w:hAnsi="宋体" w:cs="宋体"/>
          <w:szCs w:val="21"/>
        </w:rPr>
      </w:r>
      <w:r/>
    </w:p>
    <w:p>
      <w:pPr>
        <w:pStyle w:val="756"/>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756"/>
        <w:spacing w:line="360" w:lineRule="auto"/>
        <w:shd w:val="clear" w:color="auto" w:fill="ffffff"/>
        <w:widowControl/>
        <w:rPr>
          <w:rFonts w:hint="eastAsia" w:ascii="宋体" w:hAnsi="宋体" w:cs="宋体"/>
          <w:szCs w:val="21"/>
        </w:rPr>
        <w:outlineLvl w:val="1"/>
      </w:pPr>
      <w:r>
        <w:rPr>
          <w:rFonts w:hint="eastAsia" w:ascii="宋体" w:hAnsi="宋体" w:cs="宋体"/>
          <w:b/>
          <w:bCs/>
          <w:szCs w:val="21"/>
        </w:rPr>
        <w:br w:type="page" w:clear="all"/>
      </w:r>
      <w:bookmarkStart w:id="58" w:name="_Toc19181"/>
      <w:r>
        <w:rPr>
          <w:rFonts w:hint="eastAsia" w:ascii="宋体" w:hAnsi="宋体" w:cs="宋体"/>
          <w:b/>
          <w:bCs/>
          <w:szCs w:val="21"/>
        </w:rPr>
        <w:t xml:space="preserve">附件二、法人授权委托书格式</w:t>
      </w:r>
      <w:bookmarkEnd w:id="58"/>
      <w:r>
        <w:rPr>
          <w:rFonts w:hint="eastAsia" w:ascii="宋体" w:hAnsi="宋体" w:cs="宋体"/>
          <w:szCs w:val="21"/>
        </w:rPr>
      </w:r>
      <w:r/>
    </w:p>
    <w:p>
      <w:pPr>
        <w:pStyle w:val="756"/>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pStyle w:val="756"/>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rPr>
          <w:rFonts w:hint="eastAsia" w:ascii="宋体" w:hAnsi="宋体" w:cs="宋体"/>
          <w:b/>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rPr>
          <w:rFonts w:hint="eastAsia" w:ascii="宋体" w:hAnsi="宋体"/>
          <w:szCs w:val="21"/>
        </w:rPr>
      </w:r>
      <w:r/>
    </w:p>
    <w:p>
      <w:pPr>
        <w:pStyle w:val="756"/>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rPr>
          <w:rFonts w:hint="eastAsia" w:ascii="宋体" w:hAnsi="宋体"/>
          <w:szCs w:val="21"/>
        </w:rPr>
      </w:r>
      <w:r/>
    </w:p>
    <w:p>
      <w:pPr>
        <w:pStyle w:val="756"/>
        <w:ind w:firstLine="480"/>
        <w:spacing w:line="480" w:lineRule="exact"/>
        <w:rPr>
          <w:rFonts w:hint="eastAsia" w:ascii="宋体" w:hAnsi="宋体"/>
          <w:szCs w:val="21"/>
        </w:rPr>
      </w:pPr>
      <w:r>
        <w:rPr>
          <w:rFonts w:hint="eastAsia" w:ascii="宋体" w:hAnsi="宋体"/>
          <w:szCs w:val="21"/>
        </w:rPr>
        <w:t xml:space="preserve">被授权人身份证号码：</w:t>
      </w:r>
      <w:r>
        <w:rPr>
          <w:rFonts w:hint="eastAsia" w:ascii="宋体" w:hAnsi="宋体"/>
          <w:szCs w:val="21"/>
        </w:rPr>
      </w:r>
      <w:r/>
    </w:p>
    <w:p>
      <w:pPr>
        <w:pStyle w:val="756"/>
        <w:ind w:firstLine="480"/>
        <w:spacing w:line="480" w:lineRule="exact"/>
        <w:rPr>
          <w:rFonts w:hint="eastAsia" w:ascii="宋体" w:hAnsi="宋体"/>
          <w:szCs w:val="21"/>
          <w:u w:val="single"/>
        </w:rPr>
      </w:pPr>
      <w:r>
        <w:rPr>
          <w:rFonts w:hint="eastAsia" w:ascii="宋体" w:hAnsi="宋体"/>
          <w:szCs w:val="21"/>
        </w:rPr>
        <w:t xml:space="preserve">被授权人联系电话：           （手机）</w:t>
      </w:r>
      <w:r>
        <w:rPr>
          <w:rFonts w:hint="eastAsia" w:ascii="宋体" w:hAnsi="宋体"/>
          <w:szCs w:val="21"/>
          <w:u w:val="single"/>
        </w:rPr>
      </w:r>
      <w:r/>
    </w:p>
    <w:p>
      <w:pPr>
        <w:pStyle w:val="756"/>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rPr>
          <w:rFonts w:hint="eastAsia" w:ascii="宋体" w:hAnsi="宋体"/>
          <w:szCs w:val="21"/>
          <w:u w:val="single"/>
        </w:rPr>
      </w:r>
      <w:r/>
    </w:p>
    <w:p>
      <w:pPr>
        <w:pStyle w:val="756"/>
        <w:ind w:firstLine="480"/>
        <w:spacing w:line="480" w:lineRule="exact"/>
        <w:rPr>
          <w:rFonts w:hint="eastAsia" w:ascii="宋体" w:hAnsi="宋体"/>
          <w:szCs w:val="21"/>
          <w:u w:val="single"/>
        </w:rPr>
      </w:pPr>
      <w:r>
        <w:rPr>
          <w:rFonts w:hint="eastAsia" w:ascii="宋体" w:hAnsi="宋体"/>
          <w:szCs w:val="21"/>
        </w:rPr>
        <w:t xml:space="preserve">单位地址：</w:t>
      </w:r>
      <w:r>
        <w:rPr>
          <w:rFonts w:hint="eastAsia" w:ascii="宋体" w:hAnsi="宋体"/>
          <w:szCs w:val="21"/>
          <w:u w:val="single"/>
        </w:rPr>
      </w:r>
      <w:r/>
    </w:p>
    <w:p>
      <w:pPr>
        <w:pStyle w:val="756"/>
        <w:ind w:firstLine="480"/>
        <w:spacing w:line="48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56"/>
        <w:ind w:firstLine="420"/>
        <w:jc w:val="left"/>
        <w:tabs>
          <w:tab w:val="left" w:pos="1440" w:leader="none"/>
        </w:tabs>
        <w:rPr>
          <w:rFonts w:hint="eastAsia" w:ascii="宋体" w:hAnsi="宋体" w:cs="宋体"/>
          <w:szCs w:val="21"/>
        </w:rPr>
      </w:pPr>
      <w:r>
        <w:rPr>
          <w:rFonts w:hint="eastAsia" w:ascii="宋体" w:hAnsi="宋体" w:cs="宋体"/>
          <w:szCs w:val="21"/>
        </w:rPr>
        <w:t xml:space="preserve">（后附法定代表人和被授权人身份证）</w:t>
      </w:r>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spacing w:line="360" w:lineRule="auto"/>
        <w:rPr>
          <w:rFonts w:hint="eastAsia" w:ascii="宋体" w:hAnsi="宋体" w:cs="宋体"/>
        </w:rPr>
        <w:outlineLvl w:val="1"/>
      </w:pPr>
      <w:r>
        <w:rPr>
          <w:rFonts w:hint="eastAsia" w:ascii="宋体" w:hAnsi="宋体" w:cs="宋体"/>
          <w:b/>
          <w:bCs/>
          <w:szCs w:val="21"/>
        </w:rPr>
        <w:br w:type="page" w:clear="all"/>
      </w:r>
      <w:bookmarkStart w:id="59" w:name="_Toc26810"/>
      <w:r/>
      <w:bookmarkStart w:id="60" w:name="_Toc1521"/>
      <w:r>
        <w:rPr>
          <w:rFonts w:hint="eastAsia" w:ascii="宋体" w:hAnsi="宋体" w:cs="宋体"/>
          <w:b/>
          <w:bCs/>
          <w:szCs w:val="21"/>
          <w:lang w:val="zh-CN"/>
        </w:rPr>
        <w:t xml:space="preserve">附件三、</w:t>
      </w:r>
      <w:bookmarkEnd w:id="59"/>
      <w:r>
        <w:rPr>
          <w:rFonts w:hint="eastAsia" w:ascii="宋体" w:hAnsi="宋体" w:cs="宋体"/>
          <w:b/>
          <w:bCs/>
          <w:szCs w:val="21"/>
          <w:lang w:val="zh-CN"/>
        </w:rPr>
        <w:t xml:space="preserve">开标一览表</w:t>
      </w:r>
      <w:r>
        <w:rPr>
          <w:rFonts w:hint="eastAsia" w:ascii="宋体" w:hAnsi="宋体" w:cs="宋体"/>
          <w:b/>
          <w:bCs/>
          <w:szCs w:val="21"/>
        </w:rPr>
        <w:t xml:space="preserve">格式</w:t>
      </w:r>
      <w:bookmarkEnd w:id="60"/>
      <w:r>
        <w:rPr>
          <w:rFonts w:hint="eastAsia" w:ascii="宋体" w:hAnsi="宋体" w:cs="宋体"/>
        </w:rPr>
      </w:r>
      <w:r/>
    </w:p>
    <w:p>
      <w:pPr>
        <w:pStyle w:val="756"/>
        <w:rPr>
          <w:rFonts w:hint="eastAsia" w:ascii="宋体" w:hAnsi="宋体" w:cs="宋体"/>
          <w:b/>
          <w:bCs/>
          <w:lang w:val="zh-CN"/>
        </w:rPr>
      </w:pPr>
      <w:r>
        <w:rPr>
          <w:rFonts w:hint="eastAsia" w:ascii="宋体" w:hAnsi="宋体" w:cs="宋体"/>
          <w:b/>
          <w:bCs/>
          <w:lang w:val="zh-CN"/>
        </w:rPr>
      </w:r>
      <w:r/>
    </w:p>
    <w:p>
      <w:pPr>
        <w:pStyle w:val="756"/>
        <w:jc w:val="center"/>
        <w:rPr>
          <w:rFonts w:hint="eastAsia" w:ascii="宋体" w:hAnsi="宋体" w:cs="宋体"/>
          <w:b/>
          <w:sz w:val="36"/>
          <w:szCs w:val="36"/>
        </w:rPr>
      </w:pPr>
      <w:r>
        <w:rPr>
          <w:rFonts w:hint="eastAsia" w:ascii="宋体" w:hAnsi="宋体" w:cs="宋体"/>
          <w:b/>
          <w:sz w:val="36"/>
          <w:szCs w:val="36"/>
        </w:rPr>
        <w:t xml:space="preserve">开标一览表</w:t>
      </w:r>
      <w:r>
        <w:rPr>
          <w:rFonts w:hint="eastAsia" w:ascii="宋体" w:hAnsi="宋体" w:cs="宋体"/>
          <w:b/>
          <w:sz w:val="36"/>
          <w:szCs w:val="36"/>
        </w:rPr>
      </w:r>
      <w:r/>
    </w:p>
    <w:p>
      <w:pPr>
        <w:pStyle w:val="756"/>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56"/>
        <w:ind w:firstLine="480"/>
        <w:rPr>
          <w:rFonts w:hint="eastAsia" w:ascii="宋体" w:hAnsi="宋体"/>
          <w:color w:val="000000"/>
          <w:sz w:val="24"/>
        </w:rPr>
      </w:pPr>
      <w:r>
        <w:rPr>
          <w:rFonts w:hint="eastAsia" w:ascii="宋体" w:hAnsi="宋体"/>
          <w:color w:val="000000"/>
          <w:sz w:val="24"/>
        </w:rPr>
        <w:t xml:space="preserve">投标人全称（CA公章）：</w:t>
      </w:r>
      <w:r>
        <w:rPr>
          <w:rFonts w:hint="eastAsia" w:ascii="宋体" w:hAnsi="宋体"/>
          <w:color w:val="000000"/>
          <w:sz w:val="24"/>
        </w:rPr>
      </w:r>
      <w:r/>
    </w:p>
    <w:p>
      <w:pPr>
        <w:pStyle w:val="756"/>
        <w:ind w:firstLine="480"/>
        <w:rPr>
          <w:color w:val="000000"/>
          <w:sz w:val="24"/>
        </w:rPr>
      </w:pPr>
      <w:r>
        <w:rPr>
          <w:rFonts w:hint="eastAsia" w:ascii="宋体" w:hAnsi="宋体"/>
          <w:color w:val="000000"/>
          <w:sz w:val="24"/>
        </w:rPr>
        <w:t xml:space="preserve">项目名称：</w:t>
      </w:r>
      <w:r>
        <w:rPr>
          <w:color w:val="000000"/>
          <w:sz w:val="24"/>
        </w:rPr>
      </w:r>
      <w:r/>
    </w:p>
    <w:p>
      <w:pPr>
        <w:pStyle w:val="756"/>
        <w:ind w:firstLine="480"/>
        <w:rPr>
          <w:rFonts w:hint="eastAsia" w:ascii="宋体" w:hAnsi="宋体"/>
          <w:color w:val="000000"/>
          <w:sz w:val="24"/>
        </w:rPr>
      </w:pPr>
      <w:r>
        <w:rPr>
          <w:rFonts w:hint="eastAsia" w:ascii="宋体" w:hAnsi="宋体"/>
          <w:color w:val="000000"/>
          <w:sz w:val="24"/>
        </w:rPr>
        <w:t xml:space="preserve">项目编号：                                   分包号：</w:t>
      </w:r>
      <w:r>
        <w:rPr>
          <w:rFonts w:hint="eastAsia" w:ascii="宋体" w:hAnsi="宋体"/>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0"/>
        <w:gridCol w:w="4730"/>
      </w:tblGrid>
      <w:tr>
        <w:trPr>
          <w:cantSplit/>
          <w:trHeight w:val="610"/>
        </w:trPr>
        <w:tc>
          <w:tcPr>
            <w:tcW w:w="4730" w:type="dxa"/>
            <w:vAlign w:val="center"/>
            <w:textDirection w:val="lrTb"/>
            <w:noWrap w:val="false"/>
          </w:tcPr>
          <w:p>
            <w:pPr>
              <w:pStyle w:val="756"/>
              <w:rPr>
                <w:rFonts w:hint="eastAsia" w:ascii="宋体" w:hAnsi="宋体" w:cs="宋体"/>
                <w:color w:val="000000"/>
                <w:sz w:val="24"/>
              </w:rPr>
            </w:pPr>
            <w:r>
              <w:rPr>
                <w:rFonts w:hint="eastAsia" w:ascii="宋体" w:hAnsi="宋体" w:cs="宋体"/>
                <w:color w:val="000000"/>
                <w:sz w:val="24"/>
              </w:rPr>
              <w:t xml:space="preserve">投标货物名称</w:t>
            </w:r>
            <w:r>
              <w:rPr>
                <w:rFonts w:hint="eastAsia" w:ascii="宋体" w:hAnsi="宋体" w:cs="宋体"/>
                <w:color w:val="000000"/>
                <w:sz w:val="24"/>
              </w:rPr>
            </w:r>
            <w:r/>
          </w:p>
        </w:tc>
        <w:tc>
          <w:tcPr>
            <w:tcW w:w="4730" w:type="dxa"/>
            <w:vAlign w:val="center"/>
            <w:textDirection w:val="lrTb"/>
            <w:noWrap w:val="false"/>
          </w:tcPr>
          <w:p>
            <w:pPr>
              <w:pStyle w:val="756"/>
              <w:jc w:val="center"/>
              <w:rPr>
                <w:rFonts w:hint="eastAsia" w:ascii="宋体" w:hAnsi="宋体"/>
                <w:color w:val="000000"/>
                <w:sz w:val="24"/>
              </w:rPr>
            </w:pPr>
            <w:r>
              <w:rPr>
                <w:rFonts w:hint="eastAsia" w:ascii="宋体" w:hAnsi="宋体"/>
                <w:color w:val="000000"/>
                <w:sz w:val="24"/>
              </w:rPr>
              <w:t xml:space="preserve">总价（小写）</w:t>
            </w:r>
            <w:r>
              <w:rPr>
                <w:rFonts w:hint="eastAsia" w:ascii="宋体" w:hAnsi="宋体"/>
                <w:color w:val="000000"/>
                <w:sz w:val="24"/>
              </w:rPr>
            </w:r>
            <w:r/>
          </w:p>
        </w:tc>
      </w:tr>
      <w:tr>
        <w:trPr>
          <w:cantSplit/>
          <w:trHeight w:val="846"/>
        </w:trPr>
        <w:tc>
          <w:tcPr>
            <w:tcW w:w="4730" w:type="dxa"/>
            <w:vAlign w:val="center"/>
            <w:textDirection w:val="lrTb"/>
            <w:noWrap w:val="false"/>
          </w:tcPr>
          <w:p>
            <w:pPr>
              <w:pStyle w:val="756"/>
              <w:jc w:val="left"/>
              <w:spacing w:line="500" w:lineRule="exact"/>
              <w:rPr>
                <w:rFonts w:hint="eastAsia" w:ascii="宋体" w:hAnsi="宋体" w:cs="宋体"/>
                <w:color w:val="000000"/>
                <w:sz w:val="24"/>
              </w:rPr>
            </w:pPr>
            <w:r>
              <w:rPr>
                <w:rFonts w:hint="eastAsia" w:ascii="宋体" w:hAnsi="宋体" w:cs="宋体"/>
                <w:color w:val="000000"/>
                <w:sz w:val="24"/>
              </w:rPr>
              <w:t xml:space="preserve">投标产品名称</w:t>
            </w:r>
            <w:r>
              <w:rPr>
                <w:rFonts w:hint="eastAsia" w:ascii="宋体" w:hAnsi="宋体" w:cs="宋体"/>
                <w:color w:val="000000"/>
                <w:sz w:val="24"/>
              </w:rPr>
            </w:r>
            <w:r/>
          </w:p>
        </w:tc>
        <w:tc>
          <w:tcPr>
            <w:tcW w:w="4730" w:type="dxa"/>
            <w:vAlign w:val="center"/>
            <w:textDirection w:val="lrTb"/>
            <w:noWrap w:val="false"/>
          </w:tcPr>
          <w:p>
            <w:pPr>
              <w:pStyle w:val="756"/>
              <w:jc w:val="center"/>
              <w:spacing w:line="500" w:lineRule="exact"/>
              <w:rPr>
                <w:rFonts w:hint="eastAsia" w:ascii="宋体" w:hAnsi="宋体"/>
                <w:color w:val="000000"/>
                <w:sz w:val="24"/>
                <w:szCs w:val="21"/>
              </w:rPr>
            </w:pPr>
            <w:r>
              <w:rPr>
                <w:rFonts w:hint="eastAsia" w:ascii="宋体" w:hAnsi="宋体" w:cs="宋体"/>
                <w:color w:val="000000"/>
                <w:sz w:val="24"/>
              </w:rPr>
              <w:t xml:space="preserve">元</w:t>
            </w:r>
            <w:r>
              <w:rPr>
                <w:rFonts w:hint="eastAsia" w:ascii="宋体" w:hAnsi="宋体"/>
                <w:color w:val="000000"/>
                <w:sz w:val="24"/>
                <w:szCs w:val="21"/>
              </w:rPr>
            </w:r>
            <w:r/>
          </w:p>
        </w:tc>
      </w:tr>
    </w:tbl>
    <w:p>
      <w:pPr>
        <w:pStyle w:val="756"/>
        <w:rPr>
          <w:rFonts w:hint="eastAsia" w:ascii="宋体" w:hAnsi="宋体"/>
          <w:color w:val="000000"/>
          <w:sz w:val="24"/>
        </w:rPr>
      </w:pPr>
      <w:r>
        <w:rPr>
          <w:rFonts w:hint="eastAsia" w:ascii="宋体" w:hAnsi="宋体"/>
          <w:color w:val="000000"/>
          <w:sz w:val="24"/>
        </w:rPr>
      </w:r>
      <w:r/>
    </w:p>
    <w:p>
      <w:pPr>
        <w:pStyle w:val="756"/>
        <w:ind w:firstLine="480"/>
        <w:rPr>
          <w:rFonts w:hint="eastAsia" w:ascii="宋体" w:hAnsi="宋体"/>
          <w:color w:val="000000"/>
          <w:sz w:val="24"/>
        </w:rPr>
      </w:pPr>
      <w:r>
        <w:rPr>
          <w:rFonts w:hint="eastAsia" w:ascii="宋体" w:hAnsi="宋体"/>
          <w:color w:val="000000"/>
          <w:sz w:val="24"/>
        </w:rPr>
        <w:t xml:space="preserve">                                              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b/>
          <w:bCs/>
          <w:szCs w:val="21"/>
          <w:lang w:val="zh-CN"/>
        </w:rPr>
      </w:pPr>
      <w:r/>
      <w:bookmarkStart w:id="61" w:name="_Toc12264"/>
      <w:r>
        <w:rPr>
          <w:rFonts w:hint="eastAsia" w:ascii="宋体" w:hAnsi="宋体" w:cs="宋体"/>
          <w:b/>
          <w:bCs/>
          <w:szCs w:val="21"/>
          <w:lang w:val="zh-CN"/>
        </w:rPr>
        <w:br w:type="page" w:clear="all"/>
      </w:r>
      <w:r>
        <w:rPr>
          <w:rFonts w:hint="eastAsia" w:ascii="宋体" w:hAnsi="宋体" w:cs="宋体"/>
          <w:b/>
          <w:bCs/>
          <w:szCs w:val="21"/>
          <w:lang w:val="zh-CN"/>
        </w:rPr>
      </w:r>
      <w:r/>
    </w:p>
    <w:p>
      <w:pPr>
        <w:pStyle w:val="756"/>
        <w:jc w:val="left"/>
        <w:spacing w:line="360" w:lineRule="auto"/>
        <w:shd w:val="clear" w:color="auto" w:fill="ffffff"/>
        <w:widowControl/>
        <w:rPr>
          <w:rFonts w:hint="eastAsia" w:ascii="宋体" w:hAnsi="宋体" w:cs="宋体"/>
          <w:b/>
          <w:bCs/>
          <w:szCs w:val="21"/>
          <w:lang w:val="zh-CN"/>
        </w:rPr>
        <w:outlineLvl w:val="1"/>
      </w:pPr>
      <w:r/>
      <w:bookmarkStart w:id="62" w:name="_Toc27897"/>
      <w:r>
        <w:rPr>
          <w:rFonts w:hint="eastAsia" w:ascii="宋体" w:hAnsi="宋体" w:cs="宋体"/>
          <w:b/>
          <w:bCs/>
          <w:szCs w:val="21"/>
          <w:lang w:val="zh-CN"/>
        </w:rPr>
        <w:t xml:space="preserve">附件四、分项报价表格式</w:t>
      </w:r>
      <w:bookmarkEnd w:id="61"/>
      <w:r/>
      <w:bookmarkEnd w:id="62"/>
      <w:r>
        <w:rPr>
          <w:rFonts w:hint="eastAsia" w:ascii="宋体" w:hAnsi="宋体" w:cs="宋体"/>
          <w:b/>
          <w:bCs/>
          <w:szCs w:val="21"/>
          <w:lang w:val="zh-CN"/>
        </w:rPr>
      </w:r>
      <w:r/>
    </w:p>
    <w:p>
      <w:pPr>
        <w:pStyle w:val="756"/>
        <w:jc w:val="left"/>
        <w:spacing w:line="240" w:lineRule="atLeast"/>
        <w:widowControl/>
        <w:rPr>
          <w:rFonts w:hint="eastAsia" w:ascii="宋体" w:hAnsi="宋体" w:cs="宋体"/>
          <w:b/>
          <w:bCs/>
          <w:lang w:val="zh-CN"/>
        </w:rPr>
      </w:pPr>
      <w:r>
        <w:rPr>
          <w:rFonts w:hint="eastAsia" w:ascii="宋体" w:hAnsi="宋体" w:cs="宋体"/>
          <w:b/>
          <w:bCs/>
          <w:lang w:val="zh-CN"/>
        </w:rPr>
      </w:r>
      <w:r/>
    </w:p>
    <w:p>
      <w:pPr>
        <w:pStyle w:val="756"/>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分项报价表</w:t>
      </w:r>
      <w:r>
        <w:rPr>
          <w:rFonts w:hint="eastAsia" w:ascii="宋体" w:hAnsi="宋体" w:cs="宋体"/>
          <w:b/>
          <w:sz w:val="36"/>
          <w:szCs w:val="36"/>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30"/>
        <w:gridCol w:w="640"/>
        <w:gridCol w:w="634"/>
        <w:gridCol w:w="708"/>
        <w:gridCol w:w="3282"/>
        <w:gridCol w:w="989"/>
        <w:gridCol w:w="729"/>
        <w:gridCol w:w="839"/>
        <w:gridCol w:w="437"/>
      </w:tblGrid>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名称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参数</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品牌</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val="en-US" w:eastAsia="zh-CN" w:bidi="ar"/>
              </w:rPr>
              <w:t xml:space="preserve">含税</w:t>
            </w:r>
            <w:r>
              <w:rPr>
                <w:rFonts w:hint="eastAsia" w:ascii="宋体" w:hAnsi="宋体" w:cs="宋体"/>
                <w:b/>
                <w:bCs/>
                <w:color w:val="000000"/>
                <w:sz w:val="20"/>
                <w:szCs w:val="20"/>
                <w:lang w:bidi="ar"/>
              </w:rPr>
              <w:t xml:space="preserve">单价</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合计</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备注</w:t>
            </w:r>
            <w:r>
              <w:rPr>
                <w:rFonts w:hint="eastAsia" w:ascii="宋体" w:hAnsi="宋体" w:cs="宋体"/>
                <w:b/>
                <w:bCs/>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w:t>
            </w: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4"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4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92"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51"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235" w:type="dxa"/>
            <w:vAlign w:val="center"/>
            <w:textDirection w:val="lrTb"/>
            <w:noWrap w:val="false"/>
          </w:tcPr>
          <w:p>
            <w:pPr>
              <w:pStyle w:val="756"/>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r>
            <w:r/>
          </w:p>
        </w:tc>
      </w:tr>
    </w:tbl>
    <w:p>
      <w:pPr>
        <w:pStyle w:val="756"/>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991"/>
      </w:pPr>
      <w:r/>
      <w:r/>
    </w:p>
    <w:p>
      <w:pPr>
        <w:pStyle w:val="991"/>
      </w:pPr>
      <w:r/>
      <w:r/>
    </w:p>
    <w:p>
      <w:pPr>
        <w:pStyle w:val="991"/>
      </w:p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outlineLvl w:val="1"/>
      </w:pPr>
      <w:r/>
      <w:bookmarkStart w:id="63" w:name="_Toc18965"/>
      <w:r>
        <w:rPr>
          <w:rFonts w:hint="eastAsia" w:ascii="宋体" w:hAnsi="宋体" w:cs="宋体"/>
          <w:b/>
          <w:bCs/>
          <w:szCs w:val="21"/>
        </w:rPr>
        <w:t xml:space="preserve">附件五、商务条款偏离表格式</w:t>
      </w:r>
      <w:bookmarkEnd w:id="63"/>
      <w:r>
        <w:rPr>
          <w:rFonts w:hint="eastAsia" w:ascii="宋体" w:hAnsi="宋体" w:cs="宋体"/>
          <w:szCs w:val="21"/>
        </w:rPr>
      </w:r>
      <w:r/>
    </w:p>
    <w:p>
      <w:pPr>
        <w:pStyle w:val="756"/>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56"/>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rPr>
          <w:rFonts w:hint="eastAsia" w:ascii="宋体" w:hAnsi="宋体" w:cs="宋体"/>
          <w:b/>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756"/>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rPr>
          <w:rFonts w:hint="eastAsia" w:ascii="宋体" w:hAnsi="宋体" w:cs="宋体"/>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rPr>
                <w:rFonts w:hint="eastAsia" w:ascii="宋体" w:hAnsi="宋体" w:cs="宋体"/>
                <w:b/>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rPr>
                <w:rFonts w:hint="eastAsia" w:ascii="宋体" w:hAnsi="宋体" w:cs="宋体"/>
                <w:b/>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b/>
                <w:szCs w:val="21"/>
              </w:rPr>
            </w:pPr>
            <w:r>
              <w:rPr>
                <w:rFonts w:hint="eastAsia" w:ascii="宋体" w:hAnsi="宋体" w:cs="宋体"/>
                <w:b/>
                <w:szCs w:val="21"/>
              </w:rPr>
              <w:t xml:space="preserve">投标响应</w:t>
            </w:r>
            <w:r>
              <w:rPr>
                <w:rFonts w:hint="eastAsia" w:ascii="宋体" w:hAnsi="宋体" w:cs="宋体"/>
                <w:b/>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b/>
                <w:szCs w:val="21"/>
              </w:rPr>
            </w:pPr>
            <w:r>
              <w:rPr>
                <w:rFonts w:hint="eastAsia" w:ascii="宋体" w:hAnsi="宋体" w:cs="宋体"/>
                <w:b/>
                <w:szCs w:val="21"/>
              </w:rPr>
              <w:t xml:space="preserve">偏离</w:t>
            </w:r>
            <w:r>
              <w:rPr>
                <w:rFonts w:hint="eastAsia" w:ascii="宋体" w:hAnsi="宋体" w:cs="宋体"/>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756"/>
              <w:jc w:val="center"/>
              <w:spacing w:line="360" w:lineRule="auto"/>
              <w:widowControl/>
              <w:rPr>
                <w:rFonts w:hint="eastAsia" w:ascii="宋体" w:hAnsi="宋体" w:cs="宋体"/>
                <w:szCs w:val="21"/>
              </w:rPr>
            </w:pPr>
            <w:r>
              <w:rPr>
                <w:rFonts w:hint="eastAsia" w:ascii="宋体" w:hAnsi="宋体" w:cs="宋体"/>
                <w:szCs w:val="21"/>
              </w:rPr>
            </w:r>
            <w:r/>
          </w:p>
        </w:tc>
      </w:tr>
    </w:tbl>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56"/>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756"/>
        <w:rPr>
          <w:rFonts w:hint="eastAsia" w:ascii="宋体" w:hAnsi="宋体" w:cs="宋体"/>
          <w:b/>
          <w:bCs/>
          <w:szCs w:val="21"/>
        </w:rPr>
      </w:pPr>
      <w:r/>
      <w:bookmarkStart w:id="64" w:name="_Toc15012"/>
      <w:r>
        <w:rPr>
          <w:rFonts w:hint="eastAsia" w:ascii="宋体" w:hAnsi="宋体" w:cs="宋体"/>
          <w:b/>
          <w:bCs/>
          <w:szCs w:val="21"/>
        </w:rPr>
        <w:br w:type="page" w:clear="all"/>
      </w:r>
      <w:r>
        <w:rPr>
          <w:rFonts w:hint="eastAsia" w:ascii="宋体" w:hAnsi="宋体" w:cs="宋体"/>
          <w:b/>
          <w:bCs/>
          <w:szCs w:val="21"/>
        </w:rPr>
      </w:r>
      <w:r/>
    </w:p>
    <w:p>
      <w:pPr>
        <w:pStyle w:val="756"/>
        <w:jc w:val="left"/>
        <w:spacing w:line="360" w:lineRule="auto"/>
        <w:shd w:val="clear" w:color="auto" w:fill="ffffff"/>
        <w:widowControl/>
        <w:rPr>
          <w:rFonts w:hint="eastAsia" w:ascii="宋体" w:hAnsi="宋体" w:cs="宋体"/>
          <w:b/>
          <w:bCs/>
          <w:szCs w:val="21"/>
        </w:rPr>
        <w:outlineLvl w:val="1"/>
      </w:pPr>
      <w:r/>
      <w:bookmarkStart w:id="65" w:name="_Toc11477"/>
      <w:r>
        <w:rPr>
          <w:rFonts w:hint="eastAsia" w:ascii="宋体" w:hAnsi="宋体" w:cs="宋体"/>
          <w:b/>
          <w:bCs/>
          <w:szCs w:val="21"/>
        </w:rPr>
        <w:t xml:space="preserve">附件六、</w:t>
      </w:r>
      <w:r>
        <w:rPr>
          <w:rFonts w:hint="eastAsia" w:ascii="宋体" w:hAnsi="宋体" w:cs="宋体"/>
          <w:b/>
          <w:bCs/>
          <w:szCs w:val="21"/>
          <w:lang w:val="zh-CN"/>
        </w:rPr>
        <w:t xml:space="preserve">技术</w:t>
      </w:r>
      <w:r>
        <w:rPr>
          <w:rFonts w:hint="eastAsia" w:ascii="宋体" w:hAnsi="宋体" w:cs="宋体"/>
          <w:b/>
          <w:bCs/>
          <w:szCs w:val="21"/>
        </w:rPr>
        <w:t xml:space="preserve">条款</w:t>
      </w:r>
      <w:r>
        <w:rPr>
          <w:rFonts w:hint="eastAsia" w:ascii="宋体" w:hAnsi="宋体" w:cs="宋体"/>
          <w:b/>
          <w:bCs/>
          <w:szCs w:val="21"/>
          <w:lang w:val="zh-CN"/>
        </w:rPr>
        <w:t xml:space="preserve">偏离表</w:t>
      </w:r>
      <w:bookmarkEnd w:id="64"/>
      <w:r>
        <w:rPr>
          <w:rFonts w:hint="eastAsia" w:ascii="宋体" w:hAnsi="宋体" w:cs="宋体"/>
          <w:b/>
          <w:bCs/>
          <w:szCs w:val="21"/>
        </w:rPr>
        <w:t xml:space="preserve">格式</w:t>
      </w:r>
      <w:bookmarkEnd w:id="65"/>
      <w:r>
        <w:rPr>
          <w:rFonts w:hint="eastAsia" w:ascii="宋体" w:hAnsi="宋体" w:cs="宋体"/>
          <w:b/>
          <w:bCs/>
          <w:szCs w:val="21"/>
        </w:rPr>
      </w:r>
      <w:r/>
    </w:p>
    <w:p>
      <w:pPr>
        <w:pStyle w:val="756"/>
        <w:rPr>
          <w:rFonts w:hint="eastAsia" w:ascii="宋体" w:hAnsi="宋体" w:cs="宋体"/>
          <w:sz w:val="24"/>
          <w:lang w:val="zh-CN"/>
        </w:rPr>
      </w:pPr>
      <w:r>
        <w:rPr>
          <w:rFonts w:hint="eastAsia" w:ascii="宋体" w:hAnsi="宋体" w:cs="宋体"/>
          <w:sz w:val="24"/>
          <w:lang w:val="zh-CN"/>
        </w:rPr>
      </w:r>
      <w:r/>
    </w:p>
    <w:p>
      <w:pPr>
        <w:pStyle w:val="756"/>
        <w:jc w:val="center"/>
        <w:spacing w:line="360" w:lineRule="auto"/>
        <w:shd w:val="clear" w:color="auto" w:fill="ffffff"/>
        <w:widowControl/>
        <w:rPr>
          <w:rFonts w:hint="eastAsia" w:ascii="宋体" w:hAnsi="宋体" w:cs="宋体"/>
          <w:b/>
          <w:sz w:val="36"/>
          <w:szCs w:val="36"/>
          <w:lang w:val="zh-CN"/>
        </w:rPr>
      </w:pPr>
      <w:r>
        <w:rPr>
          <w:rFonts w:hint="eastAsia" w:ascii="宋体" w:hAnsi="宋体" w:cs="宋体"/>
          <w:b/>
          <w:sz w:val="36"/>
          <w:szCs w:val="36"/>
          <w:lang w:val="zh-CN"/>
        </w:rPr>
        <w:t xml:space="preserve">技术</w:t>
      </w:r>
      <w:r>
        <w:rPr>
          <w:rFonts w:hint="eastAsia" w:ascii="宋体" w:hAnsi="宋体" w:cs="宋体"/>
          <w:b/>
          <w:sz w:val="36"/>
          <w:szCs w:val="36"/>
        </w:rPr>
        <w:t xml:space="preserve">条款</w:t>
      </w:r>
      <w:r>
        <w:rPr>
          <w:rFonts w:hint="eastAsia" w:ascii="宋体" w:hAnsi="宋体" w:cs="宋体"/>
          <w:b/>
          <w:sz w:val="36"/>
          <w:szCs w:val="36"/>
          <w:lang w:val="zh-CN"/>
        </w:rPr>
        <w:t xml:space="preserve">偏离表</w:t>
      </w:r>
      <w:r>
        <w:rPr>
          <w:rFonts w:hint="eastAsia" w:ascii="宋体" w:hAnsi="宋体" w:cs="宋体"/>
          <w:b/>
          <w:sz w:val="36"/>
          <w:szCs w:val="36"/>
          <w:lang w:val="zh-CN"/>
        </w:rPr>
      </w:r>
      <w:r/>
    </w:p>
    <w:p>
      <w:pPr>
        <w:pStyle w:val="756"/>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54"/>
        <w:gridCol w:w="1722"/>
        <w:gridCol w:w="2577"/>
        <w:gridCol w:w="331"/>
        <w:gridCol w:w="2893"/>
        <w:gridCol w:w="1102"/>
      </w:tblGrid>
      <w:tr>
        <w:trPr>
          <w:trHeight w:val="454"/>
        </w:trPr>
        <w:tc>
          <w:tcPr>
            <w:gridSpan w:val="4"/>
            <w:tcBorders>
              <w:top w:val="none" w:color="000000" w:sz="0" w:space="0"/>
              <w:left w:val="none" w:color="000000" w:sz="0" w:space="0"/>
              <w:bottom w:val="single" w:color="000000" w:sz="6" w:space="0"/>
              <w:right w:val="none" w:color="000000" w:sz="0" w:space="0"/>
            </w:tcBorders>
            <w:tcW w:w="5384" w:type="dxa"/>
            <w:vAlign w:val="center"/>
            <w:textDirection w:val="lrTb"/>
            <w:noWrap w:val="false"/>
          </w:tcPr>
          <w:p>
            <w:pPr>
              <w:pStyle w:val="756"/>
              <w:jc w:val="left"/>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gridSpan w:val="2"/>
            <w:tcBorders>
              <w:top w:val="none" w:color="000000" w:sz="0" w:space="0"/>
              <w:left w:val="none" w:color="000000" w:sz="0" w:space="0"/>
              <w:bottom w:val="single" w:color="000000" w:sz="6" w:space="0"/>
              <w:right w:val="none" w:color="000000" w:sz="0" w:space="0"/>
            </w:tcBorders>
            <w:tcW w:w="3995" w:type="dxa"/>
            <w:vAlign w:val="center"/>
            <w:textDirection w:val="lrTb"/>
            <w:noWrap w:val="false"/>
          </w:tcPr>
          <w:p>
            <w:pPr>
              <w:pStyle w:val="756"/>
              <w:jc w:val="left"/>
              <w:rPr>
                <w:rFonts w:hint="eastAsia" w:ascii="宋体" w:hAnsi="宋体" w:cs="宋体"/>
                <w:szCs w:val="21"/>
              </w:rPr>
            </w:pPr>
            <w:r>
              <w:rPr>
                <w:rFonts w:hint="eastAsia" w:ascii="宋体" w:hAnsi="宋体" w:cs="宋体"/>
                <w:szCs w:val="21"/>
                <w:lang w:val="zh-CN"/>
              </w:rPr>
              <w:t xml:space="preserve">项目编号：</w:t>
            </w:r>
            <w:r>
              <w:rPr>
                <w:rFonts w:hint="eastAsia" w:ascii="宋体" w:hAnsi="宋体" w:cs="宋体"/>
                <w:szCs w:val="21"/>
              </w:rPr>
            </w:r>
            <w:r/>
          </w:p>
        </w:tc>
      </w:tr>
      <w:tr>
        <w:trPr>
          <w:trHeight w:val="476"/>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t xml:space="preserve">招标文件条目号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t xml:space="preserve">招标要求规格</w:t>
            </w: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t xml:space="preserve">投标响应</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t xml:space="preserve">偏离</w:t>
            </w:r>
            <w:r>
              <w:rPr>
                <w:rFonts w:hint="eastAsia" w:ascii="宋体" w:hAnsi="宋体" w:cs="宋体"/>
                <w:szCs w:val="21"/>
                <w:lang w:val="zh-CN"/>
              </w:rPr>
            </w:r>
            <w:r/>
          </w:p>
        </w:tc>
      </w:tr>
      <w:tr>
        <w:trP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r>
      <w:tr>
        <w:trP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56"/>
              <w:jc w:val="center"/>
              <w:rPr>
                <w:rFonts w:hint="eastAsia" w:ascii="宋体" w:hAnsi="宋体" w:cs="宋体"/>
                <w:szCs w:val="21"/>
                <w:lang w:val="zh-CN"/>
              </w:rPr>
            </w:pPr>
            <w:r>
              <w:rPr>
                <w:rFonts w:hint="eastAsia" w:ascii="宋体" w:hAnsi="宋体" w:cs="宋体"/>
                <w:szCs w:val="21"/>
                <w:lang w:val="zh-CN"/>
              </w:rPr>
            </w:r>
            <w:r/>
          </w:p>
        </w:tc>
      </w:tr>
    </w:tbl>
    <w:p>
      <w:pPr>
        <w:pStyle w:val="756"/>
        <w:spacing w:line="360" w:lineRule="auto"/>
        <w:rPr>
          <w:rFonts w:hint="eastAsia" w:ascii="宋体" w:hAnsi="宋体" w:cs="宋体"/>
          <w:szCs w:val="21"/>
        </w:rPr>
      </w:pPr>
      <w:r>
        <w:rPr>
          <w:rFonts w:hint="eastAsia" w:ascii="宋体" w:hAnsi="宋体" w:cs="宋体"/>
          <w:szCs w:val="21"/>
          <w:lang w:val="zh-CN"/>
        </w:rPr>
        <w:t xml:space="preserve">说明：此表行数不够填写，请自行增加。</w:t>
      </w:r>
      <w:r>
        <w:rPr>
          <w:rFonts w:hint="eastAsia" w:ascii="宋体" w:hAnsi="宋体" w:cs="宋体"/>
          <w:szCs w:val="21"/>
        </w:rPr>
        <w:t xml:space="preserve">需逐条响应。</w:t>
      </w:r>
      <w:r>
        <w:rPr>
          <w:rFonts w:hint="eastAsia" w:ascii="宋体" w:hAnsi="宋体" w:cs="宋体"/>
          <w:szCs w:val="21"/>
        </w:rPr>
      </w:r>
      <w:r/>
    </w:p>
    <w:p>
      <w:pPr>
        <w:pStyle w:val="756"/>
        <w:rPr>
          <w:rFonts w:hint="eastAsia" w:ascii="宋体" w:hAnsi="宋体" w:cs="宋体"/>
          <w:szCs w:val="21"/>
          <w:lang w:val="zh-CN"/>
        </w:rPr>
      </w:pPr>
      <w:r>
        <w:rPr>
          <w:rFonts w:hint="eastAsia" w:ascii="宋体" w:hAnsi="宋体" w:cs="宋体"/>
          <w:szCs w:val="21"/>
          <w:lang w:val="zh-CN"/>
        </w:rPr>
        <w:t xml:space="preserve">投标供应商名称: </w:t>
      </w:r>
      <w:r>
        <w:rPr>
          <w:rFonts w:hint="eastAsia" w:ascii="宋体" w:hAnsi="宋体" w:cs="宋体"/>
          <w:szCs w:val="21"/>
          <w:u w:val="single"/>
          <w:lang w:val="zh-CN"/>
        </w:rPr>
        <w:t xml:space="preserve">                                         </w:t>
      </w:r>
      <w:r>
        <w:rPr>
          <w:rFonts w:hint="eastAsia" w:ascii="宋体" w:hAnsi="宋体" w:cs="宋体"/>
          <w:szCs w:val="21"/>
          <w:lang w:val="zh-CN"/>
        </w:rPr>
        <w:t xml:space="preserve">（加盖电子公章）</w:t>
      </w:r>
      <w:r>
        <w:rPr>
          <w:rFonts w:hint="eastAsia" w:ascii="宋体" w:hAnsi="宋体" w:cs="宋体"/>
          <w:szCs w:val="21"/>
          <w:lang w:val="zh-CN"/>
        </w:rPr>
      </w:r>
      <w:r/>
    </w:p>
    <w:p>
      <w:pPr>
        <w:pStyle w:val="756"/>
        <w:rPr>
          <w:rFonts w:hint="eastAsia" w:ascii="宋体" w:hAnsi="宋体" w:cs="宋体"/>
          <w:sz w:val="24"/>
          <w:lang w:val="zh-CN"/>
        </w:rPr>
      </w:pPr>
      <w:r>
        <w:rPr>
          <w:rFonts w:hint="eastAsia" w:ascii="宋体" w:hAnsi="宋体" w:cs="宋体"/>
          <w:sz w:val="24"/>
          <w:lang w:val="zh-CN"/>
        </w:rPr>
      </w:r>
      <w:r/>
    </w:p>
    <w:p>
      <w:pPr>
        <w:pStyle w:val="756"/>
        <w:spacing w:line="360" w:lineRule="auto"/>
        <w:rPr>
          <w:rFonts w:hint="eastAsia" w:ascii="宋体" w:hAnsi="宋体" w:cs="宋体"/>
          <w:sz w:val="24"/>
        </w:rPr>
      </w:pPr>
      <w:r/>
      <w:bookmarkStart w:id="66" w:name="_Toc29386368"/>
      <w:r/>
      <w:bookmarkStart w:id="67" w:name="_Toc11051729"/>
      <w:r/>
      <w:bookmarkStart w:id="68" w:name="_Toc338684383"/>
      <w:r/>
      <w:bookmarkStart w:id="69" w:name="_Toc401304092"/>
      <w:r/>
      <w:bookmarkStart w:id="70" w:name="_Toc422907298"/>
      <w:r>
        <w:rPr>
          <w:rFonts w:hint="eastAsia" w:ascii="宋体" w:hAnsi="宋体" w:cs="宋体"/>
          <w:sz w:val="24"/>
          <w:lang w:val="zh-CN"/>
        </w:rPr>
        <w:br w:type="page" w:clear="all"/>
      </w:r>
      <w:bookmarkEnd w:id="66"/>
      <w:r/>
      <w:bookmarkEnd w:id="67"/>
      <w:r/>
      <w:bookmarkEnd w:id="68"/>
      <w:r/>
      <w:bookmarkEnd w:id="69"/>
      <w:r/>
      <w:bookmarkEnd w:id="70"/>
      <w:r>
        <w:rPr>
          <w:rFonts w:hint="eastAsia" w:ascii="宋体" w:hAnsi="宋体" w:cs="宋体"/>
          <w:sz w:val="24"/>
        </w:rPr>
      </w:r>
      <w:r/>
    </w:p>
    <w:p>
      <w:pPr>
        <w:pStyle w:val="758"/>
        <w:spacing w:line="413" w:lineRule="auto"/>
        <w:rPr>
          <w:rFonts w:hint="eastAsia" w:ascii="宋体" w:hAnsi="宋体" w:cs="宋体"/>
          <w:sz w:val="24"/>
          <w:szCs w:val="24"/>
          <w:lang w:val="zh-CN"/>
        </w:rPr>
      </w:pPr>
      <w:r/>
      <w:bookmarkStart w:id="71" w:name="_Toc274907029"/>
      <w:r/>
      <w:bookmarkStart w:id="72" w:name="_Toc7213"/>
      <w:r/>
      <w:bookmarkStart w:id="73" w:name="_Toc97"/>
      <w:r/>
      <w:bookmarkStart w:id="74" w:name="_Toc338684385"/>
      <w:r/>
      <w:bookmarkStart w:id="75" w:name="_Toc31820"/>
      <w:r/>
      <w:bookmarkStart w:id="76" w:name="_Toc422907300"/>
      <w:r/>
      <w:bookmarkStart w:id="77" w:name="_Toc11051731"/>
      <w:r/>
      <w:bookmarkStart w:id="78" w:name="_Toc401304094"/>
      <w:r/>
      <w:bookmarkStart w:id="79" w:name="_Toc10302"/>
      <w:r/>
      <w:bookmarkStart w:id="80" w:name="_Toc22503"/>
      <w:r/>
      <w:bookmarkStart w:id="81" w:name="_Toc10434"/>
      <w:r/>
      <w:bookmarkStart w:id="82" w:name="_Toc29386370"/>
      <w:r/>
      <w:bookmarkStart w:id="83" w:name="_Toc17485"/>
      <w:r>
        <w:rPr>
          <w:rFonts w:hint="eastAsia" w:ascii="宋体" w:hAnsi="宋体" w:cs="宋体"/>
          <w:sz w:val="24"/>
          <w:szCs w:val="24"/>
        </w:rPr>
        <w:t xml:space="preserve">附件七</w:t>
      </w:r>
      <w:r>
        <w:rPr>
          <w:rFonts w:hint="eastAsia" w:ascii="宋体" w:hAnsi="宋体" w:cs="宋体"/>
          <w:sz w:val="24"/>
          <w:szCs w:val="24"/>
          <w:lang w:val="zh-CN"/>
        </w:rPr>
        <w:t xml:space="preserve">、</w:t>
      </w:r>
      <w:bookmarkEnd w:id="71"/>
      <w:r>
        <w:rPr>
          <w:rFonts w:hint="eastAsia" w:ascii="宋体" w:hAnsi="宋体" w:cs="宋体"/>
          <w:sz w:val="24"/>
          <w:szCs w:val="24"/>
          <w:lang w:val="zh-CN"/>
        </w:rPr>
        <w:t xml:space="preserve">项目组人员一览表</w:t>
      </w:r>
      <w:bookmarkEnd w:id="72"/>
      <w:r/>
      <w:bookmarkEnd w:id="73"/>
      <w:r/>
      <w:bookmarkEnd w:id="74"/>
      <w:r/>
      <w:bookmarkEnd w:id="75"/>
      <w:r/>
      <w:bookmarkEnd w:id="76"/>
      <w:r/>
      <w:bookmarkEnd w:id="77"/>
      <w:r/>
      <w:bookmarkEnd w:id="78"/>
      <w:r/>
      <w:bookmarkEnd w:id="79"/>
      <w:r/>
      <w:bookmarkEnd w:id="80"/>
      <w:r/>
      <w:bookmarkEnd w:id="81"/>
      <w:r/>
      <w:bookmarkEnd w:id="82"/>
      <w:r>
        <w:rPr>
          <w:rFonts w:hint="eastAsia" w:ascii="宋体" w:hAnsi="宋体" w:cs="宋体"/>
          <w:sz w:val="24"/>
          <w:szCs w:val="24"/>
        </w:rPr>
        <w:t xml:space="preserve">格式</w:t>
      </w:r>
      <w:bookmarkEnd w:id="83"/>
      <w:r>
        <w:rPr>
          <w:rFonts w:hint="eastAsia" w:ascii="宋体" w:hAnsi="宋体" w:cs="宋体"/>
          <w:sz w:val="24"/>
          <w:szCs w:val="24"/>
          <w:lang w:val="zh-CN"/>
        </w:rPr>
      </w:r>
      <w:r/>
    </w:p>
    <w:p>
      <w:pPr>
        <w:pStyle w:val="756"/>
        <w:jc w:val="center"/>
        <w:spacing w:line="360" w:lineRule="auto"/>
        <w:shd w:val="clear" w:color="auto" w:fill="ffffff"/>
        <w:widowControl/>
        <w:rPr>
          <w:rFonts w:hint="eastAsia" w:ascii="宋体" w:hAnsi="宋体" w:cs="宋体"/>
          <w:b/>
          <w:sz w:val="36"/>
          <w:szCs w:val="36"/>
          <w:lang w:val="zh-CN"/>
        </w:rPr>
      </w:pPr>
      <w:r/>
      <w:bookmarkStart w:id="84" w:name="_Toc139966836"/>
      <w:r>
        <w:rPr>
          <w:rFonts w:hint="eastAsia" w:ascii="宋体" w:hAnsi="宋体" w:cs="宋体"/>
          <w:b/>
          <w:sz w:val="36"/>
          <w:szCs w:val="36"/>
          <w:lang w:val="zh-CN"/>
        </w:rPr>
        <w:t xml:space="preserve">项目组人员一览表</w:t>
      </w:r>
      <w:r>
        <w:rPr>
          <w:rFonts w:hint="eastAsia" w:ascii="宋体" w:hAnsi="宋体" w:cs="宋体"/>
          <w:b/>
          <w:sz w:val="36"/>
          <w:szCs w:val="36"/>
          <w:lang w:val="zh-CN"/>
        </w:rPr>
      </w:r>
      <w:r/>
    </w:p>
    <w:p>
      <w:pPr>
        <w:pStyle w:val="756"/>
        <w:ind w:firstLine="420"/>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lang w:val="zh-CN"/>
        </w:rPr>
      </w:r>
      <w:r/>
    </w:p>
    <w:p>
      <w:pPr>
        <w:pStyle w:val="756"/>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rPr>
        <w:t xml:space="preserve">                                          </w:t>
      </w:r>
      <w:r>
        <w:rPr>
          <w:rFonts w:hint="eastAsia" w:ascii="宋体" w:hAnsi="宋体" w:cs="宋体"/>
          <w:sz w:val="24"/>
          <w:lang w:val="zh-CN"/>
        </w:rPr>
        <w:t xml:space="preserve">项目编号：</w:t>
      </w:r>
      <w:r>
        <w:rPr>
          <w:rFonts w:hint="eastAsia" w:ascii="宋体" w:hAnsi="宋体" w:cs="宋体"/>
          <w:sz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889"/>
        <w:gridCol w:w="2623"/>
        <w:gridCol w:w="1281"/>
        <w:gridCol w:w="1400"/>
        <w:gridCol w:w="1833"/>
      </w:tblGrid>
      <w:tr>
        <w:trPr>
          <w:trHeight w:val="476"/>
        </w:trPr>
        <w:tc>
          <w:tcPr>
            <w:tcW w:w="1305" w:type="dxa"/>
            <w:vAlign w:val="center"/>
            <w:textDirection w:val="lrTb"/>
            <w:noWrap w:val="false"/>
          </w:tcPr>
          <w:p>
            <w:pPr>
              <w:pStyle w:val="1113"/>
              <w:ind w:firstLine="0"/>
              <w:jc w:val="center"/>
              <w:spacing w:line="240" w:lineRule="auto"/>
              <w:rPr>
                <w:rFonts w:hint="eastAsia"/>
              </w:rPr>
            </w:pPr>
            <w:r>
              <w:rPr>
                <w:rFonts w:hint="eastAsia"/>
              </w:rPr>
              <w:t xml:space="preserve">序号</w:t>
            </w:r>
            <w:r>
              <w:rPr>
                <w:rFonts w:hint="eastAsia"/>
              </w:rPr>
            </w:r>
            <w:r/>
          </w:p>
        </w:tc>
        <w:tc>
          <w:tcPr>
            <w:tcW w:w="912" w:type="dxa"/>
            <w:vAlign w:val="center"/>
            <w:textDirection w:val="lrTb"/>
            <w:noWrap w:val="false"/>
          </w:tcPr>
          <w:p>
            <w:pPr>
              <w:pStyle w:val="756"/>
              <w:jc w:val="center"/>
              <w:rPr>
                <w:rFonts w:hint="eastAsia" w:ascii="宋体" w:hAnsi="宋体" w:cs="宋体"/>
                <w:sz w:val="24"/>
              </w:rPr>
            </w:pPr>
            <w:r>
              <w:rPr>
                <w:rFonts w:hint="eastAsia" w:ascii="宋体" w:hAnsi="宋体" w:cs="宋体"/>
                <w:sz w:val="24"/>
                <w:lang w:val="zh-CN"/>
              </w:rPr>
              <w:t xml:space="preserve">姓名</w:t>
            </w:r>
            <w:r>
              <w:rPr>
                <w:rFonts w:hint="eastAsia" w:ascii="宋体" w:hAnsi="宋体" w:cs="宋体"/>
                <w:sz w:val="24"/>
              </w:rPr>
            </w:r>
            <w:r/>
          </w:p>
        </w:tc>
        <w:tc>
          <w:tcPr>
            <w:tcW w:w="2738" w:type="dxa"/>
            <w:vAlign w:val="center"/>
            <w:textDirection w:val="lrTb"/>
            <w:noWrap w:val="false"/>
          </w:tcPr>
          <w:p>
            <w:pPr>
              <w:pStyle w:val="756"/>
              <w:jc w:val="center"/>
              <w:rPr>
                <w:rFonts w:hint="eastAsia" w:ascii="宋体" w:hAnsi="宋体" w:cs="宋体"/>
                <w:sz w:val="24"/>
              </w:rPr>
            </w:pPr>
            <w:r>
              <w:rPr>
                <w:rFonts w:hint="eastAsia" w:ascii="宋体" w:hAnsi="宋体" w:cs="宋体"/>
                <w:sz w:val="24"/>
                <w:lang w:val="zh-CN"/>
              </w:rPr>
              <w:t xml:space="preserve">在本项目中担任的职务</w:t>
            </w:r>
            <w:r>
              <w:rPr>
                <w:rFonts w:hint="eastAsia" w:ascii="宋体" w:hAnsi="宋体" w:cs="宋体"/>
                <w:sz w:val="24"/>
              </w:rPr>
            </w:r>
            <w:r/>
          </w:p>
        </w:tc>
        <w:tc>
          <w:tcPr>
            <w:tcW w:w="1325" w:type="dxa"/>
            <w:vAlign w:val="center"/>
            <w:textDirection w:val="lrTb"/>
            <w:noWrap w:val="false"/>
          </w:tcPr>
          <w:p>
            <w:pPr>
              <w:pStyle w:val="756"/>
              <w:jc w:val="center"/>
              <w:rPr>
                <w:rFonts w:hint="eastAsia" w:ascii="宋体" w:hAnsi="宋体" w:cs="宋体"/>
                <w:sz w:val="24"/>
              </w:rPr>
            </w:pPr>
            <w:r>
              <w:rPr>
                <w:rFonts w:hint="eastAsia" w:ascii="宋体" w:hAnsi="宋体" w:cs="宋体"/>
                <w:sz w:val="24"/>
                <w:lang w:val="zh-CN"/>
              </w:rPr>
              <w:t xml:space="preserve">证书</w:t>
            </w:r>
            <w:r>
              <w:rPr>
                <w:rFonts w:hint="eastAsia" w:ascii="宋体" w:hAnsi="宋体" w:cs="宋体"/>
                <w:sz w:val="24"/>
              </w:rPr>
            </w:r>
            <w:r/>
          </w:p>
        </w:tc>
        <w:tc>
          <w:tcPr>
            <w:tcW w:w="1450" w:type="dxa"/>
            <w:vAlign w:val="center"/>
            <w:textDirection w:val="lrTb"/>
            <w:noWrap w:val="false"/>
          </w:tcPr>
          <w:p>
            <w:pPr>
              <w:pStyle w:val="756"/>
              <w:jc w:val="center"/>
              <w:rPr>
                <w:rFonts w:hint="eastAsia" w:ascii="宋体" w:hAnsi="宋体" w:cs="宋体"/>
                <w:sz w:val="24"/>
              </w:rPr>
            </w:pPr>
            <w:r>
              <w:rPr>
                <w:rFonts w:hint="eastAsia" w:ascii="宋体" w:hAnsi="宋体" w:cs="宋体"/>
                <w:sz w:val="24"/>
                <w:lang w:val="zh-CN"/>
              </w:rPr>
              <w:t xml:space="preserve">身份证号码</w:t>
            </w:r>
            <w:r>
              <w:rPr>
                <w:rFonts w:hint="eastAsia" w:ascii="宋体" w:hAnsi="宋体" w:cs="宋体"/>
                <w:sz w:val="24"/>
              </w:rPr>
            </w:r>
            <w:r/>
          </w:p>
        </w:tc>
        <w:tc>
          <w:tcPr>
            <w:tcW w:w="1892" w:type="dxa"/>
            <w:vAlign w:val="center"/>
            <w:textDirection w:val="lrTb"/>
            <w:noWrap w:val="false"/>
          </w:tcPr>
          <w:p>
            <w:pPr>
              <w:pStyle w:val="756"/>
              <w:jc w:val="center"/>
              <w:rPr>
                <w:rFonts w:hint="eastAsia" w:ascii="宋体" w:hAnsi="宋体" w:cs="宋体"/>
                <w:sz w:val="24"/>
                <w:lang w:val="zh-CN"/>
              </w:rPr>
            </w:pPr>
            <w:r>
              <w:rPr>
                <w:rFonts w:hint="eastAsia" w:ascii="宋体" w:hAnsi="宋体" w:cs="宋体"/>
                <w:sz w:val="24"/>
                <w:lang w:val="zh-CN"/>
              </w:rPr>
              <w:t xml:space="preserve">主要资历、经验</w:t>
            </w:r>
            <w:r>
              <w:rPr>
                <w:rFonts w:hint="eastAsia" w:ascii="宋体" w:hAnsi="宋体" w:cs="宋体"/>
                <w:sz w:val="24"/>
                <w:lang w:val="zh-CN"/>
              </w:rPr>
            </w:r>
            <w:r/>
          </w:p>
          <w:p>
            <w:pPr>
              <w:pStyle w:val="756"/>
              <w:jc w:val="center"/>
              <w:rPr>
                <w:rFonts w:hint="eastAsia" w:ascii="宋体" w:hAnsi="宋体" w:cs="宋体"/>
                <w:sz w:val="24"/>
              </w:rPr>
            </w:pPr>
            <w:r>
              <w:rPr>
                <w:rFonts w:hint="eastAsia" w:ascii="宋体" w:hAnsi="宋体" w:cs="宋体"/>
                <w:sz w:val="24"/>
                <w:lang w:val="zh-CN"/>
              </w:rPr>
              <w:t xml:space="preserve">及承担过的项目</w:t>
            </w:r>
            <w:r>
              <w:rPr>
                <w:rFonts w:hint="eastAsia" w:ascii="宋体" w:hAnsi="宋体" w:cs="宋体"/>
                <w:sz w:val="24"/>
              </w:rPr>
            </w:r>
            <w:r/>
          </w:p>
        </w:tc>
      </w:tr>
      <w:tr>
        <w:trPr>
          <w:trHeight w:val="476"/>
        </w:trPr>
        <w:tc>
          <w:tcPr>
            <w:tcW w:w="1305" w:type="dxa"/>
            <w:vAlign w:val="top"/>
            <w:textDirection w:val="lrTb"/>
            <w:noWrap w:val="false"/>
          </w:tcPr>
          <w:p>
            <w:pPr>
              <w:pStyle w:val="1113"/>
              <w:rPr>
                <w:rFonts w:hint="eastAsia"/>
              </w:rPr>
            </w:pPr>
            <w:r>
              <w:rPr>
                <w:rFonts w:hint="eastAsia"/>
              </w:rPr>
            </w:r>
            <w:r/>
          </w:p>
        </w:tc>
        <w:tc>
          <w:tcPr>
            <w:tcW w:w="912" w:type="dxa"/>
            <w:vAlign w:val="top"/>
            <w:textDirection w:val="lrTb"/>
            <w:noWrap w:val="false"/>
          </w:tcPr>
          <w:p>
            <w:pPr>
              <w:pStyle w:val="1113"/>
              <w:rPr>
                <w:rFonts w:hint="eastAsia"/>
              </w:rPr>
            </w:pPr>
            <w:r>
              <w:rPr>
                <w:rFonts w:hint="eastAsia"/>
              </w:rPr>
            </w:r>
            <w:r/>
          </w:p>
        </w:tc>
        <w:tc>
          <w:tcPr>
            <w:tcW w:w="2738" w:type="dxa"/>
            <w:vAlign w:val="top"/>
            <w:textDirection w:val="lrTb"/>
            <w:noWrap w:val="false"/>
          </w:tcPr>
          <w:p>
            <w:pPr>
              <w:pStyle w:val="1113"/>
              <w:rPr>
                <w:rFonts w:hint="eastAsia"/>
              </w:rPr>
            </w:pPr>
            <w:r>
              <w:rPr>
                <w:rFonts w:hint="eastAsia"/>
              </w:rPr>
            </w:r>
            <w:r/>
          </w:p>
        </w:tc>
        <w:tc>
          <w:tcPr>
            <w:tcW w:w="1325" w:type="dxa"/>
            <w:vAlign w:val="top"/>
            <w:textDirection w:val="lrTb"/>
            <w:noWrap w:val="false"/>
          </w:tcPr>
          <w:p>
            <w:pPr>
              <w:pStyle w:val="1113"/>
              <w:rPr>
                <w:rFonts w:hint="eastAsia"/>
              </w:rPr>
            </w:pPr>
            <w:r>
              <w:rPr>
                <w:rFonts w:hint="eastAsia"/>
              </w:rPr>
            </w:r>
            <w:r/>
          </w:p>
        </w:tc>
        <w:tc>
          <w:tcPr>
            <w:tcW w:w="1450" w:type="dxa"/>
            <w:vAlign w:val="top"/>
            <w:textDirection w:val="lrTb"/>
            <w:noWrap w:val="false"/>
          </w:tcPr>
          <w:p>
            <w:pPr>
              <w:pStyle w:val="1113"/>
              <w:rPr>
                <w:rFonts w:hint="eastAsia"/>
              </w:rPr>
            </w:pPr>
            <w:r>
              <w:rPr>
                <w:rFonts w:hint="eastAsia"/>
              </w:rPr>
            </w:r>
            <w:r/>
          </w:p>
        </w:tc>
        <w:tc>
          <w:tcPr>
            <w:tcW w:w="1892" w:type="dxa"/>
            <w:vAlign w:val="top"/>
            <w:textDirection w:val="lrTb"/>
            <w:noWrap w:val="false"/>
          </w:tcPr>
          <w:p>
            <w:pPr>
              <w:pStyle w:val="1113"/>
              <w:rPr>
                <w:rFonts w:hint="eastAsia"/>
              </w:rPr>
            </w:pPr>
            <w:r>
              <w:rPr>
                <w:rFonts w:hint="eastAsia"/>
              </w:rPr>
            </w:r>
            <w:r/>
          </w:p>
        </w:tc>
      </w:tr>
      <w:tr>
        <w:trPr>
          <w:trHeight w:val="476"/>
        </w:trPr>
        <w:tc>
          <w:tcPr>
            <w:tcW w:w="1305" w:type="dxa"/>
            <w:vAlign w:val="top"/>
            <w:textDirection w:val="lrTb"/>
            <w:noWrap w:val="false"/>
          </w:tcPr>
          <w:p>
            <w:pPr>
              <w:pStyle w:val="1113"/>
              <w:rPr>
                <w:rFonts w:hint="eastAsia"/>
              </w:rPr>
            </w:pPr>
            <w:r>
              <w:rPr>
                <w:rFonts w:hint="eastAsia"/>
              </w:rPr>
            </w:r>
            <w:r/>
          </w:p>
        </w:tc>
        <w:tc>
          <w:tcPr>
            <w:tcW w:w="912" w:type="dxa"/>
            <w:vAlign w:val="top"/>
            <w:textDirection w:val="lrTb"/>
            <w:noWrap w:val="false"/>
          </w:tcPr>
          <w:p>
            <w:pPr>
              <w:pStyle w:val="1113"/>
              <w:rPr>
                <w:rFonts w:hint="eastAsia"/>
              </w:rPr>
            </w:pPr>
            <w:r>
              <w:rPr>
                <w:rFonts w:hint="eastAsia"/>
              </w:rPr>
            </w:r>
            <w:r/>
          </w:p>
        </w:tc>
        <w:tc>
          <w:tcPr>
            <w:tcW w:w="2738" w:type="dxa"/>
            <w:vAlign w:val="top"/>
            <w:textDirection w:val="lrTb"/>
            <w:noWrap w:val="false"/>
          </w:tcPr>
          <w:p>
            <w:pPr>
              <w:pStyle w:val="1113"/>
              <w:rPr>
                <w:rFonts w:hint="eastAsia"/>
              </w:rPr>
            </w:pPr>
            <w:r>
              <w:rPr>
                <w:rFonts w:hint="eastAsia"/>
              </w:rPr>
            </w:r>
            <w:r/>
          </w:p>
        </w:tc>
        <w:tc>
          <w:tcPr>
            <w:tcW w:w="1325" w:type="dxa"/>
            <w:vAlign w:val="top"/>
            <w:textDirection w:val="lrTb"/>
            <w:noWrap w:val="false"/>
          </w:tcPr>
          <w:p>
            <w:pPr>
              <w:pStyle w:val="1113"/>
              <w:rPr>
                <w:rFonts w:hint="eastAsia"/>
              </w:rPr>
            </w:pPr>
            <w:r>
              <w:rPr>
                <w:rFonts w:hint="eastAsia"/>
              </w:rPr>
            </w:r>
            <w:r/>
          </w:p>
        </w:tc>
        <w:tc>
          <w:tcPr>
            <w:tcW w:w="1450" w:type="dxa"/>
            <w:vAlign w:val="top"/>
            <w:textDirection w:val="lrTb"/>
            <w:noWrap w:val="false"/>
          </w:tcPr>
          <w:p>
            <w:pPr>
              <w:pStyle w:val="1113"/>
              <w:rPr>
                <w:rFonts w:hint="eastAsia"/>
              </w:rPr>
            </w:pPr>
            <w:r>
              <w:rPr>
                <w:rFonts w:hint="eastAsia"/>
              </w:rPr>
            </w:r>
            <w:r/>
          </w:p>
        </w:tc>
        <w:tc>
          <w:tcPr>
            <w:tcW w:w="1892" w:type="dxa"/>
            <w:vAlign w:val="top"/>
            <w:textDirection w:val="lrTb"/>
            <w:noWrap w:val="false"/>
          </w:tcPr>
          <w:p>
            <w:pPr>
              <w:pStyle w:val="1113"/>
              <w:rPr>
                <w:rFonts w:hint="eastAsia"/>
              </w:rPr>
            </w:pPr>
            <w:r>
              <w:rPr>
                <w:rFonts w:hint="eastAsia"/>
              </w:rPr>
            </w:r>
            <w:r/>
          </w:p>
        </w:tc>
      </w:tr>
      <w:tr>
        <w:trPr>
          <w:trHeight w:val="476"/>
        </w:trPr>
        <w:tc>
          <w:tcPr>
            <w:tcW w:w="1305" w:type="dxa"/>
            <w:vAlign w:val="top"/>
            <w:textDirection w:val="lrTb"/>
            <w:noWrap w:val="false"/>
          </w:tcPr>
          <w:p>
            <w:pPr>
              <w:pStyle w:val="1113"/>
              <w:rPr>
                <w:rFonts w:hint="eastAsia"/>
              </w:rPr>
            </w:pPr>
            <w:r>
              <w:rPr>
                <w:rFonts w:hint="eastAsia"/>
              </w:rPr>
            </w:r>
            <w:r/>
          </w:p>
        </w:tc>
        <w:tc>
          <w:tcPr>
            <w:tcW w:w="912" w:type="dxa"/>
            <w:vAlign w:val="top"/>
            <w:textDirection w:val="lrTb"/>
            <w:noWrap w:val="false"/>
          </w:tcPr>
          <w:p>
            <w:pPr>
              <w:pStyle w:val="1113"/>
              <w:rPr>
                <w:rFonts w:hint="eastAsia"/>
              </w:rPr>
            </w:pPr>
            <w:r>
              <w:rPr>
                <w:rFonts w:hint="eastAsia"/>
              </w:rPr>
            </w:r>
            <w:r/>
          </w:p>
        </w:tc>
        <w:tc>
          <w:tcPr>
            <w:tcW w:w="2738" w:type="dxa"/>
            <w:vAlign w:val="top"/>
            <w:textDirection w:val="lrTb"/>
            <w:noWrap w:val="false"/>
          </w:tcPr>
          <w:p>
            <w:pPr>
              <w:pStyle w:val="1113"/>
              <w:rPr>
                <w:rFonts w:hint="eastAsia"/>
              </w:rPr>
            </w:pPr>
            <w:r>
              <w:rPr>
                <w:rFonts w:hint="eastAsia"/>
              </w:rPr>
            </w:r>
            <w:r/>
          </w:p>
        </w:tc>
        <w:tc>
          <w:tcPr>
            <w:tcW w:w="1325" w:type="dxa"/>
            <w:vAlign w:val="top"/>
            <w:textDirection w:val="lrTb"/>
            <w:noWrap w:val="false"/>
          </w:tcPr>
          <w:p>
            <w:pPr>
              <w:pStyle w:val="1113"/>
              <w:rPr>
                <w:rFonts w:hint="eastAsia"/>
              </w:rPr>
            </w:pPr>
            <w:r>
              <w:rPr>
                <w:rFonts w:hint="eastAsia"/>
              </w:rPr>
            </w:r>
            <w:r/>
          </w:p>
        </w:tc>
        <w:tc>
          <w:tcPr>
            <w:tcW w:w="1450" w:type="dxa"/>
            <w:vAlign w:val="top"/>
            <w:textDirection w:val="lrTb"/>
            <w:noWrap w:val="false"/>
          </w:tcPr>
          <w:p>
            <w:pPr>
              <w:pStyle w:val="1113"/>
              <w:rPr>
                <w:rFonts w:hint="eastAsia"/>
              </w:rPr>
            </w:pPr>
            <w:r>
              <w:rPr>
                <w:rFonts w:hint="eastAsia"/>
              </w:rPr>
            </w:r>
            <w:r/>
          </w:p>
        </w:tc>
        <w:tc>
          <w:tcPr>
            <w:tcW w:w="1892" w:type="dxa"/>
            <w:vAlign w:val="top"/>
            <w:textDirection w:val="lrTb"/>
            <w:noWrap w:val="false"/>
          </w:tcPr>
          <w:p>
            <w:pPr>
              <w:pStyle w:val="1113"/>
              <w:rPr>
                <w:rFonts w:hint="eastAsia"/>
              </w:rPr>
            </w:pPr>
            <w:r>
              <w:rPr>
                <w:rFonts w:hint="eastAsia"/>
              </w:rPr>
            </w:r>
            <w:r/>
          </w:p>
        </w:tc>
      </w:tr>
      <w:tr>
        <w:trPr>
          <w:trHeight w:val="476"/>
        </w:trPr>
        <w:tc>
          <w:tcPr>
            <w:tcW w:w="1305" w:type="dxa"/>
            <w:vAlign w:val="top"/>
            <w:textDirection w:val="lrTb"/>
            <w:noWrap w:val="false"/>
          </w:tcPr>
          <w:p>
            <w:pPr>
              <w:pStyle w:val="1113"/>
              <w:rPr>
                <w:rFonts w:hint="eastAsia"/>
              </w:rPr>
            </w:pPr>
            <w:r>
              <w:rPr>
                <w:rFonts w:hint="eastAsia"/>
              </w:rPr>
            </w:r>
            <w:r/>
          </w:p>
        </w:tc>
        <w:tc>
          <w:tcPr>
            <w:tcW w:w="912" w:type="dxa"/>
            <w:vAlign w:val="top"/>
            <w:textDirection w:val="lrTb"/>
            <w:noWrap w:val="false"/>
          </w:tcPr>
          <w:p>
            <w:pPr>
              <w:pStyle w:val="1113"/>
              <w:rPr>
                <w:rFonts w:hint="eastAsia"/>
              </w:rPr>
            </w:pPr>
            <w:r>
              <w:rPr>
                <w:rFonts w:hint="eastAsia"/>
              </w:rPr>
            </w:r>
            <w:r/>
          </w:p>
        </w:tc>
        <w:tc>
          <w:tcPr>
            <w:tcW w:w="2738" w:type="dxa"/>
            <w:vAlign w:val="top"/>
            <w:textDirection w:val="lrTb"/>
            <w:noWrap w:val="false"/>
          </w:tcPr>
          <w:p>
            <w:pPr>
              <w:pStyle w:val="1113"/>
              <w:rPr>
                <w:rFonts w:hint="eastAsia"/>
              </w:rPr>
            </w:pPr>
            <w:r>
              <w:rPr>
                <w:rFonts w:hint="eastAsia"/>
              </w:rPr>
            </w:r>
            <w:r/>
          </w:p>
        </w:tc>
        <w:tc>
          <w:tcPr>
            <w:tcW w:w="1325" w:type="dxa"/>
            <w:vAlign w:val="top"/>
            <w:textDirection w:val="lrTb"/>
            <w:noWrap w:val="false"/>
          </w:tcPr>
          <w:p>
            <w:pPr>
              <w:pStyle w:val="1113"/>
              <w:rPr>
                <w:rFonts w:hint="eastAsia"/>
              </w:rPr>
            </w:pPr>
            <w:r>
              <w:rPr>
                <w:rFonts w:hint="eastAsia"/>
              </w:rPr>
            </w:r>
            <w:r/>
          </w:p>
        </w:tc>
        <w:tc>
          <w:tcPr>
            <w:tcW w:w="1450" w:type="dxa"/>
            <w:vAlign w:val="top"/>
            <w:textDirection w:val="lrTb"/>
            <w:noWrap w:val="false"/>
          </w:tcPr>
          <w:p>
            <w:pPr>
              <w:pStyle w:val="1113"/>
              <w:rPr>
                <w:rFonts w:hint="eastAsia"/>
              </w:rPr>
            </w:pPr>
            <w:r>
              <w:rPr>
                <w:rFonts w:hint="eastAsia"/>
              </w:rPr>
            </w:r>
            <w:r/>
          </w:p>
        </w:tc>
        <w:tc>
          <w:tcPr>
            <w:tcW w:w="1892" w:type="dxa"/>
            <w:vAlign w:val="top"/>
            <w:textDirection w:val="lrTb"/>
            <w:noWrap w:val="false"/>
          </w:tcPr>
          <w:p>
            <w:pPr>
              <w:pStyle w:val="1113"/>
              <w:rPr>
                <w:rFonts w:hint="eastAsia"/>
              </w:rPr>
            </w:pPr>
            <w:r>
              <w:rPr>
                <w:rFonts w:hint="eastAsia"/>
              </w:rPr>
            </w:r>
            <w:r/>
          </w:p>
        </w:tc>
      </w:tr>
      <w:tr>
        <w:trPr>
          <w:trHeight w:val="476"/>
        </w:trPr>
        <w:tc>
          <w:tcPr>
            <w:tcW w:w="1305" w:type="dxa"/>
            <w:vAlign w:val="top"/>
            <w:textDirection w:val="lrTb"/>
            <w:noWrap w:val="false"/>
          </w:tcPr>
          <w:p>
            <w:pPr>
              <w:pStyle w:val="1113"/>
              <w:rPr>
                <w:rFonts w:hint="eastAsia"/>
              </w:rPr>
            </w:pPr>
            <w:r>
              <w:rPr>
                <w:rFonts w:hint="eastAsia"/>
              </w:rPr>
            </w:r>
            <w:r/>
          </w:p>
        </w:tc>
        <w:tc>
          <w:tcPr>
            <w:tcW w:w="912" w:type="dxa"/>
            <w:vAlign w:val="top"/>
            <w:textDirection w:val="lrTb"/>
            <w:noWrap w:val="false"/>
          </w:tcPr>
          <w:p>
            <w:pPr>
              <w:pStyle w:val="1113"/>
              <w:rPr>
                <w:rFonts w:hint="eastAsia"/>
              </w:rPr>
            </w:pPr>
            <w:r>
              <w:rPr>
                <w:rFonts w:hint="eastAsia"/>
              </w:rPr>
            </w:r>
            <w:r/>
          </w:p>
        </w:tc>
        <w:tc>
          <w:tcPr>
            <w:tcW w:w="2738" w:type="dxa"/>
            <w:vAlign w:val="top"/>
            <w:textDirection w:val="lrTb"/>
            <w:noWrap w:val="false"/>
          </w:tcPr>
          <w:p>
            <w:pPr>
              <w:pStyle w:val="1113"/>
              <w:rPr>
                <w:rFonts w:hint="eastAsia"/>
              </w:rPr>
            </w:pPr>
            <w:r>
              <w:rPr>
                <w:rFonts w:hint="eastAsia"/>
              </w:rPr>
            </w:r>
            <w:r/>
          </w:p>
        </w:tc>
        <w:tc>
          <w:tcPr>
            <w:tcW w:w="1325" w:type="dxa"/>
            <w:vAlign w:val="top"/>
            <w:textDirection w:val="lrTb"/>
            <w:noWrap w:val="false"/>
          </w:tcPr>
          <w:p>
            <w:pPr>
              <w:pStyle w:val="1113"/>
              <w:rPr>
                <w:rFonts w:hint="eastAsia"/>
              </w:rPr>
            </w:pPr>
            <w:r>
              <w:rPr>
                <w:rFonts w:hint="eastAsia"/>
              </w:rPr>
            </w:r>
            <w:r/>
          </w:p>
        </w:tc>
        <w:tc>
          <w:tcPr>
            <w:tcW w:w="1450" w:type="dxa"/>
            <w:vAlign w:val="top"/>
            <w:textDirection w:val="lrTb"/>
            <w:noWrap w:val="false"/>
          </w:tcPr>
          <w:p>
            <w:pPr>
              <w:pStyle w:val="1113"/>
              <w:rPr>
                <w:rFonts w:hint="eastAsia"/>
              </w:rPr>
            </w:pPr>
            <w:r>
              <w:rPr>
                <w:rFonts w:hint="eastAsia"/>
              </w:rPr>
            </w:r>
            <w:r/>
          </w:p>
        </w:tc>
        <w:tc>
          <w:tcPr>
            <w:tcW w:w="1892" w:type="dxa"/>
            <w:vAlign w:val="top"/>
            <w:textDirection w:val="lrTb"/>
            <w:noWrap w:val="false"/>
          </w:tcPr>
          <w:p>
            <w:pPr>
              <w:pStyle w:val="1113"/>
              <w:rPr>
                <w:rFonts w:hint="eastAsia"/>
              </w:rPr>
            </w:pPr>
            <w:r>
              <w:rPr>
                <w:rFonts w:hint="eastAsia"/>
              </w:rPr>
            </w:r>
            <w:r/>
          </w:p>
        </w:tc>
      </w:tr>
    </w:tbl>
    <w:p>
      <w:pPr>
        <w:pStyle w:val="756"/>
        <w:ind w:firstLine="420"/>
        <w:rPr>
          <w:rFonts w:hint="eastAsia" w:ascii="宋体" w:hAnsi="宋体" w:cs="宋体"/>
          <w:sz w:val="24"/>
          <w:lang w:val="zh-CN"/>
        </w:rPr>
      </w:pPr>
      <w:r>
        <w:rPr>
          <w:rFonts w:hint="eastAsia" w:ascii="宋体" w:hAnsi="宋体" w:cs="宋体"/>
          <w:sz w:val="24"/>
          <w:lang w:val="zh-CN"/>
        </w:rPr>
      </w:r>
      <w:r/>
    </w:p>
    <w:p>
      <w:pPr>
        <w:pStyle w:val="756"/>
        <w:ind w:firstLine="420"/>
        <w:rPr>
          <w:rFonts w:hint="eastAsia" w:ascii="宋体" w:hAnsi="宋体" w:cs="宋体"/>
          <w:sz w:val="24"/>
          <w:lang w:val="zh-CN"/>
        </w:rPr>
      </w:pPr>
      <w:r>
        <w:rPr>
          <w:rFonts w:hint="eastAsia" w:ascii="宋体" w:hAnsi="宋体" w:cs="宋体"/>
          <w:sz w:val="24"/>
          <w:lang w:val="zh-CN"/>
        </w:rPr>
        <w:t xml:space="preserve">注：后附项目组人员身份证、证书等相关证明材料复印件。如果行数不够表中行数可自加。</w:t>
      </w:r>
      <w:r>
        <w:rPr>
          <w:rFonts w:hint="eastAsia" w:ascii="宋体" w:hAnsi="宋体" w:cs="宋体"/>
          <w:sz w:val="24"/>
          <w:lang w:val="zh-CN"/>
        </w:rPr>
      </w:r>
      <w:r/>
    </w:p>
    <w:p>
      <w:pPr>
        <w:pStyle w:val="756"/>
        <w:ind w:firstLine="6600"/>
        <w:rPr>
          <w:rFonts w:hint="eastAsia" w:ascii="宋体" w:hAnsi="宋体" w:cs="宋体"/>
          <w:sz w:val="24"/>
          <w:lang w:val="zh-CN"/>
        </w:rPr>
      </w:pPr>
      <w:r>
        <w:rPr>
          <w:rFonts w:hint="eastAsia" w:ascii="宋体" w:hAnsi="宋体" w:cs="宋体"/>
          <w:sz w:val="24"/>
          <w:lang w:val="zh-CN"/>
        </w:rPr>
      </w:r>
      <w:r/>
    </w:p>
    <w:p>
      <w:pPr>
        <w:pStyle w:val="832"/>
        <w:rPr>
          <w:rFonts w:hint="eastAsia" w:ascii="宋体" w:hAnsi="宋体" w:cs="宋体"/>
          <w:sz w:val="24"/>
          <w:lang w:val="zh-CN"/>
        </w:rPr>
      </w:pPr>
      <w:r>
        <w:rPr>
          <w:rFonts w:hint="eastAsia" w:ascii="宋体" w:hAnsi="宋体" w:cs="宋体"/>
          <w:sz w:val="24"/>
          <w:lang w:val="zh-CN"/>
        </w:rPr>
      </w:r>
      <w:r/>
    </w:p>
    <w:p>
      <w:pPr>
        <w:pStyle w:val="756"/>
        <w:ind w:left="2100" w:firstLine="420"/>
        <w:rPr>
          <w:rFonts w:hint="eastAsia" w:ascii="宋体" w:hAnsi="宋体" w:cs="宋体"/>
          <w:sz w:val="24"/>
          <w:lang w:val="zh-CN"/>
        </w:rPr>
      </w:pPr>
      <w:r>
        <w:rPr>
          <w:rFonts w:hint="eastAsia" w:ascii="宋体" w:hAnsi="宋体" w:cs="宋体"/>
          <w:sz w:val="24"/>
          <w:lang w:val="zh-CN"/>
        </w:rPr>
        <w:t xml:space="preserve">投标供应商名称（加盖电子公章）：</w:t>
      </w:r>
      <w:r>
        <w:rPr>
          <w:rFonts w:hint="eastAsia" w:ascii="宋体" w:hAnsi="宋体" w:cs="宋体"/>
          <w:sz w:val="24"/>
          <w:lang w:val="zh-CN"/>
        </w:rPr>
      </w:r>
      <w:r/>
    </w:p>
    <w:p>
      <w:pPr>
        <w:pStyle w:val="756"/>
        <w:ind w:left="2100" w:firstLine="420"/>
        <w:rPr>
          <w:rFonts w:hint="eastAsia" w:ascii="宋体" w:hAnsi="宋体" w:cs="宋体"/>
          <w:sz w:val="24"/>
        </w:rPr>
      </w:pPr>
      <w:r>
        <w:rPr>
          <w:rFonts w:hint="eastAsia" w:ascii="宋体" w:hAnsi="宋体" w:cs="宋体"/>
          <w:sz w:val="24"/>
          <w:lang w:val="zh-CN"/>
        </w:rPr>
        <w:t xml:space="preserve">日    期：</w:t>
      </w:r>
      <w:r>
        <w:rPr>
          <w:rFonts w:hint="eastAsia" w:ascii="宋体" w:hAnsi="宋体" w:cs="宋体"/>
          <w:sz w:val="24"/>
        </w:rPr>
        <w:t xml:space="preserve"> 年 月  日</w:t>
      </w:r>
      <w:r>
        <w:rPr>
          <w:rFonts w:hint="eastAsia" w:ascii="宋体" w:hAnsi="宋体" w:cs="宋体"/>
          <w:sz w:val="24"/>
        </w:rPr>
      </w:r>
      <w:r/>
    </w:p>
    <w:p>
      <w:pPr>
        <w:pStyle w:val="756"/>
        <w:spacing w:line="360" w:lineRule="auto"/>
        <w:rPr>
          <w:rFonts w:hint="eastAsia" w:ascii="宋体" w:hAnsi="宋体" w:cs="宋体"/>
          <w:b/>
          <w:sz w:val="24"/>
          <w:lang w:val="zh-CN"/>
        </w:rPr>
      </w:pPr>
      <w:r>
        <w:rPr>
          <w:rFonts w:hint="eastAsia" w:ascii="宋体" w:hAnsi="宋体" w:cs="宋体"/>
          <w:b/>
          <w:sz w:val="24"/>
          <w:lang w:val="zh-CN"/>
        </w:rPr>
      </w:r>
      <w:r/>
    </w:p>
    <w:p>
      <w:pPr>
        <w:pStyle w:val="756"/>
        <w:spacing w:line="360" w:lineRule="auto"/>
        <w:rPr>
          <w:rFonts w:hint="eastAsia" w:ascii="宋体" w:hAnsi="宋体" w:cs="宋体"/>
          <w:b/>
          <w:sz w:val="24"/>
          <w:lang w:val="zh-CN"/>
        </w:rPr>
      </w:pPr>
      <w:r>
        <w:rPr>
          <w:rFonts w:hint="eastAsia" w:ascii="宋体" w:hAnsi="宋体" w:cs="宋体"/>
          <w:b/>
          <w:sz w:val="24"/>
          <w:lang w:val="zh-CN"/>
        </w:rPr>
      </w:r>
      <w:r/>
    </w:p>
    <w:p>
      <w:pPr>
        <w:pStyle w:val="756"/>
        <w:rPr>
          <w:rFonts w:hint="eastAsia" w:ascii="宋体" w:hAnsi="宋体" w:cs="宋体"/>
          <w:sz w:val="24"/>
          <w:lang w:val="zh-CN"/>
        </w:rPr>
      </w:pPr>
      <w:r/>
      <w:bookmarkStart w:id="85" w:name="_Toc274907032"/>
      <w:r/>
      <w:bookmarkStart w:id="86" w:name="_Toc401304096"/>
      <w:r/>
      <w:bookmarkStart w:id="87" w:name="_Toc422907302"/>
      <w:r/>
      <w:bookmarkStart w:id="88" w:name="_Toc29386371"/>
      <w:r/>
      <w:bookmarkStart w:id="89" w:name="_Toc338684387"/>
      <w:r/>
      <w:bookmarkStart w:id="90" w:name="_Toc11051732"/>
      <w:r>
        <w:rPr>
          <w:rFonts w:hint="eastAsia" w:ascii="宋体" w:hAnsi="宋体" w:cs="宋体"/>
          <w:sz w:val="24"/>
          <w:lang w:val="zh-CN"/>
        </w:rPr>
      </w:r>
      <w:r/>
    </w:p>
    <w:p>
      <w:pPr>
        <w:pStyle w:val="756"/>
        <w:rPr>
          <w:rFonts w:hint="eastAsia" w:ascii="宋体" w:hAnsi="宋体" w:cs="宋体"/>
          <w:sz w:val="24"/>
          <w:lang w:val="zh-CN"/>
        </w:rPr>
      </w:pPr>
      <w:r>
        <w:rPr>
          <w:rFonts w:hint="eastAsia" w:ascii="宋体" w:hAnsi="宋体" w:cs="宋体"/>
          <w:sz w:val="24"/>
          <w:lang w:val="zh-CN"/>
        </w:rPr>
      </w:r>
      <w:r/>
    </w:p>
    <w:p>
      <w:pPr>
        <w:pStyle w:val="756"/>
        <w:rPr>
          <w:rFonts w:hint="eastAsia" w:ascii="宋体" w:hAnsi="宋体" w:cs="宋体"/>
          <w:sz w:val="24"/>
          <w:lang w:val="zh-CN"/>
        </w:rPr>
      </w:pPr>
      <w:r>
        <w:rPr>
          <w:rFonts w:hint="eastAsia" w:ascii="宋体" w:hAnsi="宋体" w:cs="宋体"/>
          <w:sz w:val="24"/>
          <w:lang w:val="zh-CN"/>
        </w:rPr>
      </w:r>
      <w:r/>
    </w:p>
    <w:p>
      <w:pPr>
        <w:pStyle w:val="758"/>
        <w:spacing w:line="413" w:lineRule="auto"/>
        <w:rPr>
          <w:rFonts w:hint="eastAsia" w:ascii="宋体" w:hAnsi="宋体" w:cs="宋体"/>
          <w:sz w:val="24"/>
          <w:szCs w:val="24"/>
          <w:lang w:val="zh-CN"/>
        </w:rPr>
      </w:pPr>
      <w:r>
        <w:rPr>
          <w:rFonts w:hint="eastAsia" w:ascii="宋体" w:hAnsi="宋体" w:cs="宋体"/>
          <w:sz w:val="24"/>
          <w:szCs w:val="24"/>
          <w:lang w:val="zh-CN"/>
        </w:rPr>
        <w:br w:type="page" w:clear="all"/>
      </w:r>
      <w:bookmarkEnd w:id="85"/>
      <w:r/>
      <w:bookmarkEnd w:id="86"/>
      <w:r/>
      <w:bookmarkEnd w:id="87"/>
      <w:r/>
      <w:bookmarkEnd w:id="88"/>
      <w:r/>
      <w:bookmarkEnd w:id="89"/>
      <w:r/>
      <w:bookmarkEnd w:id="90"/>
      <w:r/>
      <w:bookmarkStart w:id="91" w:name="_Toc20734"/>
      <w:r/>
      <w:bookmarkStart w:id="92" w:name="_Toc4445"/>
      <w:r/>
      <w:bookmarkStart w:id="93" w:name="_Toc27924"/>
      <w:r/>
      <w:bookmarkStart w:id="94" w:name="_Toc26520"/>
      <w:r/>
      <w:bookmarkStart w:id="95" w:name="_Toc974"/>
      <w:r/>
      <w:bookmarkStart w:id="96" w:name="_Toc29934"/>
      <w:r/>
      <w:bookmarkStart w:id="97" w:name="_Toc29230"/>
      <w:r>
        <w:rPr>
          <w:rFonts w:hint="eastAsia" w:ascii="宋体" w:hAnsi="宋体" w:cs="宋体"/>
          <w:sz w:val="24"/>
          <w:szCs w:val="24"/>
        </w:rPr>
        <w:t xml:space="preserve">附件八</w:t>
      </w:r>
      <w:r>
        <w:rPr>
          <w:rFonts w:hint="eastAsia" w:ascii="宋体" w:hAnsi="宋体" w:cs="宋体"/>
          <w:sz w:val="24"/>
          <w:szCs w:val="24"/>
          <w:lang w:val="zh-CN"/>
        </w:rPr>
        <w:t xml:space="preserve">、供应商业绩情况表</w:t>
      </w:r>
      <w:bookmarkEnd w:id="91"/>
      <w:r/>
      <w:bookmarkEnd w:id="92"/>
      <w:r/>
      <w:bookmarkEnd w:id="93"/>
      <w:r/>
      <w:bookmarkEnd w:id="94"/>
      <w:r/>
      <w:bookmarkEnd w:id="95"/>
      <w:r/>
      <w:bookmarkEnd w:id="97"/>
      <w:r>
        <w:rPr>
          <w:rFonts w:hint="eastAsia" w:ascii="宋体" w:hAnsi="宋体" w:cs="宋体"/>
          <w:sz w:val="24"/>
          <w:szCs w:val="24"/>
        </w:rPr>
        <w:t xml:space="preserve">格式</w:t>
      </w:r>
      <w:bookmarkEnd w:id="96"/>
      <w:r>
        <w:rPr>
          <w:rFonts w:hint="eastAsia" w:ascii="宋体" w:hAnsi="宋体" w:cs="宋体"/>
          <w:sz w:val="24"/>
          <w:szCs w:val="24"/>
          <w:lang w:val="zh-CN"/>
        </w:rPr>
      </w:r>
      <w:r/>
    </w:p>
    <w:p>
      <w:pPr>
        <w:pStyle w:val="756"/>
        <w:jc w:val="center"/>
        <w:spacing w:line="360" w:lineRule="auto"/>
        <w:shd w:val="clear" w:color="auto" w:fill="ffffff"/>
        <w:widowControl/>
        <w:rPr>
          <w:rFonts w:hint="eastAsia" w:ascii="宋体" w:hAnsi="宋体" w:cs="宋体"/>
          <w:b/>
          <w:sz w:val="36"/>
          <w:szCs w:val="36"/>
          <w:lang w:val="zh-CN"/>
        </w:rPr>
      </w:pPr>
      <w:r>
        <w:rPr>
          <w:rFonts w:hint="eastAsia" w:ascii="宋体" w:hAnsi="宋体" w:cs="宋体"/>
          <w:b/>
          <w:sz w:val="36"/>
          <w:szCs w:val="36"/>
          <w:lang w:val="zh-CN"/>
        </w:rPr>
        <w:t xml:space="preserve">供应商业绩情况表</w:t>
      </w:r>
      <w:r>
        <w:rPr>
          <w:rFonts w:hint="eastAsia" w:ascii="宋体" w:hAnsi="宋体" w:cs="宋体"/>
          <w:b/>
          <w:sz w:val="36"/>
          <w:szCs w:val="36"/>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649"/>
        <w:gridCol w:w="1322"/>
        <w:gridCol w:w="1409"/>
        <w:gridCol w:w="2618"/>
        <w:gridCol w:w="1250"/>
      </w:tblGrid>
      <w:tr>
        <w:trPr>
          <w:trHeight w:val="476"/>
        </w:trPr>
        <w:tc>
          <w:tcPr>
            <w:tcW w:w="994" w:type="dxa"/>
            <w:vAlign w:val="center"/>
            <w:textDirection w:val="lrTb"/>
            <w:noWrap w:val="false"/>
          </w:tcPr>
          <w:p>
            <w:pPr>
              <w:pStyle w:val="756"/>
              <w:jc w:val="center"/>
              <w:rPr>
                <w:rFonts w:hint="eastAsia" w:ascii="宋体" w:hAnsi="宋体" w:cs="宋体"/>
                <w:sz w:val="24"/>
                <w:lang w:val="zh-CN"/>
              </w:rPr>
            </w:pPr>
            <w:r/>
            <w:bookmarkEnd w:id="84"/>
            <w:r>
              <w:rPr>
                <w:rFonts w:hint="eastAsia" w:ascii="宋体" w:hAnsi="宋体" w:cs="宋体"/>
                <w:sz w:val="24"/>
                <w:lang w:val="zh-CN"/>
              </w:rPr>
              <w:t xml:space="preserve">序号</w:t>
            </w:r>
            <w:r>
              <w:rPr>
                <w:rFonts w:hint="eastAsia" w:ascii="宋体" w:hAnsi="宋体" w:cs="宋体"/>
                <w:sz w:val="24"/>
                <w:lang w:val="zh-CN"/>
              </w:rPr>
            </w:r>
            <w:r/>
          </w:p>
        </w:tc>
        <w:tc>
          <w:tcPr>
            <w:tcW w:w="1649" w:type="dxa"/>
            <w:vAlign w:val="center"/>
            <w:textDirection w:val="lrTb"/>
            <w:noWrap w:val="false"/>
          </w:tcPr>
          <w:p>
            <w:pPr>
              <w:pStyle w:val="756"/>
              <w:jc w:val="center"/>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W w:w="1322" w:type="dxa"/>
            <w:vAlign w:val="center"/>
            <w:textDirection w:val="lrTb"/>
            <w:noWrap w:val="false"/>
          </w:tcPr>
          <w:p>
            <w:pPr>
              <w:pStyle w:val="756"/>
              <w:jc w:val="center"/>
              <w:rPr>
                <w:rFonts w:hint="eastAsia" w:ascii="宋体" w:hAnsi="宋体" w:cs="宋体"/>
                <w:sz w:val="24"/>
                <w:lang w:val="zh-CN"/>
              </w:rPr>
            </w:pPr>
            <w:r>
              <w:rPr>
                <w:rFonts w:hint="eastAsia" w:ascii="宋体" w:hAnsi="宋体" w:cs="宋体"/>
                <w:sz w:val="24"/>
                <w:lang w:val="zh-CN"/>
              </w:rPr>
              <w:t xml:space="preserve">合同号</w:t>
            </w:r>
            <w:r>
              <w:rPr>
                <w:rFonts w:hint="eastAsia" w:ascii="宋体" w:hAnsi="宋体" w:cs="宋体"/>
                <w:sz w:val="24"/>
                <w:lang w:val="zh-CN"/>
              </w:rPr>
            </w:r>
            <w:r/>
          </w:p>
        </w:tc>
        <w:tc>
          <w:tcPr>
            <w:tcW w:w="1409" w:type="dxa"/>
            <w:vAlign w:val="center"/>
            <w:textDirection w:val="lrTb"/>
            <w:noWrap w:val="false"/>
          </w:tcPr>
          <w:p>
            <w:pPr>
              <w:pStyle w:val="756"/>
              <w:jc w:val="center"/>
              <w:rPr>
                <w:rFonts w:hint="eastAsia" w:ascii="宋体" w:hAnsi="宋体" w:cs="宋体"/>
                <w:sz w:val="24"/>
                <w:lang w:val="zh-CN"/>
              </w:rPr>
            </w:pPr>
            <w:r>
              <w:rPr>
                <w:rFonts w:hint="eastAsia" w:ascii="宋体" w:hAnsi="宋体" w:cs="宋体"/>
                <w:sz w:val="24"/>
                <w:lang w:val="zh-CN"/>
              </w:rPr>
              <w:t xml:space="preserve">签约日期</w:t>
            </w:r>
            <w:r>
              <w:rPr>
                <w:rFonts w:hint="eastAsia" w:ascii="宋体" w:hAnsi="宋体" w:cs="宋体"/>
                <w:sz w:val="24"/>
                <w:lang w:val="zh-CN"/>
              </w:rPr>
            </w:r>
            <w:r/>
          </w:p>
        </w:tc>
        <w:tc>
          <w:tcPr>
            <w:tcW w:w="2618" w:type="dxa"/>
            <w:vAlign w:val="center"/>
            <w:textDirection w:val="lrTb"/>
            <w:noWrap w:val="false"/>
          </w:tcPr>
          <w:p>
            <w:pPr>
              <w:pStyle w:val="756"/>
              <w:jc w:val="center"/>
              <w:rPr>
                <w:rFonts w:hint="eastAsia" w:ascii="宋体" w:hAnsi="宋体" w:cs="宋体"/>
                <w:sz w:val="24"/>
                <w:lang w:val="zh-CN"/>
              </w:rPr>
            </w:pPr>
            <w:r>
              <w:rPr>
                <w:rFonts w:hint="eastAsia" w:ascii="宋体" w:hAnsi="宋体" w:cs="宋体"/>
                <w:sz w:val="24"/>
                <w:lang w:val="zh-CN"/>
              </w:rPr>
              <w:t xml:space="preserve">项目简介</w:t>
            </w:r>
            <w:r>
              <w:rPr>
                <w:rFonts w:hint="eastAsia" w:ascii="宋体" w:hAnsi="宋体" w:cs="宋体"/>
                <w:sz w:val="24"/>
                <w:lang w:val="zh-CN"/>
              </w:rPr>
            </w:r>
            <w:r/>
          </w:p>
        </w:tc>
        <w:tc>
          <w:tcPr>
            <w:tcW w:w="1250" w:type="dxa"/>
            <w:vAlign w:val="center"/>
            <w:textDirection w:val="lrTb"/>
            <w:noWrap w:val="false"/>
          </w:tcPr>
          <w:p>
            <w:pPr>
              <w:pStyle w:val="756"/>
              <w:jc w:val="center"/>
              <w:rPr>
                <w:rFonts w:hint="eastAsia" w:ascii="宋体" w:hAnsi="宋体" w:cs="宋体"/>
                <w:sz w:val="24"/>
                <w:lang w:val="zh-CN"/>
              </w:rPr>
            </w:pPr>
            <w:r>
              <w:rPr>
                <w:rFonts w:hint="eastAsia" w:ascii="宋体" w:hAnsi="宋体" w:cs="宋体"/>
                <w:sz w:val="24"/>
                <w:lang w:val="zh-CN"/>
              </w:rPr>
              <w:t xml:space="preserve">项目金额（元）</w:t>
            </w:r>
            <w:r>
              <w:rPr>
                <w:rFonts w:hint="eastAsia" w:ascii="宋体" w:hAnsi="宋体" w:cs="宋体"/>
                <w:sz w:val="24"/>
                <w:lang w:val="zh-CN"/>
              </w:rPr>
            </w:r>
            <w:r/>
          </w:p>
        </w:tc>
      </w:tr>
      <w:tr>
        <w:trPr>
          <w:trHeight w:val="476"/>
        </w:trPr>
        <w:tc>
          <w:tcPr>
            <w:tcW w:w="994"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64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322"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40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2618"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250"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r>
      <w:tr>
        <w:trPr>
          <w:trHeight w:val="476"/>
        </w:trPr>
        <w:tc>
          <w:tcPr>
            <w:tcW w:w="994"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64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322"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40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2618"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250"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r>
      <w:tr>
        <w:trPr>
          <w:trHeight w:val="476"/>
        </w:trPr>
        <w:tc>
          <w:tcPr>
            <w:tcW w:w="994"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64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322"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40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2618"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250"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r>
      <w:tr>
        <w:trPr>
          <w:trHeight w:val="476"/>
        </w:trPr>
        <w:tc>
          <w:tcPr>
            <w:tcW w:w="994"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64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322"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40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2618"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250"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r>
      <w:tr>
        <w:trPr>
          <w:trHeight w:val="476"/>
        </w:trPr>
        <w:tc>
          <w:tcPr>
            <w:tcW w:w="994"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64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322"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409"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2618"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c>
          <w:tcPr>
            <w:tcW w:w="1250" w:type="dxa"/>
            <w:vAlign w:val="top"/>
            <w:textDirection w:val="lrTb"/>
            <w:noWrap w:val="false"/>
          </w:tcPr>
          <w:p>
            <w:pPr>
              <w:pStyle w:val="756"/>
              <w:ind w:firstLine="420"/>
              <w:rPr>
                <w:rFonts w:hint="eastAsia" w:ascii="宋体" w:hAnsi="宋体" w:cs="宋体"/>
                <w:sz w:val="24"/>
                <w:lang w:val="zh-CN"/>
              </w:rPr>
            </w:pPr>
            <w:r>
              <w:rPr>
                <w:rFonts w:hint="eastAsia" w:ascii="宋体" w:hAnsi="宋体" w:cs="宋体"/>
                <w:sz w:val="24"/>
                <w:lang w:val="zh-CN"/>
              </w:rPr>
            </w:r>
            <w:r/>
          </w:p>
        </w:tc>
      </w:tr>
    </w:tbl>
    <w:p>
      <w:pPr>
        <w:pStyle w:val="756"/>
        <w:rPr>
          <w:rFonts w:hint="eastAsia" w:ascii="宋体" w:hAnsi="宋体" w:cs="宋体"/>
          <w:sz w:val="24"/>
          <w:lang w:val="zh-CN"/>
        </w:rPr>
      </w:pPr>
      <w:r>
        <w:rPr>
          <w:rFonts w:hint="eastAsia" w:ascii="宋体" w:hAnsi="宋体" w:cs="宋体"/>
          <w:sz w:val="24"/>
          <w:lang w:val="zh-CN"/>
        </w:rPr>
        <w:t xml:space="preserve">注：必须提供合同复印件。（如有，后附证明材料）</w:t>
      </w:r>
      <w:r>
        <w:rPr>
          <w:rFonts w:hint="eastAsia" w:ascii="宋体" w:hAnsi="宋体" w:cs="宋体"/>
          <w:sz w:val="24"/>
          <w:lang w:val="zh-CN"/>
        </w:rPr>
      </w:r>
      <w:r/>
    </w:p>
    <w:p>
      <w:pPr>
        <w:pStyle w:val="756"/>
        <w:ind w:firstLine="6240"/>
        <w:rPr>
          <w:rFonts w:hint="eastAsia" w:ascii="宋体" w:hAnsi="宋体" w:cs="宋体"/>
          <w:sz w:val="24"/>
          <w:lang w:val="zh-CN"/>
        </w:rPr>
      </w:pPr>
      <w:r>
        <w:rPr>
          <w:rFonts w:hint="eastAsia" w:ascii="宋体" w:hAnsi="宋体" w:cs="宋体"/>
          <w:sz w:val="24"/>
          <w:lang w:val="zh-CN"/>
        </w:rPr>
      </w:r>
      <w:r/>
    </w:p>
    <w:p>
      <w:pPr>
        <w:pStyle w:val="756"/>
        <w:ind w:left="2940" w:firstLine="420"/>
        <w:rPr>
          <w:rFonts w:hint="eastAsia" w:ascii="宋体" w:hAnsi="宋体" w:cs="宋体"/>
          <w:sz w:val="24"/>
          <w:lang w:val="zh-CN"/>
        </w:rPr>
      </w:pPr>
      <w:r>
        <w:rPr>
          <w:rFonts w:hint="eastAsia" w:ascii="宋体" w:hAnsi="宋体" w:cs="宋体"/>
          <w:sz w:val="24"/>
          <w:lang w:val="zh-CN"/>
        </w:rPr>
        <w:t xml:space="preserve">投标供应商名称（加盖电子公章）：</w:t>
      </w:r>
      <w:r>
        <w:rPr>
          <w:rFonts w:hint="eastAsia" w:ascii="宋体" w:hAnsi="宋体" w:cs="宋体"/>
          <w:sz w:val="24"/>
          <w:lang w:val="zh-CN"/>
        </w:rPr>
      </w:r>
      <w:r/>
    </w:p>
    <w:p>
      <w:pPr>
        <w:pStyle w:val="756"/>
        <w:ind w:left="2940" w:firstLine="420"/>
        <w:rPr>
          <w:rFonts w:hint="eastAsia" w:ascii="宋体" w:hAnsi="宋体" w:cs="宋体"/>
          <w:sz w:val="24"/>
        </w:rPr>
      </w:pPr>
      <w:r>
        <w:rPr>
          <w:rFonts w:hint="eastAsia" w:ascii="宋体" w:hAnsi="宋体" w:cs="宋体"/>
          <w:sz w:val="24"/>
          <w:lang w:val="zh-CN"/>
        </w:rPr>
        <w:t xml:space="preserve">日    期：</w:t>
      </w:r>
      <w:r>
        <w:rPr>
          <w:rFonts w:hint="eastAsia" w:ascii="宋体" w:hAnsi="宋体" w:cs="宋体"/>
          <w:sz w:val="24"/>
        </w:rPr>
        <w:t xml:space="preserve"> 年 月  日</w:t>
      </w:r>
      <w:r>
        <w:rPr>
          <w:rFonts w:hint="eastAsia" w:ascii="宋体" w:hAnsi="宋体" w:cs="宋体"/>
          <w:sz w:val="24"/>
        </w:rPr>
      </w:r>
      <w:r/>
    </w:p>
    <w:p>
      <w:pPr>
        <w:pStyle w:val="756"/>
        <w:jc w:val="left"/>
        <w:spacing w:line="288" w:lineRule="auto"/>
        <w:rPr>
          <w:rFonts w:hint="eastAsia" w:ascii="宋体" w:hAnsi="宋体" w:cs="宋体"/>
          <w:sz w:val="24"/>
        </w:rPr>
      </w:pPr>
      <w:r>
        <w:rPr>
          <w:rFonts w:hint="eastAsia" w:ascii="宋体" w:hAnsi="宋体" w:cs="宋体"/>
          <w:sz w:val="24"/>
        </w:rPr>
      </w:r>
      <w:r/>
    </w:p>
    <w:p>
      <w:pPr>
        <w:pStyle w:val="756"/>
        <w:jc w:val="left"/>
        <w:spacing w:line="288" w:lineRule="auto"/>
        <w:rPr>
          <w:rFonts w:hint="eastAsia" w:ascii="宋体" w:hAnsi="宋体" w:cs="宋体"/>
          <w:sz w:val="24"/>
        </w:rPr>
      </w:pPr>
      <w:r>
        <w:rPr>
          <w:rFonts w:hint="eastAsia" w:ascii="宋体" w:hAnsi="宋体" w:cs="宋体"/>
          <w:sz w:val="24"/>
        </w:rPr>
      </w:r>
      <w:r/>
    </w:p>
    <w:p>
      <w:pPr>
        <w:pStyle w:val="756"/>
        <w:jc w:val="left"/>
        <w:spacing w:line="288" w:lineRule="auto"/>
        <w:rPr>
          <w:rFonts w:hint="eastAsia" w:ascii="宋体" w:hAnsi="宋体" w:cs="宋体"/>
          <w:sz w:val="24"/>
        </w:rPr>
      </w:pPr>
      <w:r>
        <w:rPr>
          <w:rFonts w:hint="eastAsia" w:ascii="宋体" w:hAnsi="宋体" w:cs="宋体"/>
          <w:sz w:val="24"/>
        </w:rPr>
      </w:r>
      <w:r/>
    </w:p>
    <w:p>
      <w:pPr>
        <w:pStyle w:val="756"/>
        <w:jc w:val="left"/>
        <w:spacing w:line="288" w:lineRule="auto"/>
        <w:rPr>
          <w:rFonts w:hint="eastAsia" w:ascii="宋体" w:hAnsi="宋体" w:cs="宋体"/>
          <w:sz w:val="24"/>
        </w:rPr>
      </w:pPr>
      <w:r>
        <w:rPr>
          <w:rFonts w:hint="eastAsia" w:ascii="宋体" w:hAnsi="宋体" w:cs="宋体"/>
          <w:sz w:val="24"/>
        </w:rPr>
      </w:r>
      <w:r/>
    </w:p>
    <w:p>
      <w:pPr>
        <w:pStyle w:val="756"/>
        <w:ind w:firstLine="420"/>
        <w:spacing w:line="360" w:lineRule="auto"/>
        <w:rPr>
          <w:rFonts w:hint="eastAsia" w:ascii="宋体" w:hAnsi="宋体" w:cs="宋体"/>
          <w:b/>
          <w:sz w:val="24"/>
          <w:lang w:val="zh-CN"/>
        </w:rPr>
      </w:pPr>
      <w:r/>
      <w:bookmarkStart w:id="98" w:name="_Toc338684389"/>
      <w:r/>
      <w:bookmarkStart w:id="99" w:name="_Toc401304098"/>
      <w:r>
        <w:rPr>
          <w:rFonts w:hint="eastAsia" w:ascii="宋体" w:hAnsi="宋体" w:cs="宋体"/>
          <w:b/>
          <w:sz w:val="24"/>
          <w:lang w:val="zh-CN"/>
        </w:rPr>
      </w:r>
      <w:r/>
    </w:p>
    <w:p>
      <w:pPr>
        <w:pStyle w:val="756"/>
        <w:ind w:firstLine="420"/>
        <w:spacing w:line="360" w:lineRule="auto"/>
        <w:rPr>
          <w:rFonts w:hint="eastAsia" w:ascii="宋体" w:hAnsi="宋体" w:cs="宋体"/>
          <w:b/>
          <w:sz w:val="24"/>
          <w:lang w:val="zh-CN"/>
        </w:rPr>
      </w:pPr>
      <w:r>
        <w:rPr>
          <w:rFonts w:hint="eastAsia" w:ascii="宋体" w:hAnsi="宋体" w:cs="宋体"/>
          <w:b/>
          <w:sz w:val="24"/>
          <w:lang w:val="zh-CN"/>
        </w:rPr>
      </w:r>
      <w:r/>
    </w:p>
    <w:p>
      <w:pPr>
        <w:pStyle w:val="756"/>
        <w:ind w:firstLine="420"/>
        <w:spacing w:line="360" w:lineRule="auto"/>
        <w:rPr>
          <w:rFonts w:hint="eastAsia" w:ascii="宋体" w:hAnsi="宋体" w:cs="宋体"/>
          <w:b/>
          <w:sz w:val="24"/>
          <w:lang w:val="zh-CN"/>
        </w:rPr>
      </w:pPr>
      <w:r>
        <w:rPr>
          <w:rFonts w:hint="eastAsia" w:ascii="宋体" w:hAnsi="宋体" w:cs="宋体"/>
          <w:b/>
          <w:sz w:val="24"/>
          <w:lang w:val="zh-CN"/>
        </w:rPr>
      </w:r>
      <w:r/>
    </w:p>
    <w:p>
      <w:pPr>
        <w:pStyle w:val="756"/>
        <w:spacing w:line="360" w:lineRule="auto"/>
        <w:rPr>
          <w:rFonts w:hint="eastAsia" w:ascii="宋体" w:hAnsi="宋体" w:cs="宋体"/>
          <w:b/>
          <w:sz w:val="24"/>
        </w:rPr>
        <w:outlineLvl w:val="1"/>
      </w:pPr>
      <w:r>
        <w:rPr>
          <w:rFonts w:hint="eastAsia" w:ascii="宋体" w:hAnsi="宋体" w:cs="宋体"/>
          <w:b/>
          <w:sz w:val="24"/>
          <w:lang w:val="zh-CN"/>
        </w:rPr>
        <w:br w:type="page" w:clear="all"/>
      </w:r>
      <w:bookmarkStart w:id="100" w:name="_Toc21283"/>
      <w:r/>
      <w:bookmarkStart w:id="101" w:name="_Toc19591"/>
      <w:r/>
      <w:bookmarkStart w:id="102" w:name="_Toc455"/>
      <w:r/>
      <w:bookmarkStart w:id="103" w:name="_Toc22069"/>
      <w:r/>
      <w:bookmarkStart w:id="104" w:name="_Toc12493"/>
      <w:r/>
      <w:bookmarkStart w:id="105" w:name="_Toc8852"/>
      <w:r/>
      <w:bookmarkStart w:id="106" w:name="_Toc7007"/>
      <w:r>
        <w:rPr>
          <w:rFonts w:hint="eastAsia" w:ascii="宋体" w:hAnsi="宋体" w:cs="宋体"/>
          <w:b/>
          <w:sz w:val="24"/>
        </w:rPr>
        <w:t xml:space="preserve">格式九</w:t>
      </w:r>
      <w:r>
        <w:rPr>
          <w:rFonts w:hint="eastAsia" w:ascii="宋体" w:hAnsi="宋体" w:cs="宋体"/>
          <w:b/>
          <w:sz w:val="24"/>
          <w:lang w:val="zh-CN"/>
        </w:rPr>
        <w:t xml:space="preserve">、</w:t>
      </w:r>
      <w:bookmarkEnd w:id="100"/>
      <w:r/>
      <w:bookmarkEnd w:id="101"/>
      <w:r/>
      <w:bookmarkEnd w:id="102"/>
      <w:r/>
      <w:bookmarkEnd w:id="103"/>
      <w:r/>
      <w:bookmarkEnd w:id="104"/>
      <w:r>
        <w:rPr>
          <w:rFonts w:hint="eastAsia" w:ascii="宋体" w:hAnsi="宋体" w:cs="宋体"/>
          <w:b/>
          <w:sz w:val="24"/>
        </w:rPr>
        <w:t xml:space="preserve">资格证明</w:t>
      </w:r>
      <w:bookmarkEnd w:id="105"/>
      <w:r>
        <w:rPr>
          <w:rFonts w:hint="eastAsia" w:ascii="宋体" w:hAnsi="宋体" w:cs="宋体"/>
          <w:b/>
          <w:sz w:val="24"/>
        </w:rPr>
        <w:t xml:space="preserve">文件</w:t>
      </w:r>
      <w:bookmarkEnd w:id="106"/>
      <w:r>
        <w:rPr>
          <w:rFonts w:hint="eastAsia" w:ascii="宋体" w:hAnsi="宋体" w:cs="宋体"/>
          <w:b/>
          <w:sz w:val="24"/>
        </w:rPr>
      </w:r>
      <w:r/>
    </w:p>
    <w:p>
      <w:pPr>
        <w:pStyle w:val="756"/>
        <w:ind w:firstLine="420"/>
        <w:spacing w:line="360" w:lineRule="auto"/>
        <w:rPr>
          <w:rFonts w:hint="eastAsia" w:ascii="宋体" w:hAnsi="宋体" w:cs="宋体"/>
          <w:bCs/>
          <w:szCs w:val="21"/>
        </w:rPr>
      </w:pPr>
      <w:r/>
      <w:bookmarkStart w:id="107" w:name="_Toc422907304"/>
      <w:r/>
      <w:bookmarkStart w:id="108" w:name="_Toc29386373"/>
      <w:r/>
      <w:bookmarkStart w:id="109" w:name="_Toc11051734"/>
      <w:r>
        <w:rPr>
          <w:rFonts w:hint="eastAsia" w:ascii="宋体" w:hAnsi="宋体" w:cs="宋体"/>
          <w:bCs/>
          <w:szCs w:val="21"/>
        </w:rPr>
        <w:t xml:space="preserve">1.具有独立承担民事责任的能力（提供法人或者其他组织的营业执照；供应商为自然人的，提供其身份证）；</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2.具有良好的商业信誉和健全的财务会计制度（提供2023年度的财务报表</w:t>
      </w:r>
      <w:r>
        <w:rPr>
          <w:bCs/>
          <w:szCs w:val="21"/>
        </w:rPr>
        <w:t xml:space="preserve">（成立不满一年的提供至少一个月）</w:t>
      </w:r>
      <w:r>
        <w:rPr>
          <w:rFonts w:hint="eastAsia" w:ascii="宋体" w:hAnsi="宋体" w:cs="宋体"/>
          <w:bCs/>
          <w:szCs w:val="21"/>
        </w:rPr>
        <w:t xml:space="preserve">，或投标截止时间前六个月内银行出具的资信证明）；</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4.有依法缴纳税收和社会保障资金的良好记录（提供参加本次政府采购活动前半年内(至少一个月)缴纳税收的凭证以及缴纳社会保险的凭据，依法享受免缴、缓缴的，提供证明材料）；</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rPr>
          <w:rFonts w:hint="eastAsia" w:ascii="宋体" w:hAnsi="宋体" w:cs="宋体"/>
          <w:bCs/>
          <w:szCs w:val="21"/>
        </w:rPr>
      </w:r>
      <w:r/>
    </w:p>
    <w:p>
      <w:pPr>
        <w:pStyle w:val="756"/>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rPr>
          <w:rFonts w:hint="eastAsia" w:ascii="宋体" w:hAnsi="宋体" w:cs="宋体"/>
          <w:bCs/>
          <w:szCs w:val="21"/>
        </w:rPr>
      </w:r>
      <w:r/>
    </w:p>
    <w:p>
      <w:pPr>
        <w:pStyle w:val="758"/>
        <w:spacing w:line="413" w:lineRule="auto"/>
        <w:rPr>
          <w:rFonts w:hint="eastAsia" w:ascii="宋体" w:hAnsi="宋体" w:cs="宋体"/>
          <w:sz w:val="24"/>
          <w:szCs w:val="24"/>
          <w:lang w:val="zh-CN"/>
        </w:rPr>
      </w:pPr>
      <w:r>
        <w:rPr>
          <w:rFonts w:hint="eastAsia" w:ascii="宋体" w:hAnsi="宋体" w:cs="宋体"/>
          <w:sz w:val="24"/>
          <w:szCs w:val="24"/>
          <w:lang w:val="zh-CN"/>
        </w:rPr>
        <w:br w:type="page" w:clear="all"/>
      </w:r>
      <w:bookmarkEnd w:id="98"/>
      <w:r/>
      <w:bookmarkStart w:id="110" w:name="_Toc6669"/>
      <w:r/>
      <w:bookmarkStart w:id="111" w:name="_Toc31767"/>
      <w:r/>
      <w:bookmarkStart w:id="112" w:name="_Toc767"/>
      <w:r/>
      <w:bookmarkStart w:id="113" w:name="_Toc12470"/>
      <w:r/>
      <w:bookmarkStart w:id="114" w:name="_Toc25954"/>
      <w:r/>
      <w:bookmarkStart w:id="115" w:name="_Toc25731"/>
      <w:r/>
      <w:bookmarkStart w:id="116" w:name="_Toc26299"/>
      <w:r>
        <w:rPr>
          <w:rFonts w:hint="eastAsia" w:ascii="宋体" w:hAnsi="宋体" w:cs="宋体"/>
          <w:sz w:val="24"/>
          <w:szCs w:val="24"/>
        </w:rPr>
        <w:t xml:space="preserve">格式十</w:t>
      </w:r>
      <w:r>
        <w:rPr>
          <w:rFonts w:hint="eastAsia" w:ascii="宋体" w:hAnsi="宋体" w:cs="宋体"/>
          <w:sz w:val="24"/>
          <w:szCs w:val="24"/>
          <w:lang w:val="zh-CN"/>
        </w:rPr>
        <w:t xml:space="preserve">、</w:t>
      </w:r>
      <w:bookmarkEnd w:id="99"/>
      <w:r/>
      <w:bookmarkEnd w:id="107"/>
      <w:r>
        <w:rPr>
          <w:rFonts w:hint="eastAsia" w:ascii="宋体" w:hAnsi="宋体" w:cs="宋体"/>
          <w:sz w:val="24"/>
          <w:szCs w:val="24"/>
          <w:lang w:val="en-US" w:eastAsia="zh-CN"/>
        </w:rPr>
        <w:t xml:space="preserve">服务</w:t>
      </w:r>
      <w:r>
        <w:rPr>
          <w:rFonts w:hint="eastAsia" w:ascii="宋体" w:hAnsi="宋体" w:cs="宋体"/>
          <w:sz w:val="24"/>
          <w:szCs w:val="24"/>
          <w:lang w:val="zh-CN"/>
        </w:rPr>
        <w:t xml:space="preserve">方案</w:t>
      </w:r>
      <w:bookmarkEnd w:id="108"/>
      <w:r/>
      <w:bookmarkEnd w:id="109"/>
      <w:r/>
      <w:bookmarkEnd w:id="110"/>
      <w:r/>
      <w:bookmarkEnd w:id="111"/>
      <w:r/>
      <w:bookmarkEnd w:id="112"/>
      <w:r/>
      <w:bookmarkEnd w:id="113"/>
      <w:r/>
      <w:bookmarkEnd w:id="114"/>
      <w:r/>
      <w:bookmarkEnd w:id="115"/>
      <w:r/>
      <w:bookmarkEnd w:id="116"/>
      <w:r>
        <w:rPr>
          <w:rFonts w:hint="eastAsia" w:ascii="宋体" w:hAnsi="宋体" w:cs="宋体"/>
          <w:sz w:val="24"/>
          <w:szCs w:val="24"/>
          <w:lang w:val="zh-CN"/>
        </w:rPr>
      </w:r>
      <w:r/>
    </w:p>
    <w:p>
      <w:pPr>
        <w:pStyle w:val="756"/>
        <w:ind w:firstLine="480"/>
        <w:jc w:val="center"/>
        <w:spacing w:line="360" w:lineRule="auto"/>
        <w:rPr>
          <w:rFonts w:hint="eastAsia" w:ascii="宋体" w:hAnsi="宋体" w:cs="宋体"/>
          <w:sz w:val="24"/>
        </w:rPr>
      </w:pPr>
      <w:r>
        <w:rPr>
          <w:rFonts w:hint="eastAsia" w:ascii="宋体" w:hAnsi="宋体" w:cs="宋体"/>
          <w:sz w:val="24"/>
        </w:rPr>
        <w:t xml:space="preserve">（格式自拟）</w:t>
      </w:r>
      <w:r>
        <w:rPr>
          <w:rFonts w:hint="eastAsia" w:ascii="宋体" w:hAnsi="宋体" w:cs="宋体"/>
          <w:sz w:val="24"/>
        </w:rPr>
      </w:r>
      <w:r/>
    </w:p>
    <w:p>
      <w:pPr>
        <w:pStyle w:val="756"/>
        <w:rPr>
          <w:rFonts w:hint="eastAsia" w:ascii="宋体" w:hAnsi="宋体" w:cs="宋体"/>
          <w:sz w:val="24"/>
        </w:rPr>
      </w:pPr>
      <w:r>
        <w:rPr>
          <w:rFonts w:hint="eastAsia" w:ascii="宋体" w:hAnsi="宋体" w:cs="宋体"/>
          <w:sz w:val="24"/>
        </w:rPr>
      </w:r>
      <w:r/>
    </w:p>
    <w:p>
      <w:pPr>
        <w:pStyle w:val="756"/>
        <w:rPr>
          <w:rFonts w:hint="eastAsia" w:ascii="宋体" w:hAnsi="宋体" w:cs="宋体"/>
          <w:sz w:val="24"/>
        </w:rPr>
      </w:pPr>
      <w:r>
        <w:rPr>
          <w:rFonts w:hint="eastAsia" w:ascii="宋体" w:hAnsi="宋体" w:cs="宋体"/>
          <w:sz w:val="24"/>
        </w:rPr>
      </w:r>
      <w:r/>
    </w:p>
    <w:p>
      <w:pPr>
        <w:pStyle w:val="756"/>
        <w:rPr>
          <w:rFonts w:hint="eastAsia" w:ascii="宋体" w:hAnsi="宋体" w:cs="宋体"/>
          <w:sz w:val="24"/>
        </w:rPr>
      </w:pPr>
      <w:r>
        <w:rPr>
          <w:rFonts w:hint="eastAsia" w:ascii="宋体" w:hAnsi="宋体" w:cs="宋体"/>
          <w:sz w:val="24"/>
        </w:rPr>
      </w:r>
      <w:r/>
    </w:p>
    <w:p>
      <w:pPr>
        <w:pStyle w:val="756"/>
        <w:rPr>
          <w:rFonts w:hint="eastAsia" w:ascii="宋体" w:hAnsi="宋体" w:cs="宋体"/>
          <w:sz w:val="24"/>
        </w:rPr>
      </w:pPr>
      <w:r>
        <w:rPr>
          <w:rFonts w:hint="eastAsia" w:ascii="宋体" w:hAnsi="宋体" w:cs="宋体"/>
          <w:sz w:val="24"/>
        </w:rPr>
      </w:r>
      <w:r/>
    </w:p>
    <w:p>
      <w:pPr>
        <w:pStyle w:val="758"/>
        <w:spacing w:line="413" w:lineRule="auto"/>
        <w:rPr>
          <w:rFonts w:hint="eastAsia" w:ascii="宋体" w:hAnsi="宋体" w:cs="宋体"/>
          <w:sz w:val="24"/>
          <w:szCs w:val="24"/>
          <w:lang w:val="zh-CN"/>
        </w:rPr>
      </w:pPr>
      <w:r/>
      <w:bookmarkStart w:id="117" w:name="_Toc11051735"/>
      <w:r/>
      <w:bookmarkStart w:id="118" w:name="_Toc29386374"/>
      <w:r/>
      <w:bookmarkStart w:id="119" w:name="_Toc401304099"/>
      <w:r/>
      <w:bookmarkStart w:id="120" w:name="_Toc422907305"/>
      <w:r>
        <w:rPr>
          <w:rFonts w:hint="eastAsia" w:ascii="宋体" w:hAnsi="宋体" w:cs="宋体"/>
          <w:sz w:val="24"/>
          <w:szCs w:val="24"/>
          <w:lang w:val="zh-CN"/>
        </w:rPr>
        <w:br w:type="page" w:clear="all"/>
      </w:r>
      <w:bookmarkStart w:id="121" w:name="_Toc19008"/>
      <w:r/>
      <w:bookmarkStart w:id="122" w:name="_Toc32501"/>
      <w:r/>
      <w:bookmarkStart w:id="123" w:name="_Toc2918"/>
      <w:r/>
      <w:bookmarkStart w:id="124" w:name="_Toc8293"/>
      <w:r/>
      <w:bookmarkStart w:id="125" w:name="_Toc4345"/>
      <w:r/>
      <w:bookmarkStart w:id="126" w:name="_Toc1275"/>
      <w:r/>
      <w:bookmarkStart w:id="127" w:name="_Toc20878"/>
      <w:r>
        <w:rPr>
          <w:rFonts w:hint="eastAsia" w:ascii="宋体" w:hAnsi="宋体" w:cs="宋体"/>
          <w:sz w:val="24"/>
          <w:szCs w:val="24"/>
        </w:rPr>
        <w:t xml:space="preserve">格式</w:t>
      </w:r>
      <w:r>
        <w:rPr>
          <w:rFonts w:hint="eastAsia" w:ascii="宋体" w:hAnsi="宋体" w:cs="宋体"/>
          <w:sz w:val="24"/>
          <w:szCs w:val="24"/>
          <w:lang w:val="zh-CN"/>
        </w:rPr>
        <w:t xml:space="preserve">十</w:t>
      </w:r>
      <w:r>
        <w:rPr>
          <w:rFonts w:hint="eastAsia" w:ascii="宋体" w:hAnsi="宋体" w:cs="宋体"/>
          <w:sz w:val="24"/>
          <w:szCs w:val="24"/>
        </w:rPr>
        <w:t xml:space="preserve">一</w:t>
      </w:r>
      <w:r>
        <w:rPr>
          <w:rFonts w:hint="eastAsia" w:ascii="宋体" w:hAnsi="宋体" w:cs="宋体"/>
          <w:sz w:val="24"/>
          <w:szCs w:val="24"/>
          <w:lang w:val="zh-CN"/>
        </w:rPr>
        <w:t xml:space="preserve">、中小企业声明函</w:t>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sz w:val="24"/>
          <w:szCs w:val="24"/>
        </w:rPr>
        <w:t xml:space="preserve">格式</w:t>
      </w:r>
      <w:bookmarkEnd w:id="127"/>
      <w:r>
        <w:rPr>
          <w:rFonts w:hint="eastAsia" w:ascii="宋体" w:hAnsi="宋体" w:cs="宋体"/>
          <w:sz w:val="24"/>
          <w:szCs w:val="24"/>
          <w:lang w:val="zh-CN"/>
        </w:rPr>
      </w:r>
      <w:r/>
    </w:p>
    <w:p>
      <w:pPr>
        <w:pStyle w:val="756"/>
        <w:jc w:val="left"/>
        <w:spacing w:line="288" w:lineRule="auto"/>
        <w:rPr>
          <w:rFonts w:hint="eastAsia" w:ascii="宋体" w:hAnsi="宋体" w:cs="宋体"/>
          <w:sz w:val="24"/>
        </w:rPr>
      </w:pPr>
      <w:r>
        <w:rPr>
          <w:rFonts w:hint="eastAsia" w:ascii="宋体" w:hAnsi="宋体" w:cs="宋体"/>
          <w:sz w:val="24"/>
        </w:rPr>
      </w:r>
      <w:r/>
    </w:p>
    <w:p>
      <w:pPr>
        <w:pStyle w:val="756"/>
        <w:jc w:val="center"/>
        <w:spacing w:line="360" w:lineRule="auto"/>
        <w:shd w:val="clear" w:color="auto" w:fill="ffffff"/>
        <w:widowControl/>
        <w:rPr>
          <w:rFonts w:hint="eastAsia" w:ascii="宋体" w:hAnsi="宋体" w:cs="宋体"/>
          <w:b/>
          <w:sz w:val="36"/>
          <w:szCs w:val="36"/>
          <w:lang w:val="zh-CN"/>
        </w:rPr>
      </w:pPr>
      <w:r>
        <w:rPr>
          <w:rFonts w:hint="eastAsia" w:ascii="宋体" w:hAnsi="宋体" w:cs="宋体"/>
          <w:b/>
          <w:sz w:val="36"/>
          <w:szCs w:val="36"/>
          <w:lang w:val="zh-CN"/>
        </w:rPr>
        <w:t xml:space="preserve">中小企业声明函（货物）</w:t>
      </w:r>
      <w:r>
        <w:rPr>
          <w:rFonts w:hint="eastAsia" w:ascii="宋体" w:hAnsi="宋体" w:cs="宋体"/>
          <w:b/>
          <w:sz w:val="36"/>
          <w:szCs w:val="36"/>
          <w:lang w:val="zh-CN"/>
        </w:rPr>
      </w:r>
      <w:r/>
    </w:p>
    <w:p>
      <w:pPr>
        <w:pStyle w:val="756"/>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rPr>
          <w:rFonts w:hint="eastAsia" w:ascii="宋体" w:hAnsi="宋体" w:cs="宋体"/>
          <w:szCs w:val="21"/>
        </w:rPr>
      </w:r>
      <w:r/>
    </w:p>
    <w:p>
      <w:pPr>
        <w:pStyle w:val="756"/>
        <w:ind w:firstLine="360"/>
        <w:spacing w:line="360" w:lineRule="auto"/>
        <w:rPr>
          <w:rFonts w:hint="eastAsia" w:ascii="宋体" w:hAnsi="宋体" w:cs="宋体"/>
          <w:i/>
          <w:szCs w:val="21"/>
          <w:u w:val="single"/>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(采购文件中明确的所属行业） </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rPr>
          <w:rFonts w:hint="eastAsia" w:ascii="宋体" w:hAnsi="宋体" w:cs="宋体"/>
          <w:i/>
          <w:szCs w:val="21"/>
          <w:u w:val="single"/>
        </w:rPr>
      </w:r>
      <w:r/>
    </w:p>
    <w:p>
      <w:pPr>
        <w:pStyle w:val="756"/>
        <w:ind w:firstLine="360"/>
        <w:spacing w:line="360" w:lineRule="auto"/>
        <w:rPr>
          <w:rFonts w:hint="eastAsia" w:ascii="宋体" w:hAnsi="宋体" w:cs="宋体"/>
          <w:i/>
          <w:szCs w:val="21"/>
          <w:u w:val="single"/>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(采购文件中明确的所属行业） </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rPr>
          <w:rFonts w:hint="eastAsia" w:ascii="宋体" w:hAnsi="宋体" w:cs="宋体"/>
          <w:i/>
          <w:szCs w:val="21"/>
          <w:u w:val="single"/>
        </w:rPr>
      </w:r>
      <w:r/>
    </w:p>
    <w:p>
      <w:pPr>
        <w:pStyle w:val="756"/>
        <w:ind w:firstLine="36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756"/>
        <w:ind w:firstLine="36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756"/>
        <w:ind w:firstLine="36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756"/>
        <w:ind w:firstLine="360"/>
        <w:spacing w:line="360" w:lineRule="auto"/>
        <w:rPr>
          <w:rFonts w:hint="eastAsia" w:ascii="宋体" w:hAnsi="宋体" w:cs="宋体"/>
          <w:szCs w:val="21"/>
        </w:rPr>
      </w:pPr>
      <w:r>
        <w:rPr>
          <w:rFonts w:hint="eastAsia" w:ascii="宋体" w:hAnsi="宋体" w:cs="宋体"/>
          <w:szCs w:val="21"/>
        </w:rPr>
      </w:r>
      <w:r/>
    </w:p>
    <w:p>
      <w:pPr>
        <w:pStyle w:val="756"/>
        <w:ind w:left="462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企业名称（</w:t>
      </w:r>
      <w:r>
        <w:rPr>
          <w:rFonts w:hint="eastAsia" w:ascii="宋体" w:hAnsi="宋体" w:cs="宋体"/>
          <w:szCs w:val="21"/>
          <w:lang w:val="zh-CN"/>
        </w:rPr>
        <w:t xml:space="preserve">加盖电子公章</w:t>
      </w:r>
      <w:r>
        <w:rPr>
          <w:rFonts w:hint="eastAsia" w:ascii="宋体" w:hAnsi="宋体" w:cs="宋体"/>
          <w:color w:val="000000"/>
          <w:szCs w:val="21"/>
        </w:rPr>
        <w:t xml:space="preserve">）：</w:t>
      </w:r>
      <w:r>
        <w:rPr>
          <w:rFonts w:hint="eastAsia" w:ascii="宋体" w:hAnsi="宋体" w:cs="宋体"/>
          <w:color w:val="000000"/>
          <w:szCs w:val="21"/>
        </w:rPr>
      </w:r>
      <w:r/>
    </w:p>
    <w:p>
      <w:pPr>
        <w:pStyle w:val="756"/>
        <w:ind w:left="462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日 期： </w:t>
      </w:r>
      <w:r>
        <w:rPr>
          <w:rFonts w:hint="eastAsia" w:ascii="宋体" w:hAnsi="宋体" w:cs="宋体"/>
          <w:color w:val="000000"/>
          <w:szCs w:val="21"/>
        </w:rPr>
      </w:r>
      <w:r/>
    </w:p>
    <w:p>
      <w:pPr>
        <w:pStyle w:val="756"/>
        <w:ind w:left="14"/>
        <w:spacing w:before="244" w:line="241" w:lineRule="exact"/>
        <w:tabs>
          <w:tab w:val="left" w:pos="2893" w:leader="none"/>
        </w:tabs>
        <w:rPr>
          <w:rFonts w:hint="eastAsia" w:ascii="宋体" w:hAnsi="宋体" w:cs="宋体"/>
          <w:szCs w:val="21"/>
        </w:rPr>
      </w:pPr>
      <w:r>
        <w:rPr>
          <w:rFonts w:hint="eastAsia" w:ascii="宋体" w:hAnsi="宋体" w:cs="宋体"/>
          <w:szCs w:val="21"/>
          <w:u w:val="single"/>
        </w:rPr>
        <w:tab/>
      </w:r>
      <w:r>
        <w:rPr>
          <w:rFonts w:hint="eastAsia" w:ascii="宋体" w:hAnsi="宋体" w:cs="宋体"/>
          <w:szCs w:val="21"/>
        </w:rPr>
      </w:r>
      <w:r/>
    </w:p>
    <w:p>
      <w:pPr>
        <w:pStyle w:val="756"/>
        <w:spacing w:line="360" w:lineRule="auto"/>
        <w:widowControl/>
        <w:rPr>
          <w:rFonts w:hint="eastAsia" w:ascii="宋体" w:hAnsi="宋体" w:cs="宋体"/>
          <w:b/>
          <w:szCs w:val="21"/>
        </w:rPr>
      </w:pPr>
      <w:r>
        <w:rPr>
          <w:rFonts w:hint="eastAsia" w:ascii="宋体" w:hAnsi="宋体" w:cs="宋体"/>
          <w:position w:val="6"/>
          <w:szCs w:val="21"/>
        </w:rPr>
        <w:t xml:space="preserve">1</w:t>
      </w:r>
      <w:r>
        <w:rPr>
          <w:rFonts w:hint="eastAsia" w:ascii="宋体" w:hAnsi="宋体" w:cs="宋体"/>
          <w:szCs w:val="21"/>
        </w:rPr>
        <w:t xml:space="preserve">从业人员、营业收入、资产总额填报上一年度数据，无上一年度数</w:t>
      </w:r>
      <w:r>
        <w:rPr>
          <w:rFonts w:hint="eastAsia" w:ascii="宋体" w:hAnsi="宋体" w:cs="宋体"/>
          <w:spacing w:val="-1"/>
          <w:szCs w:val="21"/>
        </w:rPr>
        <w:t xml:space="preserve">据的新成立企业可不填报。</w:t>
      </w:r>
      <w:r>
        <w:rPr>
          <w:rFonts w:hint="eastAsia" w:ascii="宋体" w:hAnsi="宋体" w:cs="宋体"/>
          <w:b/>
          <w:szCs w:val="21"/>
        </w:rPr>
      </w:r>
      <w:r/>
    </w:p>
    <w:p>
      <w:pPr>
        <w:pStyle w:val="756"/>
        <w:jc w:val="left"/>
        <w:spacing w:line="288" w:lineRule="auto"/>
        <w:rPr>
          <w:rFonts w:hint="eastAsia" w:ascii="宋体" w:hAnsi="宋体" w:cs="宋体"/>
          <w:szCs w:val="21"/>
        </w:rPr>
      </w:pPr>
      <w:r>
        <w:rPr>
          <w:rFonts w:hint="eastAsia" w:ascii="宋体" w:hAnsi="宋体" w:cs="宋体"/>
          <w:szCs w:val="21"/>
        </w:rPr>
      </w:r>
      <w:r/>
    </w:p>
    <w:p>
      <w:pPr>
        <w:pStyle w:val="756"/>
        <w:spacing w:line="360" w:lineRule="auto"/>
        <w:rPr>
          <w:rFonts w:hint="eastAsia" w:ascii="宋体" w:hAnsi="宋体" w:cs="宋体"/>
          <w:b/>
          <w:sz w:val="24"/>
          <w:lang w:val="zh-CN"/>
        </w:rPr>
      </w:pPr>
      <w:r>
        <w:rPr>
          <w:rFonts w:hint="eastAsia" w:ascii="宋体" w:hAnsi="宋体" w:cs="宋体"/>
          <w:b/>
          <w:sz w:val="24"/>
          <w:lang w:val="zh-CN"/>
        </w:rPr>
      </w:r>
      <w:r/>
    </w:p>
    <w:p>
      <w:pPr>
        <w:pStyle w:val="756"/>
        <w:ind w:left="4620" w:firstLine="420"/>
        <w:rPr>
          <w:rFonts w:hint="eastAsia" w:ascii="宋体" w:hAnsi="宋体" w:cs="宋体"/>
          <w:sz w:val="24"/>
        </w:rPr>
      </w:pPr>
      <w:r/>
      <w:bookmarkStart w:id="128" w:name="_Toc29386375"/>
      <w:r/>
      <w:bookmarkStart w:id="129" w:name="_Toc401304100"/>
      <w:r/>
      <w:bookmarkStart w:id="130" w:name="_Toc338684390"/>
      <w:r/>
      <w:bookmarkStart w:id="131" w:name="_Toc422907306"/>
      <w:r/>
      <w:bookmarkStart w:id="132" w:name="_Toc11051736"/>
      <w:r>
        <w:rPr>
          <w:rFonts w:hint="eastAsia" w:ascii="宋体" w:hAnsi="宋体" w:cs="宋体"/>
          <w:b/>
          <w:sz w:val="24"/>
          <w:lang w:val="zh-CN"/>
        </w:rPr>
        <w:br w:type="page" w:clear="all"/>
      </w:r>
      <w:bookmarkEnd w:id="128"/>
      <w:r/>
      <w:bookmarkEnd w:id="129"/>
      <w:r/>
      <w:bookmarkEnd w:id="130"/>
      <w:r/>
      <w:bookmarkEnd w:id="131"/>
      <w:r/>
      <w:bookmarkEnd w:id="132"/>
      <w:r>
        <w:rPr>
          <w:rFonts w:hint="eastAsia" w:ascii="宋体" w:hAnsi="宋体" w:cs="宋体"/>
          <w:sz w:val="24"/>
        </w:rPr>
      </w:r>
      <w:r/>
    </w:p>
    <w:p>
      <w:pPr>
        <w:pStyle w:val="758"/>
        <w:spacing w:line="413" w:lineRule="auto"/>
        <w:tabs>
          <w:tab w:val="left" w:pos="8820" w:leader="none"/>
        </w:tabs>
        <w:rPr>
          <w:rFonts w:hint="eastAsia" w:ascii="宋体" w:hAnsi="宋体" w:cs="宋体"/>
          <w:sz w:val="24"/>
          <w:szCs w:val="24"/>
          <w:lang w:val="zh-CN"/>
        </w:rPr>
      </w:pPr>
      <w:r/>
      <w:bookmarkStart w:id="133" w:name="_Toc12125"/>
      <w:r/>
      <w:bookmarkStart w:id="134" w:name="_Toc17073"/>
      <w:r/>
      <w:bookmarkStart w:id="135" w:name="_Toc3575"/>
      <w:r/>
      <w:bookmarkStart w:id="136" w:name="_Toc3680"/>
      <w:r/>
      <w:bookmarkStart w:id="137" w:name="_Toc20366"/>
      <w:r/>
      <w:bookmarkStart w:id="138" w:name="_Toc15629"/>
      <w:r/>
      <w:bookmarkStart w:id="139" w:name="_Toc19408"/>
      <w:r/>
      <w:bookmarkStart w:id="140" w:name="_Toc23056"/>
      <w:r/>
      <w:bookmarkStart w:id="141" w:name="_Toc26405"/>
      <w:r/>
      <w:bookmarkStart w:id="142" w:name="_Toc3534"/>
      <w:r/>
      <w:bookmarkStart w:id="143" w:name="_Toc5281"/>
      <w:r/>
      <w:bookmarkStart w:id="144" w:name="_Toc17036"/>
      <w:r/>
      <w:bookmarkStart w:id="145" w:name="_Toc28097"/>
      <w:r/>
      <w:bookmarkStart w:id="146" w:name="_Toc16589"/>
      <w:r/>
      <w:bookmarkStart w:id="147" w:name="_Toc29386376"/>
      <w:r>
        <w:rPr>
          <w:rFonts w:hint="eastAsia" w:ascii="宋体" w:hAnsi="宋体" w:cs="宋体"/>
          <w:sz w:val="24"/>
          <w:szCs w:val="24"/>
        </w:rPr>
        <w:t xml:space="preserve">格式</w:t>
      </w:r>
      <w:r>
        <w:rPr>
          <w:rFonts w:hint="eastAsia" w:ascii="宋体" w:hAnsi="宋体" w:cs="宋体"/>
          <w:sz w:val="24"/>
          <w:szCs w:val="24"/>
          <w:lang w:val="zh-CN"/>
        </w:rPr>
        <w:t xml:space="preserve">十</w:t>
      </w:r>
      <w:r>
        <w:rPr>
          <w:rFonts w:hint="eastAsia" w:ascii="宋体" w:hAnsi="宋体" w:cs="宋体"/>
          <w:sz w:val="24"/>
          <w:szCs w:val="24"/>
        </w:rPr>
        <w:t xml:space="preserve">二</w:t>
      </w:r>
      <w:r>
        <w:rPr>
          <w:rFonts w:hint="eastAsia" w:ascii="宋体" w:hAnsi="宋体" w:cs="宋体"/>
          <w:sz w:val="24"/>
          <w:szCs w:val="24"/>
          <w:lang w:val="zh-CN"/>
        </w:rPr>
        <w:t xml:space="preserve">、无重大违法记录声明</w:t>
      </w:r>
      <w:bookmarkEnd w:id="133"/>
      <w:r/>
      <w:bookmarkEnd w:id="134"/>
      <w:r/>
      <w:bookmarkEnd w:id="135"/>
      <w:r/>
      <w:bookmarkEnd w:id="136"/>
      <w:r/>
      <w:bookmarkEnd w:id="137"/>
      <w:r>
        <w:rPr>
          <w:rFonts w:hint="eastAsia" w:ascii="宋体" w:hAnsi="宋体" w:cs="宋体"/>
          <w:sz w:val="24"/>
          <w:szCs w:val="24"/>
          <w:lang w:val="zh-CN"/>
        </w:rPr>
      </w:r>
      <w:r/>
    </w:p>
    <w:p>
      <w:pPr>
        <w:pStyle w:val="756"/>
        <w:jc w:val="center"/>
        <w:spacing w:line="360" w:lineRule="auto"/>
        <w:rPr>
          <w:rFonts w:hint="eastAsia" w:ascii="宋体" w:hAnsi="宋体" w:cs="宋体"/>
          <w:sz w:val="24"/>
        </w:rPr>
      </w:pPr>
      <w:r>
        <w:rPr>
          <w:rFonts w:hint="eastAsia" w:ascii="宋体" w:hAnsi="宋体" w:cs="宋体"/>
          <w:sz w:val="24"/>
        </w:rPr>
      </w:r>
      <w:r/>
    </w:p>
    <w:p>
      <w:pPr>
        <w:pStyle w:val="756"/>
        <w:jc w:val="center"/>
        <w:spacing w:line="360" w:lineRule="auto"/>
        <w:shd w:val="clear" w:color="auto" w:fill="ffffff"/>
        <w:widowControl/>
        <w:rPr>
          <w:rFonts w:hint="eastAsia" w:ascii="宋体" w:hAnsi="宋体" w:cs="宋体"/>
          <w:b/>
          <w:sz w:val="36"/>
          <w:szCs w:val="36"/>
          <w:lang w:val="zh-CN"/>
        </w:rPr>
      </w:pPr>
      <w:r>
        <w:rPr>
          <w:rFonts w:hint="eastAsia" w:ascii="宋体" w:hAnsi="宋体" w:cs="宋体"/>
          <w:b/>
          <w:sz w:val="36"/>
          <w:szCs w:val="36"/>
          <w:lang w:val="zh-CN"/>
        </w:rPr>
        <w:t xml:space="preserve">无重大违法记录声明</w:t>
      </w:r>
      <w:r>
        <w:rPr>
          <w:rFonts w:hint="eastAsia" w:ascii="宋体" w:hAnsi="宋体" w:cs="宋体"/>
          <w:b/>
          <w:sz w:val="36"/>
          <w:szCs w:val="36"/>
          <w:lang w:val="zh-CN"/>
        </w:rPr>
      </w:r>
      <w:r/>
    </w:p>
    <w:p>
      <w:pPr>
        <w:pStyle w:val="756"/>
        <w:spacing w:line="360" w:lineRule="auto"/>
        <w:rPr>
          <w:rFonts w:hint="eastAsia" w:ascii="宋体" w:hAnsi="宋体" w:cs="宋体"/>
          <w:b/>
          <w:szCs w:val="21"/>
        </w:rPr>
      </w:pPr>
      <w:r>
        <w:rPr>
          <w:rFonts w:hint="eastAsia" w:ascii="宋体" w:hAnsi="宋体" w:cs="宋体"/>
          <w:b/>
          <w:bCs/>
          <w:szCs w:val="21"/>
        </w:rPr>
        <w:t xml:space="preserve">南京城墙保护管理中心：</w:t>
      </w:r>
      <w:r>
        <w:rPr>
          <w:rFonts w:hint="eastAsia" w:ascii="宋体" w:hAnsi="宋体" w:cs="宋体"/>
          <w:b/>
          <w:szCs w:val="21"/>
        </w:rPr>
      </w:r>
      <w:r/>
    </w:p>
    <w:p>
      <w:pPr>
        <w:pStyle w:val="756"/>
        <w:spacing w:line="360" w:lineRule="auto"/>
        <w:rPr>
          <w:rFonts w:hint="eastAsia" w:ascii="宋体" w:hAnsi="宋体" w:cs="宋体"/>
          <w:szCs w:val="21"/>
        </w:rPr>
      </w:pPr>
      <w:r>
        <w:rPr>
          <w:rFonts w:hint="eastAsia" w:ascii="宋体" w:hAnsi="宋体" w:cs="宋体"/>
          <w:szCs w:val="21"/>
        </w:rPr>
      </w:r>
      <w:r/>
    </w:p>
    <w:p>
      <w:pPr>
        <w:pStyle w:val="756"/>
        <w:spacing w:line="360" w:lineRule="auto"/>
        <w:rPr>
          <w:rFonts w:hint="eastAsia" w:ascii="宋体" w:hAnsi="宋体" w:cs="宋体"/>
          <w:szCs w:val="21"/>
        </w:rPr>
      </w:pPr>
      <w:r>
        <w:rPr>
          <w:rFonts w:hint="eastAsia" w:ascii="宋体" w:hAnsi="宋体" w:cs="宋体"/>
          <w:szCs w:val="21"/>
        </w:rPr>
        <w:t xml:space="preserve">    我单位</w:t>
      </w:r>
      <w:r>
        <w:rPr>
          <w:rFonts w:hint="eastAsia" w:ascii="宋体" w:hAnsi="宋体" w:cs="宋体"/>
          <w:szCs w:val="21"/>
          <w:u w:val="single"/>
        </w:rPr>
        <w:t xml:space="preserve">                                       </w:t>
      </w:r>
      <w:r>
        <w:rPr>
          <w:rFonts w:hint="eastAsia" w:ascii="宋体" w:hAnsi="宋体" w:cs="宋体"/>
          <w:szCs w:val="21"/>
        </w:rPr>
        <w:t xml:space="preserve">（供应商名称）郑重声明：</w:t>
      </w:r>
      <w:r>
        <w:rPr>
          <w:rFonts w:hint="eastAsia" w:ascii="宋体" w:hAnsi="宋体" w:cs="宋体"/>
          <w:szCs w:val="21"/>
        </w:rPr>
      </w:r>
      <w:r/>
    </w:p>
    <w:p>
      <w:pPr>
        <w:pStyle w:val="756"/>
        <w:spacing w:line="360" w:lineRule="auto"/>
        <w:rPr>
          <w:rFonts w:hint="eastAsia" w:ascii="宋体" w:hAnsi="宋体" w:cs="宋体"/>
          <w:szCs w:val="21"/>
        </w:rPr>
      </w:pPr>
      <w:r>
        <w:rPr>
          <w:rFonts w:hint="eastAsia" w:ascii="宋体" w:hAnsi="宋体" w:cs="宋体"/>
          <w:szCs w:val="21"/>
        </w:rPr>
        <w:t xml:space="preserve">    参加政府采购活动前3年内在经营活动中</w:t>
      </w:r>
      <w:r>
        <w:rPr>
          <w:rFonts w:hint="eastAsia" w:ascii="宋体" w:hAnsi="宋体" w:cs="宋体"/>
          <w:szCs w:val="21"/>
          <w:u w:val="single"/>
        </w:rPr>
        <w:t xml:space="preserve">    </w:t>
      </w:r>
      <w:r>
        <w:rPr>
          <w:rFonts w:hint="eastAsia" w:ascii="宋体" w:hAnsi="宋体" w:cs="宋体"/>
          <w:szCs w:val="21"/>
        </w:rPr>
        <w:t xml:space="preserve">（在下划线上如实填写：有或没有）重大违法记录。</w:t>
      </w:r>
      <w:r>
        <w:rPr>
          <w:rFonts w:hint="eastAsia" w:ascii="宋体" w:hAnsi="宋体" w:cs="宋体"/>
          <w:szCs w:val="21"/>
        </w:rPr>
      </w:r>
      <w:r/>
    </w:p>
    <w:p>
      <w:pPr>
        <w:pStyle w:val="756"/>
        <w:spacing w:line="360" w:lineRule="auto"/>
        <w:rPr>
          <w:rFonts w:hint="eastAsia" w:ascii="宋体" w:hAnsi="宋体" w:cs="宋体"/>
          <w:szCs w:val="21"/>
        </w:rPr>
      </w:pPr>
      <w:r>
        <w:rPr>
          <w:rFonts w:hint="eastAsia" w:ascii="宋体" w:hAnsi="宋体" w:cs="宋体"/>
          <w:szCs w:val="21"/>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Cs w:val="21"/>
        </w:rPr>
      </w:r>
      <w:r/>
    </w:p>
    <w:p>
      <w:pPr>
        <w:pStyle w:val="756"/>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56"/>
        <w:spacing w:line="360" w:lineRule="auto"/>
        <w:rPr>
          <w:rFonts w:hint="eastAsia" w:ascii="宋体" w:hAnsi="宋体" w:cs="宋体"/>
          <w:szCs w:val="21"/>
        </w:rPr>
      </w:pPr>
      <w:r>
        <w:rPr>
          <w:rFonts w:hint="eastAsia" w:ascii="宋体" w:hAnsi="宋体" w:cs="宋体"/>
          <w:szCs w:val="21"/>
        </w:rPr>
        <w:t xml:space="preserve">                            声明人（加盖电子公章）：</w:t>
      </w:r>
      <w:r>
        <w:rPr>
          <w:rFonts w:hint="eastAsia" w:ascii="宋体" w:hAnsi="宋体" w:cs="宋体"/>
          <w:szCs w:val="21"/>
        </w:rPr>
      </w:r>
      <w:r/>
    </w:p>
    <w:p>
      <w:pPr>
        <w:pStyle w:val="756"/>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p>
      <w:pPr>
        <w:pStyle w:val="756"/>
        <w:rPr>
          <w:rFonts w:hint="eastAsia" w:ascii="宋体" w:hAnsi="宋体" w:cs="宋体"/>
          <w:b/>
          <w:bCs/>
          <w:sz w:val="24"/>
        </w:rPr>
        <w:outlineLvl w:val="1"/>
      </w:pPr>
      <w:r>
        <w:rPr>
          <w:rFonts w:hint="eastAsia" w:ascii="宋体" w:hAnsi="宋体" w:cs="宋体"/>
          <w:b/>
          <w:bCs/>
          <w:sz w:val="24"/>
        </w:rPr>
        <w:br w:type="page" w:clear="all"/>
      </w:r>
      <w:bookmarkStart w:id="148" w:name="_Toc2502"/>
      <w:r/>
      <w:bookmarkStart w:id="149" w:name="_Toc4499"/>
      <w:r/>
      <w:bookmarkStart w:id="150" w:name="_Toc27283"/>
      <w:r>
        <w:rPr>
          <w:rFonts w:hint="eastAsia" w:ascii="宋体" w:hAnsi="宋体" w:cs="宋体"/>
          <w:b/>
          <w:bCs/>
          <w:sz w:val="24"/>
        </w:rPr>
        <w:t xml:space="preserve">格式十</w:t>
      </w:r>
      <w:r>
        <w:rPr>
          <w:rFonts w:hint="eastAsia" w:ascii="宋体" w:hAnsi="宋体" w:cs="宋体"/>
          <w:b/>
          <w:bCs/>
          <w:sz w:val="24"/>
          <w:lang w:val="en-US" w:eastAsia="zh-CN"/>
        </w:rPr>
        <w:t xml:space="preserve">三</w:t>
      </w:r>
      <w:r>
        <w:rPr>
          <w:rFonts w:hint="eastAsia" w:ascii="宋体" w:hAnsi="宋体" w:cs="宋体"/>
          <w:b/>
          <w:bCs/>
          <w:sz w:val="24"/>
        </w:rPr>
        <w:t xml:space="preserve">、残疾人福利性单位声明函</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cs="宋体"/>
          <w:b/>
          <w:bCs/>
          <w:sz w:val="24"/>
        </w:rPr>
        <w:t xml:space="preserve">格式</w:t>
      </w:r>
      <w:bookmarkEnd w:id="150"/>
      <w:r>
        <w:rPr>
          <w:rFonts w:hint="eastAsia" w:ascii="宋体" w:hAnsi="宋体" w:cs="宋体"/>
          <w:b/>
          <w:bCs/>
          <w:sz w:val="24"/>
        </w:rPr>
      </w:r>
      <w:r/>
    </w:p>
    <w:p>
      <w:pPr>
        <w:pStyle w:val="756"/>
        <w:ind w:firstLine="482"/>
        <w:widowControl/>
        <w:rPr>
          <w:rFonts w:hint="eastAsia" w:ascii="宋体" w:hAnsi="宋体" w:cs="宋体"/>
          <w:b/>
          <w:bCs/>
          <w:sz w:val="24"/>
        </w:rPr>
      </w:pPr>
      <w:r>
        <w:rPr>
          <w:rFonts w:hint="eastAsia" w:ascii="宋体" w:hAnsi="宋体" w:cs="宋体"/>
          <w:b/>
          <w:bCs/>
          <w:sz w:val="24"/>
        </w:rPr>
      </w:r>
      <w:r/>
    </w:p>
    <w:p>
      <w:pPr>
        <w:pStyle w:val="756"/>
        <w:jc w:val="center"/>
        <w:spacing w:line="360" w:lineRule="auto"/>
        <w:shd w:val="clear" w:color="auto" w:fill="ffffff"/>
        <w:widowControl/>
        <w:rPr>
          <w:rFonts w:hint="eastAsia" w:ascii="宋体" w:hAnsi="宋体" w:cs="宋体"/>
          <w:b/>
          <w:sz w:val="36"/>
          <w:szCs w:val="36"/>
          <w:lang w:val="zh-CN"/>
        </w:rPr>
      </w:pPr>
      <w:r>
        <w:rPr>
          <w:rFonts w:hint="eastAsia" w:ascii="宋体" w:hAnsi="宋体" w:cs="宋体"/>
          <w:b/>
          <w:sz w:val="36"/>
          <w:szCs w:val="36"/>
          <w:lang w:val="zh-CN"/>
        </w:rPr>
        <w:t xml:space="preserve">残疾人福利性单位声明函</w:t>
      </w:r>
      <w:r>
        <w:rPr>
          <w:rFonts w:hint="eastAsia" w:ascii="宋体" w:hAnsi="宋体" w:cs="宋体"/>
          <w:b/>
          <w:sz w:val="36"/>
          <w:szCs w:val="36"/>
          <w:lang w:val="zh-CN"/>
        </w:rPr>
      </w:r>
      <w:r/>
    </w:p>
    <w:p>
      <w:pPr>
        <w:pStyle w:val="756"/>
        <w:ind w:firstLine="444"/>
        <w:spacing w:line="360" w:lineRule="auto"/>
        <w:rPr>
          <w:rFonts w:hint="eastAsia" w:ascii="宋体" w:hAnsi="宋体" w:cs="宋体"/>
          <w:spacing w:val="6"/>
          <w:szCs w:val="21"/>
          <w:lang w:val="zh-CN"/>
        </w:rPr>
      </w:pPr>
      <w:r>
        <w:rPr>
          <w:rFonts w:hint="eastAsia" w:ascii="宋体" w:hAnsi="宋体" w:cs="宋体"/>
          <w:spacing w:val="6"/>
          <w:szCs w:val="21"/>
          <w:lang w:val="zh-C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pacing w:val="6"/>
          <w:szCs w:val="21"/>
          <w:u w:val="single"/>
        </w:rPr>
        <w:t xml:space="preserve">       </w:t>
      </w:r>
      <w:r>
        <w:rPr>
          <w:rFonts w:hint="eastAsia" w:ascii="宋体" w:hAnsi="宋体" w:cs="宋体"/>
          <w:spacing w:val="6"/>
          <w:szCs w:val="21"/>
          <w:lang w:val="zh-CN"/>
        </w:rPr>
        <w:t xml:space="preserve">单位的采购文件编号为</w:t>
      </w:r>
      <w:r>
        <w:rPr>
          <w:rFonts w:hint="eastAsia" w:ascii="宋体" w:hAnsi="宋体" w:cs="宋体"/>
          <w:spacing w:val="6"/>
          <w:szCs w:val="21"/>
          <w:u w:val="single"/>
        </w:rPr>
        <w:t xml:space="preserve">         </w:t>
      </w:r>
      <w:r>
        <w:rPr>
          <w:rFonts w:hint="eastAsia" w:ascii="宋体" w:hAnsi="宋体" w:cs="宋体"/>
          <w:spacing w:val="6"/>
          <w:szCs w:val="21"/>
          <w:lang w:val="zh-CN"/>
        </w:rPr>
        <w:t xml:space="preserve">的</w:t>
      </w:r>
      <w:r>
        <w:rPr>
          <w:rFonts w:hint="eastAsia" w:ascii="宋体" w:hAnsi="宋体" w:cs="宋体"/>
          <w:spacing w:val="6"/>
          <w:szCs w:val="21"/>
          <w:u w:val="single"/>
          <w:lang w:val="zh-CN"/>
        </w:rPr>
        <w:t xml:space="preserve">       </w:t>
      </w:r>
      <w:r>
        <w:rPr>
          <w:rFonts w:hint="eastAsia" w:ascii="宋体" w:hAnsi="宋体" w:cs="宋体"/>
          <w:spacing w:val="6"/>
          <w:szCs w:val="21"/>
          <w:lang w:val="zh-CN"/>
        </w:rPr>
        <w:t xml:space="preserve">项目采购活动提供本单位制造的货物，或者提供其他残疾人福利性单位制造的货物（不包括使用非残疾人福利性单位注册商标的货物）。</w:t>
      </w:r>
      <w:r>
        <w:rPr>
          <w:rFonts w:hint="eastAsia" w:ascii="宋体" w:hAnsi="宋体" w:cs="宋体"/>
          <w:spacing w:val="6"/>
          <w:szCs w:val="21"/>
          <w:lang w:val="zh-CN"/>
        </w:rPr>
      </w:r>
      <w:r/>
    </w:p>
    <w:p>
      <w:pPr>
        <w:pStyle w:val="756"/>
        <w:ind w:firstLine="444"/>
        <w:spacing w:line="360" w:lineRule="auto"/>
        <w:rPr>
          <w:rFonts w:hint="eastAsia" w:ascii="宋体" w:hAnsi="宋体" w:cs="宋体"/>
          <w:szCs w:val="21"/>
          <w:lang w:val="zh-CN"/>
        </w:rPr>
      </w:pPr>
      <w:r>
        <w:rPr>
          <w:rFonts w:hint="eastAsia" w:ascii="宋体" w:hAnsi="宋体" w:cs="宋体"/>
          <w:spacing w:val="6"/>
          <w:szCs w:val="21"/>
          <w:lang w:val="zh-CN"/>
        </w:rPr>
        <w:t xml:space="preserve">本单位对上述声明的真实性负责。如有虚假，将依法承担相应责任。</w:t>
      </w:r>
      <w:r>
        <w:rPr>
          <w:rFonts w:hint="eastAsia" w:ascii="宋体" w:hAnsi="宋体" w:cs="宋体"/>
          <w:szCs w:val="21"/>
          <w:lang w:val="zh-CN"/>
        </w:rPr>
      </w:r>
      <w:r/>
    </w:p>
    <w:p>
      <w:pPr>
        <w:pStyle w:val="756"/>
        <w:ind w:left="4620" w:firstLine="420"/>
        <w:jc w:val="left"/>
        <w:rPr>
          <w:rFonts w:hint="eastAsia" w:ascii="宋体" w:hAnsi="宋体" w:cs="宋体"/>
          <w:szCs w:val="21"/>
          <w:lang w:val="zh-CN"/>
        </w:rPr>
      </w:pPr>
      <w:r>
        <w:rPr>
          <w:rFonts w:hint="eastAsia" w:ascii="宋体" w:hAnsi="宋体" w:cs="宋体"/>
          <w:szCs w:val="21"/>
          <w:lang w:val="zh-CN"/>
        </w:rPr>
        <w:t xml:space="preserve">供应商</w:t>
      </w:r>
      <w:r>
        <w:rPr>
          <w:rFonts w:hint="eastAsia" w:ascii="宋体" w:hAnsi="宋体" w:cs="宋体"/>
          <w:szCs w:val="21"/>
        </w:rPr>
        <w:t xml:space="preserve">（</w:t>
      </w:r>
      <w:r>
        <w:rPr>
          <w:rFonts w:hint="eastAsia" w:ascii="宋体" w:hAnsi="宋体" w:cs="宋体"/>
          <w:szCs w:val="21"/>
          <w:lang w:val="zh-CN"/>
        </w:rPr>
        <w:t xml:space="preserve">加盖电子公章</w:t>
      </w:r>
      <w:r>
        <w:rPr>
          <w:rFonts w:hint="eastAsia" w:ascii="宋体" w:hAnsi="宋体" w:cs="宋体"/>
          <w:szCs w:val="21"/>
        </w:rPr>
        <w:t xml:space="preserve">）：          </w:t>
      </w:r>
      <w:r>
        <w:rPr>
          <w:rFonts w:hint="eastAsia" w:ascii="宋体" w:hAnsi="宋体" w:cs="宋体"/>
          <w:szCs w:val="21"/>
          <w:lang w:val="zh-CN"/>
        </w:rPr>
      </w:r>
      <w:r/>
    </w:p>
    <w:p>
      <w:pPr>
        <w:pStyle w:val="756"/>
        <w:ind w:left="4620" w:firstLine="420"/>
        <w:jc w:val="left"/>
        <w:rPr>
          <w:rFonts w:hint="eastAsia" w:ascii="宋体" w:hAnsi="宋体" w:cs="宋体"/>
          <w:szCs w:val="21"/>
          <w:lang w:val="zh-CN"/>
        </w:rPr>
      </w:pPr>
      <w:r>
        <w:rPr>
          <w:rFonts w:hint="eastAsia" w:ascii="宋体" w:hAnsi="宋体" w:cs="宋体"/>
          <w:szCs w:val="21"/>
          <w:lang w:val="zh-CN"/>
        </w:rPr>
        <w:t xml:space="preserve">日    期：    年    月   日</w:t>
      </w:r>
      <w:r>
        <w:rPr>
          <w:rFonts w:hint="eastAsia" w:ascii="宋体" w:hAnsi="宋体" w:cs="宋体"/>
          <w:szCs w:val="21"/>
          <w:lang w:val="zh-CN"/>
        </w:rPr>
      </w:r>
      <w:r/>
    </w:p>
    <w:p>
      <w:pPr>
        <w:pStyle w:val="827"/>
        <w:jc w:val="left"/>
        <w:rPr>
          <w:rFonts w:hint="eastAsia" w:ascii="宋体" w:hAnsi="宋体" w:cs="宋体"/>
          <w:b w:val="0"/>
          <w:bCs/>
          <w:sz w:val="21"/>
          <w:szCs w:val="21"/>
          <w:lang w:val="zh-CN"/>
        </w:rPr>
        <w:outlineLvl w:val="9"/>
      </w:pPr>
      <w:r/>
      <w:bookmarkStart w:id="151" w:name="_Toc23202"/>
      <w:r/>
      <w:bookmarkStart w:id="152" w:name="_Toc17069"/>
      <w:r>
        <w:rPr>
          <w:rFonts w:hint="eastAsia" w:ascii="宋体" w:hAnsi="宋体" w:cs="宋体"/>
          <w:b w:val="0"/>
          <w:bCs/>
          <w:sz w:val="21"/>
          <w:szCs w:val="21"/>
          <w:lang w:val="zh-CN"/>
        </w:rPr>
        <w:t xml:space="preserve">（备注：1、残疾人福利性单位应完整填写此函并提供相关证明材料；非残疾人福利性单位不需提供。供应商如不提供此声明函，价格将不做相应扣除。2、中标供应商为残疾人福利单位的，此声明函将随中标结果同时公告，接受社会监督）</w:t>
      </w:r>
      <w:bookmarkEnd w:id="151"/>
      <w:r/>
      <w:bookmarkEnd w:id="152"/>
      <w:r>
        <w:rPr>
          <w:rFonts w:hint="eastAsia" w:ascii="宋体" w:hAnsi="宋体" w:cs="宋体"/>
          <w:b w:val="0"/>
          <w:bCs/>
          <w:sz w:val="21"/>
          <w:szCs w:val="21"/>
          <w:lang w:val="zh-CN"/>
        </w:rPr>
      </w:r>
      <w:r/>
    </w:p>
    <w:p>
      <w:pPr>
        <w:pStyle w:val="756"/>
        <w:spacing w:line="360" w:lineRule="auto"/>
        <w:rPr>
          <w:rFonts w:hint="eastAsia" w:ascii="宋体" w:hAnsi="宋体" w:cs="宋体"/>
          <w:b/>
          <w:bCs/>
          <w:sz w:val="24"/>
        </w:rPr>
        <w:outlineLvl w:val="1"/>
      </w:pPr>
      <w:r/>
      <w:bookmarkStart w:id="153" w:name="_Toc29386377"/>
      <w:r>
        <w:rPr>
          <w:rFonts w:hint="eastAsia" w:ascii="宋体" w:hAnsi="宋体" w:cs="宋体"/>
          <w:b/>
          <w:bCs/>
          <w:sz w:val="24"/>
        </w:rPr>
        <w:br w:type="page" w:clear="all"/>
      </w:r>
      <w:bookmarkStart w:id="154" w:name="_Toc18333"/>
      <w:r/>
      <w:bookmarkStart w:id="155" w:name="_Toc27077"/>
      <w:r/>
      <w:bookmarkStart w:id="156" w:name="_Toc4548"/>
      <w:r/>
      <w:bookmarkStart w:id="157" w:name="_Toc20502"/>
      <w:r/>
      <w:bookmarkStart w:id="158" w:name="_Toc17347"/>
      <w:r/>
      <w:bookmarkStart w:id="159" w:name="_Toc9445"/>
      <w:r/>
      <w:bookmarkStart w:id="160" w:name="_Toc10537"/>
      <w:r/>
      <w:bookmarkStart w:id="161" w:name="_Toc2515"/>
      <w:r/>
      <w:bookmarkStart w:id="162" w:name="_Toc24436"/>
      <w:r>
        <w:rPr>
          <w:rFonts w:hint="eastAsia" w:ascii="宋体" w:hAnsi="宋体" w:cs="宋体"/>
          <w:b/>
          <w:bCs/>
          <w:sz w:val="24"/>
        </w:rPr>
        <w:t xml:space="preserve">格式十</w:t>
      </w:r>
      <w:r>
        <w:rPr>
          <w:rFonts w:hint="eastAsia" w:ascii="宋体" w:hAnsi="宋体" w:cs="宋体"/>
          <w:b/>
          <w:bCs/>
          <w:sz w:val="24"/>
          <w:lang w:val="en-US" w:eastAsia="zh-CN"/>
        </w:rPr>
        <w:t xml:space="preserve">四</w:t>
      </w:r>
      <w:r>
        <w:rPr>
          <w:rFonts w:hint="eastAsia" w:ascii="宋体" w:hAnsi="宋体" w:cs="宋体"/>
          <w:b/>
          <w:bCs/>
          <w:sz w:val="24"/>
        </w:rPr>
        <w:t xml:space="preserve">、</w:t>
      </w:r>
      <w:bookmarkEnd w:id="153"/>
      <w:r/>
      <w:bookmarkEnd w:id="154"/>
      <w:r/>
      <w:bookmarkEnd w:id="155"/>
      <w:r/>
      <w:bookmarkEnd w:id="156"/>
      <w:r/>
      <w:bookmarkEnd w:id="157"/>
      <w:r/>
      <w:bookmarkEnd w:id="158"/>
      <w:r/>
      <w:bookmarkStart w:id="163" w:name="_Toc24927"/>
      <w:r/>
      <w:bookmarkStart w:id="164" w:name="_Toc30828"/>
      <w:r/>
      <w:bookmarkStart w:id="165" w:name="_Toc11566"/>
      <w:r>
        <w:rPr>
          <w:rFonts w:hint="eastAsia" w:ascii="宋体" w:hAnsi="宋体" w:cs="宋体"/>
          <w:b/>
          <w:bCs/>
          <w:sz w:val="24"/>
        </w:rPr>
        <w:t xml:space="preserve">其他相关证明文件</w:t>
      </w:r>
      <w:bookmarkEnd w:id="159"/>
      <w:r/>
      <w:bookmarkEnd w:id="160"/>
      <w:r>
        <w:rPr>
          <w:rFonts w:hint="eastAsia" w:ascii="宋体" w:hAnsi="宋体" w:cs="宋体"/>
          <w:b/>
          <w:bCs/>
          <w:sz w:val="24"/>
        </w:rPr>
      </w:r>
      <w:r/>
    </w:p>
    <w:p>
      <w:pPr>
        <w:pStyle w:val="756"/>
        <w:spacing w:line="360" w:lineRule="auto"/>
        <w:rPr>
          <w:rFonts w:hint="eastAsia" w:ascii="宋体" w:hAnsi="宋体" w:cs="宋体"/>
          <w:sz w:val="24"/>
        </w:rPr>
      </w:pPr>
      <w:r>
        <w:rPr>
          <w:rFonts w:hint="eastAsia" w:ascii="宋体" w:hAnsi="宋体" w:cs="宋体"/>
          <w:sz w:val="24"/>
        </w:rPr>
        <w:t xml:space="preserve">（供应商认为投标所需其他相关资料，格式自拟。）</w:t>
      </w:r>
      <w:r>
        <w:rPr>
          <w:rFonts w:hint="eastAsia" w:ascii="宋体" w:hAnsi="宋体" w:cs="宋体"/>
          <w:sz w:val="24"/>
        </w:rPr>
      </w:r>
      <w:r/>
    </w:p>
    <w:p>
      <w:pPr>
        <w:pStyle w:val="756"/>
        <w:spacing w:line="360" w:lineRule="auto"/>
        <w:rPr>
          <w:rFonts w:hint="eastAsia" w:ascii="宋体" w:hAnsi="宋体" w:cs="宋体"/>
          <w:b/>
          <w:bCs/>
          <w:sz w:val="24"/>
        </w:rPr>
        <w:outlineLvl w:val="1"/>
      </w:pPr>
      <w:r>
        <w:rPr>
          <w:rFonts w:hint="eastAsia" w:ascii="宋体" w:hAnsi="宋体" w:cs="宋体"/>
          <w:b/>
          <w:bCs/>
          <w:sz w:val="24"/>
        </w:rPr>
        <w:br w:type="page" w:clear="all"/>
      </w:r>
      <w:bookmarkStart w:id="166" w:name="_Toc21893"/>
      <w:r/>
      <w:bookmarkStart w:id="167" w:name="_Toc4714"/>
      <w:r>
        <w:rPr>
          <w:rFonts w:hint="eastAsia" w:ascii="宋体" w:hAnsi="宋体" w:cs="宋体"/>
          <w:b/>
          <w:bCs/>
          <w:sz w:val="24"/>
        </w:rPr>
        <w:t xml:space="preserve">格式十</w:t>
      </w:r>
      <w:r>
        <w:rPr>
          <w:rFonts w:hint="eastAsia" w:ascii="宋体" w:hAnsi="宋体" w:cs="宋体"/>
          <w:b/>
          <w:bCs/>
          <w:sz w:val="24"/>
          <w:lang w:val="en-US" w:eastAsia="zh-CN"/>
        </w:rPr>
        <w:t xml:space="preserve">五</w:t>
      </w:r>
      <w:r>
        <w:rPr>
          <w:rFonts w:hint="eastAsia" w:ascii="宋体" w:hAnsi="宋体" w:cs="宋体"/>
          <w:b/>
          <w:bCs/>
          <w:sz w:val="24"/>
        </w:rPr>
        <w:t xml:space="preserve">、南京市政府采购供应商信用记录表暨信用承诺书</w:t>
      </w:r>
      <w:bookmarkEnd w:id="161"/>
      <w:r/>
      <w:bookmarkEnd w:id="162"/>
      <w:r/>
      <w:bookmarkEnd w:id="163"/>
      <w:r/>
      <w:bookmarkEnd w:id="164"/>
      <w:r/>
      <w:bookmarkEnd w:id="165"/>
      <w:r/>
      <w:bookmarkEnd w:id="166"/>
      <w:r/>
      <w:bookmarkEnd w:id="167"/>
      <w:r>
        <w:rPr>
          <w:rFonts w:hint="eastAsia" w:ascii="宋体" w:hAnsi="宋体" w:cs="宋体"/>
          <w:b/>
          <w:bCs/>
          <w:sz w:val="24"/>
        </w:rPr>
      </w:r>
      <w:r/>
    </w:p>
    <w:tbl>
      <w:tblPr>
        <w:tblW w:w="9498"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843"/>
        <w:gridCol w:w="2396"/>
        <w:gridCol w:w="2610"/>
        <w:gridCol w:w="2649"/>
      </w:tblGrid>
      <w:tr>
        <w:trPr>
          <w:trHeight w:val="600"/>
        </w:trPr>
        <w:tc>
          <w:tcPr>
            <w:gridSpan w:val="4"/>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756"/>
              <w:jc w:val="center"/>
              <w:widowControl/>
              <w:rPr>
                <w:rFonts w:hint="eastAsia" w:ascii="宋体" w:hAnsi="宋体" w:cs="宋体"/>
                <w:sz w:val="40"/>
                <w:szCs w:val="40"/>
              </w:rPr>
            </w:pPr>
            <w:r>
              <w:rPr>
                <w:rFonts w:hint="eastAsia" w:ascii="宋体" w:hAnsi="宋体" w:cs="宋体"/>
                <w:b/>
                <w:sz w:val="36"/>
                <w:szCs w:val="36"/>
                <w:lang w:val="zh-CN"/>
              </w:rPr>
              <w:t xml:space="preserve">南京市政府采购供应商信用记录表暨信用承诺书</w:t>
            </w:r>
            <w:r>
              <w:rPr>
                <w:rFonts w:hint="eastAsia" w:ascii="宋体" w:hAnsi="宋体" w:cs="宋体"/>
                <w:sz w:val="40"/>
                <w:szCs w:val="40"/>
              </w:rPr>
            </w:r>
            <w:r/>
          </w:p>
        </w:tc>
      </w:tr>
      <w:tr>
        <w:trPr>
          <w:trHeight w:val="570"/>
        </w:trPr>
        <w:tc>
          <w:tcPr>
            <w:gridSpan w:val="4"/>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756"/>
              <w:jc w:val="center"/>
              <w:rPr>
                <w:rFonts w:hint="eastAsia" w:ascii="宋体" w:hAnsi="宋体" w:cs="宋体"/>
                <w:sz w:val="22"/>
                <w:szCs w:val="22"/>
              </w:rPr>
            </w:pPr>
            <w:r>
              <w:rPr>
                <w:rFonts w:hint="eastAsia" w:ascii="宋体" w:hAnsi="宋体" w:cs="宋体"/>
                <w:sz w:val="22"/>
                <w:szCs w:val="22"/>
              </w:rPr>
              <w:t xml:space="preserve">（仅为示范格式，直接填写无效，需至“南京政府采购供应商诚信档案管理系统”在线打印）</w:t>
            </w:r>
            <w:r>
              <w:rPr>
                <w:rFonts w:hint="eastAsia" w:ascii="宋体" w:hAnsi="宋体" w:cs="宋体"/>
                <w:sz w:val="22"/>
                <w:szCs w:val="22"/>
              </w:rPr>
            </w:r>
            <w:r/>
          </w:p>
        </w:tc>
      </w:tr>
      <w:tr>
        <w:trPr>
          <w:trHeight w:val="720"/>
        </w:trPr>
        <w:tc>
          <w:tcPr>
            <w:tcBorders>
              <w:top w:val="single" w:color="000000" w:sz="18" w:space="0"/>
              <w:left w:val="single" w:color="000000" w:sz="18" w:space="0"/>
              <w:bottom w:val="single" w:color="000000" w:sz="4" w:space="0"/>
              <w:right w:val="single" w:color="000000" w:sz="4" w:space="0"/>
            </w:tcBorders>
            <w:tcW w:w="1843"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单位名称</w:t>
            </w:r>
            <w:r>
              <w:rPr>
                <w:rFonts w:hint="eastAsia" w:ascii="宋体" w:hAnsi="宋体" w:cs="宋体"/>
                <w:b/>
                <w:sz w:val="22"/>
                <w:szCs w:val="22"/>
              </w:rPr>
            </w:r>
            <w:r/>
          </w:p>
        </w:tc>
        <w:tc>
          <w:tcPr>
            <w:tcBorders>
              <w:top w:val="single" w:color="000000" w:sz="18" w:space="0"/>
              <w:left w:val="single" w:color="000000" w:sz="4" w:space="0"/>
              <w:bottom w:val="single" w:color="000000" w:sz="4" w:space="0"/>
              <w:right w:val="single" w:color="000000" w:sz="4" w:space="0"/>
            </w:tcBorders>
            <w:tcW w:w="2396" w:type="dxa"/>
            <w:vAlign w:val="center"/>
            <w:textDirection w:val="lrTb"/>
            <w:noWrap w:val="false"/>
          </w:tcPr>
          <w:p>
            <w:pPr>
              <w:pStyle w:val="756"/>
              <w:rPr>
                <w:rFonts w:hint="eastAsia" w:ascii="宋体" w:hAnsi="宋体" w:cs="宋体"/>
                <w:sz w:val="22"/>
                <w:szCs w:val="22"/>
              </w:rPr>
            </w:pPr>
            <w:r>
              <w:rPr>
                <w:rFonts w:hint="eastAsia" w:ascii="宋体" w:hAnsi="宋体" w:cs="宋体"/>
                <w:sz w:val="22"/>
                <w:szCs w:val="22"/>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统一社会信用代码</w:t>
            </w:r>
            <w:r>
              <w:rPr>
                <w:rFonts w:hint="eastAsia" w:ascii="宋体" w:hAnsi="宋体" w:cs="宋体"/>
                <w:b/>
                <w:sz w:val="22"/>
                <w:szCs w:val="22"/>
              </w:rPr>
            </w:r>
            <w:r/>
          </w:p>
        </w:tc>
        <w:tc>
          <w:tcPr>
            <w:tcBorders>
              <w:top w:val="single" w:color="000000" w:sz="18" w:space="0"/>
              <w:left w:val="single" w:color="000000" w:sz="4" w:space="0"/>
              <w:bottom w:val="single" w:color="000000" w:sz="4" w:space="0"/>
              <w:right w:val="single" w:color="000000" w:sz="18" w:space="0"/>
            </w:tcBorders>
            <w:tcW w:w="2649" w:type="dxa"/>
            <w:vAlign w:val="center"/>
            <w:textDirection w:val="lrTb"/>
            <w:noWrap w:val="false"/>
          </w:tcPr>
          <w:p>
            <w:pPr>
              <w:pStyle w:val="756"/>
              <w:rPr>
                <w:rFonts w:hint="eastAsia" w:ascii="宋体" w:hAnsi="宋体" w:cs="宋体"/>
                <w:sz w:val="22"/>
                <w:szCs w:val="22"/>
              </w:rPr>
            </w:pPr>
            <w:r>
              <w:rPr>
                <w:rFonts w:hint="eastAsia" w:ascii="宋体" w:hAnsi="宋体" w:cs="宋体"/>
                <w:sz w:val="22"/>
                <w:szCs w:val="22"/>
              </w:rPr>
            </w:r>
            <w:r/>
          </w:p>
        </w:tc>
      </w:tr>
      <w:tr>
        <w:trPr>
          <w:trHeight w:val="675"/>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法定代表人</w:t>
            </w:r>
            <w:r>
              <w:rPr>
                <w:rFonts w:hint="eastAsia" w:ascii="宋体" w:hAnsi="宋体" w:cs="宋体"/>
                <w:b/>
                <w:sz w:val="22"/>
                <w:szCs w:val="22"/>
              </w:rPr>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56"/>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联系人</w:t>
            </w:r>
            <w:r>
              <w:rPr>
                <w:rFonts w:hint="eastAsia" w:ascii="宋体" w:hAnsi="宋体" w:cs="宋体"/>
                <w:b/>
                <w:sz w:val="22"/>
                <w:szCs w:val="22"/>
              </w:rPr>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pStyle w:val="756"/>
              <w:rPr>
                <w:rFonts w:hint="eastAsia" w:ascii="宋体" w:hAnsi="宋体" w:cs="宋体"/>
                <w:sz w:val="22"/>
                <w:szCs w:val="22"/>
              </w:rPr>
            </w:pPr>
            <w:r>
              <w:rPr>
                <w:rFonts w:hint="eastAsia" w:ascii="宋体" w:hAnsi="宋体" w:cs="宋体"/>
                <w:sz w:val="22"/>
                <w:szCs w:val="22"/>
              </w:rPr>
            </w:r>
            <w:r/>
          </w:p>
        </w:tc>
      </w:tr>
      <w:tr>
        <w:trPr>
          <w:trHeight w:val="720"/>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联系地址</w:t>
            </w:r>
            <w:r>
              <w:rPr>
                <w:rFonts w:hint="eastAsia" w:ascii="宋体" w:hAnsi="宋体" w:cs="宋体"/>
                <w:b/>
                <w:sz w:val="22"/>
                <w:szCs w:val="22"/>
              </w:rPr>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56"/>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联系电话</w:t>
            </w:r>
            <w:r>
              <w:rPr>
                <w:rFonts w:hint="eastAsia" w:ascii="宋体" w:hAnsi="宋体" w:cs="宋体"/>
                <w:b/>
                <w:sz w:val="22"/>
                <w:szCs w:val="22"/>
              </w:rPr>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pStyle w:val="756"/>
              <w:rPr>
                <w:rFonts w:hint="eastAsia" w:ascii="宋体" w:hAnsi="宋体" w:cs="宋体"/>
                <w:sz w:val="22"/>
                <w:szCs w:val="22"/>
              </w:rPr>
            </w:pPr>
            <w:r>
              <w:rPr>
                <w:rFonts w:hint="eastAsia" w:ascii="宋体" w:hAnsi="宋体" w:cs="宋体"/>
                <w:sz w:val="22"/>
                <w:szCs w:val="22"/>
              </w:rPr>
            </w:r>
            <w:r/>
          </w:p>
        </w:tc>
      </w:tr>
      <w:tr>
        <w:trPr>
          <w:trHeight w:val="1637"/>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诚信档案记录情况</w:t>
            </w:r>
            <w:r>
              <w:rPr>
                <w:rFonts w:hint="eastAsia" w:ascii="宋体" w:hAnsi="宋体" w:cs="宋体"/>
                <w:b/>
                <w:sz w:val="22"/>
                <w:szCs w:val="22"/>
              </w:rPr>
            </w:r>
            <w:r/>
          </w:p>
        </w:tc>
        <w:tc>
          <w:tcPr>
            <w:gridSpan w:val="3"/>
            <w:tcBorders>
              <w:top w:val="single" w:color="000000" w:sz="4" w:space="0"/>
              <w:left w:val="single" w:color="000000" w:sz="4" w:space="0"/>
              <w:bottom w:val="single" w:color="000000" w:sz="4" w:space="0"/>
              <w:right w:val="single" w:color="000000" w:sz="18" w:space="0"/>
            </w:tcBorders>
            <w:tcW w:w="7655" w:type="dxa"/>
            <w:vAlign w:val="center"/>
            <w:textDirection w:val="lrTb"/>
            <w:noWrap w:val="false"/>
          </w:tcPr>
          <w:p>
            <w:pPr>
              <w:pStyle w:val="756"/>
              <w:rPr>
                <w:rFonts w:hint="eastAsia" w:ascii="宋体" w:hAnsi="宋体" w:cs="宋体"/>
                <w:sz w:val="22"/>
                <w:szCs w:val="22"/>
              </w:rPr>
            </w:pPr>
            <w:r>
              <w:rPr>
                <w:rFonts w:hint="eastAsia" w:ascii="宋体" w:hAnsi="宋体" w:cs="宋体"/>
                <w:sz w:val="22"/>
                <w:szCs w:val="22"/>
              </w:rPr>
            </w:r>
            <w:r/>
          </w:p>
        </w:tc>
      </w:tr>
      <w:tr>
        <w:trPr>
          <w:trHeight w:val="5654"/>
        </w:trPr>
        <w:tc>
          <w:tcPr>
            <w:tcBorders>
              <w:top w:val="single" w:color="000000" w:sz="4" w:space="0"/>
              <w:left w:val="single" w:color="000000" w:sz="18" w:space="0"/>
              <w:bottom w:val="single" w:color="000000" w:sz="18" w:space="0"/>
              <w:right w:val="single" w:color="000000" w:sz="4" w:space="0"/>
            </w:tcBorders>
            <w:tcW w:w="1843" w:type="dxa"/>
            <w:vAlign w:val="center"/>
            <w:textDirection w:val="lrTb"/>
            <w:noWrap w:val="false"/>
          </w:tcPr>
          <w:p>
            <w:pPr>
              <w:pStyle w:val="756"/>
              <w:jc w:val="left"/>
              <w:widowControl/>
              <w:rPr>
                <w:rFonts w:hint="eastAsia" w:ascii="宋体" w:hAnsi="宋体" w:cs="宋体"/>
                <w:b/>
                <w:sz w:val="22"/>
                <w:szCs w:val="22"/>
              </w:rPr>
            </w:pPr>
            <w:r>
              <w:rPr>
                <w:rFonts w:hint="eastAsia" w:ascii="宋体" w:hAnsi="宋体" w:cs="宋体"/>
                <w:b/>
                <w:sz w:val="22"/>
                <w:szCs w:val="22"/>
              </w:rPr>
              <w:t xml:space="preserve">信用承诺</w:t>
            </w:r>
            <w:r>
              <w:rPr>
                <w:rFonts w:hint="eastAsia" w:ascii="宋体" w:hAnsi="宋体" w:cs="宋体"/>
                <w:b/>
                <w:sz w:val="22"/>
                <w:szCs w:val="22"/>
              </w:rPr>
            </w:r>
            <w:r/>
          </w:p>
        </w:tc>
        <w:tc>
          <w:tcPr>
            <w:gridSpan w:val="3"/>
            <w:tcBorders>
              <w:top w:val="single" w:color="000000" w:sz="4" w:space="0"/>
              <w:left w:val="single" w:color="000000" w:sz="4" w:space="0"/>
              <w:bottom w:val="single" w:color="000000" w:sz="18" w:space="0"/>
              <w:right w:val="single" w:color="000000" w:sz="18" w:space="0"/>
            </w:tcBorders>
            <w:tcW w:w="7655" w:type="dxa"/>
            <w:vAlign w:val="center"/>
            <w:textDirection w:val="lrTb"/>
            <w:noWrap w:val="false"/>
          </w:tcPr>
          <w:p>
            <w:pPr>
              <w:pStyle w:val="756"/>
              <w:jc w:val="left"/>
              <w:widowControl/>
              <w:rPr>
                <w:rFonts w:hint="eastAsia" w:ascii="宋体" w:hAnsi="宋体" w:cs="宋体"/>
                <w:sz w:val="24"/>
              </w:rPr>
            </w:pPr>
            <w:r>
              <w:rPr>
                <w:rFonts w:hint="eastAsia" w:ascii="宋体" w:hAnsi="宋体" w:cs="宋体"/>
                <w:sz w:val="24"/>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sz w:val="24"/>
              </w:rPr>
            </w:r>
            <w:r/>
          </w:p>
          <w:p>
            <w:pPr>
              <w:pStyle w:val="827"/>
            </w:pPr>
            <w:r/>
            <w:r/>
          </w:p>
          <w:p>
            <w:pPr>
              <w:pStyle w:val="827"/>
            </w:pPr>
            <w:r/>
            <w:r/>
          </w:p>
          <w:p>
            <w:pPr>
              <w:pStyle w:val="756"/>
              <w:jc w:val="lef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827"/>
            </w:pPr>
            <w:r/>
            <w:r/>
          </w:p>
          <w:p>
            <w:pPr>
              <w:pStyle w:val="756"/>
              <w:jc w:val="left"/>
              <w:widowControl/>
              <w:rPr>
                <w:rFonts w:hint="eastAsia" w:ascii="宋体" w:hAnsi="宋体" w:cs="宋体"/>
                <w:sz w:val="24"/>
              </w:rPr>
            </w:pPr>
            <w:r>
              <w:rPr>
                <w:rFonts w:hint="eastAsia" w:ascii="宋体" w:hAnsi="宋体" w:cs="宋体"/>
                <w:sz w:val="24"/>
              </w:rPr>
              <w:t xml:space="preserve">                      供应商名称（盖章）：</w:t>
            </w:r>
            <w:r>
              <w:rPr>
                <w:rFonts w:hint="eastAsia" w:ascii="宋体" w:hAnsi="宋体" w:cs="宋体"/>
                <w:sz w:val="24"/>
              </w:rPr>
            </w:r>
            <w:r/>
          </w:p>
          <w:p>
            <w:pPr>
              <w:pStyle w:val="827"/>
            </w:pPr>
            <w:r/>
            <w:r/>
          </w:p>
          <w:p>
            <w:pPr>
              <w:pStyle w:val="756"/>
              <w:jc w:val="left"/>
              <w:widowControl/>
              <w:rPr>
                <w:rFonts w:hint="eastAsia" w:ascii="宋体" w:hAnsi="宋体" w:cs="宋体"/>
                <w:sz w:val="24"/>
              </w:rPr>
            </w:pPr>
            <w:r>
              <w:rPr>
                <w:rFonts w:hint="eastAsia" w:ascii="宋体" w:hAnsi="宋体" w:cs="宋体"/>
                <w:sz w:val="24"/>
              </w:rPr>
              <w:t xml:space="preserve">                      法定代表人（签字）：</w:t>
            </w:r>
            <w:r>
              <w:rPr>
                <w:rFonts w:hint="eastAsia" w:ascii="宋体" w:hAnsi="宋体" w:cs="宋体"/>
                <w:sz w:val="24"/>
              </w:rPr>
            </w:r>
            <w:r/>
          </w:p>
          <w:p>
            <w:pPr>
              <w:pStyle w:val="827"/>
            </w:pPr>
            <w:r/>
            <w:r/>
          </w:p>
          <w:p>
            <w:pPr>
              <w:pStyle w:val="756"/>
              <w:jc w:val="left"/>
              <w:widowControl/>
              <w:rPr>
                <w:rFonts w:hint="eastAsia" w:ascii="宋体" w:hAnsi="宋体" w:cs="宋体"/>
                <w:sz w:val="24"/>
              </w:rPr>
            </w:pPr>
            <w:r>
              <w:rPr>
                <w:rFonts w:hint="eastAsia" w:ascii="宋体" w:hAnsi="宋体" w:cs="宋体"/>
                <w:sz w:val="24"/>
              </w:rPr>
              <w:t xml:space="preserve">                      二〇    年  月    日</w:t>
            </w:r>
            <w:r>
              <w:rPr>
                <w:rFonts w:hint="eastAsia" w:ascii="宋体" w:hAnsi="宋体" w:cs="宋体"/>
                <w:sz w:val="24"/>
              </w:rPr>
            </w:r>
            <w:r/>
          </w:p>
        </w:tc>
      </w:tr>
    </w:tbl>
    <w:p>
      <w:pPr>
        <w:pStyle w:val="756"/>
        <w:tabs>
          <w:tab w:val="left" w:pos="2670" w:leader="none"/>
        </w:tabs>
        <w:rPr>
          <w:szCs w:val="21"/>
        </w:rPr>
      </w:pPr>
      <w:r>
        <w:rPr>
          <w:szCs w:val="21"/>
        </w:rPr>
        <w:tab/>
      </w:r>
      <w:r/>
    </w:p>
    <w:sectPr>
      <w:headerReference w:type="default" r:id="rId9"/>
      <w:footerReference w:type="default" r:id="rId13"/>
      <w:footnotePr/>
      <w:endnotePr/>
      <w:type w:val="nextPage"/>
      <w:pgSz w:w="11906" w:h="16838" w:orient="portrait"/>
      <w:pgMar w:top="1134" w:right="1417" w:bottom="1134" w:left="1417" w:header="22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6"/>
                    </w:pPr>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5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75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7"/>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pPr>
                      <w:pStyle w:val="7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61"/>
      <w:isLgl w:val="false"/>
      <w:suff w:val="tab"/>
      <w:lvlText w:val="%1"/>
      <w:lvlJc w:val="left"/>
      <w:pPr>
        <w:pStyle w:val="756"/>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56"/>
        <w:ind w:left="425" w:hanging="425"/>
      </w:pPr>
      <w:rPr>
        <w:rFonts w:hint="eastAsia" w:ascii="Arial Unicode MS" w:hAnsi="Arial Unicode MS" w:eastAsia="微软雅黑"/>
        <w:b/>
        <w:i w:val="0"/>
      </w:rPr>
    </w:lvl>
    <w:lvl w:ilvl="2">
      <w:start w:val="1"/>
      <w:numFmt w:val="decimal"/>
      <w:isLgl w:val="false"/>
      <w:suff w:val="tab"/>
      <w:lvlText w:val="%1.%2.%3"/>
      <w:lvlJc w:val="left"/>
      <w:pPr>
        <w:pStyle w:val="756"/>
        <w:ind w:left="425" w:hanging="425"/>
      </w:pPr>
      <w:rPr>
        <w:rFonts w:hint="eastAsia" w:ascii="Arial Unicode MS" w:hAnsi="Arial Unicode MS" w:eastAsia="微软雅黑"/>
        <w:b/>
        <w:i w:val="0"/>
      </w:rPr>
    </w:lvl>
    <w:lvl w:ilvl="3">
      <w:start w:val="1"/>
      <w:numFmt w:val="decimal"/>
      <w:isLgl w:val="false"/>
      <w:suff w:val="tab"/>
      <w:lvlText w:val="%1.%2.%3.%4"/>
      <w:lvlJc w:val="left"/>
      <w:pPr>
        <w:pStyle w:val="756"/>
        <w:ind w:left="425" w:hanging="425"/>
      </w:pPr>
      <w:rPr>
        <w:rFonts w:hint="eastAsia" w:ascii="Arial Unicode MS" w:hAnsi="Arial Unicode MS" w:eastAsia="微软雅黑"/>
        <w:b/>
        <w:i w:val="0"/>
      </w:rPr>
    </w:lvl>
    <w:lvl w:ilvl="4">
      <w:start w:val="1"/>
      <w:numFmt w:val="decimal"/>
      <w:isLgl w:val="false"/>
      <w:suff w:val="tab"/>
      <w:lvlText w:val="%1.%2.%3.%4.%5"/>
      <w:lvlJc w:val="left"/>
      <w:pPr>
        <w:pStyle w:val="756"/>
        <w:ind w:left="425" w:hanging="425"/>
      </w:pPr>
      <w:rPr>
        <w:rFonts w:hint="eastAsia" w:ascii="Arial Unicode MS" w:hAnsi="Arial Unicode MS" w:eastAsia="微软雅黑"/>
        <w:b/>
        <w:i w:val="0"/>
      </w:rPr>
    </w:lvl>
    <w:lvl w:ilvl="5">
      <w:start w:val="1"/>
      <w:numFmt w:val="decimal"/>
      <w:isLgl w:val="false"/>
      <w:suff w:val="tab"/>
      <w:lvlText w:val="%1.%2.%3.%4.%5.%6"/>
      <w:lvlJc w:val="left"/>
      <w:pPr>
        <w:pStyle w:val="756"/>
        <w:ind w:left="425" w:hanging="425"/>
      </w:pPr>
      <w:rPr>
        <w:rFonts w:hint="eastAsia"/>
      </w:rPr>
    </w:lvl>
    <w:lvl w:ilvl="6">
      <w:start w:val="1"/>
      <w:numFmt w:val="decimal"/>
      <w:isLgl w:val="false"/>
      <w:suff w:val="tab"/>
      <w:lvlText w:val="%1.%2.%3.%4.%5.%6.%7"/>
      <w:lvlJc w:val="left"/>
      <w:pPr>
        <w:pStyle w:val="756"/>
        <w:ind w:left="425" w:hanging="425"/>
      </w:pPr>
      <w:rPr>
        <w:rFonts w:hint="eastAsia"/>
      </w:rPr>
    </w:lvl>
    <w:lvl w:ilvl="7">
      <w:start w:val="1"/>
      <w:numFmt w:val="decimal"/>
      <w:isLgl w:val="false"/>
      <w:suff w:val="tab"/>
      <w:lvlText w:val="%1.%2.%3.%4.%5.%6.%7.%8"/>
      <w:lvlJc w:val="left"/>
      <w:pPr>
        <w:pStyle w:val="756"/>
        <w:ind w:left="425" w:hanging="425"/>
      </w:pPr>
      <w:rPr>
        <w:rFonts w:hint="eastAsia"/>
      </w:rPr>
    </w:lvl>
    <w:lvl w:ilvl="8">
      <w:start w:val="1"/>
      <w:numFmt w:val="decimal"/>
      <w:isLgl w:val="false"/>
      <w:suff w:val="tab"/>
      <w:lvlText w:val="%1.%2.%3.%4.%5.%6.%7.%8.%9"/>
      <w:lvlJc w:val="left"/>
      <w:pPr>
        <w:pStyle w:val="756"/>
        <w:ind w:left="425" w:hanging="425"/>
      </w:pPr>
      <w:rPr>
        <w:rFonts w:hint="eastAsia"/>
      </w:rPr>
    </w:lvl>
  </w:abstractNum>
  <w:abstractNum w:abstractNumId="1">
    <w:multiLevelType w:val="hybridMultilevel"/>
    <w:lvl w:ilvl="0">
      <w:start w:val="7"/>
      <w:numFmt w:val="decimal"/>
      <w:isLgl w:val="false"/>
      <w:suff w:val="nothing"/>
      <w:lvlText w:val="%1、"/>
      <w:lvlJc w:val="left"/>
      <w:pPr>
        <w:pStyle w:val="756"/>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pStyle w:val="756"/>
      </w:pPr>
      <w:rPr>
        <w:rFonts w:hint="eastAsia"/>
      </w:r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5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5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756"/>
        <w:ind w:left="454" w:hanging="4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56"/>
        <w:ind w:left="630" w:hanging="420"/>
        <w:tabs>
          <w:tab w:val="num" w:pos="630" w:leader="none"/>
        </w:tabs>
      </w:pPr>
      <w:rPr>
        <w:rFonts w:cs="Times New Roman"/>
      </w:rPr>
    </w:lvl>
    <w:lvl w:ilvl="1">
      <w:start w:val="1"/>
      <w:numFmt w:val="decimal"/>
      <w:isLgl w:val="false"/>
      <w:suff w:val="tab"/>
      <w:lvlText w:val="%2)"/>
      <w:lvlJc w:val="left"/>
      <w:pPr>
        <w:pStyle w:val="756"/>
        <w:ind w:left="990" w:hanging="360"/>
        <w:tabs>
          <w:tab w:val="num" w:pos="990" w:leader="none"/>
        </w:tabs>
      </w:pPr>
      <w:rPr>
        <w:color w:val="000000"/>
      </w:rPr>
    </w:lvl>
    <w:lvl w:ilvl="2">
      <w:start w:val="1"/>
      <w:numFmt w:val="lowerRoman"/>
      <w:isLgl w:val="false"/>
      <w:suff w:val="tab"/>
      <w:lvlText w:val="%3."/>
      <w:lvlJc w:val="right"/>
      <w:pPr>
        <w:pStyle w:val="756"/>
        <w:ind w:left="1470" w:hanging="420"/>
        <w:tabs>
          <w:tab w:val="num" w:pos="1470" w:leader="none"/>
        </w:tabs>
      </w:pPr>
      <w:rPr>
        <w:rFonts w:cs="Times New Roman"/>
      </w:rPr>
    </w:lvl>
    <w:lvl w:ilvl="3">
      <w:start w:val="1"/>
      <w:numFmt w:val="decimal"/>
      <w:isLgl w:val="false"/>
      <w:suff w:val="tab"/>
      <w:lvlText w:val="%4."/>
      <w:lvlJc w:val="left"/>
      <w:pPr>
        <w:pStyle w:val="756"/>
        <w:ind w:left="1890" w:hanging="420"/>
        <w:tabs>
          <w:tab w:val="num" w:pos="1890" w:leader="none"/>
        </w:tabs>
      </w:pPr>
      <w:rPr>
        <w:rFonts w:cs="Times New Roman"/>
      </w:rPr>
    </w:lvl>
    <w:lvl w:ilvl="4">
      <w:start w:val="1"/>
      <w:numFmt w:val="lowerLetter"/>
      <w:isLgl w:val="false"/>
      <w:suff w:val="tab"/>
      <w:lvlText w:val="%5)"/>
      <w:lvlJc w:val="left"/>
      <w:pPr>
        <w:pStyle w:val="756"/>
        <w:ind w:left="2310" w:hanging="420"/>
        <w:tabs>
          <w:tab w:val="num" w:pos="2310" w:leader="none"/>
        </w:tabs>
      </w:pPr>
      <w:rPr>
        <w:rFonts w:cs="Times New Roman"/>
      </w:rPr>
    </w:lvl>
    <w:lvl w:ilvl="5">
      <w:start w:val="1"/>
      <w:numFmt w:val="lowerRoman"/>
      <w:isLgl w:val="false"/>
      <w:suff w:val="tab"/>
      <w:lvlText w:val="%6."/>
      <w:lvlJc w:val="right"/>
      <w:pPr>
        <w:pStyle w:val="756"/>
        <w:ind w:left="2730" w:hanging="420"/>
        <w:tabs>
          <w:tab w:val="num" w:pos="2730" w:leader="none"/>
        </w:tabs>
      </w:pPr>
      <w:rPr>
        <w:rFonts w:cs="Times New Roman"/>
      </w:rPr>
    </w:lvl>
    <w:lvl w:ilvl="6">
      <w:start w:val="1"/>
      <w:numFmt w:val="decimal"/>
      <w:isLgl w:val="false"/>
      <w:suff w:val="tab"/>
      <w:lvlText w:val="%7."/>
      <w:lvlJc w:val="left"/>
      <w:pPr>
        <w:pStyle w:val="756"/>
        <w:ind w:left="3150" w:hanging="420"/>
        <w:tabs>
          <w:tab w:val="num" w:pos="3150" w:leader="none"/>
        </w:tabs>
      </w:pPr>
      <w:rPr>
        <w:rFonts w:cs="Times New Roman"/>
      </w:rPr>
    </w:lvl>
    <w:lvl w:ilvl="7">
      <w:start w:val="1"/>
      <w:numFmt w:val="lowerLetter"/>
      <w:isLgl w:val="false"/>
      <w:suff w:val="tab"/>
      <w:lvlText w:val="%8)"/>
      <w:lvlJc w:val="left"/>
      <w:pPr>
        <w:pStyle w:val="756"/>
        <w:ind w:left="3570" w:hanging="420"/>
        <w:tabs>
          <w:tab w:val="num" w:pos="3570" w:leader="none"/>
        </w:tabs>
      </w:pPr>
      <w:rPr>
        <w:rFonts w:cs="Times New Roman"/>
      </w:rPr>
    </w:lvl>
    <w:lvl w:ilvl="8">
      <w:start w:val="1"/>
      <w:numFmt w:val="lowerRoman"/>
      <w:isLgl w:val="false"/>
      <w:suff w:val="tab"/>
      <w:lvlText w:val="%9."/>
      <w:lvlJc w:val="right"/>
      <w:pPr>
        <w:pStyle w:val="756"/>
        <w:ind w:left="3990" w:hanging="420"/>
        <w:tabs>
          <w:tab w:val="num" w:pos="3990" w:leader="none"/>
        </w:tabs>
      </w:pPr>
      <w:rPr>
        <w:rFonts w:cs="Times New Roman"/>
      </w:rPr>
    </w:lvl>
  </w:abstractNum>
  <w:abstractNum w:abstractNumId="7">
    <w:multiLevelType w:val="hybridMultilevel"/>
    <w:lvl w:ilvl="0">
      <w:start w:val="1"/>
      <w:numFmt w:val="decimal"/>
      <w:isLgl w:val="false"/>
      <w:suff w:val="tab"/>
      <w:lvlText w:val="(%1)"/>
      <w:lvlJc w:val="left"/>
      <w:pPr>
        <w:pStyle w:val="75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57"/>
      <w:isLgl w:val="false"/>
      <w:suff w:val="nothing"/>
      <w:lvlText w:val="第%1章"/>
      <w:lvlJc w:val="left"/>
      <w:pPr>
        <w:pStyle w:val="756"/>
        <w:ind w:left="0" w:firstLine="0"/>
      </w:pPr>
    </w:lvl>
    <w:lvl w:ilvl="1">
      <w:start w:val="1"/>
      <w:numFmt w:val="decimal"/>
      <w:pStyle w:val="758"/>
      <w:isLgl w:val="false"/>
      <w:suff w:val="nothing"/>
      <w:lvlText w:val=""/>
      <w:lvlJc w:val="left"/>
      <w:pPr>
        <w:pStyle w:val="756"/>
        <w:ind w:left="0" w:firstLine="0"/>
      </w:pPr>
    </w:lvl>
    <w:lvl w:ilvl="2">
      <w:start w:val="1"/>
      <w:numFmt w:val="decimal"/>
      <w:pStyle w:val="759"/>
      <w:isLgl w:val="false"/>
      <w:suff w:val="nothing"/>
      <w:lvlText w:val=""/>
      <w:lvlJc w:val="left"/>
      <w:pPr>
        <w:pStyle w:val="756"/>
        <w:ind w:left="0" w:firstLine="0"/>
      </w:pPr>
    </w:lvl>
    <w:lvl w:ilvl="3">
      <w:start w:val="1"/>
      <w:numFmt w:val="decimal"/>
      <w:pStyle w:val="760"/>
      <w:isLgl w:val="false"/>
      <w:suff w:val="nothing"/>
      <w:lvlText w:val=""/>
      <w:lvlJc w:val="left"/>
      <w:pPr>
        <w:pStyle w:val="756"/>
        <w:ind w:left="0" w:firstLine="0"/>
      </w:pPr>
    </w:lvl>
    <w:lvl w:ilvl="4">
      <w:start w:val="1"/>
      <w:numFmt w:val="decimal"/>
      <w:pStyle w:val="761"/>
      <w:isLgl w:val="false"/>
      <w:suff w:val="nothing"/>
      <w:lvlText w:val=""/>
      <w:lvlJc w:val="left"/>
      <w:pPr>
        <w:pStyle w:val="756"/>
        <w:ind w:left="0" w:firstLine="0"/>
      </w:pPr>
    </w:lvl>
    <w:lvl w:ilvl="5">
      <w:start w:val="1"/>
      <w:numFmt w:val="decimal"/>
      <w:pStyle w:val="762"/>
      <w:isLgl w:val="false"/>
      <w:suff w:val="nothing"/>
      <w:lvlText w:val=""/>
      <w:lvlJc w:val="left"/>
      <w:pPr>
        <w:pStyle w:val="756"/>
        <w:ind w:left="0" w:firstLine="0"/>
      </w:pPr>
    </w:lvl>
    <w:lvl w:ilvl="6">
      <w:start w:val="1"/>
      <w:numFmt w:val="decimal"/>
      <w:pStyle w:val="763"/>
      <w:isLgl w:val="false"/>
      <w:suff w:val="nothing"/>
      <w:lvlText w:val=""/>
      <w:lvlJc w:val="left"/>
      <w:pPr>
        <w:pStyle w:val="756"/>
        <w:ind w:left="0" w:firstLine="0"/>
      </w:pPr>
    </w:lvl>
    <w:lvl w:ilvl="7">
      <w:start w:val="1"/>
      <w:numFmt w:val="decimal"/>
      <w:pStyle w:val="764"/>
      <w:isLgl w:val="false"/>
      <w:suff w:val="nothing"/>
      <w:lvlText w:val=""/>
      <w:lvlJc w:val="left"/>
      <w:pPr>
        <w:pStyle w:val="756"/>
        <w:ind w:left="0" w:firstLine="0"/>
      </w:pPr>
    </w:lvl>
    <w:lvl w:ilvl="8">
      <w:start w:val="1"/>
      <w:numFmt w:val="decimal"/>
      <w:pStyle w:val="765"/>
      <w:isLgl w:val="false"/>
      <w:suff w:val="nothing"/>
      <w:lvlText w:val=""/>
      <w:lvlJc w:val="left"/>
      <w:pPr>
        <w:pStyle w:val="756"/>
        <w:ind w:left="0" w:firstLine="0"/>
      </w:pPr>
    </w:lvl>
  </w:abstractNum>
  <w:abstractNum w:abstractNumId="9">
    <w:multiLevelType w:val="hybridMultilevel"/>
    <w:lvl w:ilvl="0">
      <w:start w:val="1"/>
      <w:numFmt w:val="decimal"/>
      <w:isLgl w:val="false"/>
      <w:suff w:val="tab"/>
      <w:lvlText w:val="%1."/>
      <w:lvlJc w:val="left"/>
      <w:pPr>
        <w:pStyle w:val="75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space"/>
      <w:lvlText w:val="第%1条"/>
      <w:lvlJc w:val="left"/>
      <w:pPr>
        <w:pStyle w:val="756"/>
      </w:pPr>
      <w:rPr>
        <w:rFonts w:hint="eastAsia"/>
      </w:r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1"/>
  </w:num>
  <w:num w:numId="4">
    <w:abstractNumId w:val="6"/>
  </w:num>
  <w:num w:numId="5">
    <w:abstractNumId w:val="5"/>
  </w:num>
  <w:num w:numId="6">
    <w:abstractNumId w:val="11"/>
  </w:num>
  <w:num w:numId="7">
    <w:abstractNumId w:val="4"/>
  </w:num>
  <w:num w:numId="8">
    <w:abstractNumId w:val="7"/>
  </w:num>
  <w:num w:numId="9">
    <w:abstractNumId w:val="9"/>
  </w:num>
  <w:num w:numId="10">
    <w:abstractNumId w:val="3"/>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6"/>
    <w:next w:val="756"/>
    <w:link w:val="846"/>
    <w:uiPriority w:val="9"/>
    <w:qFormat/>
    <w:pPr>
      <w:keepLines/>
      <w:keepNext/>
      <w:spacing w:before="480" w:after="200"/>
      <w:outlineLvl w:val="0"/>
    </w:pPr>
    <w:rPr>
      <w:rFonts w:ascii="Arial" w:hAnsi="Arial" w:eastAsia="Arial" w:cs="Arial"/>
      <w:sz w:val="40"/>
      <w:szCs w:val="40"/>
    </w:rPr>
  </w:style>
  <w:style w:type="paragraph" w:styleId="14">
    <w:name w:val="Heading 2"/>
    <w:basedOn w:val="756"/>
    <w:next w:val="756"/>
    <w:link w:val="847"/>
    <w:uiPriority w:val="9"/>
    <w:unhideWhenUsed/>
    <w:qFormat/>
    <w:pPr>
      <w:keepLines/>
      <w:keepNext/>
      <w:spacing w:before="360" w:after="200"/>
      <w:outlineLvl w:val="1"/>
    </w:pPr>
    <w:rPr>
      <w:rFonts w:ascii="Arial" w:hAnsi="Arial" w:eastAsia="Arial" w:cs="Arial"/>
      <w:sz w:val="34"/>
    </w:rPr>
  </w:style>
  <w:style w:type="paragraph" w:styleId="16">
    <w:name w:val="Heading 3"/>
    <w:basedOn w:val="756"/>
    <w:next w:val="756"/>
    <w:link w:val="84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6"/>
    <w:next w:val="756"/>
    <w:link w:val="84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6"/>
    <w:next w:val="756"/>
    <w:link w:val="85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6"/>
    <w:next w:val="756"/>
    <w:link w:val="85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6"/>
    <w:next w:val="756"/>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6"/>
    <w:next w:val="756"/>
    <w:link w:val="85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6"/>
    <w:next w:val="756"/>
    <w:link w:val="85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6"/>
    <w:next w:val="756"/>
    <w:link w:val="855"/>
    <w:uiPriority w:val="10"/>
    <w:qFormat/>
    <w:pPr>
      <w:contextualSpacing/>
      <w:spacing w:before="300" w:after="200"/>
    </w:pPr>
    <w:rPr>
      <w:sz w:val="48"/>
      <w:szCs w:val="48"/>
    </w:rPr>
  </w:style>
  <w:style w:type="paragraph" w:styleId="35">
    <w:name w:val="Subtitle"/>
    <w:basedOn w:val="756"/>
    <w:next w:val="756"/>
    <w:link w:val="856"/>
    <w:uiPriority w:val="11"/>
    <w:qFormat/>
    <w:pPr>
      <w:spacing w:before="200" w:after="200"/>
    </w:pPr>
    <w:rPr>
      <w:sz w:val="24"/>
      <w:szCs w:val="24"/>
    </w:rPr>
  </w:style>
  <w:style w:type="paragraph" w:styleId="37">
    <w:name w:val="Quote"/>
    <w:basedOn w:val="756"/>
    <w:next w:val="756"/>
    <w:link w:val="38"/>
    <w:uiPriority w:val="29"/>
    <w:qFormat/>
    <w:pPr>
      <w:ind w:left="720" w:right="720"/>
    </w:pPr>
    <w:rPr>
      <w:i/>
    </w:rPr>
  </w:style>
  <w:style w:type="character" w:styleId="38">
    <w:name w:val="Quote Char"/>
    <w:link w:val="37"/>
    <w:uiPriority w:val="29"/>
    <w:rPr>
      <w:i/>
    </w:rPr>
  </w:style>
  <w:style w:type="paragraph" w:styleId="39">
    <w:name w:val="Intense Quote"/>
    <w:basedOn w:val="756"/>
    <w:next w:val="7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6"/>
    <w:link w:val="861"/>
    <w:uiPriority w:val="99"/>
    <w:unhideWhenUsed/>
    <w:pPr>
      <w:spacing w:after="0" w:line="240" w:lineRule="auto"/>
      <w:tabs>
        <w:tab w:val="center" w:pos="7143" w:leader="none"/>
        <w:tab w:val="right" w:pos="14287" w:leader="none"/>
      </w:tabs>
    </w:pPr>
  </w:style>
  <w:style w:type="paragraph" w:styleId="43">
    <w:name w:val="Footer"/>
    <w:basedOn w:val="756"/>
    <w:link w:val="863"/>
    <w:uiPriority w:val="99"/>
    <w:unhideWhenUsed/>
    <w:pPr>
      <w:spacing w:after="0" w:line="240" w:lineRule="auto"/>
      <w:tabs>
        <w:tab w:val="center" w:pos="7143" w:leader="none"/>
        <w:tab w:val="right" w:pos="14287" w:leader="none"/>
      </w:tabs>
    </w:pPr>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6"/>
    <w:next w:val="756"/>
    <w:uiPriority w:val="39"/>
    <w:unhideWhenUsed/>
    <w:pPr>
      <w:ind w:left="0" w:right="0" w:firstLine="0"/>
      <w:spacing w:after="57"/>
    </w:pPr>
  </w:style>
  <w:style w:type="paragraph" w:styleId="181">
    <w:name w:val="toc 2"/>
    <w:basedOn w:val="756"/>
    <w:next w:val="756"/>
    <w:uiPriority w:val="39"/>
    <w:unhideWhenUsed/>
    <w:pPr>
      <w:ind w:left="283" w:right="0" w:firstLine="0"/>
      <w:spacing w:after="57"/>
    </w:pPr>
  </w:style>
  <w:style w:type="paragraph" w:styleId="182">
    <w:name w:val="toc 3"/>
    <w:basedOn w:val="756"/>
    <w:next w:val="756"/>
    <w:uiPriority w:val="39"/>
    <w:unhideWhenUsed/>
    <w:pPr>
      <w:ind w:left="567" w:right="0" w:firstLine="0"/>
      <w:spacing w:after="57"/>
    </w:pPr>
  </w:style>
  <w:style w:type="paragraph" w:styleId="183">
    <w:name w:val="toc 4"/>
    <w:basedOn w:val="756"/>
    <w:next w:val="756"/>
    <w:uiPriority w:val="39"/>
    <w:unhideWhenUsed/>
    <w:pPr>
      <w:ind w:left="850" w:right="0" w:firstLine="0"/>
      <w:spacing w:after="57"/>
    </w:pPr>
  </w:style>
  <w:style w:type="paragraph" w:styleId="184">
    <w:name w:val="toc 5"/>
    <w:basedOn w:val="756"/>
    <w:next w:val="756"/>
    <w:uiPriority w:val="39"/>
    <w:unhideWhenUsed/>
    <w:pPr>
      <w:ind w:left="1134" w:right="0" w:firstLine="0"/>
      <w:spacing w:after="57"/>
    </w:pPr>
  </w:style>
  <w:style w:type="paragraph" w:styleId="185">
    <w:name w:val="toc 6"/>
    <w:basedOn w:val="756"/>
    <w:next w:val="756"/>
    <w:uiPriority w:val="39"/>
    <w:unhideWhenUsed/>
    <w:pPr>
      <w:ind w:left="1417" w:right="0" w:firstLine="0"/>
      <w:spacing w:after="57"/>
    </w:pPr>
  </w:style>
  <w:style w:type="paragraph" w:styleId="186">
    <w:name w:val="toc 7"/>
    <w:basedOn w:val="756"/>
    <w:next w:val="756"/>
    <w:uiPriority w:val="39"/>
    <w:unhideWhenUsed/>
    <w:pPr>
      <w:ind w:left="1701" w:right="0" w:firstLine="0"/>
      <w:spacing w:after="57"/>
    </w:pPr>
  </w:style>
  <w:style w:type="paragraph" w:styleId="187">
    <w:name w:val="toc 8"/>
    <w:basedOn w:val="756"/>
    <w:next w:val="756"/>
    <w:uiPriority w:val="39"/>
    <w:unhideWhenUsed/>
    <w:pPr>
      <w:ind w:left="1984" w:right="0" w:firstLine="0"/>
      <w:spacing w:after="57"/>
    </w:pPr>
  </w:style>
  <w:style w:type="paragraph" w:styleId="188">
    <w:name w:val="toc 9"/>
    <w:basedOn w:val="756"/>
    <w:next w:val="7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6"/>
    <w:next w:val="756"/>
    <w:uiPriority w:val="99"/>
    <w:unhideWhenUsed/>
    <w:pPr>
      <w:spacing w:after="0" w:afterAutospacing="0"/>
    </w:pPr>
  </w:style>
  <w:style w:type="paragraph" w:styleId="756" w:default="1">
    <w:name w:val="Normal"/>
    <w:next w:val="756"/>
    <w:link w:val="756"/>
    <w:qFormat/>
    <w:pPr>
      <w:jc w:val="both"/>
      <w:widowControl w:val="off"/>
    </w:pPr>
    <w:rPr>
      <w:sz w:val="21"/>
      <w:szCs w:val="24"/>
      <w:lang w:val="en-US" w:eastAsia="zh-CN" w:bidi="ar-SA"/>
    </w:rPr>
  </w:style>
  <w:style w:type="paragraph" w:styleId="757">
    <w:name w:val="标题 1"/>
    <w:basedOn w:val="756"/>
    <w:next w:val="756"/>
    <w:link w:val="768"/>
    <w:qFormat/>
    <w:pPr>
      <w:numPr>
        <w:ilvl w:val="0"/>
        <w:numId w:val="1"/>
      </w:numPr>
      <w:jc w:val="center"/>
      <w:keepLines/>
      <w:keepNext/>
      <w:spacing w:before="340" w:after="330" w:line="578" w:lineRule="auto"/>
      <w:outlineLvl w:val="0"/>
    </w:pPr>
    <w:rPr>
      <w:b/>
      <w:bCs/>
      <w:sz w:val="32"/>
      <w:szCs w:val="44"/>
    </w:rPr>
  </w:style>
  <w:style w:type="paragraph" w:styleId="758">
    <w:name w:val="标题 2"/>
    <w:basedOn w:val="756"/>
    <w:next w:val="756"/>
    <w:link w:val="769"/>
    <w:qFormat/>
    <w:pPr>
      <w:numPr>
        <w:ilvl w:val="1"/>
        <w:numId w:val="1"/>
      </w:numPr>
      <w:keepLines/>
      <w:keepNext/>
      <w:spacing w:before="260" w:after="260" w:line="416" w:lineRule="auto"/>
      <w:outlineLvl w:val="1"/>
    </w:pPr>
    <w:rPr>
      <w:rFonts w:ascii="Cambria" w:hAnsi="Cambria"/>
      <w:b/>
      <w:bCs/>
      <w:sz w:val="32"/>
      <w:szCs w:val="32"/>
    </w:rPr>
  </w:style>
  <w:style w:type="paragraph" w:styleId="759">
    <w:name w:val="标题 3"/>
    <w:basedOn w:val="756"/>
    <w:next w:val="771"/>
    <w:link w:val="770"/>
    <w:qFormat/>
    <w:pPr>
      <w:numPr>
        <w:ilvl w:val="2"/>
        <w:numId w:val="1"/>
      </w:numPr>
      <w:keepLines/>
      <w:keepNext/>
      <w:spacing w:before="260" w:after="260" w:line="416" w:lineRule="auto"/>
      <w:outlineLvl w:val="2"/>
    </w:pPr>
    <w:rPr>
      <w:b/>
      <w:bCs/>
      <w:sz w:val="32"/>
      <w:szCs w:val="32"/>
    </w:rPr>
  </w:style>
  <w:style w:type="paragraph" w:styleId="760">
    <w:name w:val="标题 4"/>
    <w:basedOn w:val="756"/>
    <w:next w:val="756"/>
    <w:link w:val="772"/>
    <w:qFormat/>
    <w:pPr>
      <w:numPr>
        <w:ilvl w:val="3"/>
        <w:numId w:val="1"/>
      </w:numPr>
      <w:keepLines/>
      <w:keepNext/>
      <w:spacing w:before="280" w:after="290" w:line="376" w:lineRule="auto"/>
      <w:outlineLvl w:val="3"/>
    </w:pPr>
    <w:rPr>
      <w:rFonts w:ascii="Cambria" w:hAnsi="Cambria"/>
      <w:b/>
      <w:bCs/>
      <w:sz w:val="28"/>
      <w:szCs w:val="28"/>
    </w:rPr>
  </w:style>
  <w:style w:type="paragraph" w:styleId="761">
    <w:name w:val="标题 5"/>
    <w:basedOn w:val="756"/>
    <w:next w:val="756"/>
    <w:link w:val="773"/>
    <w:qFormat/>
    <w:pPr>
      <w:numPr>
        <w:ilvl w:val="4"/>
        <w:numId w:val="1"/>
      </w:numPr>
      <w:keepLines/>
      <w:keepNext/>
      <w:spacing w:before="280" w:after="290" w:line="376" w:lineRule="auto"/>
      <w:outlineLvl w:val="4"/>
    </w:pPr>
    <w:rPr>
      <w:b/>
      <w:bCs/>
      <w:sz w:val="28"/>
      <w:szCs w:val="28"/>
    </w:rPr>
  </w:style>
  <w:style w:type="paragraph" w:styleId="762">
    <w:name w:val="标题 6"/>
    <w:basedOn w:val="756"/>
    <w:next w:val="756"/>
    <w:link w:val="774"/>
    <w:qFormat/>
    <w:pPr>
      <w:numPr>
        <w:ilvl w:val="5"/>
        <w:numId w:val="1"/>
      </w:numPr>
      <w:keepLines/>
      <w:keepNext/>
      <w:spacing w:before="240" w:after="64" w:line="320" w:lineRule="auto"/>
      <w:outlineLvl w:val="5"/>
    </w:pPr>
    <w:rPr>
      <w:rFonts w:ascii="Cambria" w:hAnsi="Cambria"/>
      <w:b/>
      <w:bCs/>
      <w:sz w:val="24"/>
    </w:rPr>
  </w:style>
  <w:style w:type="paragraph" w:styleId="763">
    <w:name w:val="标题 7"/>
    <w:basedOn w:val="756"/>
    <w:next w:val="756"/>
    <w:link w:val="775"/>
    <w:qFormat/>
    <w:pPr>
      <w:numPr>
        <w:ilvl w:val="6"/>
        <w:numId w:val="1"/>
      </w:numPr>
      <w:keepLines/>
      <w:keepNext/>
      <w:spacing w:before="240" w:after="64" w:line="320" w:lineRule="auto"/>
      <w:outlineLvl w:val="6"/>
    </w:pPr>
    <w:rPr>
      <w:b/>
      <w:bCs/>
      <w:sz w:val="24"/>
    </w:rPr>
  </w:style>
  <w:style w:type="paragraph" w:styleId="764">
    <w:name w:val="标题 8"/>
    <w:basedOn w:val="756"/>
    <w:next w:val="756"/>
    <w:link w:val="776"/>
    <w:qFormat/>
    <w:pPr>
      <w:numPr>
        <w:ilvl w:val="7"/>
        <w:numId w:val="1"/>
      </w:numPr>
      <w:keepLines/>
      <w:keepNext/>
      <w:spacing w:before="240" w:after="64" w:line="320" w:lineRule="auto"/>
      <w:outlineLvl w:val="7"/>
    </w:pPr>
    <w:rPr>
      <w:rFonts w:ascii="Cambria" w:hAnsi="Cambria"/>
      <w:sz w:val="24"/>
    </w:rPr>
  </w:style>
  <w:style w:type="paragraph" w:styleId="765">
    <w:name w:val="标题 9"/>
    <w:basedOn w:val="756"/>
    <w:next w:val="756"/>
    <w:link w:val="777"/>
    <w:qFormat/>
    <w:pPr>
      <w:numPr>
        <w:ilvl w:val="8"/>
        <w:numId w:val="1"/>
      </w:numPr>
      <w:keepLines/>
      <w:keepNext/>
      <w:spacing w:before="240" w:after="64" w:line="320" w:lineRule="auto"/>
      <w:outlineLvl w:val="8"/>
    </w:pPr>
    <w:rPr>
      <w:rFonts w:ascii="Cambria" w:hAnsi="Cambria"/>
      <w:szCs w:val="21"/>
    </w:rPr>
  </w:style>
  <w:style w:type="character" w:styleId="766">
    <w:name w:val="默认段落字体"/>
    <w:next w:val="766"/>
    <w:link w:val="756"/>
    <w:uiPriority w:val="1"/>
    <w:unhideWhenUsed/>
  </w:style>
  <w:style w:type="table" w:styleId="767">
    <w:name w:val="普通表格"/>
    <w:next w:val="767"/>
    <w:link w:val="756"/>
    <w:uiPriority w:val="99"/>
    <w:unhideWhenUsed/>
    <w:tblPr/>
  </w:style>
  <w:style w:type="character" w:styleId="768">
    <w:name w:val="标题 1 字符"/>
    <w:next w:val="768"/>
    <w:link w:val="757"/>
    <w:qFormat/>
    <w:rPr>
      <w:rFonts w:ascii="Times New Roman" w:hAnsi="Times New Roman" w:eastAsia="宋体" w:cs="Times New Roman"/>
      <w:b/>
      <w:bCs/>
      <w:sz w:val="32"/>
      <w:szCs w:val="44"/>
    </w:rPr>
  </w:style>
  <w:style w:type="character" w:styleId="769">
    <w:name w:val="标题 2 字符"/>
    <w:next w:val="769"/>
    <w:link w:val="758"/>
    <w:qFormat/>
    <w:rPr>
      <w:rFonts w:ascii="Cambria" w:hAnsi="Cambria"/>
      <w:b/>
      <w:bCs/>
      <w:sz w:val="32"/>
      <w:szCs w:val="32"/>
    </w:rPr>
  </w:style>
  <w:style w:type="character" w:styleId="770">
    <w:name w:val="标题 3 字符"/>
    <w:next w:val="770"/>
    <w:link w:val="759"/>
    <w:qFormat/>
    <w:rPr>
      <w:b/>
      <w:bCs/>
      <w:sz w:val="32"/>
      <w:szCs w:val="32"/>
    </w:rPr>
  </w:style>
  <w:style w:type="paragraph" w:styleId="771">
    <w:name w:val="正文缩进"/>
    <w:basedOn w:val="756"/>
    <w:next w:val="771"/>
    <w:link w:val="756"/>
    <w:qFormat/>
    <w:pPr>
      <w:ind w:firstLine="420"/>
    </w:pPr>
    <w:rPr>
      <w:b/>
      <w:sz w:val="24"/>
      <w:szCs w:val="20"/>
    </w:rPr>
  </w:style>
  <w:style w:type="character" w:styleId="772">
    <w:name w:val="标题 4 字符"/>
    <w:next w:val="772"/>
    <w:link w:val="760"/>
    <w:qFormat/>
    <w:rPr>
      <w:rFonts w:ascii="Cambria" w:hAnsi="Cambria" w:eastAsia="宋体" w:cs="Times New Roman"/>
      <w:b/>
      <w:bCs/>
      <w:sz w:val="28"/>
      <w:szCs w:val="28"/>
    </w:rPr>
  </w:style>
  <w:style w:type="character" w:styleId="773">
    <w:name w:val="标题 5 字符"/>
    <w:next w:val="773"/>
    <w:link w:val="761"/>
    <w:qFormat/>
    <w:rPr>
      <w:b/>
      <w:bCs/>
      <w:sz w:val="28"/>
      <w:szCs w:val="28"/>
    </w:rPr>
  </w:style>
  <w:style w:type="character" w:styleId="774">
    <w:name w:val="标题 6 字符"/>
    <w:next w:val="774"/>
    <w:link w:val="762"/>
    <w:qFormat/>
    <w:rPr>
      <w:rFonts w:ascii="Cambria" w:hAnsi="Cambria" w:eastAsia="宋体" w:cs="Times New Roman"/>
      <w:b/>
      <w:bCs/>
      <w:sz w:val="24"/>
      <w:szCs w:val="24"/>
    </w:rPr>
  </w:style>
  <w:style w:type="character" w:styleId="775">
    <w:name w:val="标题 7 字符"/>
    <w:next w:val="775"/>
    <w:link w:val="763"/>
    <w:qFormat/>
    <w:rPr>
      <w:b/>
      <w:bCs/>
      <w:sz w:val="24"/>
      <w:szCs w:val="24"/>
    </w:rPr>
  </w:style>
  <w:style w:type="character" w:styleId="776">
    <w:name w:val="标题 8 字符"/>
    <w:next w:val="776"/>
    <w:link w:val="764"/>
    <w:qFormat/>
    <w:rPr>
      <w:rFonts w:ascii="Cambria" w:hAnsi="Cambria" w:eastAsia="宋体" w:cs="Times New Roman"/>
      <w:sz w:val="24"/>
      <w:szCs w:val="24"/>
    </w:rPr>
  </w:style>
  <w:style w:type="character" w:styleId="777">
    <w:name w:val="标题 9 字符"/>
    <w:next w:val="777"/>
    <w:link w:val="765"/>
    <w:qFormat/>
    <w:rPr>
      <w:rFonts w:ascii="Cambria" w:hAnsi="Cambria" w:eastAsia="宋体" w:cs="Times New Roman"/>
      <w:sz w:val="21"/>
      <w:szCs w:val="21"/>
    </w:rPr>
  </w:style>
  <w:style w:type="paragraph" w:styleId="778">
    <w:name w:val="列表 3"/>
    <w:basedOn w:val="756"/>
    <w:next w:val="778"/>
    <w:link w:val="756"/>
    <w:uiPriority w:val="99"/>
    <w:unhideWhenUsed/>
    <w:qFormat/>
    <w:pPr>
      <w:ind w:left="1260" w:hanging="420"/>
      <w:spacing w:before="100" w:beforeAutospacing="1" w:after="100" w:afterAutospacing="1"/>
    </w:pPr>
    <w:rPr>
      <w:szCs w:val="21"/>
    </w:rPr>
  </w:style>
  <w:style w:type="paragraph" w:styleId="779">
    <w:name w:val="目录 7"/>
    <w:basedOn w:val="756"/>
    <w:next w:val="756"/>
    <w:link w:val="756"/>
    <w:uiPriority w:val="39"/>
    <w:unhideWhenUsed/>
    <w:qFormat/>
    <w:pPr>
      <w:ind w:left="2520"/>
    </w:pPr>
    <w:rPr>
      <w:rFonts w:ascii="Calibri" w:hAnsi="Calibri"/>
      <w:szCs w:val="22"/>
    </w:rPr>
  </w:style>
  <w:style w:type="paragraph" w:styleId="780">
    <w:name w:val="题注"/>
    <w:basedOn w:val="756"/>
    <w:next w:val="756"/>
    <w:link w:val="756"/>
    <w:qFormat/>
    <w:rPr>
      <w:rFonts w:ascii="Cambria" w:hAnsi="Cambria" w:eastAsia="黑体"/>
      <w:sz w:val="20"/>
      <w:szCs w:val="22"/>
    </w:rPr>
  </w:style>
  <w:style w:type="paragraph" w:styleId="781">
    <w:name w:val="文档结构图"/>
    <w:basedOn w:val="756"/>
    <w:next w:val="781"/>
    <w:link w:val="782"/>
    <w:qFormat/>
    <w:rPr>
      <w:rFonts w:ascii="宋体"/>
      <w:sz w:val="18"/>
      <w:szCs w:val="18"/>
    </w:rPr>
  </w:style>
  <w:style w:type="character" w:styleId="782">
    <w:name w:val="文档结构图 字符"/>
    <w:next w:val="782"/>
    <w:link w:val="781"/>
    <w:qFormat/>
    <w:rPr>
      <w:rFonts w:ascii="宋体"/>
      <w:sz w:val="18"/>
      <w:szCs w:val="18"/>
    </w:rPr>
  </w:style>
  <w:style w:type="paragraph" w:styleId="783">
    <w:name w:val="批注文字"/>
    <w:basedOn w:val="756"/>
    <w:next w:val="783"/>
    <w:link w:val="784"/>
    <w:uiPriority w:val="99"/>
    <w:qFormat/>
    <w:pPr>
      <w:jc w:val="left"/>
    </w:pPr>
  </w:style>
  <w:style w:type="character" w:styleId="784">
    <w:name w:val="批注文字 字符"/>
    <w:next w:val="784"/>
    <w:link w:val="783"/>
    <w:uiPriority w:val="99"/>
    <w:qFormat/>
    <w:rPr>
      <w:sz w:val="21"/>
      <w:szCs w:val="24"/>
    </w:rPr>
  </w:style>
  <w:style w:type="paragraph" w:styleId="785">
    <w:name w:val="正文文本 3"/>
    <w:basedOn w:val="756"/>
    <w:next w:val="785"/>
    <w:link w:val="786"/>
    <w:qFormat/>
    <w:rPr>
      <w:rFonts w:ascii="宋体"/>
      <w:sz w:val="24"/>
      <w:szCs w:val="20"/>
    </w:rPr>
  </w:style>
  <w:style w:type="character" w:styleId="786">
    <w:name w:val="正文文本 3 字符"/>
    <w:next w:val="786"/>
    <w:link w:val="785"/>
    <w:qFormat/>
    <w:rPr>
      <w:rFonts w:ascii="宋体"/>
      <w:sz w:val="24"/>
    </w:rPr>
  </w:style>
  <w:style w:type="paragraph" w:styleId="787">
    <w:name w:val="正文文本"/>
    <w:basedOn w:val="756"/>
    <w:next w:val="787"/>
    <w:link w:val="788"/>
    <w:qFormat/>
    <w:pPr>
      <w:jc w:val="center"/>
    </w:pPr>
    <w:rPr>
      <w:rFonts w:eastAsia="幼圆"/>
      <w:b/>
      <w:bCs/>
      <w:sz w:val="44"/>
    </w:rPr>
  </w:style>
  <w:style w:type="character" w:styleId="788">
    <w:name w:val="正文文本 字符"/>
    <w:next w:val="788"/>
    <w:link w:val="787"/>
    <w:qFormat/>
    <w:rPr>
      <w:rFonts w:eastAsia="幼圆"/>
      <w:b/>
      <w:bCs/>
      <w:sz w:val="44"/>
      <w:szCs w:val="24"/>
    </w:rPr>
  </w:style>
  <w:style w:type="paragraph" w:styleId="789">
    <w:name w:val="正文文本缩进"/>
    <w:basedOn w:val="756"/>
    <w:next w:val="791"/>
    <w:link w:val="790"/>
    <w:qFormat/>
    <w:pPr>
      <w:ind w:left="420"/>
      <w:spacing w:after="120"/>
    </w:pPr>
  </w:style>
  <w:style w:type="character" w:styleId="790">
    <w:name w:val="正文文本缩进 字符"/>
    <w:next w:val="790"/>
    <w:link w:val="789"/>
    <w:qFormat/>
    <w:rPr>
      <w:sz w:val="21"/>
      <w:szCs w:val="24"/>
    </w:rPr>
  </w:style>
  <w:style w:type="paragraph" w:styleId="791">
    <w:name w:val="寄信人地址"/>
    <w:basedOn w:val="756"/>
    <w:next w:val="791"/>
    <w:link w:val="756"/>
    <w:uiPriority w:val="99"/>
    <w:unhideWhenUsed/>
    <w:qFormat/>
    <w:rPr>
      <w:rFonts w:ascii="Arial" w:hAnsi="Arial" w:cs="Arial"/>
    </w:rPr>
  </w:style>
  <w:style w:type="paragraph" w:styleId="792">
    <w:name w:val="文本块"/>
    <w:basedOn w:val="756"/>
    <w:next w:val="792"/>
    <w:link w:val="756"/>
    <w:qFormat/>
    <w:pPr>
      <w:ind w:left="700" w:right="700"/>
      <w:spacing w:after="120"/>
    </w:pPr>
  </w:style>
  <w:style w:type="paragraph" w:styleId="793">
    <w:name w:val="索引 4"/>
    <w:basedOn w:val="756"/>
    <w:next w:val="756"/>
    <w:link w:val="756"/>
    <w:qFormat/>
    <w:pPr>
      <w:ind w:left="600"/>
    </w:pPr>
    <w:rPr>
      <w:rFonts w:ascii="Calibri" w:hAnsi="Calibri"/>
    </w:rPr>
  </w:style>
  <w:style w:type="paragraph" w:styleId="794">
    <w:name w:val="目录 5"/>
    <w:basedOn w:val="756"/>
    <w:next w:val="756"/>
    <w:link w:val="756"/>
    <w:uiPriority w:val="39"/>
    <w:unhideWhenUsed/>
    <w:qFormat/>
    <w:pPr>
      <w:ind w:left="1680"/>
    </w:pPr>
    <w:rPr>
      <w:rFonts w:ascii="Calibri" w:hAnsi="Calibri"/>
      <w:szCs w:val="22"/>
    </w:rPr>
  </w:style>
  <w:style w:type="paragraph" w:styleId="795">
    <w:name w:val="目录 3"/>
    <w:basedOn w:val="756"/>
    <w:next w:val="756"/>
    <w:link w:val="756"/>
    <w:uiPriority w:val="39"/>
    <w:qFormat/>
    <w:pPr>
      <w:ind w:left="840"/>
    </w:pPr>
    <w:rPr>
      <w:rFonts w:ascii="Calibri" w:hAnsi="Calibri"/>
      <w:szCs w:val="22"/>
    </w:rPr>
  </w:style>
  <w:style w:type="paragraph" w:styleId="796">
    <w:name w:val="纯文本"/>
    <w:basedOn w:val="756"/>
    <w:next w:val="796"/>
    <w:link w:val="797"/>
    <w:qFormat/>
    <w:rPr>
      <w:rFonts w:ascii="Ari"/>
    </w:rPr>
  </w:style>
  <w:style w:type="character" w:styleId="797">
    <w:name w:val="纯文本 字符"/>
    <w:next w:val="797"/>
    <w:link w:val="796"/>
    <w:qFormat/>
    <w:rPr>
      <w:rFonts w:ascii="Ari"/>
      <w:lang w:val="en-US" w:eastAsia="zh-CN" w:bidi="ar-SA"/>
    </w:rPr>
  </w:style>
  <w:style w:type="paragraph" w:styleId="798">
    <w:name w:val="目录 8"/>
    <w:basedOn w:val="756"/>
    <w:next w:val="756"/>
    <w:link w:val="756"/>
    <w:uiPriority w:val="39"/>
    <w:unhideWhenUsed/>
    <w:qFormat/>
    <w:pPr>
      <w:ind w:left="2940"/>
    </w:pPr>
    <w:rPr>
      <w:rFonts w:ascii="Calibri" w:hAnsi="Calibri"/>
      <w:szCs w:val="22"/>
    </w:rPr>
  </w:style>
  <w:style w:type="paragraph" w:styleId="799">
    <w:name w:val="日期"/>
    <w:basedOn w:val="756"/>
    <w:next w:val="756"/>
    <w:link w:val="800"/>
    <w:unhideWhenUsed/>
    <w:qFormat/>
  </w:style>
  <w:style w:type="character" w:styleId="800">
    <w:name w:val="日期 字符"/>
    <w:next w:val="800"/>
    <w:link w:val="799"/>
    <w:qFormat/>
    <w:rPr>
      <w:sz w:val="21"/>
      <w:szCs w:val="24"/>
    </w:rPr>
  </w:style>
  <w:style w:type="paragraph" w:styleId="801">
    <w:name w:val="正文文本缩进 2"/>
    <w:basedOn w:val="756"/>
    <w:next w:val="801"/>
    <w:link w:val="802"/>
    <w:uiPriority w:val="99"/>
    <w:unhideWhenUsed/>
    <w:qFormat/>
    <w:pPr>
      <w:ind w:firstLine="525"/>
      <w:spacing w:line="420" w:lineRule="exact"/>
    </w:pPr>
    <w:rPr>
      <w:rFonts w:ascii="宋体"/>
      <w:sz w:val="20"/>
      <w:szCs w:val="20"/>
    </w:rPr>
  </w:style>
  <w:style w:type="character" w:styleId="802">
    <w:name w:val="正文文本缩进 2 字符"/>
    <w:next w:val="802"/>
    <w:link w:val="801"/>
    <w:uiPriority w:val="99"/>
    <w:qFormat/>
    <w:rPr>
      <w:rFonts w:ascii="宋体"/>
    </w:rPr>
  </w:style>
  <w:style w:type="paragraph" w:styleId="803">
    <w:name w:val="尾注文本"/>
    <w:basedOn w:val="756"/>
    <w:next w:val="803"/>
    <w:link w:val="804"/>
    <w:uiPriority w:val="99"/>
    <w:unhideWhenUsed/>
    <w:qFormat/>
    <w:rPr>
      <w:sz w:val="20"/>
    </w:rPr>
  </w:style>
  <w:style w:type="character" w:styleId="804">
    <w:name w:val="尾注文本 字符"/>
    <w:next w:val="804"/>
    <w:link w:val="803"/>
    <w:uiPriority w:val="99"/>
    <w:qFormat/>
    <w:rPr>
      <w:sz w:val="20"/>
    </w:rPr>
  </w:style>
  <w:style w:type="paragraph" w:styleId="805">
    <w:name w:val="批注框文本"/>
    <w:basedOn w:val="756"/>
    <w:next w:val="805"/>
    <w:link w:val="806"/>
    <w:qFormat/>
    <w:rPr>
      <w:sz w:val="18"/>
      <w:szCs w:val="18"/>
    </w:rPr>
  </w:style>
  <w:style w:type="character" w:styleId="806">
    <w:name w:val="批注框文本 字符"/>
    <w:next w:val="806"/>
    <w:link w:val="805"/>
    <w:qFormat/>
    <w:rPr>
      <w:sz w:val="18"/>
      <w:szCs w:val="18"/>
    </w:rPr>
  </w:style>
  <w:style w:type="paragraph" w:styleId="807">
    <w:name w:val="页脚"/>
    <w:basedOn w:val="756"/>
    <w:next w:val="807"/>
    <w:link w:val="808"/>
    <w:uiPriority w:val="99"/>
    <w:qFormat/>
    <w:pPr>
      <w:jc w:val="left"/>
      <w:tabs>
        <w:tab w:val="center" w:pos="4153" w:leader="none"/>
        <w:tab w:val="right" w:pos="8306" w:leader="none"/>
      </w:tabs>
    </w:pPr>
    <w:rPr>
      <w:sz w:val="18"/>
      <w:szCs w:val="18"/>
    </w:rPr>
  </w:style>
  <w:style w:type="character" w:styleId="808">
    <w:name w:val="页脚 字符"/>
    <w:next w:val="808"/>
    <w:link w:val="807"/>
    <w:uiPriority w:val="99"/>
    <w:qFormat/>
    <w:rPr>
      <w:sz w:val="18"/>
      <w:szCs w:val="18"/>
    </w:rPr>
  </w:style>
  <w:style w:type="paragraph" w:styleId="809">
    <w:name w:val="页眉"/>
    <w:basedOn w:val="756"/>
    <w:next w:val="809"/>
    <w:link w:val="810"/>
    <w:qFormat/>
    <w:pPr>
      <w:jc w:val="center"/>
      <w:tabs>
        <w:tab w:val="center" w:pos="4153" w:leader="none"/>
        <w:tab w:val="right" w:pos="8306" w:leader="none"/>
      </w:tabs>
      <w:pBdr>
        <w:bottom w:val="single" w:color="000000" w:sz="6" w:space="1"/>
      </w:pBdr>
    </w:pPr>
    <w:rPr>
      <w:sz w:val="18"/>
      <w:szCs w:val="18"/>
    </w:rPr>
  </w:style>
  <w:style w:type="character" w:styleId="810">
    <w:name w:val="页眉 字符"/>
    <w:next w:val="810"/>
    <w:link w:val="809"/>
    <w:qFormat/>
    <w:rPr>
      <w:sz w:val="18"/>
      <w:szCs w:val="18"/>
    </w:rPr>
  </w:style>
  <w:style w:type="paragraph" w:styleId="811">
    <w:name w:val="目录 1"/>
    <w:basedOn w:val="756"/>
    <w:next w:val="756"/>
    <w:link w:val="756"/>
    <w:uiPriority w:val="39"/>
    <w:qFormat/>
  </w:style>
  <w:style w:type="paragraph" w:styleId="812">
    <w:name w:val="目录 4"/>
    <w:basedOn w:val="756"/>
    <w:next w:val="756"/>
    <w:link w:val="756"/>
    <w:uiPriority w:val="39"/>
    <w:unhideWhenUsed/>
    <w:qFormat/>
    <w:pPr>
      <w:ind w:left="1260"/>
    </w:pPr>
    <w:rPr>
      <w:rFonts w:ascii="Calibri" w:hAnsi="Calibri"/>
      <w:szCs w:val="22"/>
    </w:rPr>
  </w:style>
  <w:style w:type="paragraph" w:styleId="813">
    <w:name w:val="索引标题"/>
    <w:basedOn w:val="756"/>
    <w:next w:val="814"/>
    <w:link w:val="756"/>
    <w:uiPriority w:val="99"/>
    <w:unhideWhenUsed/>
    <w:qFormat/>
    <w:pPr>
      <w:tabs>
        <w:tab w:val="left" w:pos="240" w:leader="none"/>
      </w:tabs>
    </w:pPr>
  </w:style>
  <w:style w:type="paragraph" w:styleId="814">
    <w:name w:val="索引 1"/>
    <w:basedOn w:val="756"/>
    <w:next w:val="756"/>
    <w:link w:val="756"/>
    <w:qFormat/>
    <w:pPr>
      <w:jc w:val="center"/>
      <w:spacing w:line="220" w:lineRule="exact"/>
    </w:pPr>
    <w:rPr>
      <w:rFonts w:ascii="仿宋_GB2312" w:hAnsi="Calibri" w:eastAsia="仿宋_GB2312"/>
      <w:szCs w:val="22"/>
    </w:rPr>
  </w:style>
  <w:style w:type="paragraph" w:styleId="815">
    <w:name w:val="副标题"/>
    <w:basedOn w:val="756"/>
    <w:next w:val="756"/>
    <w:link w:val="816"/>
    <w:qFormat/>
    <w:pPr>
      <w:jc w:val="center"/>
      <w:spacing w:before="240" w:after="60" w:line="312" w:lineRule="auto"/>
      <w:outlineLvl w:val="1"/>
    </w:pPr>
    <w:rPr>
      <w:rFonts w:ascii="Cambria" w:hAnsi="Cambria"/>
      <w:b/>
      <w:bCs/>
      <w:sz w:val="32"/>
      <w:szCs w:val="32"/>
    </w:rPr>
  </w:style>
  <w:style w:type="character" w:styleId="816">
    <w:name w:val="副标题 字符"/>
    <w:next w:val="816"/>
    <w:link w:val="815"/>
    <w:qFormat/>
    <w:rPr>
      <w:rFonts w:ascii="Cambria" w:hAnsi="Cambria"/>
      <w:b/>
      <w:bCs/>
      <w:sz w:val="32"/>
      <w:szCs w:val="32"/>
    </w:rPr>
  </w:style>
  <w:style w:type="paragraph" w:styleId="817">
    <w:name w:val="脚注文本"/>
    <w:basedOn w:val="756"/>
    <w:next w:val="817"/>
    <w:link w:val="818"/>
    <w:uiPriority w:val="99"/>
    <w:unhideWhenUsed/>
    <w:qFormat/>
    <w:pPr>
      <w:spacing w:after="40"/>
    </w:pPr>
    <w:rPr>
      <w:sz w:val="18"/>
    </w:rPr>
  </w:style>
  <w:style w:type="character" w:styleId="818">
    <w:name w:val="脚注文本 字符"/>
    <w:next w:val="818"/>
    <w:link w:val="817"/>
    <w:uiPriority w:val="99"/>
    <w:qFormat/>
    <w:rPr>
      <w:sz w:val="18"/>
    </w:rPr>
  </w:style>
  <w:style w:type="paragraph" w:styleId="819">
    <w:name w:val="目录 6"/>
    <w:basedOn w:val="756"/>
    <w:next w:val="756"/>
    <w:link w:val="756"/>
    <w:uiPriority w:val="39"/>
    <w:unhideWhenUsed/>
    <w:qFormat/>
    <w:pPr>
      <w:ind w:left="2100"/>
    </w:pPr>
    <w:rPr>
      <w:rFonts w:ascii="Calibri" w:hAnsi="Calibri"/>
      <w:szCs w:val="22"/>
    </w:rPr>
  </w:style>
  <w:style w:type="paragraph" w:styleId="820">
    <w:name w:val="正文文本缩进 3"/>
    <w:basedOn w:val="756"/>
    <w:next w:val="820"/>
    <w:link w:val="821"/>
    <w:qFormat/>
    <w:pPr>
      <w:ind w:left="420"/>
      <w:spacing w:after="120"/>
    </w:pPr>
    <w:rPr>
      <w:sz w:val="16"/>
      <w:szCs w:val="20"/>
    </w:rPr>
  </w:style>
  <w:style w:type="character" w:styleId="821">
    <w:name w:val="正文文本缩进 3 字符"/>
    <w:next w:val="821"/>
    <w:link w:val="820"/>
    <w:qFormat/>
    <w:rPr>
      <w:sz w:val="16"/>
    </w:rPr>
  </w:style>
  <w:style w:type="paragraph" w:styleId="822">
    <w:name w:val="图表目录"/>
    <w:basedOn w:val="756"/>
    <w:next w:val="756"/>
    <w:link w:val="756"/>
    <w:uiPriority w:val="99"/>
    <w:unhideWhenUsed/>
    <w:qFormat/>
  </w:style>
  <w:style w:type="paragraph" w:styleId="823">
    <w:name w:val="目录 2"/>
    <w:basedOn w:val="756"/>
    <w:next w:val="756"/>
    <w:link w:val="756"/>
    <w:uiPriority w:val="39"/>
    <w:qFormat/>
    <w:pPr>
      <w:ind w:left="420"/>
    </w:pPr>
    <w:rPr>
      <w:rFonts w:ascii="Calibri" w:hAnsi="Calibri"/>
      <w:szCs w:val="22"/>
    </w:rPr>
  </w:style>
  <w:style w:type="paragraph" w:styleId="824">
    <w:name w:val="目录 9"/>
    <w:basedOn w:val="756"/>
    <w:next w:val="756"/>
    <w:link w:val="756"/>
    <w:uiPriority w:val="39"/>
    <w:unhideWhenUsed/>
    <w:qFormat/>
    <w:pPr>
      <w:ind w:left="3360"/>
    </w:pPr>
    <w:rPr>
      <w:rFonts w:ascii="Calibri" w:hAnsi="Calibri"/>
      <w:szCs w:val="22"/>
    </w:rPr>
  </w:style>
  <w:style w:type="paragraph" w:styleId="825">
    <w:name w:val="HTML 预设格式"/>
    <w:basedOn w:val="756"/>
    <w:next w:val="825"/>
    <w:link w:val="75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6">
    <w:name w:val="普通(网站)"/>
    <w:basedOn w:val="756"/>
    <w:next w:val="826"/>
    <w:link w:val="756"/>
    <w:uiPriority w:val="99"/>
    <w:qFormat/>
    <w:pPr>
      <w:jc w:val="left"/>
      <w:spacing w:before="100" w:beforeAutospacing="1" w:after="100" w:afterAutospacing="1"/>
      <w:widowControl/>
    </w:pPr>
    <w:rPr>
      <w:rFonts w:ascii="宋体" w:hAnsi="宋体" w:cs="宋体"/>
      <w:sz w:val="24"/>
    </w:rPr>
  </w:style>
  <w:style w:type="paragraph" w:styleId="827">
    <w:name w:val="标题"/>
    <w:basedOn w:val="756"/>
    <w:next w:val="756"/>
    <w:link w:val="828"/>
    <w:qFormat/>
    <w:pPr>
      <w:jc w:val="center"/>
      <w:spacing w:before="240" w:after="60" w:line="420" w:lineRule="atLeast"/>
      <w:outlineLvl w:val="0"/>
    </w:pPr>
    <w:rPr>
      <w:rFonts w:ascii="Arial" w:hAnsi="Arial"/>
      <w:b/>
      <w:sz w:val="32"/>
      <w:szCs w:val="20"/>
    </w:rPr>
  </w:style>
  <w:style w:type="character" w:styleId="828">
    <w:name w:val="标题 字符"/>
    <w:next w:val="828"/>
    <w:link w:val="827"/>
    <w:qFormat/>
    <w:rPr>
      <w:rFonts w:ascii="Arial" w:hAnsi="Arial"/>
      <w:b/>
      <w:sz w:val="32"/>
    </w:rPr>
  </w:style>
  <w:style w:type="paragraph" w:styleId="829">
    <w:name w:val="批注主题"/>
    <w:basedOn w:val="783"/>
    <w:next w:val="783"/>
    <w:link w:val="830"/>
    <w:qFormat/>
    <w:rPr>
      <w:b/>
      <w:bCs/>
    </w:rPr>
  </w:style>
  <w:style w:type="character" w:styleId="830">
    <w:name w:val="批注主题 字符"/>
    <w:next w:val="830"/>
    <w:link w:val="829"/>
    <w:qFormat/>
    <w:rPr>
      <w:b/>
      <w:bCs/>
      <w:sz w:val="21"/>
      <w:szCs w:val="24"/>
    </w:rPr>
  </w:style>
  <w:style w:type="paragraph" w:styleId="831">
    <w:name w:val="正文首行缩进"/>
    <w:basedOn w:val="787"/>
    <w:next w:val="831"/>
    <w:link w:val="756"/>
    <w:qFormat/>
    <w:pPr>
      <w:ind w:firstLine="420"/>
    </w:pPr>
  </w:style>
  <w:style w:type="paragraph" w:styleId="832">
    <w:name w:val="正文首行缩进 2"/>
    <w:basedOn w:val="789"/>
    <w:next w:val="832"/>
    <w:link w:val="756"/>
    <w:uiPriority w:val="99"/>
    <w:qFormat/>
    <w:pPr>
      <w:ind w:firstLine="420"/>
    </w:pPr>
  </w:style>
  <w:style w:type="table" w:styleId="833">
    <w:name w:val="网格型"/>
    <w:basedOn w:val="767"/>
    <w:next w:val="833"/>
    <w:link w:val="756"/>
    <w:uiPriority w:val="99"/>
    <w:qFormat/>
    <w:tblPr/>
  </w:style>
  <w:style w:type="character" w:styleId="834">
    <w:name w:val="要点"/>
    <w:next w:val="834"/>
    <w:link w:val="756"/>
    <w:qFormat/>
    <w:rPr>
      <w:rFonts w:cs="Times New Roman"/>
      <w:b/>
    </w:rPr>
  </w:style>
  <w:style w:type="character" w:styleId="835">
    <w:name w:val="尾注引用"/>
    <w:next w:val="835"/>
    <w:link w:val="756"/>
    <w:uiPriority w:val="99"/>
    <w:unhideWhenUsed/>
    <w:qFormat/>
    <w:rPr>
      <w:vertAlign w:val="superscript"/>
    </w:rPr>
  </w:style>
  <w:style w:type="character" w:styleId="836">
    <w:name w:val="页码"/>
    <w:next w:val="836"/>
    <w:link w:val="756"/>
    <w:qFormat/>
    <w:rPr>
      <w:rFonts w:eastAsia="宋体"/>
      <w:b/>
      <w:spacing w:val="0"/>
      <w:sz w:val="24"/>
      <w:szCs w:val="24"/>
      <w:vertAlign w:val="baseline"/>
      <w:lang w:val="en-US" w:eastAsia="zh-CN" w:bidi="ar-SA"/>
    </w:rPr>
  </w:style>
  <w:style w:type="character" w:styleId="837">
    <w:name w:val="已访问的超链接"/>
    <w:next w:val="837"/>
    <w:link w:val="756"/>
    <w:uiPriority w:val="99"/>
    <w:qFormat/>
    <w:rPr>
      <w:color w:val="800080"/>
      <w:u w:val="single"/>
    </w:rPr>
  </w:style>
  <w:style w:type="character" w:styleId="838">
    <w:name w:val="强调"/>
    <w:next w:val="838"/>
    <w:link w:val="756"/>
    <w:qFormat/>
    <w:rPr>
      <w:color w:val="cc0000"/>
    </w:rPr>
  </w:style>
  <w:style w:type="character" w:styleId="839">
    <w:name w:val="超链接"/>
    <w:next w:val="839"/>
    <w:link w:val="756"/>
    <w:uiPriority w:val="99"/>
    <w:qFormat/>
    <w:rPr>
      <w:color w:val="0000ff"/>
      <w:u w:val="single"/>
    </w:rPr>
  </w:style>
  <w:style w:type="character" w:styleId="840">
    <w:name w:val="批注引用"/>
    <w:next w:val="840"/>
    <w:link w:val="756"/>
    <w:uiPriority w:val="99"/>
    <w:qFormat/>
    <w:rPr>
      <w:sz w:val="21"/>
      <w:szCs w:val="21"/>
    </w:rPr>
  </w:style>
  <w:style w:type="character" w:styleId="841">
    <w:name w:val="HTML 引文"/>
    <w:next w:val="841"/>
    <w:link w:val="756"/>
    <w:qFormat/>
    <w:rPr>
      <w:color w:val="008000"/>
    </w:rPr>
  </w:style>
  <w:style w:type="character" w:styleId="842">
    <w:name w:val="脚注引用"/>
    <w:next w:val="842"/>
    <w:link w:val="756"/>
    <w:uiPriority w:val="99"/>
    <w:unhideWhenUsed/>
    <w:qFormat/>
    <w:rPr>
      <w:vertAlign w:val="superscript"/>
    </w:rPr>
  </w:style>
  <w:style w:type="paragraph" w:styleId="843">
    <w:name w:val="一级条标题"/>
    <w:basedOn w:val="844"/>
    <w:next w:val="845"/>
    <w:link w:val="75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4">
    <w:name w:val="章标题"/>
    <w:basedOn w:val="756"/>
    <w:next w:val="756"/>
    <w:link w:val="756"/>
    <w:qFormat/>
    <w:pPr>
      <w:jc w:val="center"/>
      <w:spacing w:before="158" w:after="153" w:line="1292" w:lineRule="atLeast"/>
      <w:widowControl/>
    </w:pPr>
    <w:rPr>
      <w:rFonts w:ascii="Arial" w:hAnsi="Calibri" w:eastAsia="黑体" w:cs="黑体"/>
      <w:sz w:val="31"/>
      <w:szCs w:val="22"/>
      <w:lang w:eastAsia="en-US" w:bidi="en-US"/>
    </w:rPr>
  </w:style>
  <w:style w:type="paragraph" w:styleId="845">
    <w:name w:val="段"/>
    <w:basedOn w:val="756"/>
    <w:next w:val="756"/>
    <w:link w:val="756"/>
    <w:qFormat/>
    <w:pPr>
      <w:ind w:firstLine="200"/>
      <w:widowControl/>
    </w:pPr>
    <w:rPr>
      <w:rFonts w:hint="eastAsia" w:ascii="宋体"/>
      <w:szCs w:val="20"/>
    </w:rPr>
  </w:style>
  <w:style w:type="character" w:styleId="846">
    <w:name w:val="Heading 1 Char"/>
    <w:next w:val="846"/>
    <w:link w:val="756"/>
    <w:uiPriority w:val="9"/>
    <w:qFormat/>
    <w:rPr>
      <w:rFonts w:ascii="Arial" w:hAnsi="Arial" w:eastAsia="Arial" w:cs="Arial"/>
      <w:sz w:val="40"/>
      <w:szCs w:val="40"/>
    </w:rPr>
  </w:style>
  <w:style w:type="character" w:styleId="847">
    <w:name w:val="Heading 2 Char"/>
    <w:next w:val="847"/>
    <w:link w:val="756"/>
    <w:uiPriority w:val="9"/>
    <w:qFormat/>
    <w:rPr>
      <w:rFonts w:ascii="Arial" w:hAnsi="Arial" w:eastAsia="Arial" w:cs="Arial"/>
      <w:sz w:val="34"/>
    </w:rPr>
  </w:style>
  <w:style w:type="character" w:styleId="848">
    <w:name w:val="Heading 3 Char"/>
    <w:next w:val="848"/>
    <w:link w:val="756"/>
    <w:uiPriority w:val="9"/>
    <w:qFormat/>
    <w:rPr>
      <w:rFonts w:ascii="Arial" w:hAnsi="Arial" w:eastAsia="Arial" w:cs="Arial"/>
      <w:sz w:val="30"/>
      <w:szCs w:val="30"/>
    </w:rPr>
  </w:style>
  <w:style w:type="character" w:styleId="849">
    <w:name w:val="Heading 4 Char"/>
    <w:next w:val="849"/>
    <w:link w:val="756"/>
    <w:uiPriority w:val="9"/>
    <w:qFormat/>
    <w:rPr>
      <w:rFonts w:ascii="Arial" w:hAnsi="Arial" w:eastAsia="Arial" w:cs="Arial"/>
      <w:b/>
      <w:bCs/>
      <w:sz w:val="26"/>
      <w:szCs w:val="26"/>
    </w:rPr>
  </w:style>
  <w:style w:type="character" w:styleId="850">
    <w:name w:val="Heading 5 Char"/>
    <w:next w:val="850"/>
    <w:link w:val="756"/>
    <w:uiPriority w:val="9"/>
    <w:qFormat/>
    <w:rPr>
      <w:rFonts w:ascii="Arial" w:hAnsi="Arial" w:eastAsia="Arial" w:cs="Arial"/>
      <w:b/>
      <w:bCs/>
      <w:sz w:val="24"/>
      <w:szCs w:val="24"/>
    </w:rPr>
  </w:style>
  <w:style w:type="character" w:styleId="851">
    <w:name w:val="Heading 6 Char"/>
    <w:next w:val="851"/>
    <w:link w:val="756"/>
    <w:uiPriority w:val="9"/>
    <w:qFormat/>
    <w:rPr>
      <w:rFonts w:ascii="Arial" w:hAnsi="Arial" w:eastAsia="Arial" w:cs="Arial"/>
      <w:b/>
      <w:bCs/>
      <w:sz w:val="22"/>
      <w:szCs w:val="22"/>
    </w:rPr>
  </w:style>
  <w:style w:type="character" w:styleId="852">
    <w:name w:val="Heading 7 Char"/>
    <w:next w:val="852"/>
    <w:link w:val="756"/>
    <w:uiPriority w:val="9"/>
    <w:qFormat/>
    <w:rPr>
      <w:rFonts w:ascii="Arial" w:hAnsi="Arial" w:eastAsia="Arial" w:cs="Arial"/>
      <w:b/>
      <w:bCs/>
      <w:i/>
      <w:iCs/>
      <w:sz w:val="22"/>
      <w:szCs w:val="22"/>
    </w:rPr>
  </w:style>
  <w:style w:type="character" w:styleId="853">
    <w:name w:val="Heading 8 Char"/>
    <w:next w:val="853"/>
    <w:link w:val="756"/>
    <w:uiPriority w:val="9"/>
    <w:qFormat/>
    <w:rPr>
      <w:rFonts w:ascii="Arial" w:hAnsi="Arial" w:eastAsia="Arial" w:cs="Arial"/>
      <w:i/>
      <w:iCs/>
      <w:sz w:val="22"/>
      <w:szCs w:val="22"/>
    </w:rPr>
  </w:style>
  <w:style w:type="character" w:styleId="854">
    <w:name w:val="Heading 9 Char"/>
    <w:next w:val="854"/>
    <w:link w:val="756"/>
    <w:uiPriority w:val="9"/>
    <w:qFormat/>
    <w:rPr>
      <w:rFonts w:ascii="Arial" w:hAnsi="Arial" w:eastAsia="Arial" w:cs="Arial"/>
      <w:i/>
      <w:iCs/>
      <w:sz w:val="21"/>
      <w:szCs w:val="21"/>
    </w:rPr>
  </w:style>
  <w:style w:type="character" w:styleId="855">
    <w:name w:val="Title Char"/>
    <w:next w:val="855"/>
    <w:link w:val="756"/>
    <w:uiPriority w:val="10"/>
    <w:qFormat/>
    <w:rPr>
      <w:sz w:val="48"/>
      <w:szCs w:val="48"/>
    </w:rPr>
  </w:style>
  <w:style w:type="character" w:styleId="856">
    <w:name w:val="Subtitle Char"/>
    <w:next w:val="856"/>
    <w:link w:val="756"/>
    <w:uiPriority w:val="11"/>
    <w:qFormat/>
    <w:rPr>
      <w:sz w:val="24"/>
      <w:szCs w:val="24"/>
    </w:rPr>
  </w:style>
  <w:style w:type="paragraph" w:styleId="857">
    <w:name w:val="引用"/>
    <w:basedOn w:val="756"/>
    <w:next w:val="756"/>
    <w:link w:val="858"/>
    <w:uiPriority w:val="29"/>
    <w:qFormat/>
    <w:pPr>
      <w:ind w:left="720" w:right="720"/>
    </w:pPr>
    <w:rPr>
      <w:i/>
    </w:rPr>
  </w:style>
  <w:style w:type="character" w:styleId="858">
    <w:name w:val="引用 字符"/>
    <w:next w:val="858"/>
    <w:link w:val="857"/>
    <w:uiPriority w:val="29"/>
    <w:qFormat/>
    <w:rPr>
      <w:i/>
    </w:rPr>
  </w:style>
  <w:style w:type="paragraph" w:styleId="859">
    <w:name w:val="明显引用"/>
    <w:basedOn w:val="756"/>
    <w:next w:val="75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明显引用 字符"/>
    <w:next w:val="860"/>
    <w:link w:val="859"/>
    <w:uiPriority w:val="30"/>
    <w:qFormat/>
    <w:rPr>
      <w:i/>
    </w:rPr>
  </w:style>
  <w:style w:type="character" w:styleId="861">
    <w:name w:val="Header Char"/>
    <w:next w:val="861"/>
    <w:link w:val="756"/>
    <w:uiPriority w:val="99"/>
    <w:qFormat/>
  </w:style>
  <w:style w:type="character" w:styleId="862">
    <w:name w:val="Footer Char"/>
    <w:next w:val="862"/>
    <w:link w:val="756"/>
    <w:uiPriority w:val="99"/>
    <w:qFormat/>
  </w:style>
  <w:style w:type="character" w:styleId="863">
    <w:name w:val="Caption Char"/>
    <w:next w:val="863"/>
    <w:link w:val="756"/>
    <w:uiPriority w:val="99"/>
    <w:qFormat/>
  </w:style>
  <w:style w:type="table" w:styleId="864">
    <w:name w:val="Table Grid Light"/>
    <w:basedOn w:val="767"/>
    <w:next w:val="864"/>
    <w:link w:val="756"/>
    <w:uiPriority w:val="59"/>
    <w:qFormat/>
    <w:tblPr/>
  </w:style>
  <w:style w:type="table" w:styleId="865">
    <w:name w:val="无格式表格 11"/>
    <w:basedOn w:val="767"/>
    <w:next w:val="865"/>
    <w:link w:val="756"/>
    <w:uiPriority w:val="59"/>
    <w:qFormat/>
    <w:tblPr/>
  </w:style>
  <w:style w:type="table" w:styleId="866">
    <w:name w:val="无格式表格 21"/>
    <w:basedOn w:val="767"/>
    <w:next w:val="866"/>
    <w:link w:val="756"/>
    <w:uiPriority w:val="59"/>
    <w:qFormat/>
    <w:tblPr/>
  </w:style>
  <w:style w:type="table" w:styleId="867">
    <w:name w:val="无格式表格 31"/>
    <w:basedOn w:val="767"/>
    <w:next w:val="867"/>
    <w:link w:val="756"/>
    <w:uiPriority w:val="99"/>
    <w:qFormat/>
    <w:tblPr/>
  </w:style>
  <w:style w:type="table" w:styleId="868">
    <w:name w:val="无格式表格 41"/>
    <w:basedOn w:val="767"/>
    <w:next w:val="868"/>
    <w:link w:val="756"/>
    <w:uiPriority w:val="99"/>
    <w:qFormat/>
    <w:tblPr/>
  </w:style>
  <w:style w:type="table" w:styleId="869">
    <w:name w:val="无格式表格 51"/>
    <w:basedOn w:val="767"/>
    <w:next w:val="869"/>
    <w:link w:val="756"/>
    <w:uiPriority w:val="99"/>
    <w:qFormat/>
    <w:tblPr/>
  </w:style>
  <w:style w:type="table" w:styleId="870">
    <w:name w:val="网格表 1 浅色1"/>
    <w:basedOn w:val="767"/>
    <w:next w:val="870"/>
    <w:link w:val="756"/>
    <w:uiPriority w:val="99"/>
    <w:qFormat/>
    <w:tblPr/>
  </w:style>
  <w:style w:type="table" w:styleId="871">
    <w:name w:val="Grid Table 1 Light - Accent 1"/>
    <w:basedOn w:val="767"/>
    <w:next w:val="871"/>
    <w:link w:val="756"/>
    <w:uiPriority w:val="99"/>
    <w:qFormat/>
    <w:tblPr/>
  </w:style>
  <w:style w:type="table" w:styleId="872">
    <w:name w:val="Grid Table 1 Light - Accent 2"/>
    <w:basedOn w:val="767"/>
    <w:next w:val="872"/>
    <w:link w:val="756"/>
    <w:uiPriority w:val="99"/>
    <w:qFormat/>
    <w:tblPr/>
  </w:style>
  <w:style w:type="table" w:styleId="873">
    <w:name w:val="Grid Table 1 Light - Accent 3"/>
    <w:basedOn w:val="767"/>
    <w:next w:val="873"/>
    <w:link w:val="756"/>
    <w:uiPriority w:val="99"/>
    <w:qFormat/>
    <w:tblPr/>
  </w:style>
  <w:style w:type="table" w:styleId="874">
    <w:name w:val="Grid Table 1 Light - Accent 4"/>
    <w:basedOn w:val="767"/>
    <w:next w:val="874"/>
    <w:link w:val="756"/>
    <w:uiPriority w:val="99"/>
    <w:qFormat/>
    <w:tblPr/>
  </w:style>
  <w:style w:type="table" w:styleId="875">
    <w:name w:val="Grid Table 1 Light - Accent 5"/>
    <w:basedOn w:val="767"/>
    <w:next w:val="875"/>
    <w:link w:val="756"/>
    <w:uiPriority w:val="99"/>
    <w:qFormat/>
    <w:tblPr/>
  </w:style>
  <w:style w:type="table" w:styleId="876">
    <w:name w:val="Grid Table 1 Light - Accent 6"/>
    <w:basedOn w:val="767"/>
    <w:next w:val="876"/>
    <w:link w:val="756"/>
    <w:uiPriority w:val="99"/>
    <w:qFormat/>
    <w:tblPr/>
  </w:style>
  <w:style w:type="table" w:styleId="877">
    <w:name w:val="网格表 21"/>
    <w:basedOn w:val="767"/>
    <w:next w:val="877"/>
    <w:link w:val="756"/>
    <w:uiPriority w:val="99"/>
    <w:qFormat/>
    <w:tblPr/>
  </w:style>
  <w:style w:type="table" w:styleId="878">
    <w:name w:val="Grid Table 2 - Accent 1"/>
    <w:basedOn w:val="767"/>
    <w:next w:val="878"/>
    <w:link w:val="756"/>
    <w:uiPriority w:val="99"/>
    <w:qFormat/>
    <w:tblPr/>
  </w:style>
  <w:style w:type="table" w:styleId="879">
    <w:name w:val="Grid Table 2 - Accent 2"/>
    <w:basedOn w:val="767"/>
    <w:next w:val="879"/>
    <w:link w:val="756"/>
    <w:uiPriority w:val="99"/>
    <w:qFormat/>
    <w:tblPr/>
  </w:style>
  <w:style w:type="table" w:styleId="880">
    <w:name w:val="Grid Table 2 - Accent 3"/>
    <w:basedOn w:val="767"/>
    <w:next w:val="880"/>
    <w:link w:val="756"/>
    <w:uiPriority w:val="99"/>
    <w:qFormat/>
    <w:tblPr/>
  </w:style>
  <w:style w:type="table" w:styleId="881">
    <w:name w:val="Grid Table 2 - Accent 4"/>
    <w:basedOn w:val="767"/>
    <w:next w:val="881"/>
    <w:link w:val="756"/>
    <w:uiPriority w:val="99"/>
    <w:qFormat/>
    <w:tblPr/>
  </w:style>
  <w:style w:type="table" w:styleId="882">
    <w:name w:val="Grid Table 2 - Accent 5"/>
    <w:basedOn w:val="767"/>
    <w:next w:val="882"/>
    <w:link w:val="756"/>
    <w:uiPriority w:val="99"/>
    <w:qFormat/>
    <w:tblPr/>
  </w:style>
  <w:style w:type="table" w:styleId="883">
    <w:name w:val="Grid Table 2 - Accent 6"/>
    <w:basedOn w:val="767"/>
    <w:next w:val="883"/>
    <w:link w:val="756"/>
    <w:uiPriority w:val="99"/>
    <w:qFormat/>
    <w:tblPr/>
  </w:style>
  <w:style w:type="table" w:styleId="884">
    <w:name w:val="网格表 31"/>
    <w:basedOn w:val="767"/>
    <w:next w:val="884"/>
    <w:link w:val="756"/>
    <w:uiPriority w:val="99"/>
    <w:qFormat/>
    <w:tblPr/>
  </w:style>
  <w:style w:type="table" w:styleId="885">
    <w:name w:val="Grid Table 3 - Accent 1"/>
    <w:basedOn w:val="767"/>
    <w:next w:val="885"/>
    <w:link w:val="756"/>
    <w:uiPriority w:val="99"/>
    <w:qFormat/>
    <w:tblPr/>
  </w:style>
  <w:style w:type="table" w:styleId="886">
    <w:name w:val="Grid Table 3 - Accent 2"/>
    <w:basedOn w:val="767"/>
    <w:next w:val="886"/>
    <w:link w:val="756"/>
    <w:uiPriority w:val="99"/>
    <w:qFormat/>
    <w:tblPr/>
  </w:style>
  <w:style w:type="table" w:styleId="887">
    <w:name w:val="Grid Table 3 - Accent 3"/>
    <w:basedOn w:val="767"/>
    <w:next w:val="887"/>
    <w:link w:val="756"/>
    <w:uiPriority w:val="99"/>
    <w:qFormat/>
    <w:tblPr/>
  </w:style>
  <w:style w:type="table" w:styleId="888">
    <w:name w:val="Grid Table 3 - Accent 4"/>
    <w:basedOn w:val="767"/>
    <w:next w:val="888"/>
    <w:link w:val="756"/>
    <w:uiPriority w:val="99"/>
    <w:qFormat/>
    <w:tblPr/>
  </w:style>
  <w:style w:type="table" w:styleId="889">
    <w:name w:val="Grid Table 3 - Accent 5"/>
    <w:basedOn w:val="767"/>
    <w:next w:val="889"/>
    <w:link w:val="756"/>
    <w:uiPriority w:val="99"/>
    <w:qFormat/>
    <w:tblPr/>
  </w:style>
  <w:style w:type="table" w:styleId="890">
    <w:name w:val="Grid Table 3 - Accent 6"/>
    <w:basedOn w:val="767"/>
    <w:next w:val="890"/>
    <w:link w:val="756"/>
    <w:uiPriority w:val="99"/>
    <w:qFormat/>
    <w:tblPr/>
  </w:style>
  <w:style w:type="table" w:styleId="891">
    <w:name w:val="网格表 41"/>
    <w:basedOn w:val="767"/>
    <w:next w:val="891"/>
    <w:link w:val="756"/>
    <w:uiPriority w:val="59"/>
    <w:qFormat/>
    <w:tblPr/>
  </w:style>
  <w:style w:type="table" w:styleId="892">
    <w:name w:val="Grid Table 4 - Accent 1"/>
    <w:basedOn w:val="767"/>
    <w:next w:val="892"/>
    <w:link w:val="756"/>
    <w:uiPriority w:val="59"/>
    <w:qFormat/>
    <w:tblPr/>
  </w:style>
  <w:style w:type="table" w:styleId="893">
    <w:name w:val="Grid Table 4 - Accent 2"/>
    <w:basedOn w:val="767"/>
    <w:next w:val="893"/>
    <w:link w:val="756"/>
    <w:uiPriority w:val="59"/>
    <w:qFormat/>
    <w:tblPr/>
  </w:style>
  <w:style w:type="table" w:styleId="894">
    <w:name w:val="Grid Table 4 - Accent 3"/>
    <w:basedOn w:val="767"/>
    <w:next w:val="894"/>
    <w:link w:val="756"/>
    <w:uiPriority w:val="59"/>
    <w:qFormat/>
    <w:tblPr/>
  </w:style>
  <w:style w:type="table" w:styleId="895">
    <w:name w:val="Grid Table 4 - Accent 4"/>
    <w:basedOn w:val="767"/>
    <w:next w:val="895"/>
    <w:link w:val="756"/>
    <w:uiPriority w:val="59"/>
    <w:qFormat/>
    <w:tblPr/>
  </w:style>
  <w:style w:type="table" w:styleId="896">
    <w:name w:val="Grid Table 4 - Accent 5"/>
    <w:basedOn w:val="767"/>
    <w:next w:val="896"/>
    <w:link w:val="756"/>
    <w:uiPriority w:val="59"/>
    <w:qFormat/>
    <w:tblPr/>
  </w:style>
  <w:style w:type="table" w:styleId="897">
    <w:name w:val="Grid Table 4 - Accent 6"/>
    <w:basedOn w:val="767"/>
    <w:next w:val="897"/>
    <w:link w:val="756"/>
    <w:uiPriority w:val="59"/>
    <w:qFormat/>
    <w:tblPr/>
  </w:style>
  <w:style w:type="table" w:styleId="898">
    <w:name w:val="网格表 5 深色1"/>
    <w:basedOn w:val="767"/>
    <w:next w:val="898"/>
    <w:link w:val="756"/>
    <w:uiPriority w:val="99"/>
    <w:qFormat/>
    <w:tblPr/>
  </w:style>
  <w:style w:type="table" w:styleId="899">
    <w:name w:val="Grid Table 5 Dark- Accent 1"/>
    <w:basedOn w:val="767"/>
    <w:next w:val="899"/>
    <w:link w:val="756"/>
    <w:uiPriority w:val="99"/>
    <w:qFormat/>
    <w:tblPr/>
  </w:style>
  <w:style w:type="table" w:styleId="900">
    <w:name w:val="Grid Table 5 Dark - Accent 2"/>
    <w:basedOn w:val="767"/>
    <w:next w:val="900"/>
    <w:link w:val="756"/>
    <w:uiPriority w:val="99"/>
    <w:qFormat/>
    <w:tblPr/>
  </w:style>
  <w:style w:type="table" w:styleId="901">
    <w:name w:val="Grid Table 5 Dark - Accent 3"/>
    <w:basedOn w:val="767"/>
    <w:next w:val="901"/>
    <w:link w:val="756"/>
    <w:uiPriority w:val="99"/>
    <w:qFormat/>
    <w:tblPr/>
  </w:style>
  <w:style w:type="table" w:styleId="902">
    <w:name w:val="Grid Table 5 Dark- Accent 4"/>
    <w:basedOn w:val="767"/>
    <w:next w:val="902"/>
    <w:link w:val="756"/>
    <w:uiPriority w:val="99"/>
    <w:qFormat/>
    <w:tblPr/>
  </w:style>
  <w:style w:type="table" w:styleId="903">
    <w:name w:val="Grid Table 5 Dark - Accent 5"/>
    <w:basedOn w:val="767"/>
    <w:next w:val="903"/>
    <w:link w:val="756"/>
    <w:uiPriority w:val="99"/>
    <w:qFormat/>
    <w:tblPr/>
  </w:style>
  <w:style w:type="table" w:styleId="904">
    <w:name w:val="Grid Table 5 Dark - Accent 6"/>
    <w:basedOn w:val="767"/>
    <w:next w:val="904"/>
    <w:link w:val="756"/>
    <w:uiPriority w:val="99"/>
    <w:qFormat/>
    <w:tblPr/>
  </w:style>
  <w:style w:type="table" w:styleId="905">
    <w:name w:val="网格表 6 彩色1"/>
    <w:basedOn w:val="767"/>
    <w:next w:val="905"/>
    <w:link w:val="756"/>
    <w:uiPriority w:val="99"/>
    <w:qFormat/>
    <w:tblPr/>
  </w:style>
  <w:style w:type="table" w:styleId="906">
    <w:name w:val="Grid Table 6 Colorful - Accent 1"/>
    <w:basedOn w:val="767"/>
    <w:next w:val="906"/>
    <w:link w:val="756"/>
    <w:uiPriority w:val="99"/>
    <w:qFormat/>
    <w:tblPr/>
  </w:style>
  <w:style w:type="table" w:styleId="907">
    <w:name w:val="Grid Table 6 Colorful - Accent 2"/>
    <w:basedOn w:val="767"/>
    <w:next w:val="907"/>
    <w:link w:val="756"/>
    <w:uiPriority w:val="99"/>
    <w:qFormat/>
    <w:tblPr/>
  </w:style>
  <w:style w:type="table" w:styleId="908">
    <w:name w:val="Grid Table 6 Colorful - Accent 3"/>
    <w:basedOn w:val="767"/>
    <w:next w:val="908"/>
    <w:link w:val="756"/>
    <w:uiPriority w:val="99"/>
    <w:qFormat/>
    <w:tblPr/>
  </w:style>
  <w:style w:type="table" w:styleId="909">
    <w:name w:val="Grid Table 6 Colorful - Accent 4"/>
    <w:basedOn w:val="767"/>
    <w:next w:val="909"/>
    <w:link w:val="756"/>
    <w:uiPriority w:val="99"/>
    <w:qFormat/>
    <w:tblPr/>
  </w:style>
  <w:style w:type="table" w:styleId="910">
    <w:name w:val="Grid Table 6 Colorful - Accent 5"/>
    <w:basedOn w:val="767"/>
    <w:next w:val="910"/>
    <w:link w:val="756"/>
    <w:uiPriority w:val="99"/>
    <w:qFormat/>
    <w:tblPr/>
  </w:style>
  <w:style w:type="table" w:styleId="911">
    <w:name w:val="Grid Table 6 Colorful - Accent 6"/>
    <w:basedOn w:val="767"/>
    <w:next w:val="911"/>
    <w:link w:val="756"/>
    <w:uiPriority w:val="99"/>
    <w:qFormat/>
    <w:tblPr/>
  </w:style>
  <w:style w:type="table" w:styleId="912">
    <w:name w:val="网格表 7 彩色1"/>
    <w:basedOn w:val="767"/>
    <w:next w:val="912"/>
    <w:link w:val="756"/>
    <w:uiPriority w:val="99"/>
    <w:qFormat/>
    <w:tblPr/>
  </w:style>
  <w:style w:type="table" w:styleId="913">
    <w:name w:val="Grid Table 7 Colorful - Accent 1"/>
    <w:basedOn w:val="767"/>
    <w:next w:val="913"/>
    <w:link w:val="756"/>
    <w:uiPriority w:val="99"/>
    <w:qFormat/>
    <w:tblPr/>
  </w:style>
  <w:style w:type="table" w:styleId="914">
    <w:name w:val="Grid Table 7 Colorful - Accent 2"/>
    <w:basedOn w:val="767"/>
    <w:next w:val="914"/>
    <w:link w:val="756"/>
    <w:uiPriority w:val="99"/>
    <w:qFormat/>
    <w:tblPr/>
  </w:style>
  <w:style w:type="table" w:styleId="915">
    <w:name w:val="Grid Table 7 Colorful - Accent 3"/>
    <w:basedOn w:val="767"/>
    <w:next w:val="915"/>
    <w:link w:val="756"/>
    <w:uiPriority w:val="99"/>
    <w:qFormat/>
    <w:tblPr/>
  </w:style>
  <w:style w:type="table" w:styleId="916">
    <w:name w:val="Grid Table 7 Colorful - Accent 4"/>
    <w:basedOn w:val="767"/>
    <w:next w:val="916"/>
    <w:link w:val="756"/>
    <w:uiPriority w:val="99"/>
    <w:qFormat/>
    <w:tblPr/>
  </w:style>
  <w:style w:type="table" w:styleId="917">
    <w:name w:val="Grid Table 7 Colorful - Accent 5"/>
    <w:basedOn w:val="767"/>
    <w:next w:val="917"/>
    <w:link w:val="756"/>
    <w:uiPriority w:val="99"/>
    <w:qFormat/>
    <w:tblPr/>
  </w:style>
  <w:style w:type="table" w:styleId="918">
    <w:name w:val="Grid Table 7 Colorful - Accent 6"/>
    <w:basedOn w:val="767"/>
    <w:next w:val="918"/>
    <w:link w:val="756"/>
    <w:uiPriority w:val="99"/>
    <w:qFormat/>
    <w:tblPr/>
  </w:style>
  <w:style w:type="table" w:styleId="919">
    <w:name w:val="清单表 1 浅色1"/>
    <w:basedOn w:val="767"/>
    <w:next w:val="919"/>
    <w:link w:val="756"/>
    <w:uiPriority w:val="99"/>
    <w:qFormat/>
    <w:tblPr/>
  </w:style>
  <w:style w:type="table" w:styleId="920">
    <w:name w:val="List Table 1 Light - Accent 1"/>
    <w:basedOn w:val="767"/>
    <w:next w:val="920"/>
    <w:link w:val="756"/>
    <w:uiPriority w:val="99"/>
    <w:qFormat/>
    <w:tblPr/>
  </w:style>
  <w:style w:type="table" w:styleId="921">
    <w:name w:val="List Table 1 Light - Accent 2"/>
    <w:basedOn w:val="767"/>
    <w:next w:val="921"/>
    <w:link w:val="756"/>
    <w:uiPriority w:val="99"/>
    <w:qFormat/>
    <w:tblPr/>
  </w:style>
  <w:style w:type="table" w:styleId="922">
    <w:name w:val="List Table 1 Light - Accent 3"/>
    <w:basedOn w:val="767"/>
    <w:next w:val="922"/>
    <w:link w:val="756"/>
    <w:uiPriority w:val="99"/>
    <w:qFormat/>
    <w:tblPr/>
  </w:style>
  <w:style w:type="table" w:styleId="923">
    <w:name w:val="List Table 1 Light - Accent 4"/>
    <w:basedOn w:val="767"/>
    <w:next w:val="923"/>
    <w:link w:val="756"/>
    <w:uiPriority w:val="99"/>
    <w:qFormat/>
    <w:tblPr/>
  </w:style>
  <w:style w:type="table" w:styleId="924">
    <w:name w:val="List Table 1 Light - Accent 5"/>
    <w:basedOn w:val="767"/>
    <w:next w:val="924"/>
    <w:link w:val="756"/>
    <w:uiPriority w:val="99"/>
    <w:qFormat/>
    <w:tblPr/>
  </w:style>
  <w:style w:type="table" w:styleId="925">
    <w:name w:val="List Table 1 Light - Accent 6"/>
    <w:basedOn w:val="767"/>
    <w:next w:val="925"/>
    <w:link w:val="756"/>
    <w:uiPriority w:val="99"/>
    <w:qFormat/>
    <w:tblPr/>
  </w:style>
  <w:style w:type="table" w:styleId="926">
    <w:name w:val="清单表 21"/>
    <w:basedOn w:val="767"/>
    <w:next w:val="926"/>
    <w:link w:val="756"/>
    <w:uiPriority w:val="99"/>
    <w:qFormat/>
    <w:tblPr/>
  </w:style>
  <w:style w:type="table" w:styleId="927">
    <w:name w:val="List Table 2 - Accent 1"/>
    <w:basedOn w:val="767"/>
    <w:next w:val="927"/>
    <w:link w:val="756"/>
    <w:uiPriority w:val="99"/>
    <w:qFormat/>
    <w:tblPr/>
  </w:style>
  <w:style w:type="table" w:styleId="928">
    <w:name w:val="List Table 2 - Accent 2"/>
    <w:basedOn w:val="767"/>
    <w:next w:val="928"/>
    <w:link w:val="756"/>
    <w:uiPriority w:val="99"/>
    <w:qFormat/>
    <w:tblPr/>
  </w:style>
  <w:style w:type="table" w:styleId="929">
    <w:name w:val="List Table 2 - Accent 3"/>
    <w:basedOn w:val="767"/>
    <w:next w:val="929"/>
    <w:link w:val="756"/>
    <w:uiPriority w:val="99"/>
    <w:qFormat/>
    <w:tblPr/>
  </w:style>
  <w:style w:type="table" w:styleId="930">
    <w:name w:val="List Table 2 - Accent 4"/>
    <w:basedOn w:val="767"/>
    <w:next w:val="930"/>
    <w:link w:val="756"/>
    <w:uiPriority w:val="99"/>
    <w:qFormat/>
    <w:tblPr/>
  </w:style>
  <w:style w:type="table" w:styleId="931">
    <w:name w:val="List Table 2 - Accent 5"/>
    <w:basedOn w:val="767"/>
    <w:next w:val="931"/>
    <w:link w:val="756"/>
    <w:uiPriority w:val="99"/>
    <w:qFormat/>
    <w:tblPr/>
  </w:style>
  <w:style w:type="table" w:styleId="932">
    <w:name w:val="List Table 2 - Accent 6"/>
    <w:basedOn w:val="767"/>
    <w:next w:val="932"/>
    <w:link w:val="756"/>
    <w:uiPriority w:val="99"/>
    <w:qFormat/>
    <w:tblPr/>
  </w:style>
  <w:style w:type="table" w:styleId="933">
    <w:name w:val="清单表 31"/>
    <w:basedOn w:val="767"/>
    <w:next w:val="933"/>
    <w:link w:val="756"/>
    <w:uiPriority w:val="99"/>
    <w:qFormat/>
    <w:tblPr/>
  </w:style>
  <w:style w:type="table" w:styleId="934">
    <w:name w:val="List Table 3 - Accent 1"/>
    <w:basedOn w:val="767"/>
    <w:next w:val="934"/>
    <w:link w:val="756"/>
    <w:uiPriority w:val="99"/>
    <w:qFormat/>
    <w:tblPr/>
  </w:style>
  <w:style w:type="table" w:styleId="935">
    <w:name w:val="List Table 3 - Accent 2"/>
    <w:basedOn w:val="767"/>
    <w:next w:val="935"/>
    <w:link w:val="756"/>
    <w:uiPriority w:val="99"/>
    <w:qFormat/>
    <w:tblPr/>
  </w:style>
  <w:style w:type="table" w:styleId="936">
    <w:name w:val="List Table 3 - Accent 3"/>
    <w:basedOn w:val="767"/>
    <w:next w:val="936"/>
    <w:link w:val="756"/>
    <w:uiPriority w:val="99"/>
    <w:qFormat/>
    <w:tblPr/>
  </w:style>
  <w:style w:type="table" w:styleId="937">
    <w:name w:val="List Table 3 - Accent 4"/>
    <w:basedOn w:val="767"/>
    <w:next w:val="937"/>
    <w:link w:val="756"/>
    <w:uiPriority w:val="99"/>
    <w:qFormat/>
    <w:tblPr/>
  </w:style>
  <w:style w:type="table" w:styleId="938">
    <w:name w:val="List Table 3 - Accent 5"/>
    <w:basedOn w:val="767"/>
    <w:next w:val="938"/>
    <w:link w:val="756"/>
    <w:uiPriority w:val="99"/>
    <w:qFormat/>
    <w:tblPr/>
  </w:style>
  <w:style w:type="table" w:styleId="939">
    <w:name w:val="List Table 3 - Accent 6"/>
    <w:basedOn w:val="767"/>
    <w:next w:val="939"/>
    <w:link w:val="756"/>
    <w:uiPriority w:val="99"/>
    <w:qFormat/>
    <w:tblPr/>
  </w:style>
  <w:style w:type="table" w:styleId="940">
    <w:name w:val="清单表 41"/>
    <w:basedOn w:val="767"/>
    <w:next w:val="940"/>
    <w:link w:val="756"/>
    <w:uiPriority w:val="99"/>
    <w:qFormat/>
    <w:tblPr/>
  </w:style>
  <w:style w:type="table" w:styleId="941">
    <w:name w:val="List Table 4 - Accent 1"/>
    <w:basedOn w:val="767"/>
    <w:next w:val="941"/>
    <w:link w:val="756"/>
    <w:uiPriority w:val="99"/>
    <w:qFormat/>
    <w:tblPr/>
  </w:style>
  <w:style w:type="table" w:styleId="942">
    <w:name w:val="List Table 4 - Accent 2"/>
    <w:basedOn w:val="767"/>
    <w:next w:val="942"/>
    <w:link w:val="756"/>
    <w:uiPriority w:val="99"/>
    <w:qFormat/>
    <w:tblPr/>
  </w:style>
  <w:style w:type="table" w:styleId="943">
    <w:name w:val="List Table 4 - Accent 3"/>
    <w:basedOn w:val="767"/>
    <w:next w:val="943"/>
    <w:link w:val="756"/>
    <w:uiPriority w:val="99"/>
    <w:qFormat/>
    <w:tblPr/>
  </w:style>
  <w:style w:type="table" w:styleId="944">
    <w:name w:val="List Table 4 - Accent 4"/>
    <w:basedOn w:val="767"/>
    <w:next w:val="944"/>
    <w:link w:val="756"/>
    <w:uiPriority w:val="99"/>
    <w:qFormat/>
    <w:tblPr/>
  </w:style>
  <w:style w:type="table" w:styleId="945">
    <w:name w:val="List Table 4 - Accent 5"/>
    <w:basedOn w:val="767"/>
    <w:next w:val="945"/>
    <w:link w:val="756"/>
    <w:uiPriority w:val="99"/>
    <w:qFormat/>
    <w:tblPr/>
  </w:style>
  <w:style w:type="table" w:styleId="946">
    <w:name w:val="List Table 4 - Accent 6"/>
    <w:basedOn w:val="767"/>
    <w:next w:val="946"/>
    <w:link w:val="756"/>
    <w:uiPriority w:val="99"/>
    <w:qFormat/>
    <w:tblPr/>
  </w:style>
  <w:style w:type="table" w:styleId="947">
    <w:name w:val="清单表 5 深色1"/>
    <w:basedOn w:val="767"/>
    <w:next w:val="947"/>
    <w:link w:val="756"/>
    <w:uiPriority w:val="99"/>
    <w:qFormat/>
    <w:tblPr/>
  </w:style>
  <w:style w:type="table" w:styleId="948">
    <w:name w:val="List Table 5 Dark - Accent 1"/>
    <w:basedOn w:val="767"/>
    <w:next w:val="948"/>
    <w:link w:val="756"/>
    <w:uiPriority w:val="99"/>
    <w:qFormat/>
    <w:tblPr/>
  </w:style>
  <w:style w:type="table" w:styleId="949">
    <w:name w:val="List Table 5 Dark - Accent 2"/>
    <w:basedOn w:val="767"/>
    <w:next w:val="949"/>
    <w:link w:val="756"/>
    <w:uiPriority w:val="99"/>
    <w:qFormat/>
    <w:tblPr/>
  </w:style>
  <w:style w:type="table" w:styleId="950">
    <w:name w:val="List Table 5 Dark - Accent 3"/>
    <w:basedOn w:val="767"/>
    <w:next w:val="950"/>
    <w:link w:val="756"/>
    <w:uiPriority w:val="99"/>
    <w:qFormat/>
    <w:tblPr/>
  </w:style>
  <w:style w:type="table" w:styleId="951">
    <w:name w:val="List Table 5 Dark - Accent 4"/>
    <w:basedOn w:val="767"/>
    <w:next w:val="951"/>
    <w:link w:val="756"/>
    <w:uiPriority w:val="99"/>
    <w:qFormat/>
    <w:tblPr/>
  </w:style>
  <w:style w:type="table" w:styleId="952">
    <w:name w:val="List Table 5 Dark - Accent 5"/>
    <w:basedOn w:val="767"/>
    <w:next w:val="952"/>
    <w:link w:val="756"/>
    <w:uiPriority w:val="99"/>
    <w:qFormat/>
    <w:tblPr/>
  </w:style>
  <w:style w:type="table" w:styleId="953">
    <w:name w:val="List Table 5 Dark - Accent 6"/>
    <w:basedOn w:val="767"/>
    <w:next w:val="953"/>
    <w:link w:val="756"/>
    <w:uiPriority w:val="99"/>
    <w:qFormat/>
    <w:tblPr/>
  </w:style>
  <w:style w:type="table" w:styleId="954">
    <w:name w:val="清单表 6 彩色1"/>
    <w:basedOn w:val="767"/>
    <w:next w:val="954"/>
    <w:link w:val="756"/>
    <w:uiPriority w:val="99"/>
    <w:qFormat/>
    <w:tblPr/>
  </w:style>
  <w:style w:type="table" w:styleId="955">
    <w:name w:val="List Table 6 Colorful - Accent 1"/>
    <w:basedOn w:val="767"/>
    <w:next w:val="955"/>
    <w:link w:val="756"/>
    <w:uiPriority w:val="99"/>
    <w:qFormat/>
    <w:tblPr/>
  </w:style>
  <w:style w:type="table" w:styleId="956">
    <w:name w:val="List Table 6 Colorful - Accent 2"/>
    <w:basedOn w:val="767"/>
    <w:next w:val="956"/>
    <w:link w:val="756"/>
    <w:uiPriority w:val="99"/>
    <w:qFormat/>
    <w:tblPr/>
  </w:style>
  <w:style w:type="table" w:styleId="957">
    <w:name w:val="List Table 6 Colorful - Accent 3"/>
    <w:basedOn w:val="767"/>
    <w:next w:val="957"/>
    <w:link w:val="756"/>
    <w:uiPriority w:val="99"/>
    <w:qFormat/>
    <w:tblPr/>
  </w:style>
  <w:style w:type="table" w:styleId="958">
    <w:name w:val="List Table 6 Colorful - Accent 4"/>
    <w:basedOn w:val="767"/>
    <w:next w:val="958"/>
    <w:link w:val="756"/>
    <w:uiPriority w:val="99"/>
    <w:qFormat/>
    <w:tblPr/>
  </w:style>
  <w:style w:type="table" w:styleId="959">
    <w:name w:val="List Table 6 Colorful - Accent 5"/>
    <w:basedOn w:val="767"/>
    <w:next w:val="959"/>
    <w:link w:val="756"/>
    <w:uiPriority w:val="99"/>
    <w:qFormat/>
    <w:tblPr/>
  </w:style>
  <w:style w:type="table" w:styleId="960">
    <w:name w:val="List Table 6 Colorful - Accent 6"/>
    <w:basedOn w:val="767"/>
    <w:next w:val="960"/>
    <w:link w:val="756"/>
    <w:uiPriority w:val="99"/>
    <w:qFormat/>
    <w:tblPr/>
  </w:style>
  <w:style w:type="table" w:styleId="961">
    <w:name w:val="清单表 7 彩色1"/>
    <w:basedOn w:val="767"/>
    <w:next w:val="961"/>
    <w:link w:val="756"/>
    <w:uiPriority w:val="99"/>
    <w:qFormat/>
    <w:tblPr/>
  </w:style>
  <w:style w:type="table" w:styleId="962">
    <w:name w:val="List Table 7 Colorful - Accent 1"/>
    <w:basedOn w:val="767"/>
    <w:next w:val="962"/>
    <w:link w:val="756"/>
    <w:uiPriority w:val="99"/>
    <w:qFormat/>
    <w:tblPr/>
  </w:style>
  <w:style w:type="table" w:styleId="963">
    <w:name w:val="List Table 7 Colorful - Accent 2"/>
    <w:basedOn w:val="767"/>
    <w:next w:val="963"/>
    <w:link w:val="756"/>
    <w:uiPriority w:val="99"/>
    <w:qFormat/>
    <w:tblPr/>
  </w:style>
  <w:style w:type="table" w:styleId="964">
    <w:name w:val="List Table 7 Colorful - Accent 3"/>
    <w:basedOn w:val="767"/>
    <w:next w:val="964"/>
    <w:link w:val="756"/>
    <w:uiPriority w:val="99"/>
    <w:qFormat/>
    <w:tblPr/>
  </w:style>
  <w:style w:type="table" w:styleId="965">
    <w:name w:val="List Table 7 Colorful - Accent 4"/>
    <w:basedOn w:val="767"/>
    <w:next w:val="965"/>
    <w:link w:val="756"/>
    <w:uiPriority w:val="99"/>
    <w:qFormat/>
    <w:tblPr/>
  </w:style>
  <w:style w:type="table" w:styleId="966">
    <w:name w:val="List Table 7 Colorful - Accent 5"/>
    <w:basedOn w:val="767"/>
    <w:next w:val="966"/>
    <w:link w:val="756"/>
    <w:uiPriority w:val="99"/>
    <w:qFormat/>
    <w:tblPr/>
  </w:style>
  <w:style w:type="table" w:styleId="967">
    <w:name w:val="List Table 7 Colorful - Accent 6"/>
    <w:basedOn w:val="767"/>
    <w:next w:val="967"/>
    <w:link w:val="756"/>
    <w:uiPriority w:val="99"/>
    <w:qFormat/>
    <w:tblPr/>
  </w:style>
  <w:style w:type="table" w:styleId="968">
    <w:name w:val="Lined - Accent"/>
    <w:basedOn w:val="767"/>
    <w:next w:val="968"/>
    <w:link w:val="756"/>
    <w:uiPriority w:val="99"/>
    <w:qFormat/>
    <w:rPr>
      <w:color w:val="404040"/>
    </w:rPr>
    <w:tblPr/>
  </w:style>
  <w:style w:type="table" w:styleId="969">
    <w:name w:val="Lined - Accent 1"/>
    <w:basedOn w:val="767"/>
    <w:next w:val="969"/>
    <w:link w:val="756"/>
    <w:uiPriority w:val="99"/>
    <w:qFormat/>
    <w:rPr>
      <w:color w:val="404040"/>
    </w:rPr>
    <w:tblPr/>
  </w:style>
  <w:style w:type="table" w:styleId="970">
    <w:name w:val="Lined - Accent 2"/>
    <w:basedOn w:val="767"/>
    <w:next w:val="970"/>
    <w:link w:val="756"/>
    <w:uiPriority w:val="99"/>
    <w:qFormat/>
    <w:rPr>
      <w:color w:val="404040"/>
    </w:rPr>
    <w:tblPr/>
  </w:style>
  <w:style w:type="table" w:styleId="971">
    <w:name w:val="Lined - Accent 3"/>
    <w:basedOn w:val="767"/>
    <w:next w:val="971"/>
    <w:link w:val="756"/>
    <w:uiPriority w:val="99"/>
    <w:qFormat/>
    <w:rPr>
      <w:color w:val="404040"/>
    </w:rPr>
    <w:tblPr/>
  </w:style>
  <w:style w:type="table" w:styleId="972">
    <w:name w:val="Lined - Accent 4"/>
    <w:basedOn w:val="767"/>
    <w:next w:val="972"/>
    <w:link w:val="756"/>
    <w:uiPriority w:val="99"/>
    <w:qFormat/>
    <w:rPr>
      <w:color w:val="404040"/>
    </w:rPr>
    <w:tblPr/>
  </w:style>
  <w:style w:type="table" w:styleId="973">
    <w:name w:val="Lined - Accent 5"/>
    <w:basedOn w:val="767"/>
    <w:next w:val="973"/>
    <w:link w:val="756"/>
    <w:uiPriority w:val="99"/>
    <w:qFormat/>
    <w:rPr>
      <w:color w:val="404040"/>
    </w:rPr>
    <w:tblPr/>
  </w:style>
  <w:style w:type="table" w:styleId="974">
    <w:name w:val="Lined - Accent 6"/>
    <w:basedOn w:val="767"/>
    <w:next w:val="974"/>
    <w:link w:val="756"/>
    <w:uiPriority w:val="99"/>
    <w:qFormat/>
    <w:rPr>
      <w:color w:val="404040"/>
    </w:rPr>
    <w:tblPr/>
  </w:style>
  <w:style w:type="table" w:styleId="975">
    <w:name w:val="Bordered &amp; Lined - Accent"/>
    <w:basedOn w:val="767"/>
    <w:next w:val="975"/>
    <w:link w:val="756"/>
    <w:uiPriority w:val="99"/>
    <w:qFormat/>
    <w:rPr>
      <w:color w:val="404040"/>
    </w:rPr>
    <w:tblPr/>
  </w:style>
  <w:style w:type="table" w:styleId="976">
    <w:name w:val="Bordered &amp; Lined - Accent 1"/>
    <w:basedOn w:val="767"/>
    <w:next w:val="976"/>
    <w:link w:val="756"/>
    <w:uiPriority w:val="99"/>
    <w:qFormat/>
    <w:rPr>
      <w:color w:val="404040"/>
    </w:rPr>
    <w:tblPr/>
  </w:style>
  <w:style w:type="table" w:styleId="977">
    <w:name w:val="Bordered &amp; Lined - Accent 2"/>
    <w:basedOn w:val="767"/>
    <w:next w:val="977"/>
    <w:link w:val="756"/>
    <w:uiPriority w:val="99"/>
    <w:qFormat/>
    <w:rPr>
      <w:color w:val="404040"/>
    </w:rPr>
    <w:tblPr/>
  </w:style>
  <w:style w:type="table" w:styleId="978">
    <w:name w:val="Bordered &amp; Lined - Accent 3"/>
    <w:basedOn w:val="767"/>
    <w:next w:val="978"/>
    <w:link w:val="756"/>
    <w:uiPriority w:val="99"/>
    <w:qFormat/>
    <w:rPr>
      <w:color w:val="404040"/>
    </w:rPr>
    <w:tblPr/>
  </w:style>
  <w:style w:type="table" w:styleId="979">
    <w:name w:val="Bordered &amp; Lined - Accent 4"/>
    <w:basedOn w:val="767"/>
    <w:next w:val="979"/>
    <w:link w:val="756"/>
    <w:uiPriority w:val="99"/>
    <w:qFormat/>
    <w:rPr>
      <w:color w:val="404040"/>
    </w:rPr>
    <w:tblPr/>
  </w:style>
  <w:style w:type="table" w:styleId="980">
    <w:name w:val="Bordered &amp; Lined - Accent 5"/>
    <w:basedOn w:val="767"/>
    <w:next w:val="980"/>
    <w:link w:val="756"/>
    <w:uiPriority w:val="99"/>
    <w:qFormat/>
    <w:rPr>
      <w:color w:val="404040"/>
    </w:rPr>
    <w:tblPr/>
  </w:style>
  <w:style w:type="table" w:styleId="981">
    <w:name w:val="Bordered &amp; Lined - Accent 6"/>
    <w:basedOn w:val="767"/>
    <w:next w:val="981"/>
    <w:link w:val="756"/>
    <w:uiPriority w:val="99"/>
    <w:qFormat/>
    <w:rPr>
      <w:color w:val="404040"/>
    </w:rPr>
    <w:tblPr/>
  </w:style>
  <w:style w:type="table" w:styleId="982">
    <w:name w:val="Bordered"/>
    <w:basedOn w:val="767"/>
    <w:next w:val="982"/>
    <w:link w:val="756"/>
    <w:uiPriority w:val="99"/>
    <w:qFormat/>
    <w:tblPr/>
  </w:style>
  <w:style w:type="table" w:styleId="983">
    <w:name w:val="Bordered - Accent 1"/>
    <w:basedOn w:val="767"/>
    <w:next w:val="983"/>
    <w:link w:val="756"/>
    <w:uiPriority w:val="99"/>
    <w:qFormat/>
    <w:tblPr/>
  </w:style>
  <w:style w:type="table" w:styleId="984">
    <w:name w:val="Bordered - Accent 2"/>
    <w:basedOn w:val="767"/>
    <w:next w:val="984"/>
    <w:link w:val="756"/>
    <w:uiPriority w:val="99"/>
    <w:qFormat/>
    <w:tblPr/>
  </w:style>
  <w:style w:type="table" w:styleId="985">
    <w:name w:val="Bordered - Accent 3"/>
    <w:basedOn w:val="767"/>
    <w:next w:val="985"/>
    <w:link w:val="756"/>
    <w:uiPriority w:val="99"/>
    <w:qFormat/>
    <w:tblPr/>
  </w:style>
  <w:style w:type="table" w:styleId="986">
    <w:name w:val="Bordered - Accent 4"/>
    <w:basedOn w:val="767"/>
    <w:next w:val="986"/>
    <w:link w:val="756"/>
    <w:uiPriority w:val="99"/>
    <w:qFormat/>
    <w:tblPr/>
  </w:style>
  <w:style w:type="table" w:styleId="987">
    <w:name w:val="Bordered - Accent 5"/>
    <w:basedOn w:val="767"/>
    <w:next w:val="987"/>
    <w:link w:val="756"/>
    <w:uiPriority w:val="99"/>
    <w:qFormat/>
    <w:tblPr/>
  </w:style>
  <w:style w:type="table" w:styleId="988">
    <w:name w:val="Bordered - Accent 6"/>
    <w:basedOn w:val="767"/>
    <w:next w:val="988"/>
    <w:link w:val="756"/>
    <w:uiPriority w:val="99"/>
    <w:qFormat/>
    <w:tblPr/>
  </w:style>
  <w:style w:type="paragraph" w:styleId="989">
    <w:name w:val="TOC 标题1"/>
    <w:next w:val="989"/>
    <w:link w:val="756"/>
    <w:uiPriority w:val="39"/>
    <w:unhideWhenUsed/>
    <w:qFormat/>
    <w:rPr>
      <w:lang w:val="en-US" w:eastAsia="zh-CN" w:bidi="ar-SA"/>
    </w:rPr>
  </w:style>
  <w:style w:type="paragraph" w:styleId="990">
    <w:name w:val="列表段落1"/>
    <w:basedOn w:val="756"/>
    <w:next w:val="990"/>
    <w:link w:val="756"/>
    <w:uiPriority w:val="99"/>
    <w:qFormat/>
    <w:pPr>
      <w:ind w:firstLine="420"/>
    </w:pPr>
  </w:style>
  <w:style w:type="paragraph" w:styleId="991">
    <w:name w:val="列表段落"/>
    <w:basedOn w:val="756"/>
    <w:next w:val="991"/>
    <w:link w:val="756"/>
    <w:uiPriority w:val="34"/>
    <w:qFormat/>
    <w:pPr>
      <w:ind w:firstLine="420"/>
    </w:pPr>
  </w:style>
  <w:style w:type="paragraph" w:styleId="992">
    <w:name w:val="AONormal"/>
    <w:next w:val="992"/>
    <w:link w:val="756"/>
    <w:qFormat/>
    <w:pPr>
      <w:ind w:firstLine="440"/>
      <w:spacing w:line="400" w:lineRule="exact"/>
    </w:pPr>
    <w:rPr>
      <w:rFonts w:ascii="华文楷体" w:hAnsi="华文楷体" w:eastAsia="华文楷体" w:cs="华文楷体"/>
      <w:sz w:val="22"/>
      <w:szCs w:val="21"/>
      <w:lang w:val="en-US" w:eastAsia="zh-CN" w:bidi="ar-SA"/>
    </w:rPr>
  </w:style>
  <w:style w:type="paragraph" w:styleId="993">
    <w:name w:val="正文首行缩进 21"/>
    <w:basedOn w:val="994"/>
    <w:next w:val="756"/>
    <w:link w:val="756"/>
    <w:qFormat/>
    <w:pPr>
      <w:ind w:firstLine="420"/>
      <w:spacing w:before="100" w:beforeAutospacing="1"/>
    </w:pPr>
    <w:rPr>
      <w:rFonts w:ascii="宋体" w:hAnsi="宋体"/>
      <w:szCs w:val="21"/>
    </w:rPr>
  </w:style>
  <w:style w:type="paragraph" w:styleId="994">
    <w:name w:val="正文文本缩进1"/>
    <w:basedOn w:val="756"/>
    <w:next w:val="994"/>
    <w:link w:val="756"/>
    <w:qFormat/>
    <w:pPr>
      <w:ind w:firstLine="880"/>
      <w:spacing w:line="500" w:lineRule="exact"/>
    </w:pPr>
  </w:style>
  <w:style w:type="character" w:styleId="995">
    <w:name w:val="明显强调1"/>
    <w:next w:val="995"/>
    <w:link w:val="756"/>
    <w:qFormat/>
    <w:rPr>
      <w:b/>
      <w:bCs/>
      <w:i/>
      <w:iCs/>
      <w:color w:val="4f81bd"/>
    </w:rPr>
  </w:style>
  <w:style w:type="character" w:styleId="996">
    <w:name w:val="批注文字 Char2"/>
    <w:next w:val="996"/>
    <w:link w:val="756"/>
    <w:qFormat/>
    <w:rPr>
      <w:sz w:val="21"/>
    </w:rPr>
  </w:style>
  <w:style w:type="character" w:styleId="997">
    <w:name w:val="标题 3 Char_0"/>
    <w:next w:val="997"/>
    <w:link w:val="998"/>
    <w:qFormat/>
    <w:rPr>
      <w:b/>
      <w:bCs/>
      <w:sz w:val="32"/>
      <w:szCs w:val="32"/>
    </w:rPr>
  </w:style>
  <w:style w:type="paragraph" w:styleId="998">
    <w:name w:val="标题 3_0"/>
    <w:basedOn w:val="999"/>
    <w:next w:val="999"/>
    <w:link w:val="997"/>
    <w:qFormat/>
    <w:pPr>
      <w:keepLines/>
      <w:keepNext/>
      <w:spacing w:before="260" w:after="260" w:line="416" w:lineRule="auto"/>
      <w:outlineLvl w:val="2"/>
    </w:pPr>
    <w:rPr>
      <w:b/>
      <w:bCs/>
      <w:sz w:val="32"/>
      <w:szCs w:val="32"/>
    </w:rPr>
  </w:style>
  <w:style w:type="paragraph" w:styleId="999">
    <w:name w:val="正文_0"/>
    <w:next w:val="999"/>
    <w:link w:val="756"/>
    <w:qFormat/>
    <w:pPr>
      <w:jc w:val="both"/>
      <w:widowControl w:val="off"/>
    </w:pPr>
    <w:rPr>
      <w:sz w:val="21"/>
      <w:szCs w:val="24"/>
      <w:lang w:val="en-US" w:eastAsia="zh-CN" w:bidi="ar-SA"/>
    </w:rPr>
  </w:style>
  <w:style w:type="character" w:styleId="1000">
    <w:name w:val="正文文本 Char2"/>
    <w:next w:val="1000"/>
    <w:link w:val="756"/>
    <w:uiPriority w:val="99"/>
    <w:semiHidden/>
    <w:qFormat/>
    <w:rPr>
      <w:rFonts w:ascii="Calibri" w:hAnsi="Calibri" w:eastAsia="宋体" w:cs="Times New Roman"/>
    </w:rPr>
  </w:style>
  <w:style w:type="character" w:styleId="1001">
    <w:name w:val="页脚 Char1"/>
    <w:next w:val="1001"/>
    <w:link w:val="756"/>
    <w:uiPriority w:val="99"/>
    <w:semiHidden/>
    <w:qFormat/>
    <w:rPr>
      <w:rFonts w:ascii="Calibri" w:hAnsi="Calibri" w:eastAsia="宋体" w:cs="Times New Roman"/>
      <w:sz w:val="18"/>
      <w:szCs w:val="18"/>
    </w:rPr>
  </w:style>
  <w:style w:type="character" w:styleId="1002">
    <w:name w:val="明显引用 Char2"/>
    <w:next w:val="1002"/>
    <w:link w:val="756"/>
    <w:uiPriority w:val="99"/>
    <w:qFormat/>
    <w:rPr>
      <w:b/>
      <w:bCs/>
      <w:i/>
      <w:iCs/>
      <w:color w:val="4f81bd"/>
      <w:sz w:val="21"/>
      <w:szCs w:val="24"/>
    </w:rPr>
  </w:style>
  <w:style w:type="character" w:styleId="1003">
    <w:name w:val="引用 Char"/>
    <w:next w:val="1003"/>
    <w:link w:val="1004"/>
    <w:qFormat/>
    <w:rPr>
      <w:i/>
      <w:iCs/>
      <w:color w:val="000000"/>
    </w:rPr>
  </w:style>
  <w:style w:type="paragraph" w:styleId="1004">
    <w:name w:val="引用1"/>
    <w:basedOn w:val="756"/>
    <w:next w:val="756"/>
    <w:link w:val="1003"/>
    <w:qFormat/>
    <w:rPr>
      <w:i/>
      <w:iCs/>
      <w:color w:val="000000"/>
      <w:sz w:val="20"/>
      <w:szCs w:val="20"/>
    </w:rPr>
  </w:style>
  <w:style w:type="character" w:styleId="1005">
    <w:name w:val="标题 1 Char_0"/>
    <w:next w:val="1005"/>
    <w:link w:val="1006"/>
    <w:qFormat/>
    <w:rPr>
      <w:b/>
      <w:bCs/>
      <w:sz w:val="44"/>
      <w:szCs w:val="44"/>
    </w:rPr>
  </w:style>
  <w:style w:type="paragraph" w:styleId="1006">
    <w:name w:val="标题 1_0"/>
    <w:basedOn w:val="999"/>
    <w:next w:val="999"/>
    <w:link w:val="1005"/>
    <w:qFormat/>
    <w:pPr>
      <w:keepLines/>
      <w:keepNext/>
      <w:spacing w:before="340" w:after="330" w:line="578" w:lineRule="auto"/>
      <w:outlineLvl w:val="0"/>
    </w:pPr>
    <w:rPr>
      <w:b/>
      <w:bCs/>
      <w:sz w:val="44"/>
      <w:szCs w:val="44"/>
    </w:rPr>
  </w:style>
  <w:style w:type="character" w:styleId="1007">
    <w:name w:val="正文文本缩进 3 Char1"/>
    <w:next w:val="1007"/>
    <w:link w:val="756"/>
    <w:uiPriority w:val="99"/>
    <w:semiHidden/>
    <w:qFormat/>
    <w:rPr>
      <w:sz w:val="16"/>
      <w:szCs w:val="16"/>
    </w:rPr>
  </w:style>
  <w:style w:type="character" w:styleId="1008">
    <w:name w:val="引用 Char1"/>
    <w:next w:val="1008"/>
    <w:link w:val="756"/>
    <w:uiPriority w:val="29"/>
    <w:qFormat/>
    <w:rPr>
      <w:i/>
      <w:iCs/>
      <w:color w:val="000000"/>
      <w:sz w:val="21"/>
    </w:rPr>
  </w:style>
  <w:style w:type="character" w:styleId="1009">
    <w:name w:val="font161"/>
    <w:next w:val="1009"/>
    <w:link w:val="756"/>
    <w:qFormat/>
    <w:rPr>
      <w:b/>
      <w:sz w:val="32"/>
    </w:rPr>
  </w:style>
  <w:style w:type="character" w:styleId="1010">
    <w:name w:val="标题 4 Char_0"/>
    <w:next w:val="1010"/>
    <w:link w:val="1011"/>
    <w:qFormat/>
    <w:rPr>
      <w:rFonts w:ascii="Arial" w:hAnsi="Arial" w:eastAsia="黑体"/>
      <w:b/>
      <w:bCs/>
      <w:sz w:val="28"/>
      <w:szCs w:val="28"/>
    </w:rPr>
  </w:style>
  <w:style w:type="paragraph" w:styleId="1011">
    <w:name w:val="标题 4_0"/>
    <w:basedOn w:val="999"/>
    <w:next w:val="999"/>
    <w:link w:val="1010"/>
    <w:qFormat/>
    <w:pPr>
      <w:keepLines/>
      <w:keepNext/>
      <w:spacing w:before="280" w:after="290" w:line="376" w:lineRule="auto"/>
      <w:outlineLvl w:val="3"/>
    </w:pPr>
    <w:rPr>
      <w:rFonts w:ascii="Arial" w:hAnsi="Arial" w:eastAsia="黑体"/>
      <w:b/>
      <w:bCs/>
      <w:sz w:val="28"/>
      <w:szCs w:val="28"/>
    </w:rPr>
  </w:style>
  <w:style w:type="character" w:styleId="1012">
    <w:name w:val="引用 Char2"/>
    <w:next w:val="1012"/>
    <w:link w:val="756"/>
    <w:uiPriority w:val="99"/>
    <w:qFormat/>
    <w:rPr>
      <w:i/>
      <w:iCs/>
      <w:color w:val="000000"/>
      <w:sz w:val="21"/>
      <w:szCs w:val="24"/>
    </w:rPr>
  </w:style>
  <w:style w:type="character" w:styleId="1013">
    <w:name w:val="rvts11"/>
    <w:next w:val="1013"/>
    <w:link w:val="756"/>
    <w:qFormat/>
    <w:rPr>
      <w:rFonts w:ascii="KNLe" w:hAnsi="KNLe"/>
      <w:sz w:val="24"/>
      <w:szCs w:val="24"/>
      <w:u w:val="single"/>
    </w:rPr>
  </w:style>
  <w:style w:type="character" w:styleId="1014">
    <w:name w:val="标题5 Char Char"/>
    <w:next w:val="1014"/>
    <w:link w:val="1015"/>
    <w:qFormat/>
    <w:rPr>
      <w:rFonts w:ascii="Arial" w:hAnsi="Arial"/>
      <w:b/>
      <w:bCs/>
      <w:sz w:val="24"/>
      <w:szCs w:val="32"/>
    </w:rPr>
  </w:style>
  <w:style w:type="paragraph" w:styleId="1015">
    <w:name w:val="标题5"/>
    <w:basedOn w:val="759"/>
    <w:next w:val="1015"/>
    <w:link w:val="1014"/>
    <w:qFormat/>
    <w:pPr>
      <w:numPr>
        <w:ilvl w:val="0"/>
        <w:numId w:val="0"/>
      </w:numPr>
      <w:spacing w:line="413" w:lineRule="auto"/>
    </w:pPr>
    <w:rPr>
      <w:rFonts w:ascii="Arial" w:hAnsi="Arial"/>
      <w:sz w:val="24"/>
    </w:rPr>
  </w:style>
  <w:style w:type="character" w:styleId="1016">
    <w:name w:val="副标题 Char2"/>
    <w:next w:val="1016"/>
    <w:link w:val="756"/>
    <w:uiPriority w:val="11"/>
    <w:qFormat/>
    <w:rPr>
      <w:rFonts w:ascii="Cambria" w:hAnsi="Cambria" w:cs="Times New Roman"/>
      <w:b/>
      <w:bCs/>
      <w:sz w:val="32"/>
      <w:szCs w:val="32"/>
    </w:rPr>
  </w:style>
  <w:style w:type="character" w:styleId="1017">
    <w:name w:val="批注主题 Char1"/>
    <w:next w:val="1017"/>
    <w:link w:val="756"/>
    <w:qFormat/>
    <w:rPr>
      <w:b/>
      <w:bCs/>
      <w:sz w:val="21"/>
      <w:szCs w:val="22"/>
    </w:rPr>
  </w:style>
  <w:style w:type="character" w:styleId="1018">
    <w:name w:val="font31"/>
    <w:next w:val="1018"/>
    <w:link w:val="756"/>
    <w:qFormat/>
    <w:rPr>
      <w:rFonts w:hint="eastAsia" w:ascii="宋体" w:hAnsi="宋体" w:eastAsia="宋体" w:cs="宋体"/>
      <w:color w:val="000000"/>
      <w:sz w:val="20"/>
      <w:szCs w:val="20"/>
      <w:u w:val="none"/>
    </w:rPr>
  </w:style>
  <w:style w:type="character" w:styleId="1019">
    <w:name w:val="明显引用 Char"/>
    <w:next w:val="1019"/>
    <w:link w:val="1020"/>
    <w:qFormat/>
    <w:rPr>
      <w:b/>
      <w:bCs/>
      <w:i/>
      <w:iCs/>
      <w:color w:val="4f81bd"/>
    </w:rPr>
  </w:style>
  <w:style w:type="paragraph" w:styleId="1020">
    <w:name w:val="明显引用1"/>
    <w:basedOn w:val="756"/>
    <w:next w:val="756"/>
    <w:link w:val="1019"/>
    <w:qFormat/>
    <w:pPr>
      <w:ind w:left="936" w:right="936"/>
      <w:spacing w:before="200" w:after="280"/>
      <w:pBdr>
        <w:bottom w:val="single" w:color="4F81BD" w:sz="4" w:space="4"/>
      </w:pBdr>
    </w:pPr>
    <w:rPr>
      <w:b/>
      <w:bCs/>
      <w:i/>
      <w:iCs/>
      <w:color w:val="4f81bd"/>
      <w:sz w:val="20"/>
      <w:szCs w:val="20"/>
    </w:rPr>
  </w:style>
  <w:style w:type="character" w:styleId="1021">
    <w:name w:val="日期 Char1"/>
    <w:next w:val="1021"/>
    <w:link w:val="756"/>
    <w:qFormat/>
    <w:rPr>
      <w:rFonts w:ascii="Calibri" w:hAnsi="Calibri" w:eastAsia="宋体" w:cs="Times New Roman"/>
    </w:rPr>
  </w:style>
  <w:style w:type="character" w:styleId="1022">
    <w:name w:val="批注框文本 Char1"/>
    <w:next w:val="1022"/>
    <w:link w:val="756"/>
    <w:qFormat/>
    <w:rPr>
      <w:sz w:val="18"/>
      <w:szCs w:val="18"/>
    </w:rPr>
  </w:style>
  <w:style w:type="character" w:styleId="1023">
    <w:name w:val="标题 Char1"/>
    <w:next w:val="1023"/>
    <w:link w:val="756"/>
    <w:uiPriority w:val="10"/>
    <w:qFormat/>
    <w:rPr>
      <w:rFonts w:ascii="Cambria" w:hAnsi="Cambria" w:eastAsia="宋体" w:cs="Times New Roman"/>
      <w:b/>
      <w:bCs/>
      <w:sz w:val="32"/>
      <w:szCs w:val="32"/>
    </w:rPr>
  </w:style>
  <w:style w:type="character" w:styleId="1024">
    <w:name w:val="不明显参考1"/>
    <w:next w:val="1024"/>
    <w:link w:val="756"/>
    <w:qFormat/>
    <w:rPr>
      <w:smallCaps/>
      <w:color w:val="c0504d"/>
      <w:u w:val="single"/>
    </w:rPr>
  </w:style>
  <w:style w:type="character" w:styleId="1025">
    <w:name w:val="批注文字 Char1"/>
    <w:next w:val="1025"/>
    <w:link w:val="756"/>
    <w:qFormat/>
    <w:rPr>
      <w:rFonts w:ascii="Calibri" w:hAnsi="Calibri" w:eastAsia="宋体" w:cs="Times New Roman"/>
    </w:rPr>
  </w:style>
  <w:style w:type="character" w:styleId="1026">
    <w:name w:val="标题 Char2"/>
    <w:next w:val="1026"/>
    <w:link w:val="756"/>
    <w:uiPriority w:val="10"/>
    <w:qFormat/>
    <w:rPr>
      <w:rFonts w:ascii="Cambria" w:hAnsi="Cambria" w:cs="Times New Roman"/>
      <w:b/>
      <w:bCs/>
      <w:sz w:val="32"/>
      <w:szCs w:val="32"/>
    </w:rPr>
  </w:style>
  <w:style w:type="character" w:styleId="1027">
    <w:name w:val="正文文本 3 Char1"/>
    <w:next w:val="1027"/>
    <w:link w:val="756"/>
    <w:uiPriority w:val="99"/>
    <w:semiHidden/>
    <w:qFormat/>
    <w:rPr>
      <w:sz w:val="16"/>
      <w:szCs w:val="16"/>
    </w:rPr>
  </w:style>
  <w:style w:type="character" w:styleId="1028">
    <w:name w:val="批注主题 Char2"/>
    <w:next w:val="1028"/>
    <w:link w:val="756"/>
    <w:qFormat/>
    <w:rPr>
      <w:b/>
      <w:bCs/>
      <w:sz w:val="21"/>
    </w:rPr>
  </w:style>
  <w:style w:type="character" w:styleId="1029">
    <w:name w:val="正文文本 Char_0"/>
    <w:next w:val="1029"/>
    <w:link w:val="1030"/>
    <w:qFormat/>
    <w:rPr>
      <w:szCs w:val="24"/>
    </w:rPr>
  </w:style>
  <w:style w:type="paragraph" w:styleId="1030">
    <w:name w:val="正文文本_0"/>
    <w:basedOn w:val="999"/>
    <w:next w:val="1030"/>
    <w:link w:val="1029"/>
    <w:qFormat/>
    <w:pPr>
      <w:spacing w:after="120"/>
    </w:pPr>
    <w:rPr>
      <w:sz w:val="20"/>
    </w:rPr>
  </w:style>
  <w:style w:type="character" w:styleId="1031">
    <w:name w:val="bookmark"/>
    <w:next w:val="1031"/>
    <w:link w:val="756"/>
    <w:qFormat/>
  </w:style>
  <w:style w:type="character" w:styleId="1032">
    <w:name w:val="标题 5 Char_0"/>
    <w:next w:val="1032"/>
    <w:link w:val="1033"/>
    <w:qFormat/>
    <w:rPr>
      <w:rFonts w:ascii="Calibri" w:hAnsi="Calibri"/>
      <w:b/>
      <w:bCs/>
      <w:sz w:val="28"/>
      <w:szCs w:val="28"/>
    </w:rPr>
  </w:style>
  <w:style w:type="paragraph" w:styleId="1033">
    <w:name w:val="标题 5_0"/>
    <w:basedOn w:val="999"/>
    <w:next w:val="999"/>
    <w:link w:val="1032"/>
    <w:qFormat/>
    <w:pPr>
      <w:keepLines/>
      <w:keepNext/>
      <w:spacing w:before="280" w:after="290" w:line="372" w:lineRule="auto"/>
      <w:outlineLvl w:val="4"/>
    </w:pPr>
    <w:rPr>
      <w:rFonts w:ascii="Calibri" w:hAnsi="Calibri"/>
      <w:b/>
      <w:bCs/>
      <w:sz w:val="28"/>
      <w:szCs w:val="28"/>
    </w:rPr>
  </w:style>
  <w:style w:type="character" w:styleId="1034">
    <w:name w:val="font11"/>
    <w:next w:val="1034"/>
    <w:link w:val="756"/>
    <w:qFormat/>
    <w:rPr>
      <w:rFonts w:hint="eastAsia" w:ascii="宋体" w:hAnsi="宋体" w:eastAsia="宋体" w:cs="宋体"/>
      <w:color w:val="000000"/>
      <w:sz w:val="20"/>
      <w:szCs w:val="20"/>
      <w:u w:val="none"/>
    </w:rPr>
  </w:style>
  <w:style w:type="character" w:styleId="1035">
    <w:name w:val="明显参考1"/>
    <w:next w:val="1035"/>
    <w:link w:val="756"/>
    <w:qFormat/>
    <w:rPr>
      <w:b/>
      <w:bCs/>
      <w:smallCaps/>
      <w:color w:val="c0504d"/>
      <w:spacing w:val="5"/>
      <w:u w:val="single"/>
    </w:rPr>
  </w:style>
  <w:style w:type="character" w:styleId="1036">
    <w:name w:val="超链接_0"/>
    <w:next w:val="1036"/>
    <w:link w:val="756"/>
    <w:uiPriority w:val="99"/>
    <w:qFormat/>
    <w:rPr>
      <w:rFonts w:ascii="Calibri" w:hAnsi="Calibri"/>
      <w:color w:val="0000ff"/>
      <w:u w:val="single"/>
    </w:rPr>
  </w:style>
  <w:style w:type="character" w:styleId="1037">
    <w:name w:val="文档结构图 Char2"/>
    <w:next w:val="1037"/>
    <w:link w:val="756"/>
    <w:uiPriority w:val="99"/>
    <w:semiHidden/>
    <w:qFormat/>
    <w:rPr>
      <w:rFonts w:ascii="宋体" w:hAnsi="Calibri" w:eastAsia="宋体" w:cs="Times New Roman"/>
      <w:sz w:val="18"/>
      <w:szCs w:val="18"/>
    </w:rPr>
  </w:style>
  <w:style w:type="character" w:styleId="1038">
    <w:name w:val="textcontents"/>
    <w:next w:val="1038"/>
    <w:link w:val="756"/>
    <w:qFormat/>
    <w:rPr>
      <w:rFonts w:cs="Times New Roman"/>
    </w:rPr>
  </w:style>
  <w:style w:type="character" w:styleId="1039">
    <w:name w:val="标题 1 Char"/>
    <w:next w:val="1039"/>
    <w:link w:val="756"/>
    <w:qFormat/>
    <w:rPr>
      <w:b/>
      <w:bCs/>
      <w:sz w:val="32"/>
      <w:szCs w:val="44"/>
    </w:rPr>
  </w:style>
  <w:style w:type="character" w:styleId="1040">
    <w:name w:val="副标题 Char1"/>
    <w:next w:val="1040"/>
    <w:link w:val="756"/>
    <w:uiPriority w:val="11"/>
    <w:qFormat/>
    <w:rPr>
      <w:rFonts w:ascii="Cambria" w:hAnsi="Cambria" w:cs="Times New Roman"/>
      <w:b/>
      <w:bCs/>
      <w:sz w:val="32"/>
      <w:szCs w:val="32"/>
    </w:rPr>
  </w:style>
  <w:style w:type="character" w:styleId="1041">
    <w:name w:val="书籍标题1"/>
    <w:next w:val="1041"/>
    <w:link w:val="756"/>
    <w:qFormat/>
    <w:rPr>
      <w:b/>
      <w:bCs/>
      <w:smallCaps/>
      <w:spacing w:val="5"/>
    </w:rPr>
  </w:style>
  <w:style w:type="character" w:styleId="1042">
    <w:name w:val="标题4 Char Char"/>
    <w:next w:val="1042"/>
    <w:link w:val="1043"/>
    <w:qFormat/>
    <w:rPr>
      <w:rFonts w:ascii="Arial" w:hAnsi="Arial"/>
      <w:b/>
      <w:bCs/>
      <w:sz w:val="24"/>
      <w:szCs w:val="32"/>
    </w:rPr>
  </w:style>
  <w:style w:type="paragraph" w:styleId="1043">
    <w:name w:val="标题4"/>
    <w:basedOn w:val="758"/>
    <w:next w:val="793"/>
    <w:link w:val="1042"/>
    <w:qFormat/>
    <w:pPr>
      <w:numPr>
        <w:ilvl w:val="0"/>
        <w:numId w:val="0"/>
      </w:numPr>
      <w:spacing w:line="413" w:lineRule="auto"/>
    </w:pPr>
    <w:rPr>
      <w:rFonts w:ascii="Arial" w:hAnsi="Arial"/>
      <w:sz w:val="24"/>
    </w:rPr>
  </w:style>
  <w:style w:type="character" w:styleId="1044">
    <w:name w:val="正文文本 Char1"/>
    <w:next w:val="1044"/>
    <w:link w:val="756"/>
    <w:qFormat/>
    <w:rPr>
      <w:rFonts w:ascii="Calibri" w:hAnsi="Calibri" w:eastAsia="宋体" w:cs="Times New Roman"/>
    </w:rPr>
  </w:style>
  <w:style w:type="character" w:styleId="1045">
    <w:name w:val="明显引用 Char1"/>
    <w:next w:val="1045"/>
    <w:link w:val="756"/>
    <w:uiPriority w:val="30"/>
    <w:qFormat/>
    <w:rPr>
      <w:b/>
      <w:bCs/>
      <w:i/>
      <w:iCs/>
      <w:color w:val="4f81bd"/>
      <w:sz w:val="21"/>
    </w:rPr>
  </w:style>
  <w:style w:type="character" w:styleId="1046">
    <w:name w:val="页眉 Char1"/>
    <w:next w:val="1046"/>
    <w:link w:val="756"/>
    <w:uiPriority w:val="99"/>
    <w:semiHidden/>
    <w:qFormat/>
    <w:rPr>
      <w:rFonts w:ascii="Calibri" w:hAnsi="Calibri" w:eastAsia="宋体" w:cs="Times New Roman"/>
      <w:sz w:val="18"/>
      <w:szCs w:val="18"/>
    </w:rPr>
  </w:style>
  <w:style w:type="character" w:styleId="1047">
    <w:name w:val="不明显强调1"/>
    <w:next w:val="1047"/>
    <w:link w:val="756"/>
    <w:qFormat/>
    <w:rPr>
      <w:i/>
      <w:iCs/>
      <w:color w:val="808080"/>
    </w:rPr>
  </w:style>
  <w:style w:type="character" w:styleId="1048">
    <w:name w:val="font21"/>
    <w:next w:val="1048"/>
    <w:link w:val="756"/>
    <w:qFormat/>
    <w:rPr>
      <w:rFonts w:hint="eastAsia" w:ascii="宋体" w:hAnsi="宋体" w:eastAsia="宋体" w:cs="宋体"/>
      <w:color w:val="000000"/>
      <w:sz w:val="20"/>
      <w:szCs w:val="20"/>
      <w:u w:val="none"/>
    </w:rPr>
  </w:style>
  <w:style w:type="character" w:styleId="1049">
    <w:name w:val="文档结构图 Char1"/>
    <w:next w:val="1049"/>
    <w:link w:val="756"/>
    <w:qFormat/>
    <w:rPr>
      <w:rFonts w:ascii="宋体" w:hAnsi="Calibri" w:eastAsia="宋体" w:cs="Times New Roman"/>
      <w:sz w:val="18"/>
      <w:szCs w:val="18"/>
    </w:rPr>
  </w:style>
  <w:style w:type="character" w:styleId="1050">
    <w:name w:val="标题 2 Char_0"/>
    <w:next w:val="1050"/>
    <w:link w:val="1051"/>
    <w:qFormat/>
    <w:rPr>
      <w:rFonts w:ascii="Cambria" w:hAnsi="Cambria"/>
      <w:b/>
      <w:bCs/>
      <w:sz w:val="32"/>
      <w:szCs w:val="32"/>
    </w:rPr>
  </w:style>
  <w:style w:type="paragraph" w:styleId="1051">
    <w:name w:val="标题 2_0"/>
    <w:basedOn w:val="999"/>
    <w:next w:val="999"/>
    <w:link w:val="1050"/>
    <w:unhideWhenUsed/>
    <w:qFormat/>
    <w:pPr>
      <w:keepLines/>
      <w:keepNext/>
      <w:spacing w:before="260" w:after="260" w:line="416" w:lineRule="auto"/>
      <w:outlineLvl w:val="1"/>
    </w:pPr>
    <w:rPr>
      <w:rFonts w:ascii="Cambria" w:hAnsi="Cambria"/>
      <w:b/>
      <w:bCs/>
      <w:sz w:val="32"/>
      <w:szCs w:val="32"/>
    </w:rPr>
  </w:style>
  <w:style w:type="character" w:styleId="1052">
    <w:name w:val="日期 Char2"/>
    <w:next w:val="1052"/>
    <w:link w:val="756"/>
    <w:uiPriority w:val="99"/>
    <w:semiHidden/>
    <w:qFormat/>
    <w:rPr>
      <w:rFonts w:ascii="Calibri" w:hAnsi="Calibri" w:eastAsia="宋体" w:cs="Times New Roman"/>
    </w:rPr>
  </w:style>
  <w:style w:type="character" w:styleId="1053">
    <w:name w:val="批注框文本 Char2"/>
    <w:next w:val="1053"/>
    <w:link w:val="756"/>
    <w:uiPriority w:val="99"/>
    <w:semiHidden/>
    <w:qFormat/>
    <w:rPr>
      <w:rFonts w:ascii="Calibri" w:hAnsi="Calibri" w:eastAsia="宋体" w:cs="Times New Roman"/>
      <w:sz w:val="18"/>
      <w:szCs w:val="18"/>
    </w:rPr>
  </w:style>
  <w:style w:type="character" w:styleId="1054">
    <w:name w:val="列出段落 Char"/>
    <w:next w:val="1054"/>
    <w:link w:val="1055"/>
    <w:uiPriority w:val="99"/>
    <w:qFormat/>
    <w:rPr>
      <w:sz w:val="21"/>
      <w:szCs w:val="24"/>
    </w:rPr>
  </w:style>
  <w:style w:type="paragraph" w:styleId="1055">
    <w:name w:val="List Paragraph1"/>
    <w:basedOn w:val="756"/>
    <w:next w:val="1055"/>
    <w:link w:val="1054"/>
    <w:uiPriority w:val="99"/>
    <w:qFormat/>
    <w:pPr>
      <w:ind w:firstLine="420"/>
    </w:pPr>
  </w:style>
  <w:style w:type="paragraph" w:styleId="1056">
    <w:name w:val="样式 标题 3 + (中文) 黑体 小四 非加粗 段前: 7.8 磅 段后: 0 磅 行距: 固定值 20 磅"/>
    <w:basedOn w:val="759"/>
    <w:next w:val="756"/>
    <w:link w:val="756"/>
    <w:qFormat/>
    <w:pPr>
      <w:spacing w:before="0" w:after="0" w:line="400" w:lineRule="exact"/>
    </w:pPr>
    <w:rPr>
      <w:rFonts w:eastAsia="黑体" w:cs="宋体"/>
      <w:b w:val="0"/>
      <w:bCs w:val="0"/>
      <w:sz w:val="24"/>
      <w:szCs w:val="20"/>
    </w:rPr>
  </w:style>
  <w:style w:type="paragraph" w:styleId="1057">
    <w:name w:val="_Style 34"/>
    <w:next w:val="756"/>
    <w:link w:val="756"/>
    <w:qFormat/>
    <w:pPr>
      <w:jc w:val="both"/>
      <w:widowControl w:val="off"/>
    </w:pPr>
    <w:rPr>
      <w:sz w:val="21"/>
      <w:lang w:val="en-US" w:eastAsia="zh-CN" w:bidi="ar-SA"/>
    </w:rPr>
  </w:style>
  <w:style w:type="paragraph" w:styleId="1058">
    <w:name w:val="正文_3"/>
    <w:next w:val="1058"/>
    <w:link w:val="756"/>
    <w:qFormat/>
    <w:pPr>
      <w:jc w:val="both"/>
      <w:widowControl w:val="off"/>
    </w:pPr>
    <w:rPr>
      <w:sz w:val="21"/>
      <w:szCs w:val="22"/>
      <w:lang w:val="en-US" w:eastAsia="zh-CN" w:bidi="ar-SA"/>
    </w:rPr>
  </w:style>
  <w:style w:type="paragraph" w:styleId="1059">
    <w:name w:val="_Style 36"/>
    <w:next w:val="756"/>
    <w:link w:val="756"/>
    <w:qFormat/>
    <w:pPr>
      <w:jc w:val="both"/>
      <w:widowControl w:val="off"/>
    </w:pPr>
    <w:rPr>
      <w:sz w:val="21"/>
      <w:lang w:val="en-US" w:eastAsia="zh-CN" w:bidi="ar-SA"/>
    </w:rPr>
  </w:style>
  <w:style w:type="paragraph" w:styleId="1060">
    <w:name w:val="空半行"/>
    <w:basedOn w:val="756"/>
    <w:next w:val="1060"/>
    <w:link w:val="756"/>
    <w:qFormat/>
    <w:pPr>
      <w:spacing w:line="120" w:lineRule="exact"/>
    </w:pPr>
    <w:rPr>
      <w:rFonts w:ascii="Calibri" w:hAnsi="Calibri" w:eastAsia="仿宋_GB2312"/>
      <w:color w:val="ffffff"/>
      <w:sz w:val="30"/>
      <w:szCs w:val="22"/>
    </w:rPr>
  </w:style>
  <w:style w:type="paragraph" w:styleId="1061">
    <w:name w:val="1方案格式1"/>
    <w:basedOn w:val="757"/>
    <w:next w:val="1061"/>
    <w:link w:val="756"/>
    <w:qFormat/>
    <w:pPr>
      <w:numPr>
        <w:numId w:val="2"/>
      </w:numPr>
      <w:ind w:left="0" w:firstLine="0"/>
      <w:spacing w:line="360" w:lineRule="auto"/>
      <w:tabs>
        <w:tab w:val="left" w:pos="360" w:leader="none"/>
      </w:tabs>
    </w:pPr>
    <w:rPr>
      <w:rFonts w:eastAsia="微软雅黑"/>
      <w:bCs w:val="0"/>
      <w:sz w:val="48"/>
    </w:rPr>
  </w:style>
  <w:style w:type="paragraph" w:styleId="1062">
    <w:name w:val="格式３"/>
    <w:basedOn w:val="756"/>
    <w:next w:val="1062"/>
    <w:link w:val="756"/>
    <w:qFormat/>
    <w:pPr>
      <w:ind w:left="600" w:hanging="600"/>
      <w:spacing w:line="420" w:lineRule="exact"/>
    </w:pPr>
    <w:rPr>
      <w:rFonts w:ascii="宋体" w:hAnsi="宋体"/>
      <w:color w:val="000000"/>
      <w:sz w:val="24"/>
      <w:szCs w:val="20"/>
    </w:rPr>
  </w:style>
  <w:style w:type="paragraph" w:styleId="1063">
    <w:name w:val="正文1"/>
    <w:next w:val="1063"/>
    <w:link w:val="756"/>
    <w:qFormat/>
    <w:pPr>
      <w:jc w:val="both"/>
      <w:widowControl w:val="off"/>
    </w:pPr>
    <w:rPr>
      <w:rFonts w:ascii="Calibri" w:hAnsi="Calibri"/>
      <w:lang w:val="en-US" w:eastAsia="zh-CN" w:bidi="ar-SA"/>
    </w:rPr>
  </w:style>
  <w:style w:type="paragraph" w:styleId="1064">
    <w:name w:val="列出段落1"/>
    <w:basedOn w:val="756"/>
    <w:next w:val="1064"/>
    <w:link w:val="756"/>
    <w:uiPriority w:val="34"/>
    <w:qFormat/>
    <w:pPr>
      <w:contextualSpacing/>
      <w:ind w:left="720"/>
      <w:jc w:val="left"/>
      <w:widowControl/>
    </w:pPr>
    <w:rPr>
      <w:rFonts w:ascii="Arial" w:hAnsi="Arial" w:eastAsia="黑体"/>
      <w:sz w:val="24"/>
      <w:lang w:eastAsia="en-US"/>
    </w:rPr>
  </w:style>
  <w:style w:type="paragraph" w:styleId="1065">
    <w:name w:val="正文空2字"/>
    <w:basedOn w:val="756"/>
    <w:next w:val="1065"/>
    <w:link w:val="756"/>
    <w:qFormat/>
    <w:pPr>
      <w:ind w:firstLine="200"/>
      <w:spacing w:line="360" w:lineRule="auto"/>
    </w:pPr>
    <w:rPr>
      <w:sz w:val="24"/>
      <w:lang w:bidi="en-US"/>
    </w:rPr>
  </w:style>
  <w:style w:type="paragraph" w:styleId="1066">
    <w:name w:val="正文_0_0_0"/>
    <w:next w:val="1066"/>
    <w:link w:val="756"/>
    <w:qFormat/>
    <w:pPr>
      <w:jc w:val="both"/>
      <w:widowControl w:val="off"/>
    </w:pPr>
    <w:rPr>
      <w:lang w:val="en-US" w:eastAsia="zh-CN" w:bidi="ar-SA"/>
    </w:rPr>
  </w:style>
  <w:style w:type="paragraph" w:styleId="1067">
    <w:name w:val="目录 5_0"/>
    <w:basedOn w:val="999"/>
    <w:next w:val="999"/>
    <w:link w:val="756"/>
    <w:uiPriority w:val="39"/>
    <w:qFormat/>
    <w:pPr>
      <w:ind w:left="1680"/>
    </w:pPr>
    <w:rPr>
      <w:rFonts w:ascii="Calibri" w:hAnsi="Calibri"/>
    </w:rPr>
  </w:style>
  <w:style w:type="paragraph" w:styleId="1068">
    <w:name w:val="修订1"/>
    <w:next w:val="1068"/>
    <w:link w:val="756"/>
    <w:qFormat/>
    <w:rPr>
      <w:sz w:val="21"/>
      <w:szCs w:val="24"/>
      <w:lang w:val="en-US" w:eastAsia="zh-CN" w:bidi="ar-SA"/>
    </w:rPr>
  </w:style>
  <w:style w:type="paragraph" w:styleId="1069">
    <w:name w:val="标题 11"/>
    <w:basedOn w:val="1063"/>
    <w:next w:val="1063"/>
    <w:link w:val="756"/>
    <w:qFormat/>
    <w:pPr>
      <w:keepLines/>
      <w:keepNext/>
      <w:spacing w:before="340" w:after="330" w:line="576" w:lineRule="auto"/>
      <w:outlineLvl w:val="0"/>
    </w:pPr>
    <w:rPr>
      <w:rFonts w:ascii="Times New Roman" w:hAnsi="Times New Roman" w:eastAsia="Times New Roman"/>
      <w:b/>
      <w:sz w:val="44"/>
      <w:lang w:val="zh-CN"/>
    </w:rPr>
  </w:style>
  <w:style w:type="paragraph" w:styleId="1070">
    <w:name w:val="正文 + 行距: 固定值 20 磅"/>
    <w:basedOn w:val="756"/>
    <w:next w:val="1070"/>
    <w:link w:val="756"/>
    <w:qFormat/>
    <w:pPr>
      <w:ind w:firstLine="716"/>
      <w:spacing w:line="400" w:lineRule="exact"/>
    </w:pPr>
    <w:rPr>
      <w:rFonts w:ascii="Calibri" w:hAnsi="Calibri"/>
      <w:szCs w:val="22"/>
    </w:rPr>
  </w:style>
  <w:style w:type="paragraph" w:styleId="1071">
    <w:name w:val="TOC 标题11"/>
    <w:basedOn w:val="757"/>
    <w:next w:val="756"/>
    <w:link w:val="75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72">
    <w:name w:val="表格文字"/>
    <w:basedOn w:val="756"/>
    <w:next w:val="1072"/>
    <w:link w:val="1073"/>
    <w:qFormat/>
    <w:pPr>
      <w:jc w:val="left"/>
      <w:spacing w:line="420" w:lineRule="atLeast"/>
    </w:pPr>
    <w:rPr>
      <w:rFonts w:ascii="Calibri" w:hAnsi="Calibri"/>
      <w:szCs w:val="22"/>
    </w:rPr>
  </w:style>
  <w:style w:type="character" w:styleId="1073">
    <w:name w:val="表格文字 字符"/>
    <w:next w:val="1073"/>
    <w:link w:val="1072"/>
    <w:qFormat/>
    <w:rPr>
      <w:rFonts w:ascii="Calibri" w:hAnsi="Calibri" w:eastAsia="宋体" w:cs="Times New Roman"/>
      <w:sz w:val="21"/>
      <w:szCs w:val="22"/>
    </w:rPr>
  </w:style>
  <w:style w:type="paragraph" w:styleId="1074">
    <w:name w:val="flNote"/>
    <w:basedOn w:val="756"/>
    <w:next w:val="1074"/>
    <w:link w:val="756"/>
    <w:qFormat/>
    <w:pPr>
      <w:jc w:val="center"/>
      <w:spacing w:before="320" w:after="160" w:line="360" w:lineRule="atLeast"/>
    </w:pPr>
    <w:rPr>
      <w:rFonts w:ascii="Arial" w:hAnsi="Calibri" w:eastAsia="黑体"/>
      <w:sz w:val="30"/>
      <w:szCs w:val="22"/>
    </w:rPr>
  </w:style>
  <w:style w:type="paragraph" w:styleId="1075">
    <w:name w:val="文章正文"/>
    <w:basedOn w:val="756"/>
    <w:next w:val="1075"/>
    <w:link w:val="756"/>
    <w:uiPriority w:val="99"/>
    <w:qFormat/>
    <w:pPr>
      <w:ind w:firstLine="480"/>
      <w:spacing w:line="360" w:lineRule="auto"/>
    </w:pPr>
    <w:rPr>
      <w:rFonts w:ascii="仿宋_GB2312" w:hAnsi="宋体" w:eastAsia="仿宋_GB2312"/>
      <w:color w:val="ff0000"/>
      <w:sz w:val="24"/>
    </w:rPr>
  </w:style>
  <w:style w:type="paragraph" w:styleId="1076">
    <w:name w:val="表格"/>
    <w:basedOn w:val="756"/>
    <w:next w:val="1076"/>
    <w:link w:val="756"/>
    <w:qFormat/>
    <w:pPr>
      <w:jc w:val="center"/>
    </w:pPr>
    <w:rPr>
      <w:rFonts w:ascii="华文细黑" w:hAnsi="华文细黑"/>
      <w:szCs w:val="22"/>
    </w:rPr>
  </w:style>
  <w:style w:type="paragraph" w:styleId="1077">
    <w:name w:val="Char"/>
    <w:basedOn w:val="756"/>
    <w:next w:val="1077"/>
    <w:link w:val="756"/>
    <w:qFormat/>
    <w:pPr>
      <w:jc w:val="left"/>
      <w:spacing w:after="160" w:line="240" w:lineRule="exact"/>
      <w:widowControl/>
    </w:pPr>
    <w:rPr>
      <w:rFonts w:ascii="Verdana" w:hAnsi="Verdana"/>
      <w:sz w:val="20"/>
      <w:szCs w:val="20"/>
      <w:lang w:eastAsia="en-US"/>
    </w:rPr>
  </w:style>
  <w:style w:type="paragraph" w:styleId="1078">
    <w:name w:val="Default"/>
    <w:next w:val="1078"/>
    <w:link w:val="756"/>
    <w:qFormat/>
    <w:pPr>
      <w:widowControl w:val="off"/>
    </w:pPr>
    <w:rPr>
      <w:rFonts w:ascii="宋体" w:cs="宋体"/>
      <w:color w:val="000000"/>
      <w:sz w:val="24"/>
      <w:szCs w:val="24"/>
      <w:lang w:val="en-US" w:eastAsia="zh-CN" w:bidi="ar-SA"/>
    </w:rPr>
  </w:style>
  <w:style w:type="paragraph" w:styleId="1079">
    <w:name w:val="列出段落2"/>
    <w:basedOn w:val="756"/>
    <w:next w:val="1079"/>
    <w:link w:val="756"/>
    <w:uiPriority w:val="99"/>
    <w:qFormat/>
    <w:pPr>
      <w:ind w:firstLine="420"/>
    </w:pPr>
  </w:style>
  <w:style w:type="paragraph" w:styleId="1080">
    <w:name w:val="6'"/>
    <w:basedOn w:val="756"/>
    <w:next w:val="1080"/>
    <w:link w:val="756"/>
    <w:qFormat/>
    <w:pPr>
      <w:jc w:val="center"/>
      <w:spacing w:line="320" w:lineRule="exact"/>
    </w:pPr>
    <w:rPr>
      <w:rFonts w:ascii="Calibri" w:hAnsi="Calibri"/>
      <w:spacing w:val="20"/>
      <w:szCs w:val="22"/>
    </w:rPr>
  </w:style>
  <w:style w:type="paragraph" w:styleId="1081">
    <w:name w:val="Char Char Char Char Char Char Char"/>
    <w:basedOn w:val="756"/>
    <w:next w:val="1081"/>
    <w:link w:val="756"/>
    <w:qFormat/>
    <w:pPr>
      <w:spacing w:line="360" w:lineRule="auto"/>
    </w:pPr>
    <w:rPr>
      <w:sz w:val="24"/>
      <w:szCs w:val="20"/>
    </w:rPr>
  </w:style>
  <w:style w:type="paragraph" w:styleId="1082">
    <w:name w:val="2方案格式2"/>
    <w:basedOn w:val="1061"/>
    <w:next w:val="1082"/>
    <w:link w:val="756"/>
    <w:qFormat/>
    <w:pPr>
      <w:numPr>
        <w:ilvl w:val="1"/>
      </w:numPr>
      <w:spacing w:before="50" w:after="50" w:line="240" w:lineRule="auto"/>
      <w:tabs>
        <w:tab w:val="left" w:pos="360" w:leader="none"/>
      </w:tabs>
      <w:outlineLvl w:val="1"/>
    </w:pPr>
    <w:rPr>
      <w:sz w:val="44"/>
    </w:rPr>
  </w:style>
  <w:style w:type="paragraph" w:styleId="1083">
    <w:name w:val="无间隔1"/>
    <w:next w:val="1083"/>
    <w:link w:val="756"/>
    <w:qFormat/>
    <w:pPr>
      <w:jc w:val="both"/>
      <w:widowControl w:val="off"/>
    </w:pPr>
    <w:rPr>
      <w:rFonts w:ascii="Calibri" w:hAnsi="Calibri"/>
      <w:sz w:val="21"/>
      <w:szCs w:val="22"/>
      <w:lang w:val="en-US" w:eastAsia="zh-CN" w:bidi="ar-SA"/>
    </w:rPr>
  </w:style>
  <w:style w:type="paragraph" w:styleId="1084">
    <w:name w:val="文档正文"/>
    <w:basedOn w:val="756"/>
    <w:next w:val="1084"/>
    <w:link w:val="756"/>
    <w:qFormat/>
    <w:pPr>
      <w:ind w:firstLine="567"/>
      <w:spacing w:line="480" w:lineRule="atLeast"/>
    </w:pPr>
    <w:rPr>
      <w:rFonts w:ascii="Ari" w:eastAsia="Ari"/>
      <w:sz w:val="28"/>
      <w:szCs w:val="20"/>
    </w:rPr>
  </w:style>
  <w:style w:type="paragraph" w:styleId="1085">
    <w:name w:val="txt"/>
    <w:basedOn w:val="756"/>
    <w:next w:val="1085"/>
    <w:link w:val="756"/>
    <w:qFormat/>
    <w:pPr>
      <w:jc w:val="left"/>
      <w:spacing w:before="100" w:beforeAutospacing="1" w:after="100" w:afterAutospacing="1"/>
      <w:widowControl/>
    </w:pPr>
    <w:rPr>
      <w:rFonts w:ascii="宋体" w:hAnsi="宋体" w:cs="宋体"/>
      <w:sz w:val="24"/>
    </w:rPr>
  </w:style>
  <w:style w:type="paragraph" w:styleId="1086">
    <w:name w:val="目录 4_0"/>
    <w:basedOn w:val="999"/>
    <w:next w:val="999"/>
    <w:link w:val="756"/>
    <w:uiPriority w:val="39"/>
    <w:qFormat/>
    <w:pPr>
      <w:ind w:left="1260"/>
    </w:pPr>
    <w:rPr>
      <w:rFonts w:ascii="Calibri" w:hAnsi="Calibri"/>
    </w:rPr>
  </w:style>
  <w:style w:type="paragraph" w:styleId="1087">
    <w:name w:val="目录 3_0"/>
    <w:basedOn w:val="999"/>
    <w:next w:val="999"/>
    <w:link w:val="756"/>
    <w:uiPriority w:val="39"/>
    <w:qFormat/>
    <w:pPr>
      <w:ind w:left="840"/>
    </w:pPr>
    <w:rPr>
      <w:rFonts w:ascii="Calibri" w:hAnsi="Calibri"/>
    </w:rPr>
  </w:style>
  <w:style w:type="paragraph" w:styleId="1088">
    <w:name w:val="样式 标题 1 + 黑体 三号 非加粗 居中 段前: 6 磅 段后: 6 磅 行距: 固定值 20 磅"/>
    <w:basedOn w:val="757"/>
    <w:next w:val="1088"/>
    <w:link w:val="756"/>
    <w:qFormat/>
    <w:pPr>
      <w:numPr>
        <w:ilvl w:val="0"/>
        <w:numId w:val="0"/>
      </w:numPr>
      <w:spacing w:before="120" w:after="120" w:line="400" w:lineRule="exact"/>
    </w:pPr>
    <w:rPr>
      <w:rFonts w:ascii="黑体" w:hAnsi="黑体" w:eastAsia="黑体"/>
      <w:b w:val="0"/>
      <w:bCs w:val="0"/>
      <w:szCs w:val="20"/>
    </w:rPr>
  </w:style>
  <w:style w:type="paragraph" w:styleId="1089">
    <w:name w:val="1"/>
    <w:basedOn w:val="756"/>
    <w:next w:val="756"/>
    <w:link w:val="756"/>
    <w:qFormat/>
    <w:rPr>
      <w:rFonts w:ascii="Calibri" w:hAnsi="Calibri"/>
      <w:szCs w:val="22"/>
    </w:rPr>
  </w:style>
  <w:style w:type="paragraph" w:styleId="1090">
    <w:name w:val="Blockquote_0"/>
    <w:basedOn w:val="999"/>
    <w:next w:val="1090"/>
    <w:link w:val="756"/>
    <w:qFormat/>
    <w:pPr>
      <w:ind w:left="360" w:right="360"/>
      <w:jc w:val="left"/>
      <w:spacing w:before="100" w:after="100"/>
    </w:pPr>
    <w:rPr>
      <w:rFonts w:ascii="Calibri" w:hAnsi="Calibri" w:eastAsia="Times New Roman"/>
      <w:sz w:val="24"/>
      <w:szCs w:val="20"/>
    </w:rPr>
  </w:style>
  <w:style w:type="paragraph" w:styleId="1091">
    <w:name w:val="列出段落11"/>
    <w:basedOn w:val="756"/>
    <w:next w:val="1091"/>
    <w:link w:val="756"/>
    <w:qFormat/>
    <w:pPr>
      <w:contextualSpacing/>
      <w:ind w:left="720"/>
      <w:jc w:val="left"/>
      <w:widowControl/>
    </w:pPr>
    <w:rPr>
      <w:rFonts w:ascii="Arial" w:hAnsi="Arial" w:eastAsia="黑体"/>
      <w:sz w:val="24"/>
      <w:lang w:eastAsia="en-US"/>
    </w:rPr>
  </w:style>
  <w:style w:type="paragraph" w:styleId="1092">
    <w:name w:val="样式 标题 2 + Times New Roman 四号 非加粗 段前: 5 磅 段后: 0 磅 行距: 固定值 20..._0"/>
    <w:basedOn w:val="756"/>
    <w:next w:val="1092"/>
    <w:link w:val="756"/>
    <w:qFormat/>
    <w:pPr>
      <w:keepLines/>
      <w:keepNext/>
      <w:spacing w:before="100" w:line="360" w:lineRule="auto"/>
      <w:outlineLvl w:val="1"/>
    </w:pPr>
    <w:rPr>
      <w:rFonts w:eastAsia="Times New Roman" w:cs="宋体"/>
      <w:sz w:val="28"/>
      <w:szCs w:val="20"/>
    </w:rPr>
  </w:style>
  <w:style w:type="paragraph" w:styleId="1093">
    <w:name w:val="op_mapdots_left"/>
    <w:basedOn w:val="756"/>
    <w:next w:val="1093"/>
    <w:link w:val="756"/>
    <w:qFormat/>
    <w:pPr>
      <w:jc w:val="left"/>
      <w:spacing w:before="100" w:beforeAutospacing="1" w:after="100" w:afterAutospacing="1"/>
      <w:widowControl/>
    </w:pPr>
    <w:rPr>
      <w:rFonts w:ascii="宋体" w:hAnsi="宋体" w:cs="宋体"/>
      <w:sz w:val="24"/>
    </w:rPr>
  </w:style>
  <w:style w:type="paragraph" w:styleId="1094">
    <w:name w:val="p0"/>
    <w:basedOn w:val="756"/>
    <w:next w:val="1094"/>
    <w:link w:val="756"/>
    <w:qFormat/>
    <w:pPr>
      <w:widowControl/>
    </w:pPr>
    <w:rPr>
      <w:b/>
      <w:bCs/>
      <w:sz w:val="24"/>
    </w:rPr>
  </w:style>
  <w:style w:type="paragraph" w:styleId="1095">
    <w:name w:val="Blockquote"/>
    <w:basedOn w:val="756"/>
    <w:next w:val="1095"/>
    <w:link w:val="756"/>
    <w:qFormat/>
    <w:pPr>
      <w:ind w:left="360" w:right="360"/>
      <w:jc w:val="left"/>
      <w:spacing w:before="100" w:after="100"/>
    </w:pPr>
    <w:rPr>
      <w:rFonts w:ascii="Calibri" w:hAnsi="Calibri"/>
      <w:sz w:val="24"/>
      <w:szCs w:val="22"/>
    </w:rPr>
  </w:style>
  <w:style w:type="paragraph" w:styleId="1096">
    <w:name w:val="3方案格式3"/>
    <w:basedOn w:val="1082"/>
    <w:next w:val="1096"/>
    <w:link w:val="756"/>
    <w:qFormat/>
    <w:pPr>
      <w:numPr>
        <w:ilvl w:val="2"/>
      </w:numPr>
      <w:tabs>
        <w:tab w:val="left" w:pos="360" w:leader="none"/>
      </w:tabs>
      <w:outlineLvl w:val="2"/>
    </w:pPr>
    <w:rPr>
      <w:sz w:val="32"/>
    </w:rPr>
  </w:style>
  <w:style w:type="paragraph" w:styleId="1097">
    <w:name w:val="样式 标题 2 + Times New Roman 四号 非加粗 段前: 5 磅 段后: 0 磅 行距: 固定值 20..."/>
    <w:basedOn w:val="758"/>
    <w:next w:val="1097"/>
    <w:link w:val="756"/>
    <w:qFormat/>
    <w:pPr>
      <w:numPr>
        <w:ilvl w:val="0"/>
        <w:numId w:val="0"/>
      </w:numPr>
      <w:spacing w:before="100" w:after="0" w:line="400" w:lineRule="exact"/>
    </w:pPr>
    <w:rPr>
      <w:rFonts w:ascii="Times New Roman" w:hAnsi="Times New Roman" w:eastAsia="黑体"/>
      <w:b w:val="0"/>
      <w:bCs w:val="0"/>
      <w:sz w:val="28"/>
      <w:szCs w:val="20"/>
    </w:rPr>
  </w:style>
  <w:style w:type="paragraph" w:styleId="1098">
    <w:name w:val="标题2"/>
    <w:basedOn w:val="758"/>
    <w:next w:val="787"/>
    <w:link w:val="756"/>
    <w:qFormat/>
    <w:pPr>
      <w:spacing w:before="156" w:after="156" w:line="360" w:lineRule="auto"/>
    </w:pPr>
    <w:rPr>
      <w:bCs w:val="0"/>
      <w:sz w:val="24"/>
    </w:rPr>
  </w:style>
  <w:style w:type="paragraph" w:styleId="1099">
    <w:name w:val="普通正文"/>
    <w:basedOn w:val="756"/>
    <w:next w:val="1099"/>
    <w:link w:val="756"/>
    <w:qFormat/>
    <w:pPr>
      <w:ind w:firstLine="480"/>
      <w:jc w:val="left"/>
      <w:spacing w:before="120" w:after="120" w:line="360" w:lineRule="auto"/>
    </w:pPr>
    <w:rPr>
      <w:rFonts w:ascii="Arial" w:hAnsi="Arial"/>
      <w:sz w:val="24"/>
    </w:rPr>
  </w:style>
  <w:style w:type="paragraph" w:styleId="1100">
    <w:name w:val="正文11"/>
    <w:next w:val="1100"/>
    <w:link w:val="756"/>
    <w:qFormat/>
    <w:rPr>
      <w:rFonts w:ascii="Calibri" w:hAnsi="Calibri" w:cs="Calibri"/>
      <w:sz w:val="24"/>
      <w:szCs w:val="24"/>
      <w:lang w:val="en-US" w:eastAsia="zh-CN" w:bidi="ar-SA"/>
    </w:rPr>
  </w:style>
  <w:style w:type="paragraph" w:styleId="1101">
    <w:name w:val="正文2"/>
    <w:next w:val="1101"/>
    <w:link w:val="756"/>
    <w:qFormat/>
    <w:rPr>
      <w:rFonts w:eastAsia="微软雅黑"/>
      <w:sz w:val="24"/>
      <w:szCs w:val="24"/>
      <w:lang w:val="en-US" w:eastAsia="zh-CN" w:bidi="ar-SA"/>
    </w:rPr>
  </w:style>
  <w:style w:type="paragraph" w:styleId="1102">
    <w:name w:val="列出段落3"/>
    <w:basedOn w:val="756"/>
    <w:next w:val="1102"/>
    <w:link w:val="756"/>
    <w:uiPriority w:val="34"/>
    <w:qFormat/>
    <w:pPr>
      <w:ind w:firstLine="420"/>
      <w:jc w:val="left"/>
      <w:spacing w:after="200"/>
      <w:widowControl/>
    </w:pPr>
    <w:rPr>
      <w:rFonts w:ascii="Tahoma" w:hAnsi="Tahoma" w:eastAsia="微软雅黑"/>
      <w:sz w:val="22"/>
      <w:szCs w:val="22"/>
    </w:rPr>
  </w:style>
  <w:style w:type="paragraph" w:styleId="1103">
    <w:name w:val="纯文本2"/>
    <w:basedOn w:val="756"/>
    <w:next w:val="1103"/>
    <w:link w:val="756"/>
    <w:qFormat/>
    <w:pPr>
      <w:jc w:val="left"/>
    </w:pPr>
    <w:rPr>
      <w:rFonts w:hint="eastAsia" w:ascii="宋体" w:hAnsi="宋体" w:cs="Courier New"/>
      <w:sz w:val="24"/>
      <w:szCs w:val="20"/>
      <w:lang w:bidi="hi-IN"/>
    </w:rPr>
  </w:style>
  <w:style w:type="paragraph" w:styleId="1104">
    <w:name w:val="trs_editor"/>
    <w:basedOn w:val="756"/>
    <w:next w:val="1104"/>
    <w:link w:val="756"/>
    <w:qFormat/>
    <w:pPr>
      <w:jc w:val="left"/>
      <w:spacing w:before="100" w:beforeAutospacing="1" w:after="100" w:afterAutospacing="1"/>
      <w:widowControl/>
    </w:pPr>
    <w:rPr>
      <w:rFonts w:ascii="宋体" w:hAnsi="宋体" w:cs="宋体"/>
      <w:sz w:val="24"/>
    </w:rPr>
  </w:style>
  <w:style w:type="paragraph" w:styleId="1105">
    <w:name w:val="标题二级"/>
    <w:basedOn w:val="756"/>
    <w:next w:val="1105"/>
    <w:link w:val="756"/>
    <w:qFormat/>
    <w:pPr>
      <w:ind w:firstLine="412"/>
    </w:pPr>
    <w:rPr>
      <w:rFonts w:ascii="宋体" w:hAnsi="宋体"/>
      <w:szCs w:val="21"/>
    </w:rPr>
  </w:style>
  <w:style w:type="paragraph" w:styleId="1106">
    <w:name w:val="修订2"/>
    <w:next w:val="1106"/>
    <w:link w:val="756"/>
    <w:uiPriority w:val="99"/>
    <w:semiHidden/>
    <w:qFormat/>
    <w:rPr>
      <w:sz w:val="21"/>
      <w:szCs w:val="24"/>
      <w:lang w:val="en-US" w:eastAsia="zh-CN" w:bidi="ar-SA"/>
    </w:rPr>
  </w:style>
  <w:style w:type="paragraph" w:styleId="1107">
    <w:name w:val="修订3"/>
    <w:next w:val="1107"/>
    <w:link w:val="756"/>
    <w:uiPriority w:val="99"/>
    <w:semiHidden/>
    <w:qFormat/>
    <w:rPr>
      <w:sz w:val="21"/>
      <w:szCs w:val="24"/>
      <w:lang w:val="en-US" w:eastAsia="zh-CN" w:bidi="ar-SA"/>
    </w:rPr>
  </w:style>
  <w:style w:type="character" w:styleId="1108">
    <w:name w:val="无"/>
    <w:next w:val="1108"/>
    <w:link w:val="756"/>
    <w:qFormat/>
  </w:style>
  <w:style w:type="paragraph" w:styleId="1109">
    <w:name w:val="Heading #2|1"/>
    <w:basedOn w:val="756"/>
    <w:next w:val="1109"/>
    <w:link w:val="756"/>
    <w:qFormat/>
    <w:pPr>
      <w:ind w:firstLine="310"/>
      <w:jc w:val="center"/>
      <w:spacing w:after="720" w:line="648" w:lineRule="exact"/>
      <w:outlineLvl w:val="1"/>
    </w:pPr>
    <w:rPr>
      <w:rFonts w:ascii="宋体" w:hAnsi="宋体" w:cs="宋体"/>
      <w:sz w:val="42"/>
      <w:szCs w:val="42"/>
      <w:lang w:val="zh-TW" w:eastAsia="zh-TW" w:bidi="zh-TW"/>
    </w:rPr>
  </w:style>
  <w:style w:type="paragraph" w:styleId="1110">
    <w:name w:val="Body text|1"/>
    <w:basedOn w:val="756"/>
    <w:next w:val="1110"/>
    <w:link w:val="756"/>
    <w:qFormat/>
    <w:pPr>
      <w:ind w:firstLine="400"/>
      <w:spacing w:line="401" w:lineRule="auto"/>
    </w:pPr>
    <w:rPr>
      <w:rFonts w:ascii="宋体" w:hAnsi="宋体" w:cs="宋体"/>
      <w:sz w:val="30"/>
      <w:szCs w:val="30"/>
      <w:lang w:val="zh-TW" w:eastAsia="zh-TW" w:bidi="zh-TW"/>
    </w:rPr>
  </w:style>
  <w:style w:type="paragraph" w:styleId="1111">
    <w:name w:val="_Style 1931"/>
    <w:basedOn w:val="756"/>
    <w:next w:val="991"/>
    <w:link w:val="756"/>
    <w:uiPriority w:val="34"/>
    <w:qFormat/>
    <w:pPr>
      <w:ind w:firstLine="420"/>
    </w:pPr>
  </w:style>
  <w:style w:type="paragraph" w:styleId="1112">
    <w:name w:val="段落"/>
    <w:basedOn w:val="756"/>
    <w:next w:val="1112"/>
    <w:link w:val="756"/>
    <w:qFormat/>
    <w:pPr>
      <w:ind w:firstLine="480"/>
      <w:spacing w:line="460" w:lineRule="exact"/>
    </w:pPr>
    <w:rPr>
      <w:rFonts w:ascii="Calibri" w:hAnsi="Calibri"/>
      <w:sz w:val="24"/>
      <w:szCs w:val="20"/>
    </w:rPr>
  </w:style>
  <w:style w:type="paragraph" w:styleId="1113">
    <w:name w:val="首行缩进"/>
    <w:basedOn w:val="756"/>
    <w:next w:val="1113"/>
    <w:link w:val="756"/>
    <w:qFormat/>
    <w:pPr>
      <w:ind w:firstLine="480"/>
      <w:spacing w:line="360" w:lineRule="auto"/>
    </w:pPr>
    <w:rPr>
      <w:rFonts w:ascii="宋体" w:hAnsi="宋体" w:cs="宋体"/>
      <w:sz w:val="24"/>
    </w:rPr>
  </w:style>
  <w:style w:type="paragraph" w:styleId="1114">
    <w:name w:val="列出段落4"/>
    <w:basedOn w:val="756"/>
    <w:next w:val="1114"/>
    <w:link w:val="756"/>
    <w:uiPriority w:val="99"/>
    <w:unhideWhenUsed/>
    <w:qFormat/>
    <w:pPr>
      <w:ind w:firstLine="420"/>
      <w:spacing w:line="360" w:lineRule="auto"/>
    </w:pPr>
    <w:rPr>
      <w:rFonts w:ascii="Calibri" w:hAnsi="Calibri" w:eastAsia="仿宋_GB2312"/>
      <w:sz w:val="32"/>
      <w:szCs w:val="22"/>
    </w:rPr>
  </w:style>
  <w:style w:type="paragraph" w:styleId="1115">
    <w:name w:val="修订4"/>
    <w:next w:val="1115"/>
    <w:link w:val="756"/>
    <w:uiPriority w:val="99"/>
    <w:semiHidden/>
    <w:qFormat/>
    <w:rPr>
      <w:sz w:val="21"/>
      <w:szCs w:val="24"/>
      <w:lang w:val="en-US" w:eastAsia="zh-CN" w:bidi="ar-SA"/>
    </w:rPr>
  </w:style>
  <w:style w:type="paragraph" w:styleId="1116">
    <w:name w:val="正文 A"/>
    <w:next w:val="787"/>
    <w:link w:val="756"/>
    <w:qFormat/>
    <w:pPr>
      <w:jc w:val="both"/>
      <w:widowControl w:val="off"/>
    </w:pPr>
    <w:rPr>
      <w:rFonts w:eastAsia="ヒラギノ角ゴ Pro W3"/>
      <w:color w:val="000000"/>
      <w:sz w:val="21"/>
      <w:lang w:val="en-US" w:eastAsia="zh-CN" w:bidi="ar-SA"/>
    </w:rPr>
  </w:style>
  <w:style w:type="paragraph" w:styleId="1117">
    <w:name w:val="无间距"/>
    <w:next w:val="1117"/>
    <w:link w:val="756"/>
    <w:qFormat/>
    <w:pPr>
      <w:jc w:val="both"/>
      <w:widowControl w:val="off"/>
    </w:pPr>
    <w:rPr>
      <w:rFonts w:ascii="Calibri" w:hAnsi="Calibri"/>
      <w:sz w:val="21"/>
      <w:szCs w:val="22"/>
      <w:lang w:val="en-US" w:eastAsia="zh-CN" w:bidi="ar-SA"/>
    </w:rPr>
  </w:style>
  <w:style w:type="paragraph" w:styleId="1118">
    <w:name w:val="*正文"/>
    <w:basedOn w:val="756"/>
    <w:next w:val="1118"/>
    <w:link w:val="756"/>
    <w:qFormat/>
    <w:pPr>
      <w:spacing w:line="360" w:lineRule="auto"/>
      <w:widowControl/>
    </w:pPr>
    <w:rPr>
      <w:rFonts w:ascii="仿宋_GB2312" w:eastAsia="仿宋_GB2312"/>
      <w:sz w:val="24"/>
      <w:szCs w:val="28"/>
    </w:rPr>
  </w:style>
  <w:style w:type="table" w:styleId="1119">
    <w:name w:val="Table Normal"/>
    <w:next w:val="1119"/>
    <w:link w:val="756"/>
    <w:unhideWhenUsed/>
    <w:qFormat/>
    <w:rPr>
      <w:lang w:val="en-US" w:eastAsia="zh-CN" w:bidi="ar-SA"/>
    </w:rPr>
    <w:tblPr/>
  </w:style>
  <w:style w:type="character" w:styleId="1120">
    <w:name w:val="form-textarea-print1"/>
    <w:next w:val="1120"/>
    <w:link w:val="756"/>
    <w:qFormat/>
    <w:rPr>
      <w:rFonts w:ascii="微软雅黑" w:hAnsi="微软雅黑" w:eastAsia="宋体" w:cs="Times New Roman"/>
      <w:sz w:val="18"/>
      <w:szCs w:val="18"/>
    </w:rPr>
  </w:style>
  <w:style w:type="character" w:styleId="1121">
    <w:name w:val="cke_colorbox"/>
    <w:next w:val="1121"/>
    <w:link w:val="756"/>
    <w:qFormat/>
  </w:style>
  <w:style w:type="character" w:styleId="1122">
    <w:name w:val="cke_colorbox1"/>
    <w:next w:val="1122"/>
    <w:link w:val="756"/>
    <w:qFormat/>
  </w:style>
  <w:style w:type="character" w:styleId="1123">
    <w:name w:val="pwdtips_alert"/>
    <w:next w:val="1123"/>
    <w:link w:val="756"/>
    <w:qFormat/>
    <w:rPr>
      <w:shd w:val="clear" w:color="auto" w:fill="ffeaa6"/>
    </w:rPr>
  </w:style>
  <w:style w:type="character" w:styleId="1124">
    <w:name w:val="l-btn-left"/>
    <w:next w:val="1124"/>
    <w:link w:val="756"/>
    <w:qFormat/>
  </w:style>
  <w:style w:type="character" w:styleId="1125">
    <w:name w:val="l-btn-left1"/>
    <w:next w:val="1125"/>
    <w:link w:val="756"/>
    <w:qFormat/>
  </w:style>
  <w:style w:type="character" w:styleId="1126">
    <w:name w:val="l-btn-left2"/>
    <w:next w:val="1126"/>
    <w:link w:val="756"/>
    <w:qFormat/>
  </w:style>
  <w:style w:type="character" w:styleId="1127">
    <w:name w:val="l-btn-left3"/>
    <w:next w:val="1127"/>
    <w:link w:val="756"/>
    <w:qFormat/>
  </w:style>
  <w:style w:type="character" w:styleId="1128">
    <w:name w:val="combo2"/>
    <w:next w:val="1128"/>
    <w:link w:val="756"/>
    <w:qFormat/>
  </w:style>
  <w:style w:type="character" w:styleId="1129">
    <w:name w:val="l-btn-empty"/>
    <w:next w:val="1129"/>
    <w:link w:val="756"/>
    <w:qFormat/>
  </w:style>
  <w:style w:type="character" w:styleId="1130">
    <w:name w:val="red"/>
    <w:next w:val="1130"/>
    <w:link w:val="756"/>
    <w:qFormat/>
    <w:rPr>
      <w:color w:val="ff0000"/>
    </w:rPr>
  </w:style>
  <w:style w:type="character" w:styleId="1131">
    <w:name w:val="l-btn-text"/>
    <w:next w:val="1131"/>
    <w:link w:val="756"/>
    <w:qFormat/>
    <w:rPr>
      <w:color w:val="1864ac"/>
      <w:sz w:val="14"/>
      <w:szCs w:val="14"/>
    </w:rPr>
  </w:style>
  <w:style w:type="character" w:styleId="1132">
    <w:name w:val="l-btn-text1"/>
    <w:next w:val="1132"/>
    <w:link w:val="756"/>
    <w:qFormat/>
  </w:style>
  <w:style w:type="character" w:styleId="1133">
    <w:name w:val="green"/>
    <w:next w:val="1133"/>
    <w:link w:val="756"/>
    <w:qFormat/>
    <w:rPr>
      <w:color w:val="00a521"/>
    </w:rPr>
  </w:style>
  <w:style w:type="character" w:styleId="1134">
    <w:name w:val="valueinfo"/>
    <w:next w:val="1134"/>
    <w:link w:val="756"/>
    <w:qFormat/>
    <w:rPr>
      <w:color w:val="666666"/>
    </w:rPr>
  </w:style>
  <w:style w:type="character" w:styleId="1135">
    <w:name w:val="tree-file2"/>
    <w:next w:val="1135"/>
    <w:link w:val="756"/>
    <w:qFormat/>
  </w:style>
  <w:style w:type="character" w:styleId="1136">
    <w:name w:val="vainfo"/>
    <w:next w:val="1136"/>
    <w:link w:val="756"/>
    <w:qFormat/>
    <w:rPr>
      <w:color w:val="ff0000"/>
      <w:shd w:val="clear" w:color="auto" w:fill="ffe4e4"/>
    </w:rPr>
  </w:style>
  <w:style w:type="character" w:styleId="1137">
    <w:name w:val="pwdtips_ok"/>
    <w:next w:val="1137"/>
    <w:link w:val="756"/>
    <w:qFormat/>
    <w:rPr>
      <w:shd w:val="clear" w:color="auto" w:fill="b4ffa6"/>
    </w:rPr>
  </w:style>
  <w:style w:type="character" w:styleId="1138">
    <w:name w:val="pwdtips_error"/>
    <w:next w:val="1138"/>
    <w:link w:val="756"/>
    <w:qFormat/>
    <w:rPr>
      <w:shd w:val="clear" w:color="auto" w:fill="ffa6a6"/>
    </w:rPr>
  </w:style>
  <w:style w:type="character" w:styleId="1139">
    <w:name w:val="tree-title4"/>
    <w:next w:val="1139"/>
    <w:link w:val="756"/>
    <w:qFormat/>
    <w:rPr>
      <w:color w:val="1864ac"/>
    </w:rPr>
  </w:style>
  <w:style w:type="character" w:styleId="1140">
    <w:name w:val="tree-title5"/>
    <w:next w:val="1140"/>
    <w:link w:val="756"/>
    <w:qFormat/>
    <w:rPr>
      <w:color w:val="ffffff"/>
      <w:shd w:val="clear" w:color="auto" w:fill="3366cc"/>
    </w:rPr>
  </w:style>
  <w:style w:type="character" w:styleId="1141">
    <w:name w:val="info"/>
    <w:next w:val="1141"/>
    <w:link w:val="756"/>
    <w:qFormat/>
  </w:style>
  <w:style w:type="character" w:styleId="1142">
    <w:name w:val="topic"/>
    <w:next w:val="1142"/>
    <w:link w:val="756"/>
    <w:qFormat/>
    <w:rPr>
      <w:color w:val="ff0000"/>
    </w:rPr>
  </w:style>
  <w:style w:type="paragraph" w:styleId="1143">
    <w:name w:val="_Style 213"/>
    <w:basedOn w:val="756"/>
    <w:next w:val="991"/>
    <w:link w:val="756"/>
    <w:uiPriority w:val="34"/>
    <w:qFormat/>
    <w:pPr>
      <w:ind w:firstLine="420"/>
      <w:jc w:val="left"/>
      <w:spacing w:line="360" w:lineRule="atLeast"/>
    </w:pPr>
    <w:rPr>
      <w:rFonts w:ascii="Arial" w:hAnsi="Arial"/>
      <w:sz w:val="24"/>
    </w:rPr>
  </w:style>
  <w:style w:type="paragraph" w:styleId="1144">
    <w:name w:val="修订5"/>
    <w:next w:val="1144"/>
    <w:link w:val="756"/>
    <w:uiPriority w:val="99"/>
    <w:semiHidden/>
    <w:qFormat/>
    <w:rPr>
      <w:sz w:val="21"/>
      <w:szCs w:val="24"/>
      <w:lang w:val="en-US" w:eastAsia="zh-CN" w:bidi="ar-SA"/>
    </w:rPr>
  </w:style>
  <w:style w:type="paragraph" w:styleId="1145">
    <w:name w:val="修订6"/>
    <w:next w:val="1145"/>
    <w:link w:val="756"/>
    <w:uiPriority w:val="99"/>
    <w:semiHidden/>
    <w:qFormat/>
    <w:rPr>
      <w:sz w:val="21"/>
      <w:szCs w:val="24"/>
      <w:lang w:val="en-US" w:eastAsia="zh-CN" w:bidi="ar-SA"/>
    </w:rPr>
  </w:style>
  <w:style w:type="character" w:styleId="1146">
    <w:name w:val="NormalCharacter1"/>
    <w:next w:val="1146"/>
    <w:link w:val="756"/>
    <w:semiHidden/>
    <w:qFormat/>
    <w:rPr>
      <w:rFonts w:ascii="Calibri" w:hAnsi="Calibri" w:eastAsia="宋体"/>
      <w:sz w:val="21"/>
      <w:szCs w:val="24"/>
      <w:lang w:val="en-US" w:eastAsia="zh-CN" w:bidi="ar-SA"/>
    </w:rPr>
  </w:style>
  <w:style w:type="paragraph" w:styleId="1147">
    <w:name w:val="无间隔"/>
    <w:next w:val="1147"/>
    <w:link w:val="756"/>
    <w:uiPriority w:val="1"/>
    <w:qFormat/>
    <w:pPr>
      <w:jc w:val="both"/>
      <w:widowControl w:val="off"/>
    </w:pPr>
    <w:rPr>
      <w:sz w:val="21"/>
      <w:lang w:val="en-US" w:eastAsia="zh-CN" w:bidi="ar-SA"/>
    </w:rPr>
  </w:style>
  <w:style w:type="paragraph" w:styleId="1148">
    <w:name w:val="列表段落2"/>
    <w:basedOn w:val="756"/>
    <w:next w:val="1148"/>
    <w:link w:val="756"/>
    <w:qFormat/>
    <w:pPr>
      <w:ind w:firstLine="420"/>
    </w:pPr>
    <w:rPr>
      <w:szCs w:val="21"/>
    </w:rPr>
  </w:style>
  <w:style w:type="paragraph" w:styleId="1149">
    <w:name w:val="正文_9_0"/>
    <w:basedOn w:val="756"/>
    <w:next w:val="1149"/>
    <w:link w:val="756"/>
    <w:qFormat/>
    <w:rPr>
      <w:szCs w:val="21"/>
    </w:rPr>
  </w:style>
  <w:style w:type="paragraph" w:styleId="1150">
    <w:name w:val="p15"/>
    <w:basedOn w:val="756"/>
    <w:next w:val="1150"/>
    <w:link w:val="756"/>
    <w:qFormat/>
    <w:pPr>
      <w:jc w:val="left"/>
      <w:widowControl/>
    </w:pPr>
    <w:rPr>
      <w:rFonts w:ascii="黑体" w:hAnsi="黑体" w:eastAsia="黑体" w:cs="宋体"/>
      <w:color w:val="000000"/>
      <w:sz w:val="24"/>
    </w:rPr>
  </w:style>
  <w:style w:type="paragraph" w:styleId="1151">
    <w:name w:val="Table Text"/>
    <w:basedOn w:val="756"/>
    <w:next w:val="1151"/>
    <w:link w:val="756"/>
    <w:semiHidden/>
    <w:qFormat/>
    <w:rPr>
      <w:rFonts w:ascii="宋体" w:hAnsi="宋体" w:cs="宋体"/>
      <w:szCs w:val="21"/>
      <w:lang w:eastAsia="en-US"/>
    </w:rPr>
  </w:style>
  <w:style w:type="paragraph" w:styleId="1152">
    <w:name w:val="TOC 71"/>
    <w:next w:val="756"/>
    <w:link w:val="756"/>
    <w:qFormat/>
    <w:pPr>
      <w:ind w:left="2550"/>
      <w:jc w:val="both"/>
    </w:pPr>
    <w:rPr>
      <w:sz w:val="21"/>
      <w:szCs w:val="22"/>
      <w:lang w:val="en-US" w:eastAsia="zh-CN" w:bidi="ar-SA"/>
    </w:rPr>
  </w:style>
  <w:style w:type="character" w:styleId="1153">
    <w:name w:val="font121"/>
    <w:next w:val="1153"/>
    <w:link w:val="756"/>
    <w:qFormat/>
    <w:rPr>
      <w:rFonts w:hint="eastAsia" w:ascii="宋体" w:hAnsi="宋体" w:eastAsia="宋体" w:cs="宋体"/>
      <w:color w:val="000000"/>
      <w:sz w:val="20"/>
      <w:szCs w:val="20"/>
      <w:u w:val="none"/>
    </w:rPr>
  </w:style>
  <w:style w:type="character" w:styleId="1154">
    <w:name w:val="font41"/>
    <w:next w:val="1154"/>
    <w:link w:val="756"/>
    <w:qFormat/>
    <w:rPr>
      <w:rFonts w:hint="eastAsia" w:ascii="宋体" w:hAnsi="宋体" w:eastAsia="宋体" w:cs="宋体"/>
      <w:color w:val="000000"/>
      <w:sz w:val="20"/>
      <w:szCs w:val="20"/>
      <w:u w:val="none"/>
    </w:rPr>
  </w:style>
  <w:style w:type="character" w:styleId="1155">
    <w:name w:val="font91"/>
    <w:next w:val="1155"/>
    <w:link w:val="756"/>
    <w:qFormat/>
    <w:rPr>
      <w:rFonts w:ascii="Times New Roman" w:hAnsi="Times New Roman" w:cs="Times New Roman"/>
      <w:color w:val="000000"/>
      <w:sz w:val="18"/>
      <w:szCs w:val="18"/>
      <w:u w:val="none"/>
    </w:rPr>
  </w:style>
  <w:style w:type="character" w:styleId="1156">
    <w:name w:val="font141"/>
    <w:next w:val="1156"/>
    <w:link w:val="756"/>
    <w:qFormat/>
    <w:rPr>
      <w:rFonts w:hint="eastAsia" w:ascii="宋体" w:hAnsi="宋体" w:eastAsia="宋体" w:cs="宋体"/>
      <w:color w:val="000000"/>
      <w:sz w:val="18"/>
      <w:szCs w:val="18"/>
      <w:u w:val="none"/>
    </w:rPr>
  </w:style>
  <w:style w:type="character" w:styleId="1157">
    <w:name w:val="font51"/>
    <w:next w:val="1157"/>
    <w:link w:val="756"/>
    <w:qFormat/>
    <w:rPr>
      <w:rFonts w:ascii="Times New Roman" w:hAnsi="Times New Roman" w:cs="Times New Roman"/>
      <w:color w:val="000000"/>
      <w:sz w:val="21"/>
      <w:szCs w:val="21"/>
      <w:u w:val="none"/>
    </w:rPr>
  </w:style>
  <w:style w:type="paragraph" w:styleId="1158">
    <w:name w:val="msonormal"/>
    <w:basedOn w:val="756"/>
    <w:next w:val="1158"/>
    <w:link w:val="756"/>
    <w:qFormat/>
    <w:pPr>
      <w:jc w:val="left"/>
      <w:spacing w:before="100" w:beforeAutospacing="1" w:after="100" w:afterAutospacing="1"/>
      <w:widowControl/>
    </w:pPr>
    <w:rPr>
      <w:rFonts w:ascii="宋体" w:hAnsi="宋体" w:cs="宋体"/>
      <w:sz w:val="24"/>
    </w:rPr>
  </w:style>
  <w:style w:type="paragraph" w:styleId="1159">
    <w:name w:val="font5"/>
    <w:basedOn w:val="756"/>
    <w:next w:val="1159"/>
    <w:link w:val="756"/>
    <w:qFormat/>
    <w:pPr>
      <w:jc w:val="left"/>
      <w:spacing w:before="100" w:beforeAutospacing="1" w:after="100" w:afterAutospacing="1"/>
      <w:widowControl/>
    </w:pPr>
    <w:rPr>
      <w:rFonts w:ascii="宋体" w:hAnsi="宋体" w:cs="宋体"/>
      <w:color w:val="000000"/>
      <w:sz w:val="20"/>
      <w:szCs w:val="20"/>
    </w:rPr>
  </w:style>
  <w:style w:type="paragraph" w:styleId="1160">
    <w:name w:val="font6"/>
    <w:basedOn w:val="756"/>
    <w:next w:val="1160"/>
    <w:link w:val="756"/>
    <w:qFormat/>
    <w:pPr>
      <w:jc w:val="left"/>
      <w:spacing w:before="100" w:beforeAutospacing="1" w:after="100" w:afterAutospacing="1"/>
      <w:widowControl/>
    </w:pPr>
    <w:rPr>
      <w:rFonts w:ascii="宋体" w:hAnsi="宋体" w:cs="宋体"/>
      <w:color w:val="000000"/>
      <w:sz w:val="20"/>
      <w:szCs w:val="20"/>
    </w:rPr>
  </w:style>
  <w:style w:type="paragraph" w:styleId="1161">
    <w:name w:val="font7"/>
    <w:basedOn w:val="756"/>
    <w:next w:val="1161"/>
    <w:link w:val="756"/>
    <w:qFormat/>
    <w:pPr>
      <w:jc w:val="left"/>
      <w:spacing w:before="100" w:beforeAutospacing="1" w:after="100" w:afterAutospacing="1"/>
      <w:widowControl/>
    </w:pPr>
    <w:rPr>
      <w:rFonts w:ascii="宋体" w:hAnsi="宋体" w:cs="宋体"/>
      <w:color w:val="000000"/>
      <w:sz w:val="20"/>
      <w:szCs w:val="20"/>
    </w:rPr>
  </w:style>
  <w:style w:type="paragraph" w:styleId="1162">
    <w:name w:val="font8"/>
    <w:basedOn w:val="756"/>
    <w:next w:val="1162"/>
    <w:link w:val="756"/>
    <w:qFormat/>
    <w:pPr>
      <w:jc w:val="left"/>
      <w:spacing w:before="100" w:beforeAutospacing="1" w:after="100" w:afterAutospacing="1"/>
      <w:widowControl/>
    </w:pPr>
    <w:rPr>
      <w:rFonts w:ascii="宋体" w:hAnsi="宋体" w:cs="宋体"/>
      <w:sz w:val="18"/>
      <w:szCs w:val="18"/>
    </w:rPr>
  </w:style>
  <w:style w:type="paragraph" w:styleId="1163">
    <w:name w:val="font9"/>
    <w:basedOn w:val="756"/>
    <w:next w:val="1163"/>
    <w:link w:val="756"/>
    <w:pPr>
      <w:jc w:val="left"/>
      <w:spacing w:before="100" w:beforeAutospacing="1" w:after="100" w:afterAutospacing="1"/>
      <w:widowControl/>
    </w:pPr>
    <w:rPr>
      <w:rFonts w:ascii="宋体" w:hAnsi="宋体" w:cs="宋体"/>
      <w:color w:val="000000"/>
      <w:sz w:val="20"/>
      <w:szCs w:val="20"/>
    </w:rPr>
  </w:style>
  <w:style w:type="paragraph" w:styleId="1164">
    <w:name w:val="font10"/>
    <w:basedOn w:val="756"/>
    <w:next w:val="1164"/>
    <w:link w:val="756"/>
    <w:qFormat/>
    <w:pPr>
      <w:jc w:val="left"/>
      <w:spacing w:before="100" w:beforeAutospacing="1" w:after="100" w:afterAutospacing="1"/>
      <w:widowControl/>
    </w:pPr>
    <w:rPr>
      <w:rFonts w:ascii="宋体" w:hAnsi="宋体" w:cs="宋体"/>
      <w:color w:val="000000"/>
      <w:sz w:val="20"/>
      <w:szCs w:val="20"/>
    </w:rPr>
  </w:style>
  <w:style w:type="paragraph" w:styleId="1165">
    <w:name w:val="font12"/>
    <w:basedOn w:val="756"/>
    <w:next w:val="1165"/>
    <w:link w:val="756"/>
    <w:qFormat/>
    <w:pPr>
      <w:jc w:val="left"/>
      <w:spacing w:before="100" w:beforeAutospacing="1" w:after="100" w:afterAutospacing="1"/>
      <w:widowControl/>
    </w:pPr>
    <w:rPr>
      <w:rFonts w:ascii="宋体" w:hAnsi="宋体" w:cs="宋体"/>
      <w:sz w:val="18"/>
      <w:szCs w:val="18"/>
    </w:rPr>
  </w:style>
  <w:style w:type="paragraph" w:styleId="1166">
    <w:name w:val="font13"/>
    <w:basedOn w:val="756"/>
    <w:next w:val="1166"/>
    <w:link w:val="756"/>
    <w:qFormat/>
    <w:pPr>
      <w:jc w:val="left"/>
      <w:spacing w:before="100" w:beforeAutospacing="1" w:after="100" w:afterAutospacing="1"/>
      <w:widowControl/>
    </w:pPr>
    <w:rPr>
      <w:rFonts w:ascii="Calibri" w:hAnsi="Calibri" w:cs="Calibri"/>
      <w:color w:val="000000"/>
      <w:sz w:val="20"/>
      <w:szCs w:val="20"/>
    </w:rPr>
  </w:style>
  <w:style w:type="paragraph" w:styleId="1167">
    <w:name w:val="font14"/>
    <w:basedOn w:val="756"/>
    <w:next w:val="1167"/>
    <w:link w:val="756"/>
    <w:qFormat/>
    <w:pPr>
      <w:jc w:val="left"/>
      <w:spacing w:before="100" w:beforeAutospacing="1" w:after="100" w:afterAutospacing="1"/>
      <w:widowControl/>
    </w:pPr>
    <w:rPr>
      <w:rFonts w:ascii="Calibri" w:hAnsi="Calibri" w:cs="Calibri"/>
      <w:color w:val="000000"/>
      <w:sz w:val="20"/>
      <w:szCs w:val="20"/>
    </w:rPr>
  </w:style>
  <w:style w:type="paragraph" w:styleId="1168">
    <w:name w:val="font15"/>
    <w:basedOn w:val="756"/>
    <w:next w:val="1168"/>
    <w:link w:val="756"/>
    <w:pPr>
      <w:jc w:val="left"/>
      <w:spacing w:before="100" w:beforeAutospacing="1" w:after="100" w:afterAutospacing="1"/>
      <w:widowControl/>
    </w:pPr>
    <w:rPr>
      <w:rFonts w:ascii="Calibri" w:hAnsi="Calibri" w:cs="Calibri"/>
      <w:color w:val="000000"/>
      <w:sz w:val="20"/>
      <w:szCs w:val="20"/>
    </w:rPr>
  </w:style>
  <w:style w:type="paragraph" w:styleId="1169">
    <w:name w:val="font16"/>
    <w:basedOn w:val="756"/>
    <w:next w:val="1169"/>
    <w:link w:val="756"/>
    <w:pPr>
      <w:jc w:val="left"/>
      <w:spacing w:before="100" w:beforeAutospacing="1" w:after="100" w:afterAutospacing="1"/>
      <w:widowControl/>
    </w:pPr>
    <w:rPr>
      <w:rFonts w:ascii="Calibri" w:hAnsi="Calibri" w:cs="Calibri"/>
      <w:color w:val="000000"/>
      <w:sz w:val="20"/>
      <w:szCs w:val="20"/>
    </w:rPr>
  </w:style>
  <w:style w:type="paragraph" w:styleId="1170">
    <w:name w:val="font17"/>
    <w:basedOn w:val="756"/>
    <w:next w:val="1170"/>
    <w:link w:val="756"/>
    <w:qFormat/>
    <w:pPr>
      <w:jc w:val="left"/>
      <w:spacing w:before="100" w:beforeAutospacing="1" w:after="100" w:afterAutospacing="1"/>
      <w:widowControl/>
    </w:pPr>
    <w:rPr>
      <w:rFonts w:ascii="宋体" w:hAnsi="宋体" w:cs="宋体"/>
      <w:color w:val="000000"/>
      <w:sz w:val="20"/>
      <w:szCs w:val="20"/>
    </w:rPr>
  </w:style>
  <w:style w:type="paragraph" w:styleId="1171">
    <w:name w:val="font18"/>
    <w:basedOn w:val="756"/>
    <w:next w:val="1171"/>
    <w:link w:val="756"/>
    <w:qFormat/>
    <w:pPr>
      <w:jc w:val="left"/>
      <w:spacing w:before="100" w:beforeAutospacing="1" w:after="100" w:afterAutospacing="1"/>
      <w:widowControl/>
    </w:pPr>
    <w:rPr>
      <w:rFonts w:ascii="宋体" w:hAnsi="宋体" w:cs="宋体"/>
      <w:color w:val="000000"/>
      <w:sz w:val="20"/>
      <w:szCs w:val="20"/>
    </w:rPr>
  </w:style>
  <w:style w:type="paragraph" w:styleId="1172">
    <w:name w:val="xl65"/>
    <w:basedOn w:val="756"/>
    <w:next w:val="1172"/>
    <w:link w:val="756"/>
    <w:qFormat/>
    <w:pPr>
      <w:jc w:val="center"/>
      <w:spacing w:before="100" w:beforeAutospacing="1" w:after="100" w:afterAutospacing="1"/>
      <w:widowControl/>
    </w:pPr>
    <w:rPr>
      <w:rFonts w:ascii="宋体" w:hAnsi="宋体" w:cs="宋体"/>
      <w:b/>
      <w:bCs/>
      <w:sz w:val="24"/>
    </w:rPr>
  </w:style>
  <w:style w:type="paragraph" w:styleId="1173">
    <w:name w:val="xl66"/>
    <w:basedOn w:val="756"/>
    <w:next w:val="1173"/>
    <w:link w:val="756"/>
    <w:qFormat/>
    <w:pPr>
      <w:jc w:val="center"/>
      <w:spacing w:before="100" w:beforeAutospacing="1" w:after="100" w:afterAutospacing="1"/>
      <w:widowControl/>
    </w:pPr>
    <w:rPr>
      <w:rFonts w:ascii="宋体" w:hAnsi="宋体" w:cs="宋体"/>
      <w:sz w:val="20"/>
      <w:szCs w:val="20"/>
    </w:rPr>
  </w:style>
  <w:style w:type="paragraph" w:styleId="1174">
    <w:name w:val="xl67"/>
    <w:basedOn w:val="756"/>
    <w:next w:val="1174"/>
    <w:link w:val="756"/>
    <w:qFormat/>
    <w:pPr>
      <w:jc w:val="center"/>
      <w:spacing w:before="100" w:beforeAutospacing="1" w:after="100" w:afterAutospacing="1"/>
      <w:widowControl/>
    </w:pPr>
    <w:rPr>
      <w:rFonts w:ascii="宋体" w:hAnsi="宋体" w:cs="宋体"/>
      <w:sz w:val="20"/>
      <w:szCs w:val="20"/>
    </w:rPr>
  </w:style>
  <w:style w:type="paragraph" w:styleId="1175">
    <w:name w:val="xl68"/>
    <w:basedOn w:val="756"/>
    <w:next w:val="1175"/>
    <w:link w:val="756"/>
    <w:qFormat/>
    <w:pPr>
      <w:jc w:val="left"/>
      <w:spacing w:before="100" w:beforeAutospacing="1" w:after="100" w:afterAutospacing="1"/>
      <w:widowControl/>
    </w:pPr>
    <w:rPr>
      <w:rFonts w:ascii="宋体" w:hAnsi="宋体" w:cs="宋体"/>
      <w:sz w:val="20"/>
      <w:szCs w:val="20"/>
    </w:rPr>
  </w:style>
  <w:style w:type="paragraph" w:styleId="1176">
    <w:name w:val="xl69"/>
    <w:basedOn w:val="756"/>
    <w:next w:val="1176"/>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7">
    <w:name w:val="xl70"/>
    <w:basedOn w:val="756"/>
    <w:next w:val="1177"/>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8">
    <w:name w:val="xl71"/>
    <w:basedOn w:val="756"/>
    <w:next w:val="1178"/>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9">
    <w:name w:val="xl72"/>
    <w:basedOn w:val="756"/>
    <w:next w:val="1179"/>
    <w:link w:val="75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0">
    <w:name w:val="xl73"/>
    <w:basedOn w:val="756"/>
    <w:next w:val="1180"/>
    <w:link w:val="75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81">
    <w:name w:val="xl74"/>
    <w:basedOn w:val="756"/>
    <w:next w:val="1181"/>
    <w:link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82">
    <w:name w:val="xl75"/>
    <w:basedOn w:val="756"/>
    <w:next w:val="1182"/>
    <w:link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83">
    <w:name w:val="xl76"/>
    <w:basedOn w:val="756"/>
    <w:next w:val="1183"/>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4">
    <w:name w:val="xl77"/>
    <w:basedOn w:val="756"/>
    <w:next w:val="1184"/>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5">
    <w:name w:val="xl78"/>
    <w:basedOn w:val="756"/>
    <w:next w:val="1185"/>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xl79"/>
    <w:basedOn w:val="756"/>
    <w:next w:val="1186"/>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name w:val="xl80"/>
    <w:basedOn w:val="756"/>
    <w:next w:val="1187"/>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188">
    <w:name w:val="xl81"/>
    <w:basedOn w:val="756"/>
    <w:next w:val="1188"/>
    <w:link w:val="75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189">
    <w:name w:val="xl82"/>
    <w:basedOn w:val="756"/>
    <w:next w:val="1189"/>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0">
    <w:name w:val="xl83"/>
    <w:basedOn w:val="756"/>
    <w:next w:val="1190"/>
    <w:link w:val="756"/>
    <w:qFormat/>
    <w:pPr>
      <w:jc w:val="center"/>
      <w:spacing w:before="100" w:beforeAutospacing="1" w:after="100" w:afterAutospacing="1"/>
      <w:widowControl/>
    </w:pPr>
    <w:rPr>
      <w:rFonts w:ascii="宋体" w:hAnsi="宋体" w:cs="宋体"/>
      <w:b/>
      <w:bCs/>
      <w:sz w:val="20"/>
      <w:szCs w:val="20"/>
    </w:rPr>
  </w:style>
  <w:style w:type="paragraph" w:styleId="1191">
    <w:name w:val="xl84"/>
    <w:basedOn w:val="756"/>
    <w:next w:val="1191"/>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2">
    <w:name w:val="xl85"/>
    <w:basedOn w:val="756"/>
    <w:next w:val="1192"/>
    <w:link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93">
    <w:name w:val="xl86"/>
    <w:basedOn w:val="756"/>
    <w:next w:val="1193"/>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4">
    <w:name w:val="xl87"/>
    <w:basedOn w:val="756"/>
    <w:next w:val="1194"/>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5">
    <w:name w:val="xl88"/>
    <w:basedOn w:val="756"/>
    <w:next w:val="1195"/>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6">
    <w:name w:val="xl89"/>
    <w:basedOn w:val="756"/>
    <w:next w:val="1196"/>
    <w:link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97">
    <w:name w:val="font111"/>
    <w:next w:val="1197"/>
    <w:link w:val="756"/>
    <w:rPr>
      <w:rFonts w:hint="eastAsia" w:ascii="宋体" w:hAnsi="宋体" w:eastAsia="宋体" w:cs="宋体"/>
      <w:i w:val="0"/>
      <w:iCs w:val="0"/>
      <w:color w:val="000000"/>
      <w:sz w:val="20"/>
      <w:szCs w:val="20"/>
      <w:u w:val="none"/>
    </w:rPr>
  </w:style>
  <w:style w:type="character" w:styleId="1198">
    <w:name w:val="font151"/>
    <w:next w:val="1198"/>
    <w:link w:val="756"/>
    <w:rPr>
      <w:rFonts w:hint="eastAsia" w:ascii="宋体" w:hAnsi="宋体" w:eastAsia="宋体" w:cs="宋体"/>
      <w:i w:val="0"/>
      <w:iCs w:val="0"/>
      <w:color w:val="000000"/>
      <w:sz w:val="18"/>
      <w:szCs w:val="18"/>
      <w:u w:val="none"/>
    </w:rPr>
  </w:style>
  <w:style w:type="character" w:styleId="1199">
    <w:name w:val="font122"/>
    <w:next w:val="1199"/>
    <w:link w:val="756"/>
    <w:rPr>
      <w:rFonts w:ascii="Times New Roman" w:hAnsi="Times New Roman" w:cs="Times New Roman"/>
      <w:i w:val="0"/>
      <w:iCs w:val="0"/>
      <w:color w:val="000000"/>
      <w:sz w:val="18"/>
      <w:szCs w:val="18"/>
      <w:u w:val="none"/>
    </w:rPr>
  </w:style>
  <w:style w:type="character" w:styleId="1200">
    <w:name w:val="font112"/>
    <w:next w:val="1200"/>
    <w:link w:val="756"/>
    <w:rPr>
      <w:rFonts w:hint="eastAsia" w:ascii="宋体" w:hAnsi="宋体" w:eastAsia="宋体" w:cs="宋体"/>
      <w:i w:val="0"/>
      <w:iCs w:val="0"/>
      <w:color w:val="000000"/>
      <w:sz w:val="20"/>
      <w:szCs w:val="20"/>
      <w:u w:val="none"/>
    </w:rPr>
  </w:style>
  <w:style w:type="character" w:styleId="1201">
    <w:name w:val="font61"/>
    <w:next w:val="1201"/>
    <w:link w:val="756"/>
    <w:rPr>
      <w:rFonts w:hint="eastAsia" w:ascii="宋体" w:hAnsi="宋体" w:eastAsia="宋体" w:cs="宋体"/>
      <w:i w:val="0"/>
      <w:iCs w:val="0"/>
      <w:color w:val="000000"/>
      <w:sz w:val="20"/>
      <w:szCs w:val="20"/>
      <w:u w:val="none"/>
    </w:rPr>
  </w:style>
  <w:style w:type="character" w:styleId="1202">
    <w:name w:val="font71"/>
    <w:next w:val="1202"/>
    <w:link w:val="756"/>
    <w:rPr>
      <w:rFonts w:hint="eastAsia" w:ascii="宋体" w:hAnsi="宋体" w:eastAsia="宋体" w:cs="宋体"/>
      <w:i w:val="0"/>
      <w:iCs w:val="0"/>
      <w:color w:val="000000"/>
      <w:sz w:val="20"/>
      <w:szCs w:val="20"/>
      <w:u w:val="none"/>
    </w:rPr>
  </w:style>
  <w:style w:type="character" w:styleId="1203">
    <w:name w:val="font131"/>
    <w:next w:val="1203"/>
    <w:link w:val="756"/>
    <w:rPr>
      <w:rFonts w:hint="eastAsia" w:ascii="宋体" w:hAnsi="宋体" w:eastAsia="宋体" w:cs="宋体"/>
      <w:i w:val="0"/>
      <w:iCs w:val="0"/>
      <w:color w:val="000000"/>
      <w:sz w:val="18"/>
      <w:szCs w:val="18"/>
      <w:u w:val="none"/>
    </w:rPr>
  </w:style>
  <w:style w:type="character" w:styleId="53948" w:default="1">
    <w:name w:val="Default Paragraph Font"/>
    <w:uiPriority w:val="1"/>
    <w:semiHidden/>
    <w:unhideWhenUsed/>
  </w:style>
  <w:style w:type="numbering" w:styleId="53949" w:default="1">
    <w:name w:val="No List"/>
    <w:uiPriority w:val="99"/>
    <w:semiHidden/>
    <w:unhideWhenUsed/>
  </w:style>
  <w:style w:type="table" w:styleId="53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327</dc:creator>
  <cp:lastModifiedBy>纪蓉</cp:lastModifiedBy>
  <cp:revision>4</cp:revision>
  <dcterms:created xsi:type="dcterms:W3CDTF">2024-11-13T09:37:00Z</dcterms:created>
  <dcterms:modified xsi:type="dcterms:W3CDTF">2024-11-14T08:29:18Z</dcterms:modified>
</cp:coreProperties>
</file>