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0"/>
        <w:ind w:firstLine="0"/>
        <w:spacing w:before="0" w:after="0" w:line="600" w:lineRule="exact"/>
        <w:rPr>
          <w:rFonts w:hint="eastAsia" w:asciiTheme="minorEastAsia" w:hAnsiTheme="minorEastAsia" w:eastAsiaTheme="minorEastAsia" w:cstheme="minorEastAsia"/>
          <w:b/>
          <w:bCs/>
          <w:color w:val="000000" w:themeColor="text1"/>
          <w:sz w:val="8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84"/>
          <w:highlight w:val="none"/>
          <w14:textFill>
            <w14:solidFill>
              <w14:schemeClr w14:val="tx1"/>
            </w14:solidFill>
          </w14:textFill>
        </w:rPr>
      </w:r>
      <w:r/>
    </w:p>
    <w:p>
      <w:pPr>
        <w:pStyle w:val="1030"/>
        <w:ind w:firstLine="0"/>
        <w:spacing w:before="0" w:after="0" w:line="600" w:lineRule="exact"/>
        <w:rPr>
          <w:rFonts w:hint="eastAsia" w:asciiTheme="minorEastAsia" w:hAnsiTheme="minorEastAsia" w:eastAsiaTheme="minorEastAsia" w:cstheme="minorEastAsia"/>
          <w:b/>
          <w:bCs/>
          <w:color w:val="000000" w:themeColor="text1"/>
          <w:sz w:val="8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84"/>
          <w:highlight w:val="none"/>
          <w14:textFill>
            <w14:solidFill>
              <w14:schemeClr w14:val="tx1"/>
            </w14:solidFill>
          </w14:textFill>
        </w:rPr>
      </w:r>
      <w:r/>
    </w:p>
    <w:p>
      <w:pPr>
        <w:pStyle w:val="1030"/>
        <w:ind w:firstLine="0"/>
        <w:spacing w:before="0" w:after="0" w:line="600" w:lineRule="exact"/>
        <w:rPr>
          <w:rFonts w:hint="eastAsia" w:asciiTheme="minorEastAsia" w:hAnsiTheme="minorEastAsia" w:eastAsiaTheme="minorEastAsia" w:cstheme="minorEastAsia"/>
          <w:b/>
          <w:bCs/>
          <w:color w:val="000000" w:themeColor="text1"/>
          <w:sz w:val="8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84"/>
          <w:highlight w:val="none"/>
          <w14:textFill>
            <w14:solidFill>
              <w14:schemeClr w14:val="tx1"/>
            </w14:solidFill>
          </w14:textFill>
        </w:rPr>
      </w:r>
      <w:r/>
    </w:p>
    <w:p>
      <w:pPr>
        <w:pStyle w:val="1030"/>
        <w:ind w:firstLine="0"/>
        <w:spacing w:before="0" w:after="0" w:line="600" w:lineRule="exact"/>
        <w:rPr>
          <w:rFonts w:hint="eastAsia" w:asciiTheme="minorEastAsia" w:hAnsiTheme="minorEastAsia" w:eastAsiaTheme="minorEastAsia" w:cstheme="minorEastAsia"/>
          <w:b/>
          <w:bCs/>
          <w:color w:val="000000" w:themeColor="text1"/>
          <w:sz w:val="8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84"/>
          <w:highlight w:val="none"/>
          <w14:textFill>
            <w14:solidFill>
              <w14:schemeClr w14:val="tx1"/>
            </w14:solidFill>
          </w14:textFill>
        </w:rPr>
      </w:r>
      <w:r/>
    </w:p>
    <w:p>
      <w:pPr>
        <w:pStyle w:val="1030"/>
        <w:ind w:firstLine="0"/>
        <w:spacing w:before="0" w:after="0" w:line="600" w:lineRule="exact"/>
        <w:rPr>
          <w:rFonts w:hint="eastAsia" w:asciiTheme="minorEastAsia" w:hAnsiTheme="minorEastAsia" w:eastAsiaTheme="minorEastAsia" w:cstheme="minorEastAsia"/>
          <w:b/>
          <w:bCs/>
          <w:color w:val="000000" w:themeColor="text1"/>
          <w:sz w:val="8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84"/>
          <w:highlight w:val="none"/>
          <w14:textFill>
            <w14:solidFill>
              <w14:schemeClr w14:val="tx1"/>
            </w14:solidFill>
          </w14:textFill>
        </w:rPr>
      </w:r>
      <w:r/>
    </w:p>
    <w:p>
      <w:pPr>
        <w:pStyle w:val="1030"/>
        <w:ind w:firstLine="0"/>
        <w:jc w:val="center"/>
        <w:rPr>
          <w:rFonts w:hint="eastAsia" w:asciiTheme="minorEastAsia" w:hAnsiTheme="minorEastAsia" w:eastAsiaTheme="minorEastAsia" w:cstheme="minorEastAsia"/>
          <w:b/>
          <w:bCs/>
          <w:color w:val="ff0000"/>
          <w:sz w:val="32"/>
          <w:szCs w:val="32"/>
          <w:highlight w:val="none"/>
          <w:lang w:eastAsia="zh-CN"/>
        </w:rPr>
      </w:pPr>
      <w:r>
        <w:rPr>
          <w:rFonts w:hint="eastAsia" w:asciiTheme="minorEastAsia" w:hAnsiTheme="minorEastAsia" w:eastAsiaTheme="minorEastAsia" w:cstheme="minorEastAsia"/>
          <w:b/>
          <w:bCs/>
          <w:color w:val="000000" w:themeColor="text1"/>
          <w:sz w:val="84"/>
          <w:highlight w:val="none"/>
          <w14:textFill>
            <w14:solidFill>
              <w14:schemeClr w14:val="tx1"/>
            </w14:solidFill>
          </w14:textFill>
        </w:rPr>
        <w:t xml:space="preserve">招　标　文　</w:t>
      </w:r>
      <w:r>
        <w:rPr>
          <w:rFonts w:hint="eastAsia" w:asciiTheme="minorEastAsia" w:hAnsiTheme="minorEastAsia" w:eastAsiaTheme="minorEastAsia" w:cstheme="minorEastAsia"/>
          <w:b/>
          <w:bCs/>
          <w:color w:val="000000" w:themeColor="text1"/>
          <w:sz w:val="84"/>
          <w:highlight w:val="none"/>
          <w:lang w:eastAsia="zh-CN"/>
          <w14:textFill>
            <w14:solidFill>
              <w14:schemeClr w14:val="tx1"/>
            </w14:solidFill>
          </w14:textFill>
        </w:rPr>
        <w:t xml:space="preserve">件</w:t>
      </w:r>
      <w:r/>
    </w:p>
    <w:p>
      <w:pPr>
        <w:jc w:val="center"/>
        <w:rPr>
          <w:rFonts w:hint="eastAsia" w:asciiTheme="minorEastAsia" w:hAnsiTheme="minorEastAsia" w:eastAsiaTheme="minorEastAsia" w:cstheme="minorEastAsia"/>
          <w:color w:val="000000" w:themeColor="text1"/>
          <w:sz w:val="32"/>
          <w:szCs w:val="32"/>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32"/>
          <w:szCs w:val="32"/>
          <w:highlight w:val="none"/>
          <w:u w:val="none"/>
          <w14:textFill>
            <w14:solidFill>
              <w14:schemeClr w14:val="tx1"/>
            </w14:solidFill>
          </w14:textFill>
        </w:rPr>
        <w:t xml:space="preserve">（货物类项目，</w:t>
      </w:r>
      <w:r>
        <w:rPr>
          <w:rFonts w:hint="eastAsia" w:asciiTheme="minorEastAsia" w:hAnsiTheme="minorEastAsia" w:eastAsiaTheme="minorEastAsia" w:cstheme="minorEastAsia"/>
          <w:color w:val="000000" w:themeColor="text1"/>
          <w:sz w:val="32"/>
          <w:szCs w:val="32"/>
          <w:highlight w:val="none"/>
          <w:u w:val="none"/>
          <w:lang w:val="en-US" w:eastAsia="zh-CN"/>
          <w14:textFill>
            <w14:solidFill>
              <w14:schemeClr w14:val="tx1"/>
            </w14:solidFill>
          </w14:textFill>
        </w:rPr>
        <w:t xml:space="preserve"> 非</w:t>
      </w:r>
      <w:r>
        <w:rPr>
          <w:rFonts w:hint="eastAsia" w:asciiTheme="minorEastAsia" w:hAnsiTheme="minorEastAsia" w:eastAsiaTheme="minorEastAsia" w:cstheme="minorEastAsia"/>
          <w:color w:val="000000" w:themeColor="text1"/>
          <w:sz w:val="32"/>
          <w:szCs w:val="32"/>
          <w:highlight w:val="none"/>
          <w:u w:val="none"/>
          <w14:textFill>
            <w14:solidFill>
              <w14:schemeClr w14:val="tx1"/>
            </w14:solidFill>
          </w14:textFill>
        </w:rPr>
        <w:t xml:space="preserve">专门面向中小企业）</w:t>
      </w:r>
      <w:r/>
    </w:p>
    <w:p>
      <w:pPr>
        <w:ind w:firstLine="320"/>
        <w:jc w:val="both"/>
        <w:rPr>
          <w:rFonts w:hint="eastAsia" w:asciiTheme="minorEastAsia" w:hAnsiTheme="minorEastAsia" w:eastAsiaTheme="minorEastAsia" w:cstheme="minorEastAsia"/>
          <w:color w:val="000000" w:themeColor="text1"/>
          <w:sz w:val="32"/>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32"/>
          <w:highlight w:val="none"/>
          <w:u w:val="none"/>
          <w14:textFill>
            <w14:solidFill>
              <w14:schemeClr w14:val="tx1"/>
            </w14:solidFill>
          </w14:textFill>
        </w:rPr>
      </w:r>
      <w:r/>
    </w:p>
    <w:p>
      <w:pPr>
        <w:ind w:firstLine="320"/>
        <w:jc w:val="both"/>
        <w:rPr>
          <w:rFonts w:hint="eastAsia" w:asciiTheme="minorEastAsia" w:hAnsiTheme="minorEastAsia" w:eastAsiaTheme="minorEastAsia" w:cstheme="minorEastAsia"/>
          <w:color w:val="000000" w:themeColor="text1"/>
          <w:sz w:val="32"/>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32"/>
          <w:highlight w:val="none"/>
          <w:u w:val="none"/>
          <w14:textFill>
            <w14:solidFill>
              <w14:schemeClr w14:val="tx1"/>
            </w14:solidFill>
          </w14:textFill>
        </w:rPr>
      </w:r>
      <w:r/>
    </w:p>
    <w:p>
      <w:pPr>
        <w:ind w:firstLine="320"/>
        <w:jc w:val="both"/>
        <w:rPr>
          <w:rFonts w:hint="eastAsia" w:asciiTheme="minorEastAsia" w:hAnsiTheme="minorEastAsia" w:eastAsiaTheme="minorEastAsia" w:cstheme="minorEastAsia"/>
          <w:color w:val="000000" w:themeColor="text1"/>
          <w:sz w:val="32"/>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32"/>
          <w:highlight w:val="none"/>
          <w:u w:val="none"/>
          <w14:textFill>
            <w14:solidFill>
              <w14:schemeClr w14:val="tx1"/>
            </w14:solidFill>
          </w14:textFill>
        </w:rPr>
      </w:r>
      <w:r/>
    </w:p>
    <w:p>
      <w:pPr>
        <w:ind w:firstLine="320"/>
        <w:jc w:val="both"/>
        <w:rPr>
          <w:rFonts w:hint="eastAsia" w:asciiTheme="minorEastAsia" w:hAnsiTheme="minorEastAsia" w:eastAsiaTheme="minorEastAsia" w:cstheme="minorEastAsia"/>
          <w:color w:val="000000" w:themeColor="text1"/>
          <w:sz w:val="32"/>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32"/>
          <w:highlight w:val="none"/>
          <w:u w:val="none"/>
          <w14:textFill>
            <w14:solidFill>
              <w14:schemeClr w14:val="tx1"/>
            </w14:solidFill>
          </w14:textFill>
        </w:rPr>
      </w:r>
      <w:r/>
    </w:p>
    <w:p>
      <w:pPr>
        <w:ind w:firstLine="320"/>
        <w:jc w:val="both"/>
        <w:rPr>
          <w:rFonts w:hint="eastAsia" w:asciiTheme="minorEastAsia" w:hAnsiTheme="minorEastAsia" w:eastAsiaTheme="minorEastAsia" w:cstheme="minorEastAsia"/>
          <w:color w:val="000000" w:themeColor="text1"/>
          <w:sz w:val="32"/>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32"/>
          <w:highlight w:val="none"/>
          <w:u w:val="none"/>
          <w14:textFill>
            <w14:solidFill>
              <w14:schemeClr w14:val="tx1"/>
            </w14:solidFill>
          </w14:textFill>
        </w:rPr>
      </w:r>
      <w:r/>
    </w:p>
    <w:p>
      <w:pPr>
        <w:ind w:firstLine="320"/>
        <w:jc w:val="both"/>
        <w:rPr>
          <w:rFonts w:hint="eastAsia" w:asciiTheme="minorEastAsia" w:hAnsiTheme="minorEastAsia" w:eastAsiaTheme="minorEastAsia" w:cstheme="minorEastAsia"/>
          <w:color w:val="000000" w:themeColor="text1"/>
          <w:sz w:val="32"/>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32"/>
          <w:highlight w:val="none"/>
          <w:u w:val="none"/>
          <w14:textFill>
            <w14:solidFill>
              <w14:schemeClr w14:val="tx1"/>
            </w14:solidFill>
          </w14:textFill>
        </w:rPr>
      </w:r>
      <w:r/>
    </w:p>
    <w:p>
      <w:pPr>
        <w:ind w:firstLine="320"/>
        <w:jc w:val="both"/>
        <w:rPr>
          <w:rFonts w:hint="eastAsia" w:asciiTheme="minorEastAsia" w:hAnsiTheme="minorEastAsia" w:eastAsiaTheme="minorEastAsia" w:cstheme="minorEastAsia"/>
          <w:color w:val="000000" w:themeColor="text1"/>
          <w:sz w:val="32"/>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32"/>
          <w:highlight w:val="none"/>
          <w:u w:val="none"/>
          <w14:textFill>
            <w14:solidFill>
              <w14:schemeClr w14:val="tx1"/>
            </w14:solidFill>
          </w14:textFill>
        </w:rPr>
      </w:r>
      <w:r/>
    </w:p>
    <w:p>
      <w:pPr>
        <w:ind w:firstLine="160"/>
        <w:jc w:val="both"/>
        <w:keepLines w:val="0"/>
        <w:keepNext w:val="0"/>
        <w:pageBreakBefore w:val="0"/>
        <w:spacing w:line="600" w:lineRule="exact"/>
        <w:widowControl w:val="off"/>
        <w:rPr>
          <w:rFonts w:hint="eastAsia" w:ascii="宋体" w:hAnsi="宋体" w:eastAsia="宋体" w:cs="宋体"/>
          <w:color w:val="000000" w:themeColor="text1"/>
          <w:sz w:val="32"/>
          <w:szCs w:val="32"/>
          <w:highlight w:val="none"/>
          <w:u w:val="none"/>
          <w:lang w:eastAsia="zh-CN"/>
          <w14:textFill>
            <w14:solidFill>
              <w14:schemeClr w14:val="tx1"/>
            </w14:solidFill>
          </w14:textFill>
        </w:rPr>
      </w:pPr>
      <w:r>
        <w:rPr>
          <w:rFonts w:hint="eastAsia" w:ascii="宋体" w:hAnsi="宋体" w:eastAsia="宋体" w:cs="宋体"/>
          <w:color w:val="000000" w:themeColor="text1"/>
          <w:sz w:val="32"/>
          <w:szCs w:val="32"/>
          <w:highlight w:val="none"/>
          <w:u w:val="none"/>
          <w14:textFill>
            <w14:solidFill>
              <w14:schemeClr w14:val="tx1"/>
            </w14:solidFill>
          </w14:textFill>
        </w:rPr>
        <w:t xml:space="preserve">项目名称：</w:t>
      </w:r>
      <w:r>
        <w:rPr>
          <w:rFonts w:hint="eastAsia" w:ascii="宋体" w:hAnsi="宋体" w:eastAsia="宋体" w:cs="宋体"/>
          <w:color w:val="000000" w:themeColor="text1"/>
          <w:sz w:val="32"/>
          <w:szCs w:val="32"/>
          <w:highlight w:val="none"/>
          <w:u w:val="none"/>
          <w:lang w:eastAsia="zh-CN"/>
          <w14:textFill>
            <w14:solidFill>
              <w14:schemeClr w14:val="tx1"/>
            </w14:solidFill>
          </w14:textFill>
        </w:rPr>
        <w:t xml:space="preserve">市区易涝点信息化管理系统平台新增监测点位项目</w:t>
      </w:r>
      <w:r/>
    </w:p>
    <w:p>
      <w:pPr>
        <w:ind w:firstLine="160"/>
        <w:keepLines w:val="0"/>
        <w:keepNext w:val="0"/>
        <w:pageBreakBefore w:val="0"/>
        <w:spacing w:line="600" w:lineRule="exact"/>
        <w:widowControl w:val="off"/>
        <w:rPr>
          <w:rFonts w:hint="eastAsia" w:ascii="宋体" w:hAnsi="宋体" w:eastAsia="宋体" w:cs="宋体"/>
          <w:color w:val="000000" w:themeColor="text1"/>
          <w:sz w:val="32"/>
          <w:szCs w:val="32"/>
          <w:highlight w:val="none"/>
          <w:u w:val="none"/>
          <w:lang w:eastAsia="zh-CN"/>
          <w14:textFill>
            <w14:solidFill>
              <w14:schemeClr w14:val="tx1"/>
            </w14:solidFill>
          </w14:textFill>
        </w:rPr>
      </w:pPr>
      <w:r>
        <w:rPr>
          <w:rFonts w:hint="eastAsia" w:ascii="宋体" w:hAnsi="宋体" w:eastAsia="宋体" w:cs="宋体"/>
          <w:color w:val="000000" w:themeColor="text1"/>
          <w:sz w:val="32"/>
          <w:szCs w:val="32"/>
          <w:highlight w:val="none"/>
          <w:u w:val="none"/>
          <w14:textFill>
            <w14:solidFill>
              <w14:schemeClr w14:val="tx1"/>
            </w14:solidFill>
          </w14:textFill>
        </w:rPr>
        <w:t xml:space="preserve">项目编号：JSZC-321300-SXSD-G2025-0016</w:t>
      </w:r>
      <w:r/>
    </w:p>
    <w:p>
      <w:pPr>
        <w:pStyle w:val="1030"/>
        <w:ind w:firstLine="160"/>
        <w:jc w:val="both"/>
        <w:keepLines w:val="0"/>
        <w:keepNext w:val="0"/>
        <w:pageBreakBefore w:val="0"/>
        <w:spacing w:before="0" w:after="0" w:line="600" w:lineRule="exact"/>
        <w:widowControl w:val="off"/>
        <w:rPr>
          <w:rFonts w:hint="eastAsia" w:ascii="宋体" w:hAnsi="宋体" w:eastAsia="宋体" w:cs="宋体"/>
          <w:color w:val="000000" w:themeColor="text1"/>
          <w:sz w:val="32"/>
          <w:szCs w:val="32"/>
          <w:highlight w:val="none"/>
          <w:u w:val="none"/>
          <w14:textFill>
            <w14:solidFill>
              <w14:schemeClr w14:val="tx1"/>
            </w14:solidFill>
          </w14:textFill>
        </w:rPr>
      </w:pPr>
      <w:r>
        <w:rPr>
          <w:rFonts w:hint="eastAsia" w:ascii="宋体" w:hAnsi="宋体" w:eastAsia="宋体" w:cs="宋体"/>
          <w:color w:val="000000" w:themeColor="text1"/>
          <w:sz w:val="32"/>
          <w:szCs w:val="32"/>
          <w:highlight w:val="none"/>
          <w:u w:val="none"/>
          <w14:textFill>
            <w14:solidFill>
              <w14:schemeClr w14:val="tx1"/>
            </w14:solidFill>
          </w14:textFill>
        </w:rPr>
        <w:t xml:space="preserve">采 购 人：</w:t>
      </w:r>
      <w:bookmarkStart w:id="0" w:name="EBa701789ceba847eb807c0d41082ffd84"/>
      <w:r>
        <w:rPr>
          <w:rFonts w:hint="eastAsia" w:ascii="宋体" w:hAnsi="宋体" w:eastAsia="宋体" w:cs="宋体"/>
          <w:color w:val="000000" w:themeColor="text1"/>
          <w:sz w:val="32"/>
          <w:szCs w:val="32"/>
          <w:highlight w:val="none"/>
          <w:u w:val="none"/>
          <w14:textFill>
            <w14:solidFill>
              <w14:schemeClr w14:val="tx1"/>
            </w14:solidFill>
          </w14:textFill>
        </w:rPr>
        <w:t xml:space="preserve">宿迁市住房和城乡建设局</w:t>
      </w:r>
      <w:bookmarkEnd w:id="0"/>
      <w:r/>
      <w:r/>
    </w:p>
    <w:p>
      <w:pPr>
        <w:pStyle w:val="1030"/>
        <w:ind w:firstLine="160"/>
        <w:jc w:val="both"/>
        <w:keepLines w:val="0"/>
        <w:keepNext w:val="0"/>
        <w:pageBreakBefore w:val="0"/>
        <w:spacing w:before="0" w:after="0" w:line="600" w:lineRule="exact"/>
        <w:widowControl w:val="off"/>
        <w:rPr>
          <w:rFonts w:hint="eastAsia" w:ascii="宋体" w:hAnsi="宋体" w:eastAsia="宋体" w:cs="宋体"/>
          <w:color w:val="000000" w:themeColor="text1"/>
          <w:sz w:val="32"/>
          <w:szCs w:val="32"/>
          <w:highlight w:val="none"/>
          <w:u w:val="none"/>
          <w:lang w:eastAsia="zh-CN"/>
          <w14:textFill>
            <w14:solidFill>
              <w14:schemeClr w14:val="tx1"/>
            </w14:solidFill>
          </w14:textFill>
        </w:rPr>
      </w:pPr>
      <w:r>
        <w:rPr>
          <w:rFonts w:hint="eastAsia" w:ascii="宋体" w:hAnsi="宋体" w:eastAsia="宋体" w:cs="宋体"/>
          <w:color w:val="000000" w:themeColor="text1"/>
          <w:sz w:val="32"/>
          <w:szCs w:val="32"/>
          <w:highlight w:val="none"/>
          <w:u w:val="none"/>
          <w14:textFill>
            <w14:solidFill>
              <w14:schemeClr w14:val="tx1"/>
            </w14:solidFill>
          </w14:textFill>
        </w:rPr>
        <w:t xml:space="preserve">采购代理机构：</w:t>
      </w:r>
      <w:r>
        <w:rPr>
          <w:rFonts w:hint="eastAsia" w:ascii="宋体" w:hAnsi="宋体" w:eastAsia="宋体" w:cs="宋体"/>
          <w:color w:val="000000" w:themeColor="text1"/>
          <w:sz w:val="32"/>
          <w:szCs w:val="32"/>
          <w:highlight w:val="none"/>
          <w:u w:val="none"/>
          <w:lang w:eastAsia="zh-CN"/>
          <w14:textFill>
            <w14:solidFill>
              <w14:schemeClr w14:val="tx1"/>
            </w14:solidFill>
          </w14:textFill>
        </w:rPr>
        <w:t xml:space="preserve">江苏新时代工程项目管理有限公司</w:t>
      </w:r>
      <w:r/>
    </w:p>
    <w:p>
      <w:pPr>
        <w:pStyle w:val="1030"/>
        <w:ind w:firstLine="160"/>
        <w:jc w:val="center"/>
        <w:keepLines w:val="0"/>
        <w:keepNext w:val="0"/>
        <w:pageBreakBefore w:val="0"/>
        <w:spacing w:before="0" w:after="0" w:line="600" w:lineRule="exact"/>
        <w:widowControl w:val="off"/>
        <w:rPr>
          <w:rFonts w:hint="eastAsia" w:ascii="宋体" w:hAnsi="宋体" w:eastAsia="宋体" w:cs="宋体"/>
          <w:color w:val="000000" w:themeColor="text1"/>
          <w:sz w:val="32"/>
          <w:szCs w:val="32"/>
          <w:highlight w:val="none"/>
          <w:u w:val="none"/>
          <w14:textFill>
            <w14:solidFill>
              <w14:schemeClr w14:val="tx1"/>
            </w14:solidFill>
          </w14:textFill>
        </w:rPr>
      </w:pPr>
      <w:r>
        <w:rPr>
          <w:rFonts w:hint="eastAsia" w:ascii="宋体" w:hAnsi="宋体" w:eastAsia="宋体" w:cs="宋体"/>
          <w:color w:val="000000" w:themeColor="text1"/>
          <w:sz w:val="32"/>
          <w:szCs w:val="32"/>
          <w:highlight w:val="none"/>
          <w:u w:val="none"/>
          <w14:textFill>
            <w14:solidFill>
              <w14:schemeClr w14:val="tx1"/>
            </w14:solidFill>
          </w14:textFill>
        </w:rPr>
      </w:r>
      <w:r/>
    </w:p>
    <w:p>
      <w:pPr>
        <w:pStyle w:val="1030"/>
        <w:ind w:firstLine="160"/>
        <w:jc w:val="center"/>
        <w:keepLines w:val="0"/>
        <w:keepNext w:val="0"/>
        <w:pageBreakBefore w:val="0"/>
        <w:spacing w:before="0" w:after="0" w:line="600" w:lineRule="exact"/>
        <w:widowControl w:val="off"/>
        <w:rPr>
          <w:rFonts w:hint="eastAsia" w:ascii="宋体" w:hAnsi="宋体" w:eastAsia="宋体" w:cs="宋体"/>
          <w:color w:val="000000" w:themeColor="text1"/>
          <w:sz w:val="32"/>
          <w:szCs w:val="32"/>
          <w:highlight w:val="none"/>
          <w:u w:val="none"/>
          <w14:textFill>
            <w14:solidFill>
              <w14:schemeClr w14:val="tx1"/>
            </w14:solidFill>
          </w14:textFill>
        </w:rPr>
      </w:pPr>
      <w:r>
        <w:rPr>
          <w:rFonts w:hint="eastAsia" w:ascii="宋体" w:hAnsi="宋体" w:eastAsia="宋体" w:cs="宋体"/>
          <w:color w:val="000000" w:themeColor="text1"/>
          <w:sz w:val="32"/>
          <w:szCs w:val="32"/>
          <w:highlight w:val="none"/>
          <w:u w:val="none"/>
          <w14:textFill>
            <w14:solidFill>
              <w14:schemeClr w14:val="tx1"/>
            </w14:solidFill>
          </w14:textFill>
        </w:rPr>
        <w:t xml:space="preserve">202</w:t>
      </w:r>
      <w:r>
        <w:rPr>
          <w:rFonts w:hint="eastAsia" w:ascii="宋体" w:hAnsi="宋体" w:eastAsia="宋体" w:cs="宋体"/>
          <w:color w:val="000000" w:themeColor="text1"/>
          <w:sz w:val="32"/>
          <w:szCs w:val="32"/>
          <w:highlight w:val="none"/>
          <w:u w:val="none"/>
          <w:lang w:val="en-US" w:eastAsia="zh-CN"/>
          <w14:textFill>
            <w14:solidFill>
              <w14:schemeClr w14:val="tx1"/>
            </w14:solidFill>
          </w14:textFill>
        </w:rPr>
        <w:t xml:space="preserve">5</w:t>
      </w:r>
      <w:r>
        <w:rPr>
          <w:rFonts w:hint="eastAsia" w:ascii="宋体" w:hAnsi="宋体" w:eastAsia="宋体" w:cs="宋体"/>
          <w:color w:val="000000" w:themeColor="text1"/>
          <w:sz w:val="32"/>
          <w:szCs w:val="32"/>
          <w:highlight w:val="none"/>
          <w:u w:val="none"/>
          <w14:textFill>
            <w14:solidFill>
              <w14:schemeClr w14:val="tx1"/>
            </w14:solidFill>
          </w14:textFill>
        </w:rPr>
        <w:t xml:space="preserve">年</w:t>
      </w:r>
      <w:r>
        <w:rPr>
          <w:rFonts w:hint="eastAsia" w:ascii="宋体" w:hAnsi="宋体" w:eastAsia="宋体" w:cs="宋体"/>
          <w:color w:val="000000" w:themeColor="text1"/>
          <w:sz w:val="32"/>
          <w:szCs w:val="32"/>
          <w:highlight w:val="none"/>
          <w:u w:val="none"/>
          <w:lang w:val="en-US" w:eastAsia="zh-CN"/>
          <w14:textFill>
            <w14:solidFill>
              <w14:schemeClr w14:val="tx1"/>
            </w14:solidFill>
          </w14:textFill>
        </w:rPr>
        <w:t xml:space="preserve">03</w:t>
      </w:r>
      <w:r>
        <w:rPr>
          <w:rFonts w:hint="eastAsia" w:ascii="宋体" w:hAnsi="宋体" w:eastAsia="宋体" w:cs="宋体"/>
          <w:color w:val="000000" w:themeColor="text1"/>
          <w:sz w:val="32"/>
          <w:szCs w:val="32"/>
          <w:highlight w:val="none"/>
          <w:u w:val="none"/>
          <w14:textFill>
            <w14:solidFill>
              <w14:schemeClr w14:val="tx1"/>
            </w14:solidFill>
          </w14:textFill>
        </w:rPr>
        <w:t xml:space="preserve">月</w:t>
      </w:r>
      <w:r>
        <w:rPr>
          <w:rFonts w:hint="eastAsia" w:ascii="宋体" w:hAnsi="宋体" w:eastAsia="宋体" w:cs="宋体"/>
          <w:color w:val="000000" w:themeColor="text1"/>
          <w:sz w:val="32"/>
          <w:szCs w:val="32"/>
          <w:highlight w:val="none"/>
          <w:u w:val="none"/>
          <w:lang w:val="en-US" w:eastAsia="zh-CN"/>
          <w14:textFill>
            <w14:solidFill>
              <w14:schemeClr w14:val="tx1"/>
            </w14:solidFill>
          </w14:textFill>
        </w:rPr>
        <w:t xml:space="preserve">31</w:t>
      </w:r>
      <w:r>
        <w:rPr>
          <w:rFonts w:hint="eastAsia" w:ascii="宋体" w:hAnsi="宋体" w:eastAsia="宋体" w:cs="宋体"/>
          <w:color w:val="000000" w:themeColor="text1"/>
          <w:sz w:val="32"/>
          <w:szCs w:val="32"/>
          <w:highlight w:val="none"/>
          <w:u w:val="none"/>
          <w14:textFill>
            <w14:solidFill>
              <w14:schemeClr w14:val="tx1"/>
            </w14:solidFill>
          </w14:textFill>
        </w:rPr>
        <w:t xml:space="preserve">日</w:t>
      </w:r>
      <w:r/>
    </w:p>
    <w:p>
      <w:pPr>
        <w:ind w:firstLine="210"/>
        <w:jc w:val="center"/>
        <w:keepLines w:val="0"/>
        <w:keepNext w:val="0"/>
        <w:pageBreakBefore w:val="0"/>
        <w:spacing w:line="560" w:lineRule="exact"/>
        <w:widowControl w:val="off"/>
        <w:rPr>
          <w:rFonts w:hint="eastAsia" w:asciiTheme="minorEastAsia" w:hAnsiTheme="minorEastAsia" w:eastAsiaTheme="minorEastAsia" w:cstheme="minorEastAsia"/>
          <w:color w:val="000000" w:themeColor="text1"/>
          <w:highlight w:val="none"/>
          <w14:textFill>
            <w14:solidFill>
              <w14:schemeClr w14:val="tx1"/>
            </w14:solidFill>
          </w14:textFill>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757" w:right="1474" w:bottom="1417" w:left="1474" w:header="851" w:footer="907" w:gutter="0"/>
          <w:cols w:num="1" w:sep="0" w:space="0" w:equalWidth="1"/>
          <w:docGrid w:linePitch="360"/>
        </w:sectPr>
        <w:outlineLvl w:val="9"/>
      </w:pPr>
      <w:r/>
      <w:bookmarkStart w:id="1" w:name="_Toc120614210"/>
      <w:r/>
      <w:bookmarkStart w:id="2" w:name="_Toc513029200"/>
      <w:r/>
      <w:bookmarkStart w:id="3" w:name="_Toc523127445"/>
      <w:r/>
      <w:bookmarkStart w:id="4" w:name="_Toc16938516"/>
      <w:r/>
      <w:bookmarkStart w:id="5" w:name="_Toc479757206"/>
      <w:r/>
      <w:bookmarkStart w:id="6" w:name="_Toc20823272"/>
      <w:r/>
      <w:r/>
    </w:p>
    <w:p>
      <w:pPr>
        <w:pStyle w:val="759"/>
        <w:jc w:val="center"/>
        <w:tabs>
          <w:tab w:val="right" w:pos="8844" w:leader="dot"/>
        </w:tabs>
        <w:rPr>
          <w:rFonts w:hint="eastAsia" w:ascii="宋体" w:hAnsi="宋体" w:cs="宋体"/>
          <w:b/>
          <w:bCs/>
          <w:color w:val="000000" w:themeColor="text1"/>
          <w:sz w:val="32"/>
          <w:szCs w:val="32"/>
          <w:highlight w:val="none"/>
          <w:lang w:val="en-US" w:eastAsia="zh-CN"/>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总 目 录</w:t>
      </w:r>
      <w:r/>
    </w:p>
    <w:p>
      <w:pPr>
        <w:ind w:firstLine="280"/>
        <w:keepLines w:val="0"/>
        <w:keepNext w:val="0"/>
        <w:pageBreakBefore w:val="0"/>
        <w:spacing w:line="480" w:lineRule="exact"/>
        <w:widowControl w:val="off"/>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r>
      <w:r/>
    </w:p>
    <w:p>
      <w:pPr>
        <w:pStyle w:val="759"/>
        <w:ind w:firstLine="280"/>
        <w:keepLines w:val="0"/>
        <w:keepNext w:val="0"/>
        <w:pageBreakBefore w:val="0"/>
        <w:spacing w:after="0" w:line="600" w:lineRule="exact"/>
        <w:widowControl w:val="off"/>
        <w:tabs>
          <w:tab w:val="right" w:pos="8844" w:leader="dot"/>
        </w:tabs>
        <w:rPr>
          <w:rFonts w:hint="eastAsia" w:ascii="宋体" w:hAnsi="宋体" w:eastAsia="宋体" w:cs="宋体"/>
          <w:sz w:val="28"/>
          <w:szCs w:val="28"/>
          <w:highlight w:val="none"/>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color w:val="000000" w:themeColor="text1"/>
          <w:sz w:val="28"/>
          <w:szCs w:val="28"/>
          <w:highlight w:val="none"/>
          <w14:textFill>
            <w14:solidFill>
              <w14:schemeClr w14:val="tx1"/>
            </w14:solidFill>
          </w14:textFill>
        </w:rPr>
        <w:instrText xml:space="preserve">TOC \o "1-1" \h \u </w:instrText>
      </w:r>
      <w:r>
        <w:rPr>
          <w:rFonts w:hint="eastAsia" w:ascii="宋体" w:hAnsi="宋体" w:eastAsia="宋体" w:cs="宋体"/>
          <w:color w:val="000000" w:themeColor="text1"/>
          <w:sz w:val="28"/>
          <w:szCs w:val="28"/>
          <w:highlight w:val="none"/>
          <w14:textFill>
            <w14:solidFill>
              <w14:schemeClr w14:val="tx1"/>
            </w14:solidFill>
          </w14:textFill>
        </w:rPr>
        <w:fldChar w:fldCharType="separate"/>
      </w: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sz w:val="28"/>
          <w:szCs w:val="28"/>
          <w:highlight w:val="none"/>
        </w:rPr>
        <w:instrText xml:space="preserve"> HYPERLINK \l _Toc25916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第一章  投标邀请</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_Toc25916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1</w:t>
      </w:r>
      <w:r>
        <w:rPr>
          <w:rFonts w:hint="eastAsia" w:ascii="宋体" w:hAnsi="宋体" w:eastAsia="宋体" w:cs="宋体"/>
          <w:sz w:val="28"/>
          <w:szCs w:val="28"/>
          <w:highlight w:val="none"/>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759"/>
        <w:ind w:firstLine="280"/>
        <w:keepLines w:val="0"/>
        <w:keepNext w:val="0"/>
        <w:pageBreakBefore w:val="0"/>
        <w:spacing w:after="0" w:line="600" w:lineRule="exact"/>
        <w:widowControl w:val="off"/>
        <w:tabs>
          <w:tab w:val="right" w:pos="8844" w:leader="dot"/>
        </w:tabs>
        <w:rPr>
          <w:rFonts w:hint="eastAsia" w:ascii="宋体" w:hAnsi="宋体" w:eastAsia="宋体" w:cs="宋体"/>
          <w:sz w:val="28"/>
          <w:szCs w:val="28"/>
          <w:highlight w:val="none"/>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sz w:val="28"/>
          <w:szCs w:val="28"/>
          <w:highlight w:val="none"/>
        </w:rPr>
        <w:instrText xml:space="preserve"> HYPERLINK \l _Toc32250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第二章  投标人须知</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_Toc32250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4</w:t>
      </w:r>
      <w:r>
        <w:rPr>
          <w:rFonts w:hint="eastAsia" w:ascii="宋体" w:hAnsi="宋体" w:eastAsia="宋体" w:cs="宋体"/>
          <w:sz w:val="28"/>
          <w:szCs w:val="28"/>
          <w:highlight w:val="none"/>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759"/>
        <w:ind w:firstLine="280"/>
        <w:keepLines w:val="0"/>
        <w:keepNext w:val="0"/>
        <w:pageBreakBefore w:val="0"/>
        <w:spacing w:after="0" w:line="600" w:lineRule="exact"/>
        <w:widowControl w:val="off"/>
        <w:tabs>
          <w:tab w:val="right" w:pos="8844" w:leader="dot"/>
        </w:tabs>
        <w:rPr>
          <w:rFonts w:hint="eastAsia" w:ascii="宋体" w:hAnsi="宋体" w:eastAsia="宋体" w:cs="宋体"/>
          <w:sz w:val="28"/>
          <w:szCs w:val="28"/>
          <w:highlight w:val="none"/>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sz w:val="28"/>
          <w:szCs w:val="28"/>
          <w:highlight w:val="none"/>
        </w:rPr>
        <w:instrText xml:space="preserve"> HYPERLINK \l _Toc31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第三章  合同文本</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20</w:t>
      </w:r>
      <w:r>
        <w:rPr>
          <w:rFonts w:hint="eastAsia" w:ascii="宋体" w:hAnsi="宋体" w:eastAsia="宋体" w:cs="宋体"/>
          <w:sz w:val="28"/>
          <w:szCs w:val="28"/>
          <w:highlight w:val="none"/>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759"/>
        <w:ind w:firstLine="280"/>
        <w:keepLines w:val="0"/>
        <w:keepNext w:val="0"/>
        <w:pageBreakBefore w:val="0"/>
        <w:spacing w:after="0" w:line="600" w:lineRule="exact"/>
        <w:widowControl w:val="off"/>
        <w:tabs>
          <w:tab w:val="right" w:pos="8844" w:leader="dot"/>
        </w:tabs>
        <w:rPr>
          <w:rFonts w:hint="eastAsia" w:ascii="宋体" w:hAnsi="宋体" w:eastAsia="宋体" w:cs="宋体"/>
          <w:sz w:val="28"/>
          <w:szCs w:val="28"/>
          <w:highlight w:val="none"/>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sz w:val="28"/>
          <w:szCs w:val="28"/>
          <w:highlight w:val="none"/>
        </w:rPr>
        <w:instrText xml:space="preserve"> HYPERLINK \l _Toc11911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第四章 </w:t>
      </w:r>
      <w:r>
        <w:rPr>
          <w:rFonts w:hint="eastAsia" w:ascii="宋体" w:hAnsi="宋体" w:eastAsia="宋体" w:cs="宋体"/>
          <w:bCs/>
          <w:sz w:val="28"/>
          <w:szCs w:val="28"/>
          <w:highlight w:val="none"/>
          <w:lang w:val="en-US" w:eastAsia="zh-CN"/>
        </w:rPr>
        <w:t xml:space="preserve"> </w:t>
      </w:r>
      <w:r>
        <w:rPr>
          <w:rFonts w:hint="eastAsia" w:ascii="宋体" w:hAnsi="宋体" w:eastAsia="宋体" w:cs="宋体"/>
          <w:bCs/>
          <w:sz w:val="28"/>
          <w:szCs w:val="28"/>
          <w:highlight w:val="none"/>
        </w:rPr>
        <w:t xml:space="preserve">采购需求</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_Toc11911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28</w:t>
      </w:r>
      <w:r>
        <w:rPr>
          <w:rFonts w:hint="eastAsia" w:ascii="宋体" w:hAnsi="宋体" w:eastAsia="宋体" w:cs="宋体"/>
          <w:sz w:val="28"/>
          <w:szCs w:val="28"/>
          <w:highlight w:val="none"/>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759"/>
        <w:ind w:firstLine="280"/>
        <w:keepLines w:val="0"/>
        <w:keepNext w:val="0"/>
        <w:pageBreakBefore w:val="0"/>
        <w:spacing w:after="0" w:line="600" w:lineRule="exact"/>
        <w:widowControl w:val="off"/>
        <w:tabs>
          <w:tab w:val="right" w:pos="8844" w:leader="dot"/>
        </w:tabs>
        <w:rPr>
          <w:rFonts w:hint="eastAsia" w:ascii="宋体" w:hAnsi="宋体" w:eastAsia="宋体" w:cs="宋体"/>
          <w:sz w:val="28"/>
          <w:szCs w:val="28"/>
          <w:highlight w:val="none"/>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sz w:val="28"/>
          <w:szCs w:val="28"/>
          <w:highlight w:val="none"/>
        </w:rPr>
        <w:instrText xml:space="preserve"> HYPERLINK \l _Toc30458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第五章  评标方法与评标标准</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_Toc30458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40</w:t>
      </w:r>
      <w:r>
        <w:rPr>
          <w:rFonts w:hint="eastAsia" w:ascii="宋体" w:hAnsi="宋体" w:eastAsia="宋体" w:cs="宋体"/>
          <w:sz w:val="28"/>
          <w:szCs w:val="28"/>
          <w:highlight w:val="none"/>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759"/>
        <w:ind w:firstLine="280"/>
        <w:keepLines w:val="0"/>
        <w:keepNext w:val="0"/>
        <w:pageBreakBefore w:val="0"/>
        <w:spacing w:after="0" w:line="600" w:lineRule="exact"/>
        <w:widowControl w:val="off"/>
        <w:tabs>
          <w:tab w:val="right" w:pos="8844" w:leader="dot"/>
        </w:tabs>
        <w:rPr>
          <w:rFonts w:hint="eastAsia" w:ascii="宋体" w:hAnsi="宋体" w:eastAsia="宋体" w:cs="宋体"/>
          <w:sz w:val="28"/>
          <w:szCs w:val="28"/>
          <w:highlight w:val="none"/>
        </w:rPr>
      </w:pPr>
      <w:r>
        <w:rPr>
          <w:rFonts w:hint="eastAsia" w:ascii="宋体" w:hAnsi="宋体" w:eastAsia="宋体" w:cs="宋体"/>
          <w:color w:val="000000" w:themeColor="text1"/>
          <w:sz w:val="28"/>
          <w:szCs w:val="28"/>
          <w:highlight w:val="none"/>
          <w14:textFill>
            <w14:solidFill>
              <w14:schemeClr w14:val="tx1"/>
            </w14:solidFill>
          </w14:textFill>
        </w:rPr>
        <w:fldChar w:fldCharType="begin"/>
      </w:r>
      <w:r>
        <w:rPr>
          <w:rFonts w:hint="eastAsia" w:ascii="宋体" w:hAnsi="宋体" w:eastAsia="宋体" w:cs="宋体"/>
          <w:sz w:val="28"/>
          <w:szCs w:val="28"/>
          <w:highlight w:val="none"/>
        </w:rPr>
        <w:instrText xml:space="preserve"> HYPERLINK \l _Toc3087 </w:instrText>
      </w:r>
      <w:r>
        <w:rPr>
          <w:rFonts w:hint="eastAsia" w:ascii="宋体" w:hAnsi="宋体" w:eastAsia="宋体" w:cs="宋体"/>
          <w:sz w:val="28"/>
          <w:szCs w:val="28"/>
          <w:highlight w:val="none"/>
        </w:rPr>
        <w:fldChar w:fldCharType="separate"/>
      </w:r>
      <w:r>
        <w:rPr>
          <w:rFonts w:hint="eastAsia" w:ascii="宋体" w:hAnsi="宋体" w:eastAsia="宋体" w:cs="宋体"/>
          <w:bCs/>
          <w:sz w:val="28"/>
          <w:szCs w:val="28"/>
          <w:highlight w:val="none"/>
        </w:rPr>
        <w:t xml:space="preserve">第六章  投标文件格式</w:t>
      </w:r>
      <w:r>
        <w:rPr>
          <w:rFonts w:hint="eastAsia" w:ascii="宋体" w:hAnsi="宋体" w:eastAsia="宋体" w:cs="宋体"/>
          <w:sz w:val="28"/>
          <w:szCs w:val="28"/>
          <w:highlight w:val="none"/>
        </w:rPr>
        <w:tab/>
      </w:r>
      <w:r>
        <w:rPr>
          <w:rFonts w:hint="eastAsia" w:ascii="宋体" w:hAnsi="宋体" w:eastAsia="宋体" w:cs="宋体"/>
          <w:sz w:val="28"/>
          <w:szCs w:val="28"/>
          <w:highlight w:val="none"/>
        </w:rPr>
        <w:fldChar w:fldCharType="begin"/>
      </w:r>
      <w:r>
        <w:rPr>
          <w:rFonts w:hint="eastAsia" w:ascii="宋体" w:hAnsi="宋体" w:eastAsia="宋体" w:cs="宋体"/>
          <w:sz w:val="28"/>
          <w:szCs w:val="28"/>
          <w:highlight w:val="none"/>
        </w:rPr>
        <w:instrText xml:space="preserve"> PAGEREF _Toc3087 \h </w:instrText>
      </w:r>
      <w:r>
        <w:rPr>
          <w:rFonts w:hint="eastAsia" w:ascii="宋体" w:hAnsi="宋体" w:eastAsia="宋体" w:cs="宋体"/>
          <w:sz w:val="28"/>
          <w:szCs w:val="28"/>
          <w:highlight w:val="none"/>
        </w:rPr>
        <w:fldChar w:fldCharType="separate"/>
      </w:r>
      <w:r>
        <w:rPr>
          <w:rFonts w:hint="eastAsia" w:ascii="宋体" w:hAnsi="宋体" w:eastAsia="宋体" w:cs="宋体"/>
          <w:sz w:val="28"/>
          <w:szCs w:val="28"/>
          <w:highlight w:val="none"/>
        </w:rPr>
        <w:t xml:space="preserve">46</w:t>
      </w:r>
      <w:r>
        <w:rPr>
          <w:rFonts w:hint="eastAsia" w:ascii="宋体" w:hAnsi="宋体" w:eastAsia="宋体" w:cs="宋体"/>
          <w:sz w:val="28"/>
          <w:szCs w:val="28"/>
          <w:highlight w:val="none"/>
        </w:rPr>
        <w:fldChar w:fldCharType="end"/>
      </w: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pStyle w:val="759"/>
        <w:ind w:firstLine="280"/>
        <w:keepLines w:val="0"/>
        <w:keepNext w:val="0"/>
        <w:pageBreakBefore w:val="0"/>
        <w:spacing w:after="0" w:line="600" w:lineRule="exact"/>
        <w:widowControl w:val="off"/>
        <w:tabs>
          <w:tab w:val="right" w:pos="8844" w:leader="dot"/>
        </w:tabs>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8"/>
          <w:szCs w:val="28"/>
          <w:highlight w:val="none"/>
          <w14:textFill>
            <w14:solidFill>
              <w14:schemeClr w14:val="tx1"/>
            </w14:solidFill>
          </w14:textFill>
        </w:rPr>
        <w:fldChar w:fldCharType="end"/>
      </w:r>
      <w:r/>
    </w:p>
    <w:p>
      <w:pPr>
        <w:ind w:firstLine="420"/>
        <w:keepLines w:val="0"/>
        <w:keepNext w:val="0"/>
        <w:pageBreakBefore w:val="0"/>
        <w:spacing w:line="600" w:lineRule="exact"/>
        <w:widowControl w:val="off"/>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p>
      <w:pPr>
        <w:rPr>
          <w:rFonts w:hint="eastAsia" w:asciiTheme="minorEastAsia" w:hAnsiTheme="minorEastAsia" w:eastAsiaTheme="minorEastAsia" w:cstheme="minorEastAsia"/>
          <w:color w:val="000000" w:themeColor="text1"/>
          <w:highlight w:val="none"/>
          <w14:textFill>
            <w14:solidFill>
              <w14:schemeClr w14:val="tx1"/>
            </w14:solidFill>
          </w14:textFill>
        </w:rPr>
        <w:sectPr>
          <w:footerReference w:type="default" r:id="rId14"/>
          <w:footnotePr/>
          <w:endnotePr/>
          <w:type w:val="nextPage"/>
          <w:pgSz w:w="11906" w:h="16838" w:orient="portrait"/>
          <w:pgMar w:top="2098" w:right="1531" w:bottom="1701" w:left="1531" w:header="851" w:footer="907" w:gutter="0"/>
          <w:pgNumType w:start="1"/>
          <w:cols w:num="1" w:sep="0" w:space="0" w:equalWidth="1"/>
          <w:docGrid w:linePitch="360"/>
        </w:sect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p>
      <w:pPr>
        <w:pStyle w:val="737"/>
        <w:jc w:val="center"/>
        <w:rPr>
          <w:rFonts w:hint="eastAsia"/>
          <w:b/>
          <w:bCs/>
          <w:highlight w:val="none"/>
        </w:rPr>
      </w:pPr>
      <w:r/>
      <w:bookmarkStart w:id="7" w:name="_Toc13424"/>
      <w:r/>
      <w:bookmarkStart w:id="8" w:name="_Toc25916"/>
      <w:r>
        <w:rPr>
          <w:rFonts w:hint="eastAsia"/>
          <w:b/>
          <w:bCs/>
          <w:highlight w:val="none"/>
        </w:rPr>
        <w:t xml:space="preserve">第一章  </w:t>
      </w:r>
      <w:bookmarkEnd w:id="1"/>
      <w:r>
        <w:rPr>
          <w:rFonts w:hint="eastAsia"/>
          <w:b/>
          <w:bCs/>
          <w:highlight w:val="none"/>
        </w:rPr>
        <w:t xml:space="preserve">投标邀请</w:t>
      </w:r>
      <w:bookmarkEnd w:id="7"/>
      <w:r/>
      <w:bookmarkEnd w:id="8"/>
      <w:r/>
      <w:r/>
    </w:p>
    <w:p>
      <w:pPr>
        <w:spacing w:line="40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受宿迁市住房和城乡建设局的委托，</w:t>
      </w:r>
      <w:r>
        <w:rPr>
          <w:rFonts w:hint="eastAsia" w:asciiTheme="minorEastAsia" w:hAnsiTheme="minorEastAsia" w:eastAsiaTheme="minorEastAsia" w:cstheme="minorEastAsia"/>
          <w:color w:val="000000" w:themeColor="text1"/>
          <w:sz w:val="24"/>
          <w:szCs w:val="24"/>
          <w:highlight w:val="none"/>
          <w:u w:val="none"/>
          <w:lang w:eastAsia="zh-CN"/>
          <w14:textFill>
            <w14:solidFill>
              <w14:schemeClr w14:val="tx1"/>
            </w14:solidFill>
          </w14:textFill>
        </w:rPr>
        <w:t xml:space="preserve">江苏新时代工程项目管理有限公司</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就</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 xml:space="preserve">市区易涝点信息化管理系统平台新增监测点位项目</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（JSZC-321300-SXSD-G2025-0016）进行公开招标采购，欢迎符合条件的投标人投标。</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项目概况</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color w:val="000000" w:themeColor="text1"/>
          <w:sz w:val="24"/>
          <w:szCs w:val="24"/>
          <w:highlight w:val="none"/>
          <w:u w:val="none"/>
          <w:lang w:eastAsia="zh-CN"/>
          <w14:textFill>
            <w14:solidFill>
              <w14:schemeClr w14:val="tx1"/>
            </w14:solidFill>
          </w14:textFill>
        </w:rPr>
        <w:t xml:space="preserve">市区易涝点信息化管理系统平台新增监测点位项目</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的潜在投标人可在“宿迁市政府采购网”自行免费下载招标文件，并于202</w:t>
      </w:r>
      <w:r>
        <w:rPr>
          <w:rFonts w:hint="eastAsia" w:asciiTheme="minorEastAsia" w:hAnsiTheme="minorEastAsia" w:eastAsiaTheme="minorEastAsia" w:cstheme="minorEastAsia"/>
          <w:color w:val="000000" w:themeColor="text1"/>
          <w:sz w:val="24"/>
          <w:szCs w:val="24"/>
          <w:highlight w:val="none"/>
          <w:u w:val="none"/>
          <w:lang w:val="en-US" w:eastAsia="zh-CN"/>
          <w14:textFill>
            <w14:solidFill>
              <w14:schemeClr w14:val="tx1"/>
            </w14:solidFill>
          </w14:textFill>
        </w:rPr>
        <w:t xml:space="preserve">5</w:t>
      </w:r>
      <w:r>
        <w:rPr>
          <w:rFonts w:hint="eastAsia" w:asciiTheme="minorEastAsia" w:hAnsiTheme="minorEastAsia" w:eastAsiaTheme="minorEastAsia" w:cstheme="minorEastAsia"/>
          <w:bCs/>
          <w:color w:val="000000" w:themeColor="text1"/>
          <w:sz w:val="24"/>
          <w:szCs w:val="24"/>
          <w:highlight w:val="none"/>
          <w:u w:val="none"/>
          <w14:textFill>
            <w14:solidFill>
              <w14:schemeClr w14:val="tx1"/>
            </w14:solidFill>
          </w14:textFill>
        </w:rPr>
        <w:t xml:space="preserve">年</w:t>
      </w:r>
      <w:r>
        <w:rPr>
          <w:rFonts w:hint="eastAsia" w:asciiTheme="minorEastAsia" w:hAnsiTheme="minorEastAsia" w:eastAsiaTheme="minorEastAsia" w:cstheme="minorEastAsia"/>
          <w:bCs/>
          <w:color w:val="000000" w:themeColor="text1"/>
          <w:sz w:val="24"/>
          <w:szCs w:val="24"/>
          <w:highlight w:val="none"/>
          <w:u w:val="none"/>
          <w:lang w:val="en-US" w:eastAsia="zh-CN"/>
          <w14:textFill>
            <w14:solidFill>
              <w14:schemeClr w14:val="tx1"/>
            </w14:solidFill>
          </w14:textFill>
        </w:rPr>
        <w:t xml:space="preserve">04</w:t>
      </w:r>
      <w:r>
        <w:rPr>
          <w:rFonts w:hint="eastAsia" w:asciiTheme="minorEastAsia" w:hAnsiTheme="minorEastAsia" w:eastAsiaTheme="minorEastAsia" w:cstheme="minorEastAsia"/>
          <w:bCs/>
          <w:color w:val="000000" w:themeColor="text1"/>
          <w:sz w:val="24"/>
          <w:szCs w:val="24"/>
          <w:highlight w:val="none"/>
          <w:u w:val="none"/>
          <w14:textFill>
            <w14:solidFill>
              <w14:schemeClr w14:val="tx1"/>
            </w14:solidFill>
          </w14:textFill>
        </w:rPr>
        <w:t xml:space="preserve">月</w:t>
      </w:r>
      <w:r>
        <w:rPr>
          <w:rFonts w:hint="eastAsia" w:asciiTheme="minorEastAsia" w:hAnsiTheme="minorEastAsia" w:eastAsiaTheme="minorEastAsia" w:cstheme="minorEastAsia"/>
          <w:bCs/>
          <w:color w:val="000000" w:themeColor="text1"/>
          <w:sz w:val="24"/>
          <w:szCs w:val="24"/>
          <w:highlight w:val="none"/>
          <w:u w:val="none"/>
          <w:lang w:val="en-US" w:eastAsia="zh-CN"/>
          <w14:textFill>
            <w14:solidFill>
              <w14:schemeClr w14:val="tx1"/>
            </w14:solidFill>
          </w14:textFill>
        </w:rPr>
        <w:t xml:space="preserve">21</w:t>
      </w:r>
      <w:r>
        <w:rPr>
          <w:rFonts w:hint="eastAsia" w:asciiTheme="minorEastAsia" w:hAnsiTheme="minorEastAsia" w:eastAsiaTheme="minorEastAsia" w:cstheme="minorEastAsia"/>
          <w:bCs/>
          <w:color w:val="000000" w:themeColor="text1"/>
          <w:sz w:val="24"/>
          <w:szCs w:val="24"/>
          <w:highlight w:val="none"/>
          <w:u w:val="none"/>
          <w14:textFill>
            <w14:solidFill>
              <w14:schemeClr w14:val="tx1"/>
            </w14:solidFill>
          </w14:textFill>
        </w:rPr>
        <w:t xml:space="preserve">日09</w:t>
      </w:r>
      <w:bookmarkStart w:id="244" w:name="_GoBack"/>
      <w:r/>
      <w:bookmarkEnd w:id="244"/>
      <w:r>
        <w:rPr>
          <w:rFonts w:hint="eastAsia" w:asciiTheme="minorEastAsia" w:hAnsiTheme="minorEastAsia" w:eastAsiaTheme="minorEastAsia" w:cstheme="minorEastAsia"/>
          <w:bCs/>
          <w:color w:val="000000" w:themeColor="text1"/>
          <w:sz w:val="24"/>
          <w:szCs w:val="24"/>
          <w:highlight w:val="none"/>
          <w:u w:val="none"/>
          <w14:textFill>
            <w14:solidFill>
              <w14:schemeClr w14:val="tx1"/>
            </w14:solidFill>
          </w14:textFill>
        </w:rPr>
        <w:t xml:space="preserve">点</w:t>
      </w:r>
      <w:r>
        <w:rPr>
          <w:rFonts w:hint="eastAsia" w:asciiTheme="minorEastAsia" w:hAnsiTheme="minorEastAsia" w:eastAsiaTheme="minorEastAsia" w:cstheme="minorEastAsia"/>
          <w:bCs/>
          <w:color w:val="000000" w:themeColor="text1"/>
          <w:sz w:val="24"/>
          <w:szCs w:val="24"/>
          <w:highlight w:val="none"/>
          <w:u w:val="none"/>
          <w:lang w:val="en-US" w:eastAsia="zh-CN"/>
          <w14:textFill>
            <w14:solidFill>
              <w14:schemeClr w14:val="tx1"/>
            </w14:solidFill>
          </w14:textFill>
        </w:rPr>
        <w:t xml:space="preserve">30</w:t>
      </w:r>
      <w:r>
        <w:rPr>
          <w:rFonts w:hint="eastAsia" w:asciiTheme="minorEastAsia" w:hAnsiTheme="minorEastAsia" w:eastAsiaTheme="minorEastAsia" w:cstheme="minorEastAsia"/>
          <w:bCs/>
          <w:color w:val="000000" w:themeColor="text1"/>
          <w:sz w:val="24"/>
          <w:szCs w:val="24"/>
          <w:highlight w:val="none"/>
          <w:u w:val="none"/>
          <w14:textFill>
            <w14:solidFill>
              <w14:schemeClr w14:val="tx1"/>
            </w14:solidFill>
          </w14:textFill>
        </w:rPr>
        <w:t xml:space="preserve">分（北京时间）前递交投标文件</w:t>
      </w:r>
      <w:r>
        <w:rPr>
          <w:rFonts w:hint="eastAsia" w:asciiTheme="minorEastAsia" w:hAnsiTheme="minorEastAsia" w:eastAsiaTheme="minorEastAsia" w:cstheme="minorEastAsia"/>
          <w:color w:val="000000" w:themeColor="text1"/>
          <w:sz w:val="24"/>
          <w:szCs w:val="24"/>
          <w:highlight w:val="none"/>
          <w:u w:val="none"/>
          <w14:textFill>
            <w14:solidFill>
              <w14:schemeClr w14:val="tx1"/>
            </w14:solidFill>
          </w14:textFill>
        </w:rPr>
        <w:t xml:space="preserve">。</w:t>
      </w:r>
      <w:r/>
    </w:p>
    <w:p>
      <w:pPr>
        <w:pStyle w:val="944"/>
        <w:ind w:firstLine="482"/>
        <w:jc w:val="both"/>
        <w:keepLines w:val="0"/>
        <w:keepNext w:val="0"/>
        <w:pageBreakBefore w:val="0"/>
        <w:spacing w:before="0" w:after="0" w:line="480" w:lineRule="exact"/>
        <w:widowControl w:val="off"/>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bookmarkStart w:id="9" w:name="_Toc28359079"/>
      <w:r/>
      <w:bookmarkStart w:id="10" w:name="_Toc38985263"/>
      <w:r/>
      <w:bookmarkStart w:id="11" w:name="_Toc28359002"/>
      <w:r/>
      <w:bookmarkStart w:id="12" w:name="_Toc35393621"/>
      <w:r/>
      <w:bookmarkStart w:id="13" w:name="_Toc35393790"/>
      <w:r/>
      <w:bookmarkStart w:id="14" w:name="_Hlk24379207"/>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一、项目基本情况</w:t>
      </w:r>
      <w:bookmarkEnd w:id="9"/>
      <w:r/>
      <w:bookmarkEnd w:id="10"/>
      <w:r/>
      <w:bookmarkEnd w:id="11"/>
      <w:r/>
      <w:bookmarkEnd w:id="12"/>
      <w:r/>
      <w:bookmarkEnd w:id="13"/>
      <w:r/>
      <w:r/>
    </w:p>
    <w:p>
      <w:pPr>
        <w:ind w:firstLine="480"/>
        <w:jc w:val="both"/>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1.项目编号：JSZC-321300-SXSD-G2025-0016</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  </w:t>
      </w:r>
      <w:r/>
    </w:p>
    <w:p>
      <w:pPr>
        <w:ind w:firstLine="480"/>
        <w:jc w:val="both"/>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2.项目名称：</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市区易涝点信息化管理系统平台新增监测点位项目</w:t>
      </w:r>
      <w:bookmarkEnd w:id="14"/>
      <w:r/>
      <w:r/>
    </w:p>
    <w:p>
      <w:pPr>
        <w:ind w:firstLine="480"/>
        <w:jc w:val="both"/>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3.预算金额：</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200万元</w:t>
      </w:r>
      <w:r/>
    </w:p>
    <w:p>
      <w:pPr>
        <w:ind w:firstLine="480"/>
        <w:jc w:val="both"/>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4.最高限价</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：195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万元</w:t>
      </w:r>
      <w:r/>
    </w:p>
    <w:p>
      <w:pPr>
        <w:ind w:firstLine="480"/>
        <w:jc w:val="both"/>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5.采购需求（简介）：</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市区易涝点信息化管理系统平台新增监测点位项目</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（详细内容见本招标文件第四章） </w:t>
      </w:r>
      <w:r/>
    </w:p>
    <w:p>
      <w:pPr>
        <w:ind w:firstLine="480"/>
        <w:jc w:val="both"/>
        <w:keepLines w:val="0"/>
        <w:keepNext w:val="0"/>
        <w:pageBreakBefore w:val="0"/>
        <w:spacing w:line="480" w:lineRule="exact"/>
        <w:widowControl w:val="off"/>
        <w:rPr>
          <w:rFonts w:hint="eastAsia" w:asciiTheme="minorEastAsia" w:hAnsiTheme="minorEastAsia" w:eastAsiaTheme="minorEastAsia" w:cstheme="minorEastAsia"/>
          <w:color w:val="ff0000"/>
          <w:sz w:val="24"/>
          <w:szCs w:val="24"/>
          <w:highlight w:val="none"/>
          <w:lang w:val="en-US" w:eastAsia="zh-CN"/>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6.</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合同履行期</w:t>
      </w:r>
      <w:r>
        <w:rPr>
          <w:rFonts w:hint="eastAsia" w:asciiTheme="minorEastAsia" w:hAnsiTheme="minorEastAsia" w:eastAsiaTheme="minorEastAsia" w:cstheme="minorEastAsia"/>
          <w:color w:val="auto"/>
          <w:sz w:val="24"/>
          <w:szCs w:val="24"/>
          <w:highlight w:val="none"/>
          <w:lang w:val="en-US" w:eastAsia="zh-CN"/>
        </w:rPr>
        <w:t xml:space="preserve">限：合同签订并生效后50日历天完成安装</w:t>
      </w:r>
      <w:r/>
    </w:p>
    <w:p>
      <w:pPr>
        <w:ind w:firstLine="480"/>
        <w:jc w:val="both"/>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7.本项目</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不</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接受联合体投标</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pStyle w:val="944"/>
        <w:ind w:firstLine="482"/>
        <w:jc w:val="both"/>
        <w:keepLines w:val="0"/>
        <w:keepNext w:val="0"/>
        <w:pageBreakBefore w:val="0"/>
        <w:spacing w:before="0" w:after="0" w:line="480" w:lineRule="exact"/>
        <w:widowControl w:val="off"/>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bookmarkStart w:id="15" w:name="_Toc28359003"/>
      <w:r/>
      <w:bookmarkStart w:id="16" w:name="_Toc38985264"/>
      <w:r/>
      <w:bookmarkStart w:id="17" w:name="_Toc28359080"/>
      <w:r/>
      <w:bookmarkStart w:id="18" w:name="_Toc35393622"/>
      <w:r/>
      <w:bookmarkStart w:id="19" w:name="_Toc35393791"/>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二、申请人的资格要求：</w:t>
      </w:r>
      <w:bookmarkEnd w:id="15"/>
      <w:r/>
      <w:bookmarkEnd w:id="16"/>
      <w:r/>
      <w:bookmarkEnd w:id="17"/>
      <w:r/>
      <w:bookmarkEnd w:id="18"/>
      <w:r/>
      <w:bookmarkEnd w:id="19"/>
      <w:r/>
      <w:r/>
    </w:p>
    <w:p>
      <w:pPr>
        <w:ind w:firstLine="480"/>
        <w:jc w:val="both"/>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bookmarkStart w:id="20" w:name="_Toc28359081"/>
      <w:r/>
      <w:bookmarkStart w:id="21" w:name="_Toc38985265"/>
      <w:r/>
      <w:bookmarkStart w:id="22" w:name="_Toc35393792"/>
      <w:r/>
      <w:bookmarkStart w:id="23" w:name="_Toc28359004"/>
      <w:r/>
      <w:bookmarkStart w:id="24" w:name="_Toc35393623"/>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（一）通用资格要求</w:t>
      </w:r>
      <w:r/>
    </w:p>
    <w:p>
      <w:pPr>
        <w:ind w:firstLine="480"/>
        <w:jc w:val="both"/>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1.具备《中华人民共和国政府采购法》第二十二条第一款规定的6项条件（按要求提供投标声明及承诺函）。</w:t>
      </w:r>
      <w:r/>
    </w:p>
    <w:p>
      <w:pPr>
        <w:ind w:firstLine="480"/>
        <w:jc w:val="both"/>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2.信用信息。信用信息查询渠道：“信用中国”网（www.creditchina.gov.cn）、“中国政府采购”网（www.ccgp.gov.cn）、江苏政府采购网（www.ccgp-jiangsu.gov.cn）。    </w:t>
      </w:r>
      <w:r/>
    </w:p>
    <w:p>
      <w:pPr>
        <w:ind w:firstLine="480"/>
        <w:jc w:val="both"/>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信用信息的使用规则：</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投标人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被列入失信被执行人、重大税收违法失信主体、政府采购严重违法失信行为记录名单及其他不符合《中华人民共和国政府采购法》第二十二条规定条件的</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投标人</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，将拒绝其参与政府采购活动。（投标文件中无需提供证明材料）。</w:t>
      </w:r>
      <w:r/>
    </w:p>
    <w:p>
      <w:pPr>
        <w:ind w:firstLine="480"/>
        <w:jc w:val="both"/>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落实政府采购政策需满足的资格要求：</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投标人提供的</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服务</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符合规定情形的，对小微企业报价给予扣除（扣除比例详见“投标人须知”-“评标程序“条款），用扣除后的价格参加评审。</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投标人须提供《中小企业或残疾人福利性单位声明函》。</w:t>
      </w:r>
      <w:r/>
    </w:p>
    <w:p>
      <w:pPr>
        <w:ind w:firstLine="480"/>
        <w:jc w:val="both"/>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（二）本项目的特定资格要求：</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无。</w:t>
      </w:r>
      <w:r/>
    </w:p>
    <w:p>
      <w:pPr>
        <w:pStyle w:val="944"/>
        <w:ind w:firstLine="482"/>
        <w:jc w:val="both"/>
        <w:keepLines w:val="0"/>
        <w:keepNext w:val="0"/>
        <w:pageBreakBefore w:val="0"/>
        <w:spacing w:before="0" w:after="0" w:line="480" w:lineRule="exact"/>
        <w:widowControl w:val="off"/>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三、获取招标文件</w:t>
      </w:r>
      <w:bookmarkEnd w:id="20"/>
      <w:r/>
      <w:bookmarkEnd w:id="21"/>
      <w:r/>
      <w:bookmarkEnd w:id="22"/>
      <w:r/>
      <w:bookmarkEnd w:id="23"/>
      <w:r/>
      <w:bookmarkEnd w:id="24"/>
      <w:r/>
      <w:r/>
    </w:p>
    <w:p>
      <w:pPr>
        <w:ind w:firstLine="480"/>
        <w:jc w:val="both"/>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bookmarkStart w:id="25" w:name="_Toc28359082"/>
      <w:r/>
      <w:bookmarkStart w:id="26" w:name="_Toc28359005"/>
      <w:r/>
      <w:bookmarkStart w:id="27" w:name="_Toc35393793"/>
      <w:r/>
      <w:bookmarkStart w:id="28" w:name="_Toc35393624"/>
      <w:r/>
      <w:bookmarkStart w:id="29" w:name="_Toc3898526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1.时间：202</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年</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04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月</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01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日00:00至202</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年</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04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月</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09</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日23:59（北京时间）</w:t>
      </w:r>
      <w:r/>
    </w:p>
    <w:p>
      <w:pPr>
        <w:ind w:firstLine="480"/>
        <w:jc w:val="both"/>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jc w:val="both"/>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3.地点：“苏采云“系统 （网址: http://jszfcg.jsczt.cn/）</w:t>
      </w:r>
      <w:r/>
    </w:p>
    <w:p>
      <w:pPr>
        <w:ind w:firstLine="480"/>
        <w:jc w:val="both"/>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bookmarkStart w:id="30" w:name="EB0c44ff4da61f4af989d119fe214be450"/>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4.本项目共分一个包。投标人未按要求获取招标文件导致无法投标的，后果自负（其投标文件不予接受）。</w:t>
      </w:r>
      <w:bookmarkEnd w:id="30"/>
      <w:r/>
      <w:r/>
    </w:p>
    <w:p>
      <w:pPr>
        <w:pStyle w:val="944"/>
        <w:ind w:firstLine="482"/>
        <w:jc w:val="both"/>
        <w:keepLines w:val="0"/>
        <w:keepNext w:val="0"/>
        <w:pageBreakBefore w:val="0"/>
        <w:spacing w:before="0" w:after="0" w:line="480" w:lineRule="exact"/>
        <w:widowControl w:val="off"/>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四、提交投标文件</w:t>
      </w:r>
      <w:bookmarkEnd w:id="25"/>
      <w:r/>
      <w:bookmarkEnd w:id="26"/>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截止时间、开标时间和地点</w:t>
      </w:r>
      <w:bookmarkEnd w:id="27"/>
      <w:r/>
      <w:bookmarkEnd w:id="28"/>
      <w:r/>
      <w:bookmarkEnd w:id="29"/>
      <w:r/>
      <w:r/>
    </w:p>
    <w:p>
      <w:pPr>
        <w:ind w:firstLine="480"/>
        <w:jc w:val="both"/>
        <w:keepLines w:val="0"/>
        <w:keepNext w:val="0"/>
        <w:pageBreakBefore w:val="0"/>
        <w:spacing w:line="480" w:lineRule="exact"/>
        <w:widowControl w:val="off"/>
        <w:rPr>
          <w:rFonts w:hint="eastAsia" w:asciiTheme="minorEastAsia" w:hAnsiTheme="minorEastAsia" w:eastAsiaTheme="minorEastAsia" w:cstheme="minorEastAsia"/>
          <w:bCs/>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提交投标文件截止时间、开标时间：</w:t>
      </w:r>
      <w:r>
        <w:rPr>
          <w:rFonts w:hint="eastAsia" w:asciiTheme="minorEastAsia" w:hAnsiTheme="minorEastAsia" w:eastAsiaTheme="minorEastAsia" w:cstheme="minorEastAsia"/>
          <w:bCs/>
          <w:color w:val="000000" w:themeColor="text1"/>
          <w:sz w:val="24"/>
          <w:szCs w:val="24"/>
          <w:highlight w:val="none"/>
          <w:u w:val="none"/>
          <w14:textFill>
            <w14:solidFill>
              <w14:schemeClr w14:val="tx1"/>
            </w14:solidFill>
          </w14:textFill>
        </w:rPr>
        <w:t xml:space="preserve">202</w:t>
      </w:r>
      <w:r>
        <w:rPr>
          <w:rFonts w:hint="eastAsia" w:asciiTheme="minorEastAsia" w:hAnsiTheme="minorEastAsia" w:eastAsiaTheme="minorEastAsia" w:cstheme="minorEastAsia"/>
          <w:bCs/>
          <w:color w:val="000000" w:themeColor="text1"/>
          <w:sz w:val="24"/>
          <w:szCs w:val="24"/>
          <w:highlight w:val="none"/>
          <w:u w:val="none"/>
          <w:lang w:val="en-US" w:eastAsia="zh-CN"/>
          <w14:textFill>
            <w14:solidFill>
              <w14:schemeClr w14:val="tx1"/>
            </w14:solidFill>
          </w14:textFill>
        </w:rPr>
        <w:t xml:space="preserve">5</w:t>
      </w:r>
      <w:r>
        <w:rPr>
          <w:rFonts w:hint="eastAsia" w:asciiTheme="minorEastAsia" w:hAnsiTheme="minorEastAsia" w:eastAsiaTheme="minorEastAsia" w:cstheme="minorEastAsia"/>
          <w:bCs/>
          <w:color w:val="000000" w:themeColor="text1"/>
          <w:sz w:val="24"/>
          <w:szCs w:val="24"/>
          <w:highlight w:val="none"/>
          <w:u w:val="none"/>
          <w14:textFill>
            <w14:solidFill>
              <w14:schemeClr w14:val="tx1"/>
            </w14:solidFill>
          </w14:textFill>
        </w:rPr>
        <w:t xml:space="preserve">年</w:t>
      </w:r>
      <w:r>
        <w:rPr>
          <w:rFonts w:hint="eastAsia" w:asciiTheme="minorEastAsia" w:hAnsiTheme="minorEastAsia" w:eastAsiaTheme="minorEastAsia" w:cstheme="minorEastAsia"/>
          <w:bCs/>
          <w:color w:val="000000" w:themeColor="text1"/>
          <w:sz w:val="24"/>
          <w:szCs w:val="24"/>
          <w:highlight w:val="none"/>
          <w:u w:val="none"/>
          <w:lang w:val="en-US" w:eastAsia="zh-CN"/>
          <w14:textFill>
            <w14:solidFill>
              <w14:schemeClr w14:val="tx1"/>
            </w14:solidFill>
          </w14:textFill>
        </w:rPr>
        <w:t xml:space="preserve">04</w:t>
      </w:r>
      <w:r>
        <w:rPr>
          <w:rFonts w:hint="eastAsia" w:asciiTheme="minorEastAsia" w:hAnsiTheme="minorEastAsia" w:eastAsiaTheme="minorEastAsia" w:cstheme="minorEastAsia"/>
          <w:bCs/>
          <w:color w:val="000000" w:themeColor="text1"/>
          <w:sz w:val="24"/>
          <w:szCs w:val="24"/>
          <w:highlight w:val="none"/>
          <w:u w:val="none"/>
          <w14:textFill>
            <w14:solidFill>
              <w14:schemeClr w14:val="tx1"/>
            </w14:solidFill>
          </w14:textFill>
        </w:rPr>
        <w:t xml:space="preserve">月</w:t>
      </w:r>
      <w:r>
        <w:rPr>
          <w:rFonts w:hint="eastAsia" w:asciiTheme="minorEastAsia" w:hAnsiTheme="minorEastAsia" w:eastAsiaTheme="minorEastAsia" w:cstheme="minorEastAsia"/>
          <w:bCs/>
          <w:color w:val="000000" w:themeColor="text1"/>
          <w:sz w:val="24"/>
          <w:szCs w:val="24"/>
          <w:highlight w:val="none"/>
          <w:u w:val="none"/>
          <w:lang w:val="en-US" w:eastAsia="zh-CN"/>
          <w14:textFill>
            <w14:solidFill>
              <w14:schemeClr w14:val="tx1"/>
            </w14:solidFill>
          </w14:textFill>
        </w:rPr>
        <w:t xml:space="preserve">21</w:t>
      </w:r>
      <w:r>
        <w:rPr>
          <w:rFonts w:hint="eastAsia" w:asciiTheme="minorEastAsia" w:hAnsiTheme="minorEastAsia" w:eastAsiaTheme="minorEastAsia" w:cstheme="minorEastAsia"/>
          <w:bCs/>
          <w:color w:val="000000" w:themeColor="text1"/>
          <w:sz w:val="24"/>
          <w:szCs w:val="24"/>
          <w:highlight w:val="none"/>
          <w:u w:val="none"/>
          <w14:textFill>
            <w14:solidFill>
              <w14:schemeClr w14:val="tx1"/>
            </w14:solidFill>
          </w14:textFill>
        </w:rPr>
        <w:t xml:space="preserve">日</w:t>
      </w:r>
      <w:r>
        <w:rPr>
          <w:rFonts w:hint="eastAsia" w:asciiTheme="minorEastAsia" w:hAnsiTheme="minorEastAsia" w:eastAsiaTheme="minorEastAsia" w:cstheme="minorEastAsia"/>
          <w:bCs/>
          <w:color w:val="000000" w:themeColor="text1"/>
          <w:sz w:val="24"/>
          <w:szCs w:val="24"/>
          <w:highlight w:val="none"/>
          <w:u w:val="none"/>
          <w:lang w:val="en-US" w:eastAsia="zh-CN"/>
          <w14:textFill>
            <w14:solidFill>
              <w14:schemeClr w14:val="tx1"/>
            </w14:solidFill>
          </w14:textFill>
        </w:rPr>
        <w:t xml:space="preserve">09</w:t>
      </w:r>
      <w:r>
        <w:rPr>
          <w:rFonts w:hint="eastAsia" w:asciiTheme="minorEastAsia" w:hAnsiTheme="minorEastAsia" w:eastAsiaTheme="minorEastAsia" w:cstheme="minorEastAsia"/>
          <w:bCs/>
          <w:color w:val="000000" w:themeColor="text1"/>
          <w:sz w:val="24"/>
          <w:szCs w:val="24"/>
          <w:highlight w:val="none"/>
          <w:u w:val="none"/>
          <w14:textFill>
            <w14:solidFill>
              <w14:schemeClr w14:val="tx1"/>
            </w14:solidFill>
          </w14:textFill>
        </w:rPr>
        <w:t xml:space="preserve">点</w:t>
      </w:r>
      <w:r>
        <w:rPr>
          <w:rFonts w:hint="eastAsia" w:asciiTheme="minorEastAsia" w:hAnsiTheme="minorEastAsia" w:eastAsiaTheme="minorEastAsia" w:cstheme="minorEastAsia"/>
          <w:bCs/>
          <w:color w:val="000000" w:themeColor="text1"/>
          <w:sz w:val="24"/>
          <w:szCs w:val="24"/>
          <w:highlight w:val="none"/>
          <w:u w:val="none"/>
          <w:lang w:val="en-US" w:eastAsia="zh-CN"/>
          <w14:textFill>
            <w14:solidFill>
              <w14:schemeClr w14:val="tx1"/>
            </w14:solidFill>
          </w14:textFill>
        </w:rPr>
        <w:t xml:space="preserve">30</w:t>
      </w:r>
      <w:r>
        <w:rPr>
          <w:rFonts w:hint="eastAsia" w:asciiTheme="minorEastAsia" w:hAnsiTheme="minorEastAsia" w:eastAsiaTheme="minorEastAsia" w:cstheme="minorEastAsia"/>
          <w:bCs/>
          <w:color w:val="000000" w:themeColor="text1"/>
          <w:sz w:val="24"/>
          <w:szCs w:val="24"/>
          <w:highlight w:val="none"/>
          <w:u w:val="none"/>
          <w14:textFill>
            <w14:solidFill>
              <w14:schemeClr w14:val="tx1"/>
            </w14:solidFill>
          </w14:textFill>
        </w:rPr>
        <w:t xml:space="preserve">分</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（北京时间）</w:t>
      </w:r>
      <w:r/>
    </w:p>
    <w:p>
      <w:pPr>
        <w:ind w:firstLine="480"/>
        <w:jc w:val="both"/>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2.地点：“苏采云”政府采购交易系统网上开标大厅。</w:t>
      </w:r>
      <w:r/>
    </w:p>
    <w:p>
      <w:pPr>
        <w:pStyle w:val="944"/>
        <w:ind w:firstLine="482"/>
        <w:jc w:val="both"/>
        <w:keepLines w:val="0"/>
        <w:keepNext w:val="0"/>
        <w:pageBreakBefore w:val="0"/>
        <w:spacing w:before="0" w:after="0" w:line="480" w:lineRule="exact"/>
        <w:widowControl w:val="off"/>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bookmarkStart w:id="31" w:name="_Toc35393794"/>
      <w:r/>
      <w:bookmarkStart w:id="32" w:name="_Toc38985267"/>
      <w:r/>
      <w:bookmarkStart w:id="33" w:name="_Toc28359007"/>
      <w:r/>
      <w:bookmarkStart w:id="34" w:name="_Toc28359084"/>
      <w:r/>
      <w:bookmarkStart w:id="35" w:name="_Toc35393625"/>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五、公告期限</w:t>
      </w:r>
      <w:bookmarkEnd w:id="31"/>
      <w:r/>
      <w:bookmarkEnd w:id="32"/>
      <w:r/>
      <w:bookmarkEnd w:id="33"/>
      <w:r/>
      <w:bookmarkEnd w:id="34"/>
      <w:r/>
      <w:bookmarkEnd w:id="35"/>
      <w:r/>
      <w:r/>
    </w:p>
    <w:p>
      <w:pPr>
        <w:ind w:firstLine="480"/>
        <w:jc w:val="both"/>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bookmarkStart w:id="36" w:name="_Toc35393626"/>
      <w:r/>
      <w:bookmarkStart w:id="37" w:name="_Toc35393795"/>
      <w:r/>
      <w:bookmarkStart w:id="38" w:name="_Toc38985268"/>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招标公告及招标文件公告期限为自本公告发布之日起5个工作日。</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招标公告发布媒体：宿迁市政府采购网</w:t>
      </w:r>
      <w:r>
        <w:rPr>
          <w:rFonts w:hint="eastAsia" w:asciiTheme="minorEastAsia" w:hAnsiTheme="minorEastAsia" w:eastAsiaTheme="minorEastAsia" w:cstheme="minorEastAsia"/>
          <w:color w:val="000000" w:themeColor="text1"/>
          <w:sz w:val="24"/>
          <w:szCs w:val="28"/>
          <w:highlight w:val="none"/>
          <w14:textFill>
            <w14:solidFill>
              <w14:schemeClr w14:val="tx1"/>
            </w14:solidFill>
          </w14:textFill>
        </w:rPr>
        <w:t xml:space="preserve">、宿迁市公共资源交易平台</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、江苏省财政部门指定的媒体</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pStyle w:val="944"/>
        <w:ind w:firstLine="482"/>
        <w:jc w:val="both"/>
        <w:keepLines w:val="0"/>
        <w:keepNext w:val="0"/>
        <w:pageBreakBefore w:val="0"/>
        <w:spacing w:before="0" w:after="0" w:line="480" w:lineRule="exact"/>
        <w:widowControl w:val="off"/>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六、其他补充事宜</w:t>
      </w:r>
      <w:bookmarkEnd w:id="36"/>
      <w:r/>
      <w:bookmarkEnd w:id="37"/>
      <w:r/>
      <w:bookmarkEnd w:id="38"/>
      <w:r/>
      <w:r/>
    </w:p>
    <w:p>
      <w:pPr>
        <w:ind w:firstLine="480"/>
        <w:jc w:val="both"/>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bookmarkStart w:id="39" w:name="EB64e1f522fd8c43fcb4d3ba471386b3e7"/>
      <w:r/>
      <w:bookmarkStart w:id="40" w:name="_Toc38985269"/>
      <w:r/>
      <w:bookmarkStart w:id="41" w:name="_Toc28359085"/>
      <w:r/>
      <w:bookmarkStart w:id="42" w:name="_Toc35393627"/>
      <w:r/>
      <w:bookmarkStart w:id="43" w:name="_Toc28359008"/>
      <w:r/>
      <w:bookmarkStart w:id="44" w:name="_Toc35393796"/>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1.财政部门监督电话：0527-84363063。</w:t>
      </w:r>
      <w:r/>
    </w:p>
    <w:p>
      <w:pPr>
        <w:ind w:firstLine="480"/>
        <w:jc w:val="both"/>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2.“CA”数字证书办理：“苏采云”系统目前仅支持“苏采云”系统下的意源CA。省内各地区办理的“苏采云”系统下的意源CA全省通用。宿迁地区CA数字证书办理联系方式：18762803891。</w:t>
      </w:r>
      <w:r/>
    </w:p>
    <w:p>
      <w:pPr>
        <w:pStyle w:val="1017"/>
        <w:ind w:firstLine="480"/>
        <w:jc w:val="both"/>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1"/>
          <w:highlight w:val="none"/>
          <w:lang w:val="en-US"/>
          <w14:textFill>
            <w14:solidFill>
              <w14:schemeClr w14:val="tx1"/>
            </w14:solidFill>
          </w14:textFill>
        </w:rPr>
      </w:pPr>
      <w:r>
        <w:rPr>
          <w:rFonts w:hint="eastAsia" w:asciiTheme="minorEastAsia" w:hAnsiTheme="minorEastAsia" w:eastAsiaTheme="minorEastAsia" w:cstheme="minorEastAsia"/>
          <w:color w:val="000000" w:themeColor="text1"/>
          <w:sz w:val="24"/>
          <w:szCs w:val="21"/>
          <w:highlight w:val="none"/>
          <w:lang w:val="en-US"/>
          <w14:textFill>
            <w14:solidFill>
              <w14:schemeClr w14:val="tx1"/>
            </w14:solidFill>
          </w14:textFill>
        </w:rPr>
        <w:t xml:space="preserve">3.宿迁地区“苏采云”技术支持客服电话：0527-84225125、0519-86722806。</w:t>
      </w:r>
      <w:r/>
    </w:p>
    <w:p>
      <w:pPr>
        <w:pStyle w:val="1017"/>
        <w:ind w:firstLine="480"/>
        <w:jc w:val="both"/>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1"/>
          <w:highlight w:val="none"/>
          <w:lang w:val="en-US"/>
          <w14:textFill>
            <w14:solidFill>
              <w14:schemeClr w14:val="tx1"/>
            </w14:solidFill>
          </w14:textFill>
        </w:rPr>
        <w:t xml:space="preserve">4.如果投标人通过苏采云系统参与政府采购项目，相关操作手册详见链接：</w:t>
      </w:r>
      <w:bookmarkEnd w:id="39"/>
      <w:r>
        <w:rPr>
          <w:rFonts w:hint="eastAsia" w:asciiTheme="minorEastAsia" w:hAnsiTheme="minorEastAsia" w:eastAsiaTheme="minorEastAsia" w:cstheme="minorEastAsia"/>
          <w:color w:val="000000" w:themeColor="text1"/>
          <w:sz w:val="24"/>
          <w:szCs w:val="21"/>
          <w:highlight w:val="none"/>
          <w:lang w:val="en-US" w:eastAsia="zh-CN" w:bidi="ar-SA"/>
          <w14:textFill>
            <w14:solidFill>
              <w14:schemeClr w14:val="tx1"/>
            </w14:solidFill>
          </w14:textFill>
        </w:rPr>
        <w:t xml:space="preserve">http://www.ccgp-jiangsu.gov.cn/jiangsu/zlxz/ee/ee3a4bc5a3454aa2b0d9312230633ce9.html</w:t>
      </w:r>
      <w:r/>
    </w:p>
    <w:p>
      <w:pPr>
        <w:ind w:firstLine="480"/>
        <w:jc w:val="both"/>
        <w:keepLines w:val="0"/>
        <w:keepNext w:val="0"/>
        <w:pageBreakBefore w:val="0"/>
        <w:spacing w:line="480" w:lineRule="exact"/>
        <w:widowControl w:val="off"/>
        <w:rPr>
          <w:rFonts w:hint="eastAsia" w:asciiTheme="minorEastAsia" w:hAnsiTheme="minorEastAsia" w:eastAsiaTheme="minorEastAsia" w:cstheme="minorEastAsia"/>
          <w:b/>
          <w:bCs/>
          <w:i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5.现场勘察及答疑：本项目不组织集中勘察及答疑，投标人如对采购需求有疑问，请咨询采购单位联系人。 </w:t>
      </w:r>
      <w:r/>
    </w:p>
    <w:p>
      <w:pPr>
        <w:pStyle w:val="944"/>
        <w:ind w:firstLine="482"/>
        <w:jc w:val="both"/>
        <w:keepLines w:val="0"/>
        <w:keepNext w:val="0"/>
        <w:pageBreakBefore w:val="0"/>
        <w:spacing w:before="0" w:after="0" w:line="480" w:lineRule="exact"/>
        <w:widowControl w:val="off"/>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七、本次招标联系方式</w:t>
      </w:r>
      <w:bookmarkEnd w:id="40"/>
      <w:r/>
      <w:bookmarkEnd w:id="41"/>
      <w:r/>
      <w:bookmarkEnd w:id="42"/>
      <w:r/>
      <w:bookmarkEnd w:id="43"/>
      <w:r/>
      <w:bookmarkEnd w:id="44"/>
      <w:r/>
      <w:r/>
    </w:p>
    <w:p>
      <w:pPr>
        <w:ind w:firstLine="480"/>
        <w:jc w:val="both"/>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1.采购人信息</w:t>
      </w:r>
      <w:r/>
    </w:p>
    <w:p>
      <w:pPr>
        <w:ind w:firstLine="480"/>
        <w:jc w:val="both"/>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名 称：宿迁市住房和城乡建设局</w:t>
      </w:r>
      <w:r/>
    </w:p>
    <w:p>
      <w:pPr>
        <w:ind w:firstLine="480"/>
        <w:jc w:val="both"/>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地址：宿迁市洪泽湖路793号建设大厦</w:t>
      </w:r>
      <w:r/>
    </w:p>
    <w:p>
      <w:pPr>
        <w:ind w:firstLine="480"/>
        <w:jc w:val="both"/>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联系人：</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郑帅</w:t>
      </w:r>
      <w:r/>
    </w:p>
    <w:p>
      <w:pPr>
        <w:ind w:firstLine="480"/>
        <w:jc w:val="both"/>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联系方式：</w:t>
      </w:r>
      <w:bookmarkStart w:id="45" w:name="_Toc28359009"/>
      <w:r/>
      <w:bookmarkStart w:id="46" w:name="_Toc28359086"/>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0527-84388775</w:t>
      </w:r>
      <w:r/>
    </w:p>
    <w:p>
      <w:pPr>
        <w:ind w:firstLine="480"/>
        <w:jc w:val="both"/>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w:t>
      </w:r>
      <w:bookmarkEnd w:id="45"/>
      <w:r/>
      <w:bookmarkEnd w:id="46"/>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采购代理机构信息</w:t>
      </w:r>
      <w:r/>
    </w:p>
    <w:p>
      <w:pPr>
        <w:ind w:firstLine="480"/>
        <w:jc w:val="both"/>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bookmarkStart w:id="47" w:name="_Toc28359010"/>
      <w:r/>
      <w:bookmarkStart w:id="48" w:name="_Toc28359087"/>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名 称：</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江苏新时代工程项目管理有限公司</w:t>
      </w:r>
      <w:r/>
    </w:p>
    <w:p>
      <w:pPr>
        <w:ind w:firstLine="480"/>
        <w:jc w:val="both"/>
        <w:keepLines w:val="0"/>
        <w:keepNext w:val="0"/>
        <w:pageBreakBefore w:val="0"/>
        <w:spacing w:line="480" w:lineRule="exact"/>
        <w:widowControl w:val="off"/>
        <w:tabs>
          <w:tab w:val="center" w:pos="4476" w:leader="none"/>
        </w:tabs>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地址：</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宿迁市君临国际A座12楼</w:t>
      </w:r>
      <w:r/>
    </w:p>
    <w:p>
      <w:pPr>
        <w:ind w:firstLine="480"/>
        <w:jc w:val="both"/>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联系人：</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李范范</w:t>
      </w:r>
      <w:r/>
    </w:p>
    <w:p>
      <w:pPr>
        <w:ind w:firstLine="480"/>
        <w:jc w:val="both"/>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联系方式：</w:t>
      </w:r>
      <w:bookmarkEnd w:id="47"/>
      <w:r/>
      <w:bookmarkEnd w:id="48"/>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18360032585</w:t>
      </w:r>
      <w:r/>
    </w:p>
    <w:p>
      <w:pPr>
        <w:pStyle w:val="944"/>
        <w:ind w:firstLine="482"/>
        <w:jc w:val="both"/>
        <w:keepLines w:val="0"/>
        <w:keepNext w:val="0"/>
        <w:pageBreakBefore w:val="0"/>
        <w:spacing w:before="0" w:after="0" w:line="480" w:lineRule="exact"/>
        <w:widowControl w:val="off"/>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八、其他</w:t>
      </w:r>
      <w:r/>
    </w:p>
    <w:p>
      <w:pPr>
        <w:ind w:firstLine="480"/>
        <w:jc w:val="both"/>
        <w:keepLines w:val="0"/>
        <w:keepNext w:val="0"/>
        <w:pageBreakBefore w:val="0"/>
        <w:spacing w:line="480" w:lineRule="exact"/>
        <w:widowControl w:val="off"/>
        <w:rPr>
          <w:rFonts w:hint="eastAsia" w:asciiTheme="minorEastAsia" w:hAnsiTheme="minorEastAsia" w:eastAsiaTheme="minorEastAsia" w:cstheme="minorEastAsia"/>
          <w:i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iCs/>
          <w:color w:val="000000" w:themeColor="text1"/>
          <w:sz w:val="24"/>
          <w:highlight w:val="none"/>
          <w14:textFill>
            <w14:solidFill>
              <w14:schemeClr w14:val="tx1"/>
            </w14:solidFill>
          </w14:textFill>
        </w:rPr>
        <w:t xml:space="preserve">1.有关本次招标的事项若存在变动或修改，敬请及时关注“宿迁市政府采购网”等平台更正公告。</w:t>
      </w:r>
      <w:r/>
    </w:p>
    <w:p>
      <w:pPr>
        <w:ind w:firstLine="482"/>
        <w:jc w:val="both"/>
        <w:keepLines w:val="0"/>
        <w:keepNext w:val="0"/>
        <w:pageBreakBefore w:val="0"/>
        <w:spacing w:line="480" w:lineRule="exact"/>
        <w:widowControl w:val="off"/>
        <w:tabs>
          <w:tab w:val="left" w:pos="900" w:leader="none"/>
        </w:tabs>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iCs/>
          <w:color w:val="000000" w:themeColor="text1"/>
          <w:sz w:val="24"/>
          <w:highlight w:val="none"/>
          <w14:textFill>
            <w14:solidFill>
              <w14:schemeClr w14:val="tx1"/>
            </w14:solidFill>
          </w14:textFill>
        </w:rPr>
        <w:t xml:space="preserve">2</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.本次招标不收取投标保证金。</w:t>
      </w:r>
      <w:r/>
    </w:p>
    <w:p>
      <w:pPr>
        <w:ind w:right="84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br w:type="page" w:clear="all"/>
      </w:r>
      <w:r/>
    </w:p>
    <w:p>
      <w:pPr>
        <w:pStyle w:val="737"/>
        <w:jc w:val="center"/>
        <w:rPr>
          <w:rFonts w:hint="eastAsia"/>
          <w:b/>
          <w:bCs/>
          <w:highlight w:val="none"/>
        </w:rPr>
      </w:pPr>
      <w:r/>
      <w:bookmarkStart w:id="49" w:name="_Toc120614211"/>
      <w:r/>
      <w:bookmarkStart w:id="50" w:name="_Toc15463"/>
      <w:r/>
      <w:bookmarkStart w:id="51" w:name="_Toc32250"/>
      <w:r>
        <w:rPr>
          <w:rFonts w:hint="eastAsia"/>
          <w:b/>
          <w:bCs/>
          <w:highlight w:val="none"/>
        </w:rPr>
        <w:t xml:space="preserve">第二章  </w:t>
      </w:r>
      <w:bookmarkEnd w:id="2"/>
      <w:r/>
      <w:bookmarkEnd w:id="3"/>
      <w:r/>
      <w:bookmarkEnd w:id="4"/>
      <w:r/>
      <w:bookmarkEnd w:id="5"/>
      <w:r/>
      <w:bookmarkEnd w:id="6"/>
      <w:r/>
      <w:bookmarkEnd w:id="49"/>
      <w:r/>
      <w:bookmarkStart w:id="52" w:name="_Toc513029202"/>
      <w:r/>
      <w:bookmarkStart w:id="53" w:name="_Toc16938518"/>
      <w:r/>
      <w:bookmarkStart w:id="54" w:name="_Toc20823274"/>
      <w:r/>
      <w:bookmarkStart w:id="55" w:name="_Toc120614213"/>
      <w:r>
        <w:rPr>
          <w:rFonts w:hint="eastAsia"/>
          <w:b/>
          <w:bCs/>
          <w:highlight w:val="none"/>
        </w:rPr>
        <w:t xml:space="preserve">投标人须知</w:t>
      </w:r>
      <w:bookmarkEnd w:id="50"/>
      <w:r/>
      <w:bookmarkEnd w:id="51"/>
      <w:r/>
      <w:bookmarkEnd w:id="52"/>
      <w:r/>
      <w:bookmarkEnd w:id="53"/>
      <w:r/>
      <w:bookmarkEnd w:id="54"/>
      <w:r/>
      <w:bookmarkEnd w:id="55"/>
      <w:r/>
      <w:r/>
    </w:p>
    <w:p>
      <w:pPr>
        <w:pStyle w:val="944"/>
        <w:ind w:firstLine="480"/>
        <w:keepLines w:val="0"/>
        <w:keepNext w:val="0"/>
        <w:spacing w:before="0" w:after="0" w:line="440" w:lineRule="exact"/>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投标人须知前附表：</w:t>
      </w:r>
      <w:r/>
    </w:p>
    <w:p>
      <w:pPr>
        <w:pStyle w:val="945"/>
        <w:rPr>
          <w:rFonts w:hint="eastAsia"/>
          <w:highlight w:val="none"/>
        </w:rPr>
      </w:pPr>
      <w:r>
        <w:rPr>
          <w:rFonts w:hint="eastAsia"/>
          <w:highlight w:val="none"/>
        </w:rPr>
      </w:r>
      <w:r/>
    </w:p>
    <w:tbl>
      <w:tblPr>
        <w:tblStyle w:val="747"/>
        <w:tblW w:w="89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2150"/>
        <w:gridCol w:w="6070"/>
      </w:tblGrid>
      <w:tr>
        <w:trPr>
          <w:jc w:val="center"/>
          <w:trHeight w:val="728"/>
        </w:trPr>
        <w:tc>
          <w:tcPr>
            <w:tcW w:w="763" w:type="dxa"/>
            <w:vAlign w:val="center"/>
            <w:textDirection w:val="lrTb"/>
            <w:noWrap w:val="false"/>
          </w:tcPr>
          <w:p>
            <w:pPr>
              <w:ind w:firstLine="0"/>
              <w:jc w:val="center"/>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序号</w:t>
            </w:r>
            <w:r/>
          </w:p>
        </w:tc>
        <w:tc>
          <w:tcPr>
            <w:tcW w:w="2150" w:type="dxa"/>
            <w:vAlign w:val="center"/>
            <w:textDirection w:val="lrTb"/>
            <w:noWrap w:val="false"/>
          </w:tcPr>
          <w:p>
            <w:pPr>
              <w:ind w:firstLine="0"/>
              <w:jc w:val="center"/>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内容</w:t>
            </w:r>
            <w:r/>
          </w:p>
        </w:tc>
        <w:tc>
          <w:tcPr>
            <w:tcW w:w="6070" w:type="dxa"/>
            <w:vAlign w:val="center"/>
            <w:textDirection w:val="lrTb"/>
            <w:noWrap w:val="false"/>
          </w:tcPr>
          <w:p>
            <w:pPr>
              <w:ind w:firstLine="0"/>
              <w:jc w:val="center"/>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说明及要求</w:t>
            </w:r>
            <w:r/>
          </w:p>
        </w:tc>
      </w:tr>
      <w:tr>
        <w:trPr>
          <w:jc w:val="center"/>
        </w:trPr>
        <w:tc>
          <w:tcPr>
            <w:tcW w:w="763" w:type="dxa"/>
            <w:vAlign w:val="center"/>
            <w:textDirection w:val="lrTb"/>
            <w:noWrap w:val="false"/>
          </w:tcPr>
          <w:p>
            <w:pPr>
              <w:ind w:firstLine="0"/>
              <w:jc w:val="center"/>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1</w:t>
            </w:r>
            <w:r/>
          </w:p>
        </w:tc>
        <w:tc>
          <w:tcPr>
            <w:tcW w:w="2150" w:type="dxa"/>
            <w:vAlign w:val="center"/>
            <w:textDirection w:val="lrTb"/>
            <w:noWrap w:val="false"/>
          </w:tcPr>
          <w:p>
            <w:pPr>
              <w:ind w:firstLine="0"/>
              <w:jc w:val="center"/>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项目类别</w:t>
            </w:r>
            <w:r/>
          </w:p>
        </w:tc>
        <w:tc>
          <w:tcPr>
            <w:tcW w:w="6070" w:type="dxa"/>
            <w:vAlign w:val="center"/>
            <w:textDirection w:val="lrTb"/>
            <w:noWrap w:val="false"/>
          </w:tcPr>
          <w:p>
            <w:pPr>
              <w:ind w:firstLine="0"/>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本项目</w:t>
            </w:r>
            <w:bookmarkStart w:id="56" w:name="EB9a5853ee094f4f0ea6ec3169265f6f2c"/>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属性按以下第</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u w:val="singl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种确定：1</w:t>
            </w:r>
            <w:bookmarkEnd w:id="56"/>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货物</w:t>
            </w:r>
            <w:bookmarkStart w:id="57" w:name="EBd5c6c026f9674c39b21b31ecd0c1e7fa"/>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采购；2.</w:t>
            </w:r>
            <w:bookmarkEnd w:id="57"/>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服务</w:t>
            </w:r>
            <w:bookmarkStart w:id="58" w:name="EBf7d2a4f44ecb4166a93ea852e73be69f"/>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采购；3.</w:t>
            </w:r>
            <w:bookmarkEnd w:id="58"/>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工程采购。</w:t>
            </w:r>
            <w:r/>
          </w:p>
        </w:tc>
      </w:tr>
      <w:tr>
        <w:trPr>
          <w:jc w:val="center"/>
        </w:trPr>
        <w:tc>
          <w:tcPr>
            <w:tcW w:w="763" w:type="dxa"/>
            <w:vAlign w:val="center"/>
            <w:textDirection w:val="lrTb"/>
            <w:noWrap w:val="false"/>
          </w:tcPr>
          <w:p>
            <w:pPr>
              <w:ind w:firstLine="0"/>
              <w:jc w:val="center"/>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2</w:t>
            </w:r>
            <w:r/>
          </w:p>
        </w:tc>
        <w:tc>
          <w:tcPr>
            <w:tcW w:w="2150" w:type="dxa"/>
            <w:vAlign w:val="center"/>
            <w:textDirection w:val="lrTb"/>
            <w:noWrap w:val="false"/>
          </w:tcPr>
          <w:p>
            <w:pPr>
              <w:ind w:firstLine="0"/>
              <w:jc w:val="center"/>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投标有效期</w:t>
            </w:r>
            <w:r/>
          </w:p>
        </w:tc>
        <w:tc>
          <w:tcPr>
            <w:tcW w:w="6070" w:type="dxa"/>
            <w:vAlign w:val="center"/>
            <w:textDirection w:val="lrTb"/>
            <w:noWrap w:val="false"/>
          </w:tcPr>
          <w:p>
            <w:pPr>
              <w:ind w:firstLine="0"/>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bookmarkStart w:id="59" w:name="EBd40b5fb42f2944a3b45e579ce3941f02"/>
            <w:r/>
            <w:bookmarkEnd w:id="59"/>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60</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日（从提交投标文件截止之日起算）</w:t>
            </w:r>
            <w:r/>
          </w:p>
        </w:tc>
      </w:tr>
      <w:tr>
        <w:trPr>
          <w:jc w:val="center"/>
        </w:trPr>
        <w:tc>
          <w:tcPr>
            <w:tcW w:w="763" w:type="dxa"/>
            <w:vAlign w:val="center"/>
            <w:textDirection w:val="lrTb"/>
            <w:noWrap w:val="false"/>
          </w:tcPr>
          <w:p>
            <w:pPr>
              <w:ind w:firstLine="0"/>
              <w:jc w:val="center"/>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3</w:t>
            </w:r>
            <w:r/>
          </w:p>
        </w:tc>
        <w:tc>
          <w:tcPr>
            <w:tcW w:w="2150" w:type="dxa"/>
            <w:vAlign w:val="center"/>
            <w:textDirection w:val="lrTb"/>
            <w:noWrap w:val="false"/>
          </w:tcPr>
          <w:p>
            <w:pPr>
              <w:ind w:firstLine="0"/>
              <w:jc w:val="center"/>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投标文件份数</w:t>
            </w:r>
            <w:r/>
          </w:p>
        </w:tc>
        <w:tc>
          <w:tcPr>
            <w:tcW w:w="6070" w:type="dxa"/>
            <w:vAlign w:val="center"/>
            <w:textDirection w:val="lrTb"/>
            <w:noWrap w:val="false"/>
          </w:tcPr>
          <w:p>
            <w:pPr>
              <w:ind w:firstLine="0"/>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提交加密电子投标文件1份。</w:t>
            </w:r>
            <w:r/>
          </w:p>
        </w:tc>
      </w:tr>
      <w:tr>
        <w:trPr>
          <w:jc w:val="center"/>
        </w:trPr>
        <w:tc>
          <w:tcPr>
            <w:tcW w:w="763" w:type="dxa"/>
            <w:vAlign w:val="center"/>
            <w:textDirection w:val="lrTb"/>
            <w:noWrap w:val="false"/>
          </w:tcPr>
          <w:p>
            <w:pPr>
              <w:ind w:firstLine="0"/>
              <w:jc w:val="center"/>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4</w:t>
            </w:r>
            <w:r/>
          </w:p>
        </w:tc>
        <w:tc>
          <w:tcPr>
            <w:tcW w:w="2150" w:type="dxa"/>
            <w:vAlign w:val="center"/>
            <w:textDirection w:val="lrTb"/>
            <w:noWrap w:val="false"/>
          </w:tcPr>
          <w:p>
            <w:pPr>
              <w:ind w:firstLine="0"/>
              <w:jc w:val="center"/>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开标</w:t>
            </w:r>
            <w:r/>
          </w:p>
        </w:tc>
        <w:tc>
          <w:tcPr>
            <w:tcW w:w="6070" w:type="dxa"/>
            <w:vAlign w:val="center"/>
            <w:textDirection w:val="lrTb"/>
            <w:noWrap w:val="false"/>
          </w:tcPr>
          <w:p>
            <w:pPr>
              <w:ind w:firstLine="0"/>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苏采云</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政府采购交易系统网上开标大厅进行不见面开标。</w:t>
            </w:r>
            <w:r/>
          </w:p>
        </w:tc>
      </w:tr>
      <w:tr>
        <w:trPr>
          <w:jc w:val="center"/>
        </w:trPr>
        <w:tc>
          <w:tcPr>
            <w:tcW w:w="763" w:type="dxa"/>
            <w:vAlign w:val="center"/>
            <w:textDirection w:val="lrTb"/>
            <w:noWrap w:val="false"/>
          </w:tcPr>
          <w:p>
            <w:pPr>
              <w:ind w:firstLine="0"/>
              <w:jc w:val="center"/>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5</w:t>
            </w:r>
            <w:r/>
          </w:p>
        </w:tc>
        <w:tc>
          <w:tcPr>
            <w:tcW w:w="2150" w:type="dxa"/>
            <w:vAlign w:val="center"/>
            <w:textDirection w:val="lrTb"/>
            <w:noWrap w:val="false"/>
          </w:tcPr>
          <w:p>
            <w:pPr>
              <w:ind w:firstLine="0"/>
              <w:jc w:val="center"/>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进口产品</w:t>
            </w:r>
            <w:r/>
          </w:p>
        </w:tc>
        <w:tc>
          <w:tcPr>
            <w:tcW w:w="6070" w:type="dxa"/>
            <w:vAlign w:val="center"/>
            <w:textDirection w:val="lrTb"/>
            <w:noWrap w:val="false"/>
          </w:tcPr>
          <w:p>
            <w:pPr>
              <w:ind w:firstLine="0"/>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按以下第</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 2 </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种方式确定：1.接受进口产品。应当符合《政府采购进口产品管理办法》(财库(2007)119 号文)、《关于政府采购进口产品管理有关问题的通知》(财办库(2008)248号文)等相关规定;2.不接受进口产品。</w:t>
            </w:r>
            <w:r/>
          </w:p>
        </w:tc>
      </w:tr>
      <w:tr>
        <w:trPr>
          <w:jc w:val="center"/>
        </w:trPr>
        <w:tc>
          <w:tcPr>
            <w:tcW w:w="763" w:type="dxa"/>
            <w:vAlign w:val="center"/>
            <w:textDirection w:val="lrTb"/>
            <w:noWrap w:val="false"/>
          </w:tcPr>
          <w:p>
            <w:pPr>
              <w:ind w:firstLine="0"/>
              <w:jc w:val="center"/>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6</w:t>
            </w:r>
            <w:r/>
          </w:p>
        </w:tc>
        <w:tc>
          <w:tcPr>
            <w:tcW w:w="2150" w:type="dxa"/>
            <w:vAlign w:val="center"/>
            <w:textDirection w:val="lrTb"/>
            <w:noWrap w:val="false"/>
          </w:tcPr>
          <w:p>
            <w:pPr>
              <w:ind w:firstLine="0"/>
              <w:jc w:val="center"/>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评标办法</w:t>
            </w:r>
            <w:r/>
          </w:p>
        </w:tc>
        <w:tc>
          <w:tcPr>
            <w:tcW w:w="6070" w:type="dxa"/>
            <w:vAlign w:val="center"/>
            <w:textDirection w:val="lrTb"/>
            <w:noWrap w:val="false"/>
          </w:tcPr>
          <w:p>
            <w:pPr>
              <w:ind w:firstLine="0"/>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具体评标办法详见招标文件第</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五章</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w:t>
            </w:r>
            <w:r/>
          </w:p>
          <w:p>
            <w:pPr>
              <w:ind w:firstLine="0"/>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评标委员会按照招标文件规定评标办法和标准推荐</w:t>
            </w:r>
            <w:r>
              <w:rPr>
                <w:rFonts w:hint="eastAsia" w:asciiTheme="minorEastAsia" w:hAnsiTheme="minorEastAsia" w:eastAsiaTheme="minorEastAsia" w:cstheme="minorEastAsia"/>
                <w:color w:val="000000" w:themeColor="text1"/>
                <w:sz w:val="24"/>
                <w:highlight w:val="none"/>
                <w:u w:val="singl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名中标候选人。</w:t>
            </w:r>
            <w:r/>
          </w:p>
        </w:tc>
      </w:tr>
      <w:tr>
        <w:trPr>
          <w:jc w:val="center"/>
        </w:trPr>
        <w:tc>
          <w:tcPr>
            <w:tcW w:w="763" w:type="dxa"/>
            <w:vAlign w:val="center"/>
            <w:textDirection w:val="lrTb"/>
            <w:noWrap w:val="false"/>
          </w:tcPr>
          <w:p>
            <w:pPr>
              <w:ind w:firstLine="0"/>
              <w:jc w:val="center"/>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7</w:t>
            </w:r>
            <w:r/>
          </w:p>
        </w:tc>
        <w:tc>
          <w:tcPr>
            <w:tcW w:w="2150" w:type="dxa"/>
            <w:vAlign w:val="center"/>
            <w:textDirection w:val="lrTb"/>
            <w:noWrap w:val="false"/>
          </w:tcPr>
          <w:p>
            <w:pPr>
              <w:ind w:firstLine="0"/>
              <w:jc w:val="center"/>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分包要求</w:t>
            </w:r>
            <w:r/>
          </w:p>
        </w:tc>
        <w:tc>
          <w:tcPr>
            <w:tcW w:w="6070" w:type="dxa"/>
            <w:vAlign w:val="center"/>
            <w:textDirection w:val="lrTb"/>
            <w:noWrap w:val="false"/>
          </w:tcPr>
          <w:p>
            <w:pPr>
              <w:ind w:firstLine="0"/>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bookmarkStart w:id="60" w:name="EBebac1462c5d9459fbda8a75065c2455d"/>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本项目的非主体、非关键性工作是否允许分包</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按以下第</w:t>
            </w: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 2 </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种方式确定</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w:t>
            </w:r>
            <w:r/>
          </w:p>
          <w:p>
            <w:pPr>
              <w:ind w:firstLine="0"/>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1.</w:t>
            </w:r>
            <w:bookmarkEnd w:id="60"/>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允许分包，</w:t>
            </w:r>
            <w:bookmarkStart w:id="61" w:name="EB512ba06683724173802e2aae54a26079"/>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允许大中型企业向一家或者多家小微企业分包，分包具体内容、金额或比例：</w:t>
            </w:r>
            <w:bookmarkEnd w:id="61"/>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无；</w:t>
            </w:r>
            <w:r/>
          </w:p>
          <w:p>
            <w:pPr>
              <w:ind w:firstLine="0"/>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不允许分包。</w:t>
            </w:r>
            <w:r/>
          </w:p>
        </w:tc>
      </w:tr>
      <w:tr>
        <w:trPr>
          <w:jc w:val="center"/>
        </w:trPr>
        <w:tc>
          <w:tcPr>
            <w:tcW w:w="763" w:type="dxa"/>
            <w:vAlign w:val="center"/>
            <w:textDirection w:val="lrTb"/>
            <w:noWrap w:val="false"/>
          </w:tcPr>
          <w:p>
            <w:pPr>
              <w:ind w:firstLine="0"/>
              <w:jc w:val="center"/>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8</w:t>
            </w:r>
            <w:r/>
          </w:p>
        </w:tc>
        <w:tc>
          <w:tcPr>
            <w:tcW w:w="2150" w:type="dxa"/>
            <w:vAlign w:val="center"/>
            <w:textDirection w:val="lrTb"/>
            <w:noWrap w:val="false"/>
          </w:tcPr>
          <w:p>
            <w:pPr>
              <w:ind w:firstLine="0"/>
              <w:jc w:val="center"/>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其他</w:t>
            </w:r>
            <w:r/>
          </w:p>
        </w:tc>
        <w:tc>
          <w:tcPr>
            <w:tcW w:w="6070" w:type="dxa"/>
            <w:vAlign w:val="center"/>
            <w:textDirection w:val="lrTb"/>
            <w:noWrap w:val="false"/>
          </w:tcPr>
          <w:p>
            <w:pPr>
              <w:numPr>
                <w:ilvl w:val="0"/>
                <w:numId w:val="0"/>
              </w:numPr>
              <w:ind w:firstLine="0"/>
              <w:keepLines w:val="0"/>
              <w:keepNext w:val="0"/>
              <w:pageBreakBefore w:val="0"/>
              <w:spacing w:line="400" w:lineRule="exact"/>
              <w:widowControl w:val="off"/>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信用信息查询截止时点：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p>
        </w:tc>
      </w:tr>
    </w:tbl>
    <w:p>
      <w:pPr>
        <w:spacing w:line="40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p>
      <w:pPr>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pPr>
      <w:r/>
      <w:bookmarkStart w:id="62" w:name="_Toc20823275"/>
      <w:r/>
      <w:bookmarkStart w:id="63" w:name="_Toc120614214"/>
      <w:r/>
      <w:bookmarkStart w:id="64" w:name="_Toc16938519"/>
      <w:r/>
      <w:bookmarkStart w:id="65" w:name="_Toc513029203"/>
      <w:r>
        <w:rPr>
          <w:rFonts w:hint="eastAsia" w:asciiTheme="minorEastAsia" w:hAnsiTheme="minorEastAsia" w:eastAsiaTheme="minorEastAsia" w:cstheme="minorEastAsia"/>
          <w:b w:val="0"/>
          <w:bCs w:val="0"/>
          <w:color w:val="000000" w:themeColor="text1"/>
          <w:sz w:val="24"/>
          <w:szCs w:val="24"/>
          <w:highlight w:val="none"/>
          <w14:textFill>
            <w14:solidFill>
              <w14:schemeClr w14:val="tx1"/>
            </w14:solidFill>
          </w14:textFill>
        </w:rPr>
        <w:br w:type="page" w:clear="all"/>
      </w:r>
      <w:r/>
    </w:p>
    <w:p>
      <w:pPr>
        <w:pStyle w:val="944"/>
        <w:ind w:firstLine="560"/>
        <w:keepLines w:val="0"/>
        <w:keepNext w:val="0"/>
        <w:pageBreakBefore w:val="0"/>
        <w:spacing w:before="181" w:after="181" w:line="480" w:lineRule="exact"/>
        <w:widowControl w:val="off"/>
        <w:rPr>
          <w:rFonts w:hint="eastAsia" w:ascii="黑体" w:hAnsi="黑体" w:eastAsia="黑体" w:cs="黑体"/>
          <w:b w:val="0"/>
          <w:bCs w:val="0"/>
          <w:color w:val="000000" w:themeColor="text1"/>
          <w:sz w:val="28"/>
          <w:szCs w:val="28"/>
          <w:highlight w:val="none"/>
          <w14:textFill>
            <w14:solidFill>
              <w14:schemeClr w14:val="tx1"/>
            </w14:solidFill>
          </w14:textFill>
        </w:rPr>
      </w:pPr>
      <w:r>
        <w:rPr>
          <w:rFonts w:hint="eastAsia" w:ascii="黑体" w:hAnsi="黑体" w:eastAsia="黑体" w:cs="黑体"/>
          <w:b w:val="0"/>
          <w:bCs w:val="0"/>
          <w:color w:val="000000" w:themeColor="text1"/>
          <w:sz w:val="28"/>
          <w:szCs w:val="28"/>
          <w:highlight w:val="none"/>
          <w14:textFill>
            <w14:solidFill>
              <w14:schemeClr w14:val="tx1"/>
            </w14:solidFill>
          </w14:textFill>
        </w:rPr>
        <w:t xml:space="preserve">一、总则</w:t>
      </w:r>
      <w:bookmarkEnd w:id="62"/>
      <w:r/>
      <w:bookmarkEnd w:id="63"/>
      <w:r/>
      <w:bookmarkEnd w:id="64"/>
      <w:r/>
      <w:bookmarkEnd w:id="65"/>
      <w:r/>
      <w:r/>
    </w:p>
    <w:p>
      <w:pPr>
        <w:pStyle w:val="946"/>
        <w:ind w:firstLine="482"/>
        <w:keepLines w:val="0"/>
        <w:keepNext w:val="0"/>
        <w:pageBreakBefore w:val="0"/>
        <w:spacing w:before="0" w:after="0"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bookmarkStart w:id="66" w:name="_Hlt16619475"/>
      <w:r/>
      <w:bookmarkEnd w:id="66"/>
      <w:r/>
      <w:bookmarkStart w:id="67" w:name="_Toc458694821"/>
      <w:r/>
      <w:bookmarkStart w:id="68" w:name="_Toc20823276"/>
      <w:r/>
      <w:bookmarkStart w:id="69" w:name="_Toc16938520"/>
      <w:r/>
      <w:bookmarkStart w:id="70" w:name="_Toc513029204"/>
      <w:r>
        <w:rPr>
          <w:rFonts w:hint="eastAsia" w:ascii="宋体" w:hAnsi="宋体" w:eastAsia="宋体" w:cs="宋体"/>
          <w:b/>
          <w:bCs/>
          <w:color w:val="000000" w:themeColor="text1"/>
          <w:sz w:val="24"/>
          <w:szCs w:val="24"/>
          <w:highlight w:val="none"/>
          <w14:textFill>
            <w14:solidFill>
              <w14:schemeClr w14:val="tx1"/>
            </w14:solidFill>
          </w14:textFill>
        </w:rPr>
        <w:t xml:space="preserve">1</w:t>
      </w:r>
      <w:bookmarkEnd w:id="67"/>
      <w:r>
        <w:rPr>
          <w:rFonts w:hint="eastAsia" w:ascii="宋体" w:hAnsi="宋体" w:eastAsia="宋体" w:cs="宋体"/>
          <w:b/>
          <w:bCs/>
          <w:color w:val="000000" w:themeColor="text1"/>
          <w:sz w:val="24"/>
          <w:szCs w:val="24"/>
          <w:highlight w:val="none"/>
          <w14:textFill>
            <w14:solidFill>
              <w14:schemeClr w14:val="tx1"/>
            </w14:solidFill>
          </w14:textFill>
        </w:rPr>
        <w:t xml:space="preserve">、招标方式</w:t>
      </w:r>
      <w:bookmarkEnd w:id="68"/>
      <w:r/>
      <w:bookmarkEnd w:id="69"/>
      <w:r/>
      <w:bookmarkEnd w:id="70"/>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 本次招标采取公开招标方式，本招标文件仅适用于招标公告中所述项目。</w:t>
      </w:r>
      <w:r/>
    </w:p>
    <w:p>
      <w:pPr>
        <w:pStyle w:val="946"/>
        <w:ind w:firstLine="482"/>
        <w:keepLines w:val="0"/>
        <w:keepNext w:val="0"/>
        <w:pageBreakBefore w:val="0"/>
        <w:spacing w:before="0" w:after="0"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bookmarkStart w:id="71" w:name="_Toc16938521"/>
      <w:r/>
      <w:bookmarkStart w:id="72" w:name="_Toc20823277"/>
      <w:r/>
      <w:bookmarkStart w:id="73" w:name="_Toc513029205"/>
      <w:r>
        <w:rPr>
          <w:rFonts w:hint="eastAsia" w:ascii="宋体" w:hAnsi="宋体" w:eastAsia="宋体" w:cs="宋体"/>
          <w:b/>
          <w:bCs/>
          <w:color w:val="000000" w:themeColor="text1"/>
          <w:sz w:val="24"/>
          <w:szCs w:val="24"/>
          <w:highlight w:val="none"/>
          <w14:textFill>
            <w14:solidFill>
              <w14:schemeClr w14:val="tx1"/>
            </w14:solidFill>
          </w14:textFill>
        </w:rPr>
        <w:t xml:space="preserve">2、合格的投标人</w:t>
      </w:r>
      <w:bookmarkEnd w:id="71"/>
      <w:r/>
      <w:bookmarkEnd w:id="72"/>
      <w:r/>
      <w:bookmarkEnd w:id="73"/>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2.1满足招标公告中投标人的资格要求的规定。</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 满足本文件实质性要求和条件的规定。</w:t>
      </w:r>
      <w:r/>
    </w:p>
    <w:p>
      <w:pPr>
        <w:pStyle w:val="946"/>
        <w:ind w:firstLine="482"/>
        <w:keepLines w:val="0"/>
        <w:keepNext w:val="0"/>
        <w:pageBreakBefore w:val="0"/>
        <w:spacing w:before="0" w:after="0"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bookmarkStart w:id="74" w:name="_Toc20823278"/>
      <w:r/>
      <w:bookmarkStart w:id="75" w:name="_Toc16938522"/>
      <w:r/>
      <w:bookmarkStart w:id="76" w:name="_Toc513029206"/>
      <w:r>
        <w:rPr>
          <w:rFonts w:hint="eastAsia" w:ascii="宋体" w:hAnsi="宋体" w:eastAsia="宋体" w:cs="宋体"/>
          <w:b/>
          <w:bCs/>
          <w:color w:val="000000" w:themeColor="text1"/>
          <w:sz w:val="24"/>
          <w:szCs w:val="24"/>
          <w:highlight w:val="none"/>
          <w14:textFill>
            <w14:solidFill>
              <w14:schemeClr w14:val="tx1"/>
            </w14:solidFill>
          </w14:textFill>
        </w:rPr>
        <w:t xml:space="preserve">3、适用法律</w:t>
      </w:r>
      <w:bookmarkEnd w:id="74"/>
      <w:r/>
      <w:bookmarkEnd w:id="75"/>
      <w:r/>
      <w:bookmarkEnd w:id="76"/>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 本次招标及由此产生的合同受中华人民共和国有关的法律法规制约和保护。</w:t>
      </w:r>
      <w:r/>
    </w:p>
    <w:p>
      <w:pPr>
        <w:pStyle w:val="946"/>
        <w:ind w:firstLine="482"/>
        <w:keepLines w:val="0"/>
        <w:keepNext w:val="0"/>
        <w:pageBreakBefore w:val="0"/>
        <w:spacing w:before="0" w:after="0"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bookmarkStart w:id="77" w:name="_Toc462564067"/>
      <w:r/>
      <w:bookmarkStart w:id="78" w:name="_Toc513029207"/>
      <w:r/>
      <w:bookmarkStart w:id="79" w:name="_Toc20823279"/>
      <w:r/>
      <w:bookmarkStart w:id="80" w:name="_Toc16938523"/>
      <w:r>
        <w:rPr>
          <w:rFonts w:hint="eastAsia" w:ascii="宋体" w:hAnsi="宋体" w:eastAsia="宋体" w:cs="宋体"/>
          <w:b/>
          <w:bCs/>
          <w:color w:val="000000" w:themeColor="text1"/>
          <w:sz w:val="24"/>
          <w:szCs w:val="24"/>
          <w:highlight w:val="none"/>
          <w14:textFill>
            <w14:solidFill>
              <w14:schemeClr w14:val="tx1"/>
            </w14:solidFill>
          </w14:textFill>
        </w:rPr>
        <w:t xml:space="preserve">4、投标费用</w:t>
      </w:r>
      <w:bookmarkEnd w:id="77"/>
      <w:r/>
      <w:bookmarkEnd w:id="78"/>
      <w:r/>
      <w:bookmarkEnd w:id="79"/>
      <w:r/>
      <w:bookmarkEnd w:id="80"/>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 投标人应自行承担所有与参加投标有关的费用，无论投标过程中的做法和结果如何，</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江苏新时代工程项目管理有限公司</w:t>
      </w:r>
      <w:r>
        <w:rPr>
          <w:rFonts w:hint="eastAsia" w:ascii="宋体" w:hAnsi="宋体" w:eastAsia="宋体" w:cs="宋体"/>
          <w:color w:val="000000" w:themeColor="text1"/>
          <w:sz w:val="24"/>
          <w:szCs w:val="24"/>
          <w:highlight w:val="none"/>
          <w14:textFill>
            <w14:solidFill>
              <w14:schemeClr w14:val="tx1"/>
            </w14:solidFill>
          </w14:textFill>
        </w:rPr>
        <w:t xml:space="preserve">（以下简称采购代理机构）在任何情况下均无义务和责任承担这些费用。</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4.2代理费用收取方式及标准：按以下第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 4.2.2 </w:t>
      </w:r>
      <w:r>
        <w:rPr>
          <w:rFonts w:hint="eastAsia" w:ascii="宋体" w:hAnsi="宋体" w:eastAsia="宋体" w:cs="宋体"/>
          <w:color w:val="000000" w:themeColor="text1"/>
          <w:sz w:val="24"/>
          <w:szCs w:val="24"/>
          <w:highlight w:val="none"/>
          <w14:textFill>
            <w14:solidFill>
              <w14:schemeClr w14:val="tx1"/>
            </w14:solidFill>
          </w14:textFill>
        </w:rPr>
        <w:t xml:space="preserve"> 种方式执行</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4.2.1无需支付；</w:t>
      </w:r>
      <w:r/>
    </w:p>
    <w:p>
      <w:pPr>
        <w:pStyle w:val="1017"/>
        <w:ind w:firstLine="480"/>
        <w:jc w:val="both"/>
        <w:keepLines w:val="0"/>
        <w:keepNext w:val="0"/>
        <w:pageBreakBefore w:val="0"/>
        <w:spacing w:line="480" w:lineRule="exact"/>
        <w:widowControl w:val="off"/>
        <w:rPr>
          <w:rFonts w:hint="eastAsia" w:ascii="宋体" w:hAnsi="宋体" w:eastAsia="宋体" w:cs="宋体"/>
          <w:color w:val="000000" w:themeColor="text1"/>
          <w:sz w:val="24"/>
          <w:szCs w:val="24"/>
          <w:highlight w:val="none"/>
          <w:u w:val="single"/>
          <w:lang w:val="en-US"/>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4.2.2采购人支付，具体方式及标准为：</w:t>
      </w:r>
      <w:r>
        <w:rPr>
          <w:rFonts w:hint="eastAsia" w:ascii="宋体" w:hAnsi="宋体" w:eastAsia="宋体" w:cs="宋体"/>
          <w:color w:val="000000" w:themeColor="text1"/>
          <w:sz w:val="24"/>
          <w:szCs w:val="24"/>
          <w:highlight w:val="none"/>
          <w:u w:val="single"/>
          <w:lang w:val="zh-CN"/>
          <w14:textFill>
            <w14:solidFill>
              <w14:schemeClr w14:val="tx1"/>
            </w14:solidFill>
          </w14:textFill>
        </w:rPr>
        <w:t xml:space="preserve">按委托代理合同约定支付，支付方式可以通过转账或数字人民币等方式。</w:t>
      </w:r>
      <w:r/>
    </w:p>
    <w:p>
      <w:pPr>
        <w:pStyle w:val="946"/>
        <w:ind w:firstLine="482"/>
        <w:keepLines w:val="0"/>
        <w:keepNext w:val="0"/>
        <w:pageBreakBefore w:val="0"/>
        <w:spacing w:before="0" w:after="0"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5、招标文件的约束力</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5.1</w:t>
      </w:r>
      <w:r>
        <w:rPr>
          <w:rFonts w:hint="eastAsia" w:ascii="宋体" w:hAnsi="宋体" w:eastAsia="宋体" w:cs="宋体"/>
          <w:color w:val="000000" w:themeColor="text1"/>
          <w:sz w:val="24"/>
          <w:szCs w:val="24"/>
          <w:highlight w:val="none"/>
          <w14:textFill>
            <w14:solidFill>
              <w14:schemeClr w14:val="tx1"/>
            </w14:solidFill>
          </w14:textFill>
        </w:rPr>
        <w:t xml:space="preserve"> 投标人一旦参加本项目采购活动，即被认为接受了本招标文件的规定和约束。</w:t>
      </w:r>
      <w:r/>
    </w:p>
    <w:p>
      <w:pPr>
        <w:pStyle w:val="944"/>
        <w:ind w:firstLine="560"/>
        <w:keepLines w:val="0"/>
        <w:keepNext w:val="0"/>
        <w:pageBreakBefore w:val="0"/>
        <w:spacing w:before="181" w:after="181" w:line="480" w:lineRule="exact"/>
        <w:widowControl w:val="off"/>
        <w:rPr>
          <w:rFonts w:hint="eastAsia" w:ascii="黑体" w:hAnsi="黑体" w:eastAsia="黑体" w:cs="黑体"/>
          <w:b w:val="0"/>
          <w:bCs w:val="0"/>
          <w:color w:val="000000" w:themeColor="text1"/>
          <w:sz w:val="28"/>
          <w:szCs w:val="28"/>
          <w:highlight w:val="none"/>
          <w14:textFill>
            <w14:solidFill>
              <w14:schemeClr w14:val="tx1"/>
            </w14:solidFill>
          </w14:textFill>
        </w:rPr>
      </w:pPr>
      <w:r/>
      <w:bookmarkStart w:id="81" w:name="_Toc20823281"/>
      <w:r/>
      <w:bookmarkStart w:id="82" w:name="_Toc513029209"/>
      <w:r/>
      <w:bookmarkStart w:id="83" w:name="_Toc16938525"/>
      <w:r/>
      <w:bookmarkStart w:id="84" w:name="_Toc120614215"/>
      <w:r>
        <w:rPr>
          <w:rFonts w:hint="eastAsia" w:ascii="黑体" w:hAnsi="黑体" w:eastAsia="黑体" w:cs="黑体"/>
          <w:b w:val="0"/>
          <w:bCs w:val="0"/>
          <w:color w:val="000000" w:themeColor="text1"/>
          <w:sz w:val="28"/>
          <w:szCs w:val="28"/>
          <w:highlight w:val="none"/>
          <w14:textFill>
            <w14:solidFill>
              <w14:schemeClr w14:val="tx1"/>
            </w14:solidFill>
          </w14:textFill>
        </w:rPr>
        <w:t xml:space="preserve">二、招标文件</w:t>
      </w:r>
      <w:bookmarkEnd w:id="81"/>
      <w:r/>
      <w:bookmarkEnd w:id="82"/>
      <w:r/>
      <w:bookmarkEnd w:id="83"/>
      <w:r/>
      <w:bookmarkEnd w:id="84"/>
      <w:r/>
      <w:r/>
    </w:p>
    <w:p>
      <w:pPr>
        <w:pStyle w:val="946"/>
        <w:ind w:firstLine="482"/>
        <w:keepLines w:val="0"/>
        <w:keepNext w:val="0"/>
        <w:pageBreakBefore w:val="0"/>
        <w:spacing w:before="0" w:after="0"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bookmarkStart w:id="85" w:name="_Toc16938526"/>
      <w:r/>
      <w:bookmarkStart w:id="86" w:name="_Toc20823282"/>
      <w:r/>
      <w:bookmarkStart w:id="87" w:name="_Toc513029210"/>
      <w:r>
        <w:rPr>
          <w:rFonts w:hint="eastAsia" w:ascii="宋体" w:hAnsi="宋体" w:eastAsia="宋体" w:cs="宋体"/>
          <w:b/>
          <w:bCs/>
          <w:color w:val="000000" w:themeColor="text1"/>
          <w:sz w:val="24"/>
          <w:szCs w:val="24"/>
          <w:highlight w:val="none"/>
          <w14:textFill>
            <w14:solidFill>
              <w14:schemeClr w14:val="tx1"/>
            </w14:solidFill>
          </w14:textFill>
        </w:rPr>
        <w:t xml:space="preserve">6、招标文件构成</w:t>
      </w:r>
      <w:bookmarkEnd w:id="85"/>
      <w:r/>
      <w:bookmarkEnd w:id="86"/>
      <w:r/>
      <w:bookmarkEnd w:id="87"/>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6.1</w:t>
      </w:r>
      <w:r>
        <w:rPr>
          <w:rFonts w:hint="eastAsia" w:ascii="宋体" w:hAnsi="宋体" w:eastAsia="宋体" w:cs="宋体"/>
          <w:color w:val="000000" w:themeColor="text1"/>
          <w:sz w:val="24"/>
          <w:szCs w:val="24"/>
          <w:highlight w:val="none"/>
          <w14:textFill>
            <w14:solidFill>
              <w14:schemeClr w14:val="tx1"/>
            </w14:solidFill>
          </w14:textFill>
        </w:rPr>
        <w:t xml:space="preserve"> 招标文件由以下部分组成：</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（1）投标邀请</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（2）投标人须知</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（3）合同文本</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（4）采购需求</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（5）评标方法与评标标准</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（6）投标文件格式</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请仔细检查招标文件是否齐全，如有缺漏请立即与采购代理机构联系解决。</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6.2</w:t>
      </w:r>
      <w:r>
        <w:rPr>
          <w:rFonts w:hint="eastAsia" w:ascii="宋体" w:hAnsi="宋体" w:eastAsia="宋体" w:cs="宋体"/>
          <w:color w:val="000000" w:themeColor="text1"/>
          <w:sz w:val="24"/>
          <w:szCs w:val="24"/>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6"/>
        <w:ind w:firstLine="482"/>
        <w:keepLines w:val="0"/>
        <w:keepNext w:val="0"/>
        <w:pageBreakBefore w:val="0"/>
        <w:spacing w:before="0" w:after="0"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bookmarkStart w:id="88" w:name="_Toc16938527"/>
      <w:r/>
      <w:bookmarkStart w:id="89" w:name="_Toc513029211"/>
      <w:r/>
      <w:bookmarkStart w:id="90" w:name="_Toc20823283"/>
      <w:r/>
      <w:bookmarkStart w:id="91" w:name="_Toc462564070"/>
      <w:r>
        <w:rPr>
          <w:rFonts w:hint="eastAsia" w:ascii="宋体" w:hAnsi="宋体" w:eastAsia="宋体" w:cs="宋体"/>
          <w:b/>
          <w:bCs/>
          <w:color w:val="000000" w:themeColor="text1"/>
          <w:sz w:val="24"/>
          <w:szCs w:val="24"/>
          <w:highlight w:val="none"/>
          <w14:textFill>
            <w14:solidFill>
              <w14:schemeClr w14:val="tx1"/>
            </w14:solidFill>
          </w14:textFill>
        </w:rPr>
        <w:t xml:space="preserve">7、招标文件的澄清</w:t>
      </w:r>
      <w:bookmarkEnd w:id="88"/>
      <w:r/>
      <w:bookmarkEnd w:id="89"/>
      <w:r/>
      <w:bookmarkEnd w:id="90"/>
      <w:r/>
      <w:bookmarkEnd w:id="91"/>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7.1</w:t>
      </w:r>
      <w:r>
        <w:rPr>
          <w:rFonts w:hint="eastAsia" w:ascii="宋体" w:hAnsi="宋体" w:eastAsia="宋体" w:cs="宋体"/>
          <w:color w:val="000000" w:themeColor="text1"/>
          <w:sz w:val="24"/>
          <w:szCs w:val="24"/>
          <w:highlight w:val="none"/>
          <w14:textFill>
            <w14:solidFill>
              <w14:schemeClr w14:val="tx1"/>
            </w14:solidFill>
          </w14:textFill>
        </w:rPr>
        <w:t xml:space="preserve"> 任何要求对招标文件进行澄清的投标人，应在投标</w:t>
      </w:r>
      <w:r>
        <w:rPr>
          <w:rFonts w:hint="eastAsia" w:ascii="宋体" w:hAnsi="宋体" w:eastAsia="宋体" w:cs="宋体"/>
          <w:b/>
          <w:bCs/>
          <w:color w:val="000000" w:themeColor="text1"/>
          <w:sz w:val="24"/>
          <w:szCs w:val="24"/>
          <w:highlight w:val="none"/>
          <w14:textFill>
            <w14:solidFill>
              <w14:schemeClr w14:val="tx1"/>
            </w14:solidFill>
          </w14:textFill>
        </w:rPr>
        <w:t xml:space="preserve">截止期十日</w:t>
      </w:r>
      <w:r>
        <w:rPr>
          <w:rFonts w:hint="eastAsia" w:ascii="宋体" w:hAnsi="宋体" w:eastAsia="宋体" w:cs="宋体"/>
          <w:color w:val="000000" w:themeColor="text1"/>
          <w:sz w:val="24"/>
          <w:szCs w:val="24"/>
          <w:highlight w:val="none"/>
          <w14:textFill>
            <w14:solidFill>
              <w14:schemeClr w14:val="tx1"/>
            </w14:solidFill>
          </w14:textFill>
        </w:rPr>
        <w:t xml:space="preserve">前按招标公告中的通讯地址，以书面形式通知采购代理机构。</w:t>
      </w:r>
      <w:r/>
    </w:p>
    <w:p>
      <w:pPr>
        <w:pStyle w:val="946"/>
        <w:ind w:firstLine="482"/>
        <w:keepLines w:val="0"/>
        <w:keepNext w:val="0"/>
        <w:pageBreakBefore w:val="0"/>
        <w:spacing w:before="0" w:after="0"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bookmarkStart w:id="92" w:name="_Toc16938528"/>
      <w:r/>
      <w:bookmarkStart w:id="93" w:name="_Toc462564071"/>
      <w:r/>
      <w:bookmarkStart w:id="94" w:name="_Toc20823284"/>
      <w:r/>
      <w:bookmarkStart w:id="95" w:name="_Toc513029212"/>
      <w:r>
        <w:rPr>
          <w:rFonts w:hint="eastAsia" w:ascii="宋体" w:hAnsi="宋体" w:eastAsia="宋体" w:cs="宋体"/>
          <w:b/>
          <w:bCs/>
          <w:color w:val="000000" w:themeColor="text1"/>
          <w:sz w:val="24"/>
          <w:szCs w:val="24"/>
          <w:highlight w:val="none"/>
          <w14:textFill>
            <w14:solidFill>
              <w14:schemeClr w14:val="tx1"/>
            </w14:solidFill>
          </w14:textFill>
        </w:rPr>
        <w:t xml:space="preserve">8、招标文件的修改</w:t>
      </w:r>
      <w:bookmarkEnd w:id="92"/>
      <w:r/>
      <w:bookmarkEnd w:id="93"/>
      <w:r/>
      <w:bookmarkEnd w:id="94"/>
      <w:r/>
      <w:bookmarkEnd w:id="95"/>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8.2 在投标截止时间前，采购代理机构可以对招标文件进行修改。</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8.3采购代理机构有权按照法定的要求推迟投标截止日期和开标日期。</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8.4招标文件的修改将在原公告媒体上发布更正公告，补充文件将作为招标文件的组成部分，并对投标人具有约束力，发布的更正公告视同为以书面形式通知所有获取招标文件的潜在投标人。</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8.5投标人应及时登录“苏采云”系统获取澄清答疑文件（修改后招标文件），如因投标人原因未能及时下载澄清和修改后的招标文件，由此造成的相关责任，由投标人承担。 </w:t>
      </w:r>
      <w:r/>
    </w:p>
    <w:p>
      <w:pPr>
        <w:pStyle w:val="944"/>
        <w:ind w:firstLine="560"/>
        <w:keepLines w:val="0"/>
        <w:keepNext w:val="0"/>
        <w:pageBreakBefore w:val="0"/>
        <w:spacing w:before="181" w:after="181" w:line="480" w:lineRule="exact"/>
        <w:widowControl w:val="off"/>
        <w:rPr>
          <w:rFonts w:hint="eastAsia" w:ascii="黑体" w:hAnsi="黑体" w:eastAsia="黑体" w:cs="黑体"/>
          <w:b w:val="0"/>
          <w:bCs w:val="0"/>
          <w:color w:val="000000" w:themeColor="text1"/>
          <w:sz w:val="28"/>
          <w:szCs w:val="28"/>
          <w:highlight w:val="none"/>
          <w14:textFill>
            <w14:solidFill>
              <w14:schemeClr w14:val="tx1"/>
            </w14:solidFill>
          </w14:textFill>
        </w:rPr>
      </w:pPr>
      <w:r/>
      <w:bookmarkStart w:id="96" w:name="_Toc513029213"/>
      <w:r/>
      <w:bookmarkStart w:id="97" w:name="_Toc462564072"/>
      <w:r/>
      <w:bookmarkStart w:id="98" w:name="_Toc20823285"/>
      <w:r/>
      <w:bookmarkStart w:id="99" w:name="_Toc120614216"/>
      <w:r/>
      <w:bookmarkStart w:id="100" w:name="_Toc16938529"/>
      <w:r>
        <w:rPr>
          <w:rFonts w:hint="eastAsia" w:ascii="黑体" w:hAnsi="黑体" w:eastAsia="黑体" w:cs="黑体"/>
          <w:b w:val="0"/>
          <w:bCs w:val="0"/>
          <w:color w:val="000000" w:themeColor="text1"/>
          <w:sz w:val="28"/>
          <w:szCs w:val="28"/>
          <w:highlight w:val="none"/>
          <w14:textFill>
            <w14:solidFill>
              <w14:schemeClr w14:val="tx1"/>
            </w14:solidFill>
          </w14:textFill>
        </w:rPr>
        <w:t xml:space="preserve">三、投标文件的编制</w:t>
      </w:r>
      <w:bookmarkEnd w:id="96"/>
      <w:r/>
      <w:bookmarkEnd w:id="97"/>
      <w:r/>
      <w:bookmarkEnd w:id="98"/>
      <w:r/>
      <w:bookmarkEnd w:id="99"/>
      <w:r/>
      <w:bookmarkEnd w:id="100"/>
      <w:r/>
      <w:r/>
    </w:p>
    <w:p>
      <w:pPr>
        <w:pStyle w:val="946"/>
        <w:ind w:firstLine="482"/>
        <w:keepLines w:val="0"/>
        <w:keepNext w:val="0"/>
        <w:pageBreakBefore w:val="0"/>
        <w:spacing w:before="0" w:after="0"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bookmarkStart w:id="101" w:name="_Toc20823286"/>
      <w:r/>
      <w:bookmarkStart w:id="102" w:name="_Toc462564073"/>
      <w:r/>
      <w:bookmarkStart w:id="103" w:name="_Toc16938530"/>
      <w:r/>
      <w:bookmarkStart w:id="104" w:name="_Toc513029214"/>
      <w:r>
        <w:rPr>
          <w:rFonts w:hint="eastAsia" w:ascii="宋体" w:hAnsi="宋体" w:eastAsia="宋体" w:cs="宋体"/>
          <w:b/>
          <w:bCs/>
          <w:color w:val="000000" w:themeColor="text1"/>
          <w:sz w:val="24"/>
          <w:szCs w:val="24"/>
          <w:highlight w:val="none"/>
          <w14:textFill>
            <w14:solidFill>
              <w14:schemeClr w14:val="tx1"/>
            </w14:solidFill>
          </w14:textFill>
        </w:rPr>
        <w:t xml:space="preserve">9、投标文件的语言及度量衡单位</w:t>
      </w:r>
      <w:bookmarkEnd w:id="101"/>
      <w:r/>
      <w:bookmarkEnd w:id="102"/>
      <w:r/>
      <w:bookmarkEnd w:id="103"/>
      <w:r/>
      <w:bookmarkEnd w:id="104"/>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9.1</w:t>
      </w:r>
      <w:r>
        <w:rPr>
          <w:rFonts w:hint="eastAsia" w:ascii="宋体" w:hAnsi="宋体" w:eastAsia="宋体" w:cs="宋体"/>
          <w:color w:val="000000" w:themeColor="text1"/>
          <w:sz w:val="24"/>
          <w:szCs w:val="24"/>
          <w:highlight w:val="none"/>
          <w14:textFill>
            <w14:solidFill>
              <w14:schemeClr w14:val="tx1"/>
            </w14:solidFill>
          </w14:textFill>
        </w:rPr>
        <w:t xml:space="preserve"> 投标人提交的投标文件以及投标人与采购代理机构就有关投标的所有来往通知、函件和文件均应使用</w:t>
      </w:r>
      <w:r>
        <w:rPr>
          <w:rFonts w:hint="eastAsia" w:ascii="宋体" w:hAnsi="宋体" w:eastAsia="宋体" w:cs="宋体"/>
          <w:b/>
          <w:bCs/>
          <w:color w:val="000000" w:themeColor="text1"/>
          <w:sz w:val="24"/>
          <w:szCs w:val="24"/>
          <w:highlight w:val="none"/>
          <w14:textFill>
            <w14:solidFill>
              <w14:schemeClr w14:val="tx1"/>
            </w14:solidFill>
          </w14:textFill>
        </w:rPr>
        <w:t xml:space="preserve">简体中文</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9.2</w:t>
      </w:r>
      <w:r>
        <w:rPr>
          <w:rFonts w:hint="eastAsia" w:ascii="宋体" w:hAnsi="宋体" w:eastAsia="宋体" w:cs="宋体"/>
          <w:color w:val="000000" w:themeColor="text1"/>
          <w:sz w:val="24"/>
          <w:szCs w:val="24"/>
          <w:highlight w:val="none"/>
          <w14:textFill>
            <w14:solidFill>
              <w14:schemeClr w14:val="tx1"/>
            </w14:solidFill>
          </w14:textFill>
        </w:rPr>
        <w:t xml:space="preserve"> 除技术性能另有规定外，投标文件所使用的度量衡单位，均须采用国家法定计量单位。</w:t>
      </w:r>
      <w:r/>
    </w:p>
    <w:p>
      <w:pPr>
        <w:pStyle w:val="946"/>
        <w:ind w:firstLine="482"/>
        <w:keepLines w:val="0"/>
        <w:keepNext w:val="0"/>
        <w:pageBreakBefore w:val="0"/>
        <w:spacing w:before="0" w:after="0"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bookmarkStart w:id="105" w:name="_Toc462564074"/>
      <w:r/>
      <w:bookmarkStart w:id="106" w:name="_Toc513029215"/>
      <w:r/>
      <w:bookmarkStart w:id="107" w:name="_Toc20823287"/>
      <w:r/>
      <w:bookmarkStart w:id="108" w:name="_Toc16938531"/>
      <w:r>
        <w:rPr>
          <w:rFonts w:hint="eastAsia" w:ascii="宋体" w:hAnsi="宋体" w:eastAsia="宋体" w:cs="宋体"/>
          <w:b/>
          <w:bCs/>
          <w:color w:val="000000" w:themeColor="text1"/>
          <w:sz w:val="24"/>
          <w:szCs w:val="24"/>
          <w:highlight w:val="none"/>
          <w14:textFill>
            <w14:solidFill>
              <w14:schemeClr w14:val="tx1"/>
            </w14:solidFill>
          </w14:textFill>
        </w:rPr>
        <w:t xml:space="preserve">10、投标文件构成</w:t>
      </w:r>
      <w:bookmarkEnd w:id="105"/>
      <w:r/>
      <w:bookmarkEnd w:id="106"/>
      <w:r/>
      <w:bookmarkEnd w:id="107"/>
      <w:r/>
      <w:bookmarkEnd w:id="108"/>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各投标人在编制投标文件时请按照招标文件第六</w:t>
      </w:r>
      <w:r>
        <w:rPr>
          <w:rFonts w:hint="eastAsia" w:ascii="宋体" w:hAnsi="宋体" w:eastAsia="宋体" w:cs="宋体"/>
          <w:bCs/>
          <w:color w:val="000000" w:themeColor="text1"/>
          <w:sz w:val="24"/>
          <w:szCs w:val="24"/>
          <w:highlight w:val="none"/>
          <w14:textFill>
            <w14:solidFill>
              <w14:schemeClr w14:val="tx1"/>
            </w14:solidFill>
          </w14:textFill>
        </w:rPr>
        <w:t xml:space="preserve">章</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规定的格式进行，混乱的编排导致投标文件被误读或评委会查找不到有效文件是投标人的风险。</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10.2投标人编写的投标文件应包括资格证明文件、符合性证明文件、投标分项报价表、响应及偏离表、其他证明文件、投标函、开标一览表等部分。</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10.5 如标书制作工具中格式和内容与“宿迁市政府采购网”发布的招标文件不一致，请以“宿迁市政府采购网”发布的招标文件为准。</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10.6中标后按相关要求提供与电子投标文件一致的纸质打印投标文件2份。 </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bookmarkStart w:id="109" w:name="EBc50e2bb832bb43068403b10c1cce6141"/>
      <w:r>
        <w:rPr>
          <w:rFonts w:hint="eastAsia" w:ascii="宋体" w:hAnsi="宋体" w:eastAsia="宋体" w:cs="宋体"/>
          <w:bCs/>
          <w:color w:val="000000" w:themeColor="text1"/>
          <w:sz w:val="24"/>
          <w:szCs w:val="24"/>
          <w:highlight w:val="none"/>
          <w14:textFill>
            <w14:solidFill>
              <w14:schemeClr w14:val="tx1"/>
            </w14:solidFill>
          </w14:textFill>
        </w:rPr>
        <w:t xml:space="preserve">注：（1）投标文件构成资料为非中文时应提供中文译版；（2）</w:t>
      </w:r>
      <w:r>
        <w:rPr>
          <w:rFonts w:hint="eastAsia" w:ascii="宋体" w:hAnsi="宋体" w:eastAsia="宋体" w:cs="宋体"/>
          <w:b/>
          <w:color w:val="000000" w:themeColor="text1"/>
          <w:sz w:val="24"/>
          <w:szCs w:val="24"/>
          <w:highlight w:val="none"/>
          <w14:textFill>
            <w14:solidFill>
              <w14:schemeClr w14:val="tx1"/>
            </w14:solidFill>
          </w14:textFill>
        </w:rPr>
        <w:t xml:space="preserve">招标文件要求提供证书证件等原件电子件的，投标人提供的电子件应是对证书证件等原件通过扫描、拍照等方式进行数字化的可被“苏采云”系统识别的数字文件，否则评委会可以视其未提供。</w:t>
      </w:r>
      <w:r>
        <w:rPr>
          <w:rFonts w:hint="eastAsia" w:ascii="宋体" w:hAnsi="宋体" w:eastAsia="宋体" w:cs="宋体"/>
          <w:bCs/>
          <w:color w:val="000000" w:themeColor="text1"/>
          <w:sz w:val="24"/>
          <w:szCs w:val="24"/>
          <w:highlight w:val="none"/>
          <w14:textFill>
            <w14:solidFill>
              <w14:schemeClr w14:val="tx1"/>
            </w14:solidFill>
          </w14:textFill>
        </w:rPr>
        <w:t xml:space="preserve">（3）无论何种原因，即使投标人开标时携带了证书证明资料的原件，但电子投标文件中未包含相关资料电子件的，评委会可以视同其未提供。</w:t>
      </w:r>
      <w:bookmarkEnd w:id="109"/>
      <w:r/>
      <w:r/>
    </w:p>
    <w:p>
      <w:pPr>
        <w:pStyle w:val="946"/>
        <w:ind w:firstLine="482"/>
        <w:keepLines w:val="0"/>
        <w:keepNext w:val="0"/>
        <w:pageBreakBefore w:val="0"/>
        <w:spacing w:before="0" w:after="0"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bookmarkStart w:id="110" w:name="_Hlt26670360"/>
      <w:r/>
      <w:bookmarkEnd w:id="110"/>
      <w:r/>
      <w:bookmarkStart w:id="111" w:name="_Hlt26668975"/>
      <w:r/>
      <w:bookmarkEnd w:id="111"/>
      <w:r/>
      <w:bookmarkStart w:id="112" w:name="_Hlt26954838"/>
      <w:r/>
      <w:bookmarkEnd w:id="112"/>
      <w:r/>
      <w:bookmarkStart w:id="113" w:name="_Toc513029219"/>
      <w:r/>
      <w:bookmarkStart w:id="114" w:name="_Toc14577357"/>
      <w:r/>
      <w:bookmarkStart w:id="115" w:name="_Toc49090507"/>
      <w:r/>
      <w:bookmarkStart w:id="116" w:name="_Toc49090509"/>
      <w:r/>
      <w:bookmarkStart w:id="117" w:name="_Toc513029216"/>
      <w:r/>
      <w:bookmarkStart w:id="118" w:name="_Toc14577354"/>
      <w:r>
        <w:rPr>
          <w:rFonts w:hint="eastAsia" w:ascii="宋体" w:hAnsi="宋体" w:eastAsia="宋体" w:cs="宋体"/>
          <w:b/>
          <w:bCs/>
          <w:color w:val="000000" w:themeColor="text1"/>
          <w:sz w:val="24"/>
          <w:szCs w:val="24"/>
          <w:highlight w:val="none"/>
          <w14:textFill>
            <w14:solidFill>
              <w14:schemeClr w14:val="tx1"/>
            </w14:solidFill>
          </w14:textFill>
        </w:rPr>
        <w:t xml:space="preserve">11、证明投标人及投标标的符合招标文件规定的文件</w:t>
      </w:r>
      <w:bookmarkEnd w:id="113"/>
      <w:r/>
      <w:bookmarkEnd w:id="114"/>
      <w:r/>
      <w:bookmarkEnd w:id="115"/>
      <w:r/>
      <w:bookmarkEnd w:id="116"/>
      <w:r/>
      <w:bookmarkEnd w:id="117"/>
      <w:r/>
      <w:bookmarkEnd w:id="118"/>
      <w:r/>
      <w:r/>
    </w:p>
    <w:p>
      <w:pPr>
        <w:ind w:firstLine="480"/>
        <w:keepLines w:val="0"/>
        <w:keepNext w:val="0"/>
        <w:pageBreakBefore w:val="0"/>
        <w:spacing w:line="480" w:lineRule="exact"/>
        <w:widowControl w:val="off"/>
        <w:tabs>
          <w:tab w:val="center" w:pos="4422" w:leader="none"/>
        </w:tabs>
        <w:rPr>
          <w:rFonts w:hint="eastAsia" w:ascii="宋体" w:hAnsi="宋体" w:eastAsia="宋体" w:cs="宋体"/>
          <w:color w:val="000000" w:themeColor="text1"/>
          <w:sz w:val="24"/>
          <w:szCs w:val="24"/>
          <w:highlight w:val="none"/>
          <w14:textFill>
            <w14:solidFill>
              <w14:schemeClr w14:val="tx1"/>
            </w14:solidFill>
          </w14:textFill>
        </w:rPr>
      </w:pPr>
      <w:r/>
      <w:bookmarkStart w:id="119" w:name="_Toc14577355"/>
      <w:r/>
      <w:bookmarkStart w:id="120" w:name="_Toc49090508"/>
      <w:r>
        <w:rPr>
          <w:rFonts w:hint="eastAsia" w:ascii="宋体" w:hAnsi="宋体" w:eastAsia="宋体" w:cs="宋体"/>
          <w:color w:val="000000" w:themeColor="text1"/>
          <w:sz w:val="24"/>
          <w:szCs w:val="24"/>
          <w:highlight w:val="none"/>
          <w14:textFill>
            <w14:solidFill>
              <w14:schemeClr w14:val="tx1"/>
            </w14:solidFill>
          </w14:textFill>
        </w:rPr>
        <w:t xml:space="preserve">11.1投标人应按照法律、法规、规章和规范性文件以及招标文件要求提交证明文件，证明其及投标标的符合招标文件规定。</w:t>
      </w:r>
      <w:r>
        <w:rPr>
          <w:rFonts w:hint="eastAsia" w:ascii="宋体" w:hAnsi="宋体" w:eastAsia="宋体" w:cs="宋体"/>
          <w:sz w:val="24"/>
          <w:szCs w:val="24"/>
          <w:highlight w:val="none"/>
        </w:rPr>
        <w:tab/>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11.2招标文件对证明文件无明确形式要求的，证明文件可以以文字资料、图纸和数据等形式提交。</w:t>
      </w:r>
      <w:r/>
    </w:p>
    <w:p>
      <w:pPr>
        <w:pStyle w:val="946"/>
        <w:ind w:firstLine="482"/>
        <w:keepLines w:val="0"/>
        <w:keepNext w:val="0"/>
        <w:pageBreakBefore w:val="0"/>
        <w:spacing w:before="0" w:after="0"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12、投标分项报价</w:t>
      </w:r>
      <w:bookmarkEnd w:id="119"/>
      <w:r/>
      <w:bookmarkStart w:id="121" w:name="_Hlt26670373"/>
      <w:r/>
      <w:bookmarkEnd w:id="121"/>
      <w:r>
        <w:rPr>
          <w:rFonts w:hint="eastAsia" w:ascii="宋体" w:hAnsi="宋体" w:eastAsia="宋体" w:cs="宋体"/>
          <w:b/>
          <w:bCs/>
          <w:color w:val="000000" w:themeColor="text1"/>
          <w:sz w:val="24"/>
          <w:szCs w:val="24"/>
          <w:highlight w:val="none"/>
          <w14:textFill>
            <w14:solidFill>
              <w14:schemeClr w14:val="tx1"/>
            </w14:solidFill>
          </w14:textFill>
        </w:rPr>
        <w:t xml:space="preserve">表</w:t>
      </w:r>
      <w:bookmarkEnd w:id="120"/>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12.1</w:t>
      </w:r>
      <w:r>
        <w:rPr>
          <w:rFonts w:hint="eastAsia" w:ascii="宋体" w:hAnsi="宋体" w:eastAsia="宋体" w:cs="宋体"/>
          <w:color w:val="000000" w:themeColor="text1"/>
          <w:sz w:val="24"/>
          <w:szCs w:val="24"/>
          <w:highlight w:val="none"/>
          <w14:textFill>
            <w14:solidFill>
              <w14:schemeClr w14:val="tx1"/>
            </w14:solidFill>
          </w14:textFill>
        </w:rPr>
        <w:t xml:space="preserve"> 投</w:t>
      </w:r>
      <w:bookmarkStart w:id="122" w:name="_Hlt26954840"/>
      <w:r/>
      <w:bookmarkEnd w:id="122"/>
      <w:r>
        <w:rPr>
          <w:rFonts w:hint="eastAsia" w:ascii="宋体" w:hAnsi="宋体" w:eastAsia="宋体" w:cs="宋体"/>
          <w:color w:val="000000" w:themeColor="text1"/>
          <w:sz w:val="24"/>
          <w:szCs w:val="24"/>
          <w:highlight w:val="none"/>
          <w14:textFill>
            <w14:solidFill>
              <w14:schemeClr w14:val="tx1"/>
            </w14:solidFill>
          </w14:textFill>
        </w:rPr>
        <w:t xml:space="preserve">标人应按照招标文件规定格式填报投标分项报价表</w:t>
      </w:r>
      <w:bookmarkStart w:id="123" w:name="_Hlt26670399"/>
      <w:r/>
      <w:bookmarkEnd w:id="123"/>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12.2</w:t>
      </w:r>
      <w:r>
        <w:rPr>
          <w:rFonts w:hint="eastAsia" w:ascii="宋体" w:hAnsi="宋体" w:eastAsia="宋体" w:cs="宋体"/>
          <w:bCs/>
          <w:color w:val="000000" w:themeColor="text1"/>
          <w:sz w:val="24"/>
          <w:szCs w:val="24"/>
          <w:highlight w:val="none"/>
          <w14:textFill>
            <w14:solidFill>
              <w14:schemeClr w14:val="tx1"/>
            </w14:solidFill>
          </w14:textFill>
        </w:rPr>
        <w:t xml:space="preserve">投标货币。投标文件中的单价和总价无特殊规定的采用人民币报价，以元为单位标注。</w:t>
      </w:r>
      <w:r>
        <w:rPr>
          <w:rFonts w:hint="eastAsia" w:ascii="宋体" w:hAnsi="宋体" w:eastAsia="宋体" w:cs="宋体"/>
          <w:color w:val="000000" w:themeColor="text1"/>
          <w:sz w:val="24"/>
          <w:szCs w:val="24"/>
          <w:highlight w:val="none"/>
          <w14:textFill>
            <w14:solidFill>
              <w14:schemeClr w14:val="tx1"/>
            </w14:solidFill>
          </w14:textFill>
        </w:rPr>
        <w:t xml:space="preserve">招标文件中另有规定的按规定执行。</w:t>
      </w:r>
      <w:r/>
    </w:p>
    <w:p>
      <w:pPr>
        <w:ind w:firstLine="480"/>
        <w:keepLines w:val="0"/>
        <w:keepNext w:val="0"/>
        <w:pageBreakBefore w:val="0"/>
        <w:spacing w:line="480" w:lineRule="exact"/>
        <w:widowControl w:val="off"/>
        <w:rPr>
          <w:rFonts w:hint="eastAsia" w:ascii="宋体" w:hAnsi="宋体" w:eastAsia="宋体" w:cs="宋体"/>
          <w:bCs/>
          <w:color w:val="ff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12.3本项目不接受备选的投标方案或有选择的报价，只允许有一个报价。投标报价内容包括但不限于：</w:t>
      </w:r>
      <w:r>
        <w:rPr>
          <w:rFonts w:hint="eastAsia" w:ascii="宋体" w:hAnsi="宋体" w:eastAsia="宋体" w:cs="宋体"/>
          <w:b/>
          <w:bCs w:val="0"/>
          <w:color w:val="000000" w:themeColor="text1"/>
          <w:sz w:val="24"/>
          <w:szCs w:val="24"/>
          <w:highlight w:val="none"/>
          <w14:textFill>
            <w14:solidFill>
              <w14:schemeClr w14:val="tx1"/>
            </w14:solidFill>
          </w14:textFill>
        </w:rPr>
        <w:t xml:space="preserve">设备采购安装、调试及相关配套费、数据对接费、入网费、电费、人工费、服务费、税金、满足实现采购需求功能和效果以及履约过程中涉及到的其他一切费用。</w:t>
      </w:r>
      <w:r/>
    </w:p>
    <w:p>
      <w:pPr>
        <w:pStyle w:val="946"/>
        <w:ind w:firstLine="482"/>
        <w:keepLines w:val="0"/>
        <w:keepNext w:val="0"/>
        <w:pageBreakBefore w:val="0"/>
        <w:spacing w:before="0" w:after="0"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bookmarkStart w:id="124" w:name="_Hlt26954842"/>
      <w:r/>
      <w:bookmarkEnd w:id="124"/>
      <w:r/>
      <w:bookmarkStart w:id="125" w:name="_Hlt26670486"/>
      <w:r/>
      <w:bookmarkEnd w:id="125"/>
      <w:r/>
      <w:bookmarkStart w:id="126" w:name="_Hlt26670425"/>
      <w:r/>
      <w:bookmarkEnd w:id="126"/>
      <w:r/>
      <w:bookmarkStart w:id="127" w:name="_Hlt26670482"/>
      <w:r/>
      <w:bookmarkEnd w:id="127"/>
      <w:r/>
      <w:bookmarkStart w:id="128" w:name="_Hlt26954731"/>
      <w:r/>
      <w:bookmarkEnd w:id="128"/>
      <w:r/>
      <w:bookmarkStart w:id="129" w:name="_Hlt26954846"/>
      <w:r/>
      <w:bookmarkEnd w:id="129"/>
      <w:r/>
      <w:bookmarkStart w:id="130" w:name="_Hlt26670403"/>
      <w:r/>
      <w:bookmarkEnd w:id="130"/>
      <w:r/>
      <w:bookmarkStart w:id="131" w:name="_Hlt26954848"/>
      <w:r/>
      <w:bookmarkEnd w:id="131"/>
      <w:r/>
      <w:bookmarkStart w:id="132" w:name="_Hlt26954844"/>
      <w:r/>
      <w:bookmarkEnd w:id="132"/>
      <w:r/>
      <w:bookmarkStart w:id="133" w:name="_Hlt26668983"/>
      <w:r/>
      <w:bookmarkEnd w:id="133"/>
      <w:r/>
      <w:bookmarkStart w:id="134" w:name="_Toc49090510"/>
      <w:r/>
      <w:bookmarkStart w:id="135" w:name="_Toc14577359"/>
      <w:r>
        <w:rPr>
          <w:rFonts w:hint="eastAsia" w:ascii="宋体" w:hAnsi="宋体" w:eastAsia="宋体" w:cs="宋体"/>
          <w:b/>
          <w:bCs/>
          <w:color w:val="000000" w:themeColor="text1"/>
          <w:sz w:val="24"/>
          <w:szCs w:val="24"/>
          <w:highlight w:val="none"/>
          <w14:textFill>
            <w14:solidFill>
              <w14:schemeClr w14:val="tx1"/>
            </w14:solidFill>
          </w14:textFill>
        </w:rPr>
        <w:t xml:space="preserve">13、技术要求响应及偏离表、商务要求响应及偏离表</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13.1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 投标人需对招标文件中的技术要求与商务要求逐项作出响应或偏离，并说明原因。</w:t>
      </w:r>
      <w:r/>
    </w:p>
    <w:p>
      <w:pPr>
        <w:ind w:firstLine="480"/>
        <w:keepLines w:val="0"/>
        <w:keepNext w:val="0"/>
        <w:pageBreakBefore w:val="0"/>
        <w:spacing w:line="480" w:lineRule="exact"/>
        <w:widowControl w:val="off"/>
        <w:tabs>
          <w:tab w:val="left" w:pos="1035" w:leader="none"/>
        </w:tabs>
        <w:rPr>
          <w:rFonts w:hint="eastAsia" w:ascii="宋体" w:hAnsi="宋体" w:eastAsia="宋体" w:cs="宋体"/>
          <w:color w:val="000000" w:themeColor="text1"/>
          <w:sz w:val="24"/>
          <w:szCs w:val="24"/>
          <w:highlight w:val="none"/>
          <w:lang w:val="zh-CN"/>
          <w14:textFill>
            <w14:solidFill>
              <w14:schemeClr w14:val="tx1"/>
            </w14:solidFill>
          </w14:textFill>
        </w:rPr>
      </w:pPr>
      <w:r>
        <w:rPr>
          <w:rFonts w:hint="eastAsia" w:ascii="宋体" w:hAnsi="宋体" w:eastAsia="宋体" w:cs="宋体"/>
          <w:color w:val="000000" w:themeColor="text1"/>
          <w:sz w:val="24"/>
          <w:szCs w:val="24"/>
          <w:highlight w:val="none"/>
          <w:lang w:val="zh-CN"/>
          <w14:textFill>
            <w14:solidFill>
              <w14:schemeClr w14:val="tx1"/>
            </w14:solidFill>
          </w14:textFill>
        </w:rPr>
        <w:t xml:space="preserve">13.2 投标人可在投标文件中提供认为需要的其他技术文件或说明。</w:t>
      </w:r>
      <w:r/>
    </w:p>
    <w:p>
      <w:pPr>
        <w:pStyle w:val="946"/>
        <w:ind w:firstLine="482"/>
        <w:keepLines w:val="0"/>
        <w:keepNext w:val="0"/>
        <w:pageBreakBefore w:val="0"/>
        <w:spacing w:before="0" w:after="0"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14、服务承诺、培训计划、人员安排及其他</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14.1</w:t>
      </w:r>
      <w:r>
        <w:rPr>
          <w:rFonts w:hint="eastAsia" w:ascii="宋体" w:hAnsi="宋体" w:eastAsia="宋体" w:cs="宋体"/>
          <w:color w:val="000000" w:themeColor="text1"/>
          <w:sz w:val="24"/>
          <w:szCs w:val="24"/>
          <w:highlight w:val="none"/>
          <w14:textFill>
            <w14:solidFill>
              <w14:schemeClr w14:val="tx1"/>
            </w14:solidFill>
          </w14:textFill>
        </w:rPr>
        <w:t xml:space="preserve">投标人需根据招标文件要求提供有关售后服务的管理制度，售后服务机构的分布情况，售后服务人员的数量、素质、技术水平及售后服务的反应能力等。</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14.2 投标人需根据招标文件要求提供培训计划。</w:t>
      </w:r>
      <w:r/>
    </w:p>
    <w:p>
      <w:pPr>
        <w:ind w:firstLine="480"/>
        <w:keepLines w:val="0"/>
        <w:keepNext w:val="0"/>
        <w:pageBreakBefore w:val="0"/>
        <w:spacing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14.3投标人需根据招标文件要求提供</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所投标的的主要组成部分、功能设计、实现思路及关键技术等。</w:t>
      </w:r>
      <w:r/>
    </w:p>
    <w:p>
      <w:pPr>
        <w:pStyle w:val="946"/>
        <w:ind w:firstLine="482"/>
        <w:keepLines w:val="0"/>
        <w:keepNext w:val="0"/>
        <w:pageBreakBefore w:val="0"/>
        <w:spacing w:before="0" w:after="0"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15、投标声明及承诺函和开标一览表</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15.1</w:t>
      </w:r>
      <w:r>
        <w:rPr>
          <w:rFonts w:hint="eastAsia" w:ascii="宋体" w:hAnsi="宋体" w:eastAsia="宋体" w:cs="宋体"/>
          <w:color w:val="000000" w:themeColor="text1"/>
          <w:sz w:val="24"/>
          <w:szCs w:val="24"/>
          <w:highlight w:val="none"/>
          <w14:textFill>
            <w14:solidFill>
              <w14:schemeClr w14:val="tx1"/>
            </w14:solidFill>
          </w14:textFill>
        </w:rPr>
        <w:t xml:space="preserve">投标人应按照招标文件中提供的格式完整、正确填写投标声明及承诺函、开标一览表。</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15.2</w:t>
      </w:r>
      <w:r>
        <w:rPr>
          <w:rFonts w:hint="eastAsia" w:ascii="宋体" w:hAnsi="宋体" w:eastAsia="宋体" w:cs="宋体"/>
          <w:color w:val="000000" w:themeColor="text1"/>
          <w:sz w:val="24"/>
          <w:szCs w:val="24"/>
          <w:highlight w:val="none"/>
          <w14:textFill>
            <w14:solidFill>
              <w14:schemeClr w14:val="tx1"/>
            </w14:solidFill>
          </w14:textFill>
        </w:rPr>
        <w:t xml:space="preserve">对于采用货币报价的项目，</w:t>
      </w:r>
      <w:r>
        <w:rPr>
          <w:rFonts w:hint="eastAsia" w:ascii="宋体" w:hAnsi="宋体" w:eastAsia="宋体" w:cs="宋体"/>
          <w:bCs/>
          <w:color w:val="000000" w:themeColor="text1"/>
          <w:sz w:val="24"/>
          <w:szCs w:val="24"/>
          <w:highlight w:val="none"/>
          <w14:textFill>
            <w14:solidFill>
              <w14:schemeClr w14:val="tx1"/>
            </w14:solidFill>
          </w14:textFill>
        </w:rPr>
        <w:t xml:space="preserve">开标一览表中的投标总报价应与投标分项报价表中的投标总报价一致，如不一致，</w:t>
      </w:r>
      <w:r>
        <w:rPr>
          <w:rFonts w:hint="eastAsia" w:ascii="宋体" w:hAnsi="宋体" w:eastAsia="宋体" w:cs="宋体"/>
          <w:color w:val="000000" w:themeColor="text1"/>
          <w:sz w:val="24"/>
          <w:szCs w:val="24"/>
          <w:highlight w:val="none"/>
          <w14:textFill>
            <w14:solidFill>
              <w14:schemeClr w14:val="tx1"/>
            </w14:solidFill>
          </w14:textFill>
        </w:rPr>
        <w:t xml:space="preserve">不作为无效投标处理</w:t>
      </w:r>
      <w:r>
        <w:rPr>
          <w:rFonts w:hint="eastAsia" w:ascii="宋体" w:hAnsi="宋体" w:eastAsia="宋体" w:cs="宋体"/>
          <w:bCs/>
          <w:color w:val="000000" w:themeColor="text1"/>
          <w:sz w:val="24"/>
          <w:szCs w:val="24"/>
          <w:highlight w:val="none"/>
          <w14:textFill>
            <w14:solidFill>
              <w14:schemeClr w14:val="tx1"/>
            </w14:solidFill>
          </w14:textFill>
        </w:rPr>
        <w:t xml:space="preserve">，但评标时按开标一览表中价格为准</w:t>
      </w:r>
      <w:r>
        <w:rPr>
          <w:rFonts w:hint="eastAsia" w:ascii="宋体" w:hAnsi="宋体" w:eastAsia="宋体" w:cs="宋体"/>
          <w:b/>
          <w:bCs/>
          <w:color w:val="000000" w:themeColor="text1"/>
          <w:sz w:val="24"/>
          <w:szCs w:val="24"/>
          <w:highlight w:val="none"/>
          <w14:textFill>
            <w14:solidFill>
              <w14:schemeClr w14:val="tx1"/>
            </w14:solidFill>
          </w14:textFill>
        </w:rPr>
        <w:t xml:space="preserve">。</w:t>
      </w:r>
      <w:bookmarkEnd w:id="134"/>
      <w:r/>
      <w:bookmarkEnd w:id="135"/>
      <w:r/>
      <w:r/>
    </w:p>
    <w:p>
      <w:pPr>
        <w:pStyle w:val="946"/>
        <w:ind w:firstLine="482"/>
        <w:keepLines w:val="0"/>
        <w:keepNext w:val="0"/>
        <w:pageBreakBefore w:val="0"/>
        <w:spacing w:before="0" w:after="0"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bookmarkStart w:id="136" w:name="_Hlt26954734"/>
      <w:r/>
      <w:bookmarkEnd w:id="136"/>
      <w:r/>
      <w:bookmarkStart w:id="137" w:name="_Hlt26954850"/>
      <w:r/>
      <w:bookmarkEnd w:id="137"/>
      <w:r/>
      <w:bookmarkStart w:id="138" w:name="_Hlt26670489"/>
      <w:r/>
      <w:bookmarkEnd w:id="138"/>
      <w:r/>
      <w:bookmarkStart w:id="139" w:name="_Toc49090511"/>
      <w:r/>
      <w:bookmarkStart w:id="140" w:name="_Toc14577360"/>
      <w:r>
        <w:rPr>
          <w:rFonts w:hint="eastAsia" w:ascii="宋体" w:hAnsi="宋体" w:eastAsia="宋体" w:cs="宋体"/>
          <w:b/>
          <w:bCs/>
          <w:color w:val="000000" w:themeColor="text1"/>
          <w:sz w:val="24"/>
          <w:szCs w:val="24"/>
          <w:highlight w:val="none"/>
          <w14:textFill>
            <w14:solidFill>
              <w14:schemeClr w14:val="tx1"/>
            </w14:solidFill>
          </w14:textFill>
        </w:rPr>
        <w:t xml:space="preserve">16、投标有效期</w:t>
      </w:r>
      <w:bookmarkEnd w:id="139"/>
      <w:r/>
      <w:bookmarkEnd w:id="140"/>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16.1</w:t>
      </w:r>
      <w:r>
        <w:rPr>
          <w:rFonts w:hint="eastAsia" w:ascii="宋体" w:hAnsi="宋体" w:eastAsia="宋体" w:cs="宋体"/>
          <w:bCs/>
          <w:color w:val="000000" w:themeColor="text1"/>
          <w:sz w:val="24"/>
          <w:szCs w:val="24"/>
          <w:highlight w:val="none"/>
          <w14:textFill>
            <w14:solidFill>
              <w14:schemeClr w14:val="tx1"/>
            </w14:solidFill>
          </w14:textFill>
        </w:rPr>
        <w:t xml:space="preserve"> 投标有效期为开标之日后</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六十（60）天</w:t>
      </w:r>
      <w:r>
        <w:rPr>
          <w:rFonts w:hint="eastAsia" w:ascii="宋体" w:hAnsi="宋体" w:eastAsia="宋体" w:cs="宋体"/>
          <w:bCs/>
          <w:color w:val="000000" w:themeColor="text1"/>
          <w:sz w:val="24"/>
          <w:szCs w:val="24"/>
          <w:highlight w:val="none"/>
          <w14:textFill>
            <w14:solidFill>
              <w14:schemeClr w14:val="tx1"/>
            </w14:solidFill>
          </w14:textFill>
        </w:rPr>
        <w:t xml:space="preserve">。投标有效期比规定短的将被视为未实质性响应招标文件而予以拒绝。</w:t>
      </w:r>
      <w:r/>
    </w:p>
    <w:p>
      <w:pPr>
        <w:pStyle w:val="946"/>
        <w:ind w:firstLine="482"/>
        <w:keepLines w:val="0"/>
        <w:keepNext w:val="0"/>
        <w:pageBreakBefore w:val="0"/>
        <w:spacing w:before="0" w:after="0"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17、投标有效期的延长</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17.1</w:t>
      </w:r>
      <w:r>
        <w:rPr>
          <w:rFonts w:hint="eastAsia" w:ascii="宋体" w:hAnsi="宋体" w:eastAsia="宋体" w:cs="宋体"/>
          <w:bCs/>
          <w:color w:val="000000" w:themeColor="text1"/>
          <w:sz w:val="24"/>
          <w:szCs w:val="24"/>
          <w:highlight w:val="none"/>
          <w14:textFill>
            <w14:solidFill>
              <w14:schemeClr w14:val="tx1"/>
            </w14:solidFill>
          </w14:textFill>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同意延长投标有效期的投标人既不能要求也不允许修改其投标文件</w:t>
      </w:r>
      <w:r>
        <w:rPr>
          <w:rFonts w:hint="eastAsia" w:ascii="宋体" w:hAnsi="宋体" w:eastAsia="宋体" w:cs="宋体"/>
          <w:color w:val="000000" w:themeColor="text1"/>
          <w:sz w:val="24"/>
          <w:szCs w:val="24"/>
          <w:highlight w:val="none"/>
          <w14:textFill>
            <w14:solidFill>
              <w14:schemeClr w14:val="tx1"/>
            </w14:solidFill>
          </w14:textFill>
        </w:rPr>
        <w:t xml:space="preserve">，同时受投标有效期约束的所有权利与义务均延长至新的有效期</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17.2中标人的投标文件作为项目合同的附件，其有效期至中标人全部合同义务履行完毕为止。 </w:t>
      </w:r>
      <w:r/>
    </w:p>
    <w:p>
      <w:pPr>
        <w:pStyle w:val="944"/>
        <w:ind w:firstLine="560"/>
        <w:keepLines w:val="0"/>
        <w:keepNext w:val="0"/>
        <w:pageBreakBefore w:val="0"/>
        <w:spacing w:before="181" w:after="181" w:line="480" w:lineRule="exact"/>
        <w:widowControl w:val="off"/>
        <w:rPr>
          <w:rFonts w:hint="eastAsia" w:ascii="黑体" w:hAnsi="黑体" w:eastAsia="黑体" w:cs="黑体"/>
          <w:b w:val="0"/>
          <w:bCs w:val="0"/>
          <w:color w:val="000000" w:themeColor="text1"/>
          <w:sz w:val="28"/>
          <w:szCs w:val="28"/>
          <w:highlight w:val="none"/>
          <w14:textFill>
            <w14:solidFill>
              <w14:schemeClr w14:val="tx1"/>
            </w14:solidFill>
          </w14:textFill>
        </w:rPr>
      </w:pPr>
      <w:r/>
      <w:bookmarkStart w:id="141" w:name="_Hlt26954739"/>
      <w:r/>
      <w:bookmarkEnd w:id="141"/>
      <w:r/>
      <w:bookmarkStart w:id="142" w:name="_Hlt26954852"/>
      <w:r/>
      <w:bookmarkEnd w:id="142"/>
      <w:r/>
      <w:bookmarkStart w:id="143" w:name="_Toc120614217"/>
      <w:r/>
      <w:bookmarkStart w:id="144" w:name="_Toc16938540"/>
      <w:r/>
      <w:bookmarkStart w:id="145" w:name="_Toc513029224"/>
      <w:r/>
      <w:bookmarkStart w:id="146" w:name="_Toc20823296"/>
      <w:r>
        <w:rPr>
          <w:rFonts w:hint="eastAsia" w:ascii="黑体" w:hAnsi="黑体" w:eastAsia="黑体" w:cs="黑体"/>
          <w:b w:val="0"/>
          <w:bCs w:val="0"/>
          <w:color w:val="000000" w:themeColor="text1"/>
          <w:sz w:val="28"/>
          <w:szCs w:val="28"/>
          <w:highlight w:val="none"/>
          <w14:textFill>
            <w14:solidFill>
              <w14:schemeClr w14:val="tx1"/>
            </w14:solidFill>
          </w14:textFill>
        </w:rPr>
        <w:t xml:space="preserve">四、投标文件的递交</w:t>
      </w:r>
      <w:bookmarkEnd w:id="143"/>
      <w:r/>
      <w:bookmarkEnd w:id="144"/>
      <w:r/>
      <w:bookmarkEnd w:id="145"/>
      <w:r/>
      <w:bookmarkEnd w:id="146"/>
      <w:r/>
      <w:r/>
    </w:p>
    <w:p>
      <w:pPr>
        <w:pStyle w:val="946"/>
        <w:ind w:firstLine="482"/>
        <w:keepLines w:val="0"/>
        <w:keepNext w:val="0"/>
        <w:pageBreakBefore w:val="0"/>
        <w:spacing w:before="0" w:after="0"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bookmarkStart w:id="147" w:name="_Toc16938541"/>
      <w:r/>
      <w:bookmarkStart w:id="148" w:name="_Toc513029225"/>
      <w:r/>
      <w:bookmarkStart w:id="149" w:name="_Toc462564084"/>
      <w:r/>
      <w:bookmarkStart w:id="150" w:name="_Toc20823297"/>
      <w:r>
        <w:rPr>
          <w:rFonts w:hint="eastAsia" w:ascii="宋体" w:hAnsi="宋体" w:eastAsia="宋体" w:cs="宋体"/>
          <w:b/>
          <w:bCs/>
          <w:color w:val="000000" w:themeColor="text1"/>
          <w:sz w:val="24"/>
          <w:szCs w:val="24"/>
          <w:highlight w:val="none"/>
          <w14:textFill>
            <w14:solidFill>
              <w14:schemeClr w14:val="tx1"/>
            </w14:solidFill>
          </w14:textFill>
        </w:rPr>
        <w:t xml:space="preserve">18、投标文件</w:t>
      </w:r>
      <w:bookmarkEnd w:id="147"/>
      <w:r/>
      <w:bookmarkEnd w:id="148"/>
      <w:r/>
      <w:bookmarkEnd w:id="149"/>
      <w:r/>
      <w:bookmarkEnd w:id="150"/>
      <w:r>
        <w:rPr>
          <w:rFonts w:hint="eastAsia" w:ascii="宋体" w:hAnsi="宋体" w:eastAsia="宋体" w:cs="宋体"/>
          <w:b/>
          <w:bCs/>
          <w:color w:val="000000" w:themeColor="text1"/>
          <w:sz w:val="24"/>
          <w:szCs w:val="24"/>
          <w:highlight w:val="none"/>
          <w14:textFill>
            <w14:solidFill>
              <w14:schemeClr w14:val="tx1"/>
            </w14:solidFill>
          </w14:textFill>
        </w:rPr>
        <w:t xml:space="preserve">的递交</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18.1投标人应当按照《操作手册》规定，在投标截止时间前制作并上传电子投标文件。</w:t>
      </w:r>
      <w:bookmarkStart w:id="151" w:name="_Toc20823298"/>
      <w:r/>
      <w:bookmarkStart w:id="152" w:name="_Toc16938542"/>
      <w:r/>
      <w:bookmarkStart w:id="153" w:name="_Toc513029226"/>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18.2投标人通过“苏采云”系统不见面开标大厅在线参与开标活动。（具体操作详见《“苏采云”系统投标人操作手册》，网址链接http://www.ccgp-jiangsu.gov.cn//webfile/jiangsu/202311/1699268553318052447.pdf）</w:t>
      </w:r>
      <w:r/>
    </w:p>
    <w:p>
      <w:pPr>
        <w:pStyle w:val="946"/>
        <w:ind w:firstLine="482"/>
        <w:keepLines w:val="0"/>
        <w:keepNext w:val="0"/>
        <w:pageBreakBefore w:val="0"/>
        <w:spacing w:before="0" w:after="0"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19、投标截止</w:t>
      </w:r>
      <w:bookmarkEnd w:id="151"/>
      <w:r/>
      <w:bookmarkEnd w:id="152"/>
      <w:r/>
      <w:bookmarkEnd w:id="153"/>
      <w:r>
        <w:rPr>
          <w:rFonts w:hint="eastAsia" w:ascii="宋体" w:hAnsi="宋体" w:eastAsia="宋体" w:cs="宋体"/>
          <w:b/>
          <w:bCs/>
          <w:color w:val="000000" w:themeColor="text1"/>
          <w:sz w:val="24"/>
          <w:szCs w:val="24"/>
          <w:highlight w:val="none"/>
          <w14:textFill>
            <w14:solidFill>
              <w14:schemeClr w14:val="tx1"/>
            </w14:solidFill>
          </w14:textFill>
        </w:rPr>
        <w:t xml:space="preserve">时间</w:t>
      </w:r>
      <w:r/>
    </w:p>
    <w:p>
      <w:pPr>
        <w:ind w:firstLine="480"/>
        <w:keepLines w:val="0"/>
        <w:keepNext w:val="0"/>
        <w:pageBreakBefore w:val="0"/>
        <w:spacing w:line="480" w:lineRule="exact"/>
        <w:widowControl w:val="off"/>
        <w:rPr>
          <w:rFonts w:hint="eastAsia" w:ascii="宋体" w:hAnsi="宋体" w:eastAsia="宋体" w:cs="宋体"/>
          <w:iCs/>
          <w:color w:val="000000" w:themeColor="text1"/>
          <w:sz w:val="24"/>
          <w:szCs w:val="24"/>
          <w:highlight w:val="none"/>
          <w14:textFill>
            <w14:solidFill>
              <w14:schemeClr w14:val="tx1"/>
            </w14:solidFill>
          </w14:textFill>
        </w:rPr>
      </w:pPr>
      <w:r>
        <w:rPr>
          <w:rFonts w:hint="eastAsia" w:ascii="宋体" w:hAnsi="宋体" w:eastAsia="宋体" w:cs="宋体"/>
          <w:iCs/>
          <w:color w:val="000000" w:themeColor="text1"/>
          <w:sz w:val="24"/>
          <w:szCs w:val="24"/>
          <w:highlight w:val="none"/>
          <w14:textFill>
            <w14:solidFill>
              <w14:schemeClr w14:val="tx1"/>
            </w14:solidFill>
          </w14:textFill>
        </w:rPr>
        <w:t xml:space="preserve">19.1投标人上传电子投标文件的时间不得迟于招标公告中规定的投标截止时间。</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投标人应充分考虑到网络环境、网络带宽等风险因素，如因投标人自身原因造成的电子投标文件上传不成功的按照本招标文件第二章第27.1.2条规定做无效投标处理。</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19.2</w:t>
      </w:r>
      <w:r>
        <w:rPr>
          <w:rFonts w:hint="eastAsia" w:ascii="宋体" w:hAnsi="宋体" w:eastAsia="宋体" w:cs="宋体"/>
          <w:bCs/>
          <w:color w:val="000000" w:themeColor="text1"/>
          <w:sz w:val="24"/>
          <w:szCs w:val="24"/>
          <w:highlight w:val="none"/>
          <w14:textFill>
            <w14:solidFill>
              <w14:schemeClr w14:val="tx1"/>
            </w14:solidFill>
          </w14:textFill>
        </w:rPr>
        <w:t xml:space="preserve">采购代理机构可以按照规定，通过修改招标文件酌情延长投标截止时间，在此情况下，投标人的所有权利和义务以及投标人受制的截止时间均应以延长后新的截止时间为准。</w:t>
      </w:r>
      <w:r/>
    </w:p>
    <w:p>
      <w:pPr>
        <w:pStyle w:val="946"/>
        <w:ind w:firstLine="482"/>
        <w:keepLines w:val="0"/>
        <w:keepNext w:val="0"/>
        <w:pageBreakBefore w:val="0"/>
        <w:spacing w:before="0" w:after="0"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bookmarkStart w:id="154" w:name="_Toc513029227"/>
      <w:r/>
      <w:bookmarkStart w:id="155" w:name="_Toc20823299"/>
      <w:r/>
      <w:bookmarkStart w:id="156" w:name="_Toc16938543"/>
      <w:r>
        <w:rPr>
          <w:rFonts w:hint="eastAsia" w:ascii="宋体" w:hAnsi="宋体" w:eastAsia="宋体" w:cs="宋体"/>
          <w:b/>
          <w:bCs/>
          <w:color w:val="000000" w:themeColor="text1"/>
          <w:sz w:val="24"/>
          <w:szCs w:val="24"/>
          <w:highlight w:val="none"/>
          <w14:textFill>
            <w14:solidFill>
              <w14:schemeClr w14:val="tx1"/>
            </w14:solidFill>
          </w14:textFill>
        </w:rPr>
        <w:t xml:space="preserve">20、投标文件</w:t>
      </w:r>
      <w:bookmarkEnd w:id="154"/>
      <w:r/>
      <w:bookmarkEnd w:id="155"/>
      <w:r/>
      <w:bookmarkEnd w:id="156"/>
      <w:r>
        <w:rPr>
          <w:rFonts w:hint="eastAsia" w:ascii="宋体" w:hAnsi="宋体" w:eastAsia="宋体" w:cs="宋体"/>
          <w:b/>
          <w:bCs/>
          <w:color w:val="000000" w:themeColor="text1"/>
          <w:sz w:val="24"/>
          <w:szCs w:val="24"/>
          <w:highlight w:val="none"/>
          <w14:textFill>
            <w14:solidFill>
              <w14:schemeClr w14:val="tx1"/>
            </w14:solidFill>
          </w14:textFill>
        </w:rPr>
        <w:t xml:space="preserve">的拒收</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20.1</w:t>
      </w:r>
      <w:r>
        <w:rPr>
          <w:rFonts w:hint="eastAsia" w:ascii="宋体" w:hAnsi="宋体" w:eastAsia="宋体" w:cs="宋体"/>
          <w:bCs/>
          <w:color w:val="000000" w:themeColor="text1"/>
          <w:sz w:val="24"/>
          <w:szCs w:val="24"/>
          <w:highlight w:val="none"/>
          <w14:textFill>
            <w14:solidFill>
              <w14:schemeClr w14:val="tx1"/>
            </w14:solidFill>
          </w14:textFill>
        </w:rPr>
        <w:t xml:space="preserve">采购代理机构拒绝接收在其规定的投标截止时间后上传的任何投标文件。</w:t>
      </w:r>
      <w:r/>
    </w:p>
    <w:p>
      <w:pPr>
        <w:pStyle w:val="946"/>
        <w:ind w:firstLine="482"/>
        <w:keepLines w:val="0"/>
        <w:keepNext w:val="0"/>
        <w:pageBreakBefore w:val="0"/>
        <w:spacing w:before="0" w:after="0"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bookmarkStart w:id="157" w:name="_Toc513029228"/>
      <w:r/>
      <w:bookmarkStart w:id="158" w:name="_Toc20823300"/>
      <w:r/>
      <w:bookmarkStart w:id="159" w:name="_Toc16938544"/>
      <w:r/>
      <w:bookmarkStart w:id="160" w:name="_Toc120614218"/>
      <w:r/>
      <w:bookmarkStart w:id="161" w:name="_Toc20823301"/>
      <w:r/>
      <w:bookmarkStart w:id="162" w:name="_Toc513029229"/>
      <w:r/>
      <w:bookmarkStart w:id="163" w:name="_Toc16938545"/>
      <w:r>
        <w:rPr>
          <w:rFonts w:hint="eastAsia" w:ascii="宋体" w:hAnsi="宋体" w:eastAsia="宋体" w:cs="宋体"/>
          <w:b/>
          <w:bCs/>
          <w:color w:val="000000" w:themeColor="text1"/>
          <w:sz w:val="24"/>
          <w:szCs w:val="24"/>
          <w:highlight w:val="none"/>
          <w14:textFill>
            <w14:solidFill>
              <w14:schemeClr w14:val="tx1"/>
            </w14:solidFill>
          </w14:textFill>
        </w:rPr>
        <w:t xml:space="preserve">21、投标文件的撤回和修改</w:t>
      </w:r>
      <w:bookmarkEnd w:id="157"/>
      <w:r/>
      <w:bookmarkEnd w:id="158"/>
      <w:r/>
      <w:bookmarkEnd w:id="159"/>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 投标文件的撤回</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21.1.1 电子投标文件的撤回</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投标人可在投标截止时间前，撤回其电子投标文件，具体操作方法见《操作手册》。</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21.1.2 投标人撤回电子投标文件，则认为其不再参与本项目投标活动。</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 投标文件的修改</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21.2.1投标人可在投标截止时间前，对其电子投标文件进行修改，具体操作方法见《操作手册》。</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21.2.2</w:t>
      </w:r>
      <w:r>
        <w:rPr>
          <w:rFonts w:hint="eastAsia" w:ascii="宋体" w:hAnsi="宋体" w:eastAsia="宋体" w:cs="宋体"/>
          <w:bCs/>
          <w:color w:val="000000" w:themeColor="text1"/>
          <w:sz w:val="24"/>
          <w:szCs w:val="24"/>
          <w:highlight w:val="none"/>
          <w14:textFill>
            <w14:solidFill>
              <w14:schemeClr w14:val="tx1"/>
            </w14:solidFill>
          </w14:textFill>
        </w:rPr>
        <w:t xml:space="preserve"> 在投标截止时间之后，投标人不得对其电子投标文件作任何修改。</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21.3</w:t>
      </w:r>
      <w:r>
        <w:rPr>
          <w:rFonts w:hint="eastAsia" w:ascii="宋体" w:hAnsi="宋体" w:eastAsia="宋体" w:cs="宋体"/>
          <w:bCs/>
          <w:color w:val="000000" w:themeColor="text1"/>
          <w:sz w:val="24"/>
          <w:szCs w:val="24"/>
          <w:highlight w:val="none"/>
          <w14:textFill>
            <w14:solidFill>
              <w14:schemeClr w14:val="tx1"/>
            </w14:solidFill>
          </w14:textFill>
        </w:rPr>
        <w:t xml:space="preserve">在投标截止时间至招标文件中规定的投标有效期满之间的这段时间内，投标人不得撤回其投标。</w:t>
      </w:r>
      <w:r/>
    </w:p>
    <w:p>
      <w:pPr>
        <w:pStyle w:val="944"/>
        <w:ind w:firstLine="560"/>
        <w:keepLines w:val="0"/>
        <w:keepNext w:val="0"/>
        <w:pageBreakBefore w:val="0"/>
        <w:spacing w:before="181" w:after="181" w:line="480" w:lineRule="exact"/>
        <w:widowControl w:val="off"/>
        <w:rPr>
          <w:rFonts w:hint="eastAsia" w:ascii="黑体" w:hAnsi="黑体" w:eastAsia="黑体" w:cs="黑体"/>
          <w:b w:val="0"/>
          <w:bCs w:val="0"/>
          <w:color w:val="000000" w:themeColor="text1"/>
          <w:sz w:val="28"/>
          <w:szCs w:val="28"/>
          <w:highlight w:val="none"/>
          <w14:textFill>
            <w14:solidFill>
              <w14:schemeClr w14:val="tx1"/>
            </w14:solidFill>
          </w14:textFill>
        </w:rPr>
      </w:pPr>
      <w:r>
        <w:rPr>
          <w:rFonts w:hint="eastAsia" w:ascii="黑体" w:hAnsi="黑体" w:eastAsia="黑体" w:cs="黑体"/>
          <w:b w:val="0"/>
          <w:bCs w:val="0"/>
          <w:color w:val="000000" w:themeColor="text1"/>
          <w:sz w:val="28"/>
          <w:szCs w:val="28"/>
          <w:highlight w:val="none"/>
          <w14:textFill>
            <w14:solidFill>
              <w14:schemeClr w14:val="tx1"/>
            </w14:solidFill>
          </w14:textFill>
        </w:rPr>
        <w:t xml:space="preserve">五、开标与评标</w:t>
      </w:r>
      <w:bookmarkEnd w:id="160"/>
      <w:r/>
      <w:bookmarkEnd w:id="161"/>
      <w:r/>
      <w:bookmarkEnd w:id="162"/>
      <w:r/>
      <w:bookmarkEnd w:id="163"/>
      <w:r/>
      <w:r/>
    </w:p>
    <w:p>
      <w:pPr>
        <w:pStyle w:val="946"/>
        <w:ind w:firstLine="482"/>
        <w:keepLines w:val="0"/>
        <w:keepNext w:val="0"/>
        <w:pageBreakBefore w:val="0"/>
        <w:spacing w:before="0" w:after="0"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bookmarkStart w:id="164" w:name="_Toc20823302"/>
      <w:r/>
      <w:bookmarkStart w:id="165" w:name="_Toc513029230"/>
      <w:r/>
      <w:bookmarkStart w:id="166" w:name="_Toc16938546"/>
      <w:r/>
      <w:bookmarkStart w:id="167" w:name="_Toc513029231"/>
      <w:r/>
      <w:bookmarkStart w:id="168" w:name="_Toc20823303"/>
      <w:r/>
      <w:bookmarkStart w:id="169" w:name="_Toc16938547"/>
      <w:r>
        <w:rPr>
          <w:rFonts w:hint="eastAsia" w:ascii="宋体" w:hAnsi="宋体" w:eastAsia="宋体" w:cs="宋体"/>
          <w:b/>
          <w:bCs/>
          <w:color w:val="000000" w:themeColor="text1"/>
          <w:sz w:val="24"/>
          <w:szCs w:val="24"/>
          <w:highlight w:val="none"/>
          <w14:textFill>
            <w14:solidFill>
              <w14:schemeClr w14:val="tx1"/>
            </w14:solidFill>
          </w14:textFill>
        </w:rPr>
        <w:t xml:space="preserve">22、开标</w:t>
      </w:r>
      <w:bookmarkEnd w:id="164"/>
      <w:r/>
      <w:bookmarkEnd w:id="165"/>
      <w:r/>
      <w:bookmarkEnd w:id="166"/>
      <w:r/>
      <w:r/>
    </w:p>
    <w:p>
      <w:pPr>
        <w:pStyle w:val="1063"/>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采购代理机构将在招标公告中规定的时间和地点组织公开开标</w:t>
      </w:r>
      <w:r>
        <w:rPr>
          <w:rFonts w:hint="eastAsia" w:ascii="宋体" w:hAnsi="宋体" w:eastAsia="宋体" w:cs="宋体"/>
          <w:color w:val="000000" w:themeColor="text1"/>
          <w:sz w:val="24"/>
          <w:szCs w:val="24"/>
          <w:highlight w:val="none"/>
          <w:lang w:val="en-US"/>
          <w14:textFill>
            <w14:solidFill>
              <w14:schemeClr w14:val="tx1"/>
            </w14:solidFill>
          </w14:textFill>
        </w:rPr>
        <w:t xml:space="preserve">。投标人应当按照《“苏采云”系统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lang w:val="en-US"/>
          <w14:textFill>
            <w14:solidFill>
              <w14:schemeClr w14:val="tx1"/>
            </w14:solidFill>
          </w14:textFill>
        </w:rPr>
        <w:t xml:space="preserve">操作手册》规定，参加开标活动和在“苏采云”系统规定的时间内对投标文件进行解密。</w:t>
      </w:r>
      <w:r/>
    </w:p>
    <w:p>
      <w:pPr>
        <w:pStyle w:val="1063"/>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22.3投标人在开标过程中涉及到的投标文件解密、开标结果确认等工作，应按照《操作手册》规定执行。</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22.4投标人如果对开标过程和开标记录有疑义，应当根据《操作手册》规定提出，如“苏采云”系统中《开标记录表》宣布后5分钟内未提出的，视同认可开标结果。</w:t>
      </w:r>
      <w:r/>
    </w:p>
    <w:p>
      <w:pPr>
        <w:pStyle w:val="946"/>
        <w:ind w:firstLine="482"/>
        <w:keepLines w:val="0"/>
        <w:keepNext w:val="0"/>
        <w:pageBreakBefore w:val="0"/>
        <w:spacing w:before="0" w:after="0"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23、评标委员会</w:t>
      </w:r>
      <w:r/>
    </w:p>
    <w:p>
      <w:pPr>
        <w:ind w:firstLine="480"/>
        <w:keepLines w:val="0"/>
        <w:keepNext w:val="0"/>
        <w:pageBreakBefore w:val="0"/>
        <w:spacing w:line="480" w:lineRule="exact"/>
        <w:widowControl w:val="off"/>
        <w:rPr>
          <w:rFonts w:hint="eastAsia" w:ascii="宋体" w:hAnsi="宋体" w:eastAsia="宋体" w:cs="宋体"/>
          <w:b/>
          <w:color w:val="000000" w:themeColor="text1"/>
          <w:sz w:val="24"/>
          <w:szCs w:val="24"/>
          <w:highlight w:val="none"/>
          <w14:textFill>
            <w14:solidFill>
              <w14:schemeClr w14:val="tx1"/>
            </w14:solidFill>
          </w14:textFill>
        </w:rPr>
        <w:outlineLvl w:val="3"/>
      </w:pPr>
      <w:r>
        <w:rPr>
          <w:rFonts w:hint="eastAsia" w:ascii="宋体" w:hAnsi="宋体" w:eastAsia="宋体" w:cs="宋体"/>
          <w:color w:val="000000" w:themeColor="text1"/>
          <w:sz w:val="24"/>
          <w:szCs w:val="24"/>
          <w:highlight w:val="none"/>
          <w14:textFill>
            <w14:solidFill>
              <w14:schemeClr w14:val="tx1"/>
            </w14:solidFill>
          </w14:textFill>
        </w:rPr>
        <w:t xml:space="preserve">23.1开标后，采购代理机构将立即组织评标委员会（以下简称评委会）进行评标。</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23.2评委会由采购人代表和有关技术、经济等方面的专家组成，且人员构成符合政府采购有关规定。</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23.3评委会独立工作，负责评审所有投标文件并确定中标侯选人。</w:t>
      </w:r>
      <w:r/>
    </w:p>
    <w:p>
      <w:pPr>
        <w:pStyle w:val="946"/>
        <w:ind w:firstLine="482"/>
        <w:keepLines w:val="0"/>
        <w:keepNext w:val="0"/>
        <w:pageBreakBefore w:val="0"/>
        <w:spacing w:before="0" w:after="0"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24、评标过程的保密与公正</w:t>
      </w:r>
      <w:bookmarkEnd w:id="167"/>
      <w:r/>
      <w:bookmarkEnd w:id="168"/>
      <w:r/>
      <w:bookmarkEnd w:id="169"/>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24.1</w:t>
      </w:r>
      <w:r>
        <w:rPr>
          <w:rFonts w:hint="eastAsia" w:ascii="宋体" w:hAnsi="宋体" w:eastAsia="宋体" w:cs="宋体"/>
          <w:bCs/>
          <w:color w:val="000000" w:themeColor="text1"/>
          <w:sz w:val="24"/>
          <w:szCs w:val="24"/>
          <w:highlight w:val="none"/>
          <w14:textFill>
            <w14:solidFill>
              <w14:schemeClr w14:val="tx1"/>
            </w14:solidFill>
          </w14:textFill>
        </w:rPr>
        <w:t xml:space="preserve">凡是与审查、澄清、评价和比较投标的有关资料以及授标建议等，采购人、评委、采购代理机构均不得向投标人或与评标无关的其他人员透露。</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24.2在评标过程中，投标人不得以任何行为影响评标过程，否则其投标文件将被作为无效投标文件。</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24.3采购代理机构和评委会不向未中标的投标人解释未中标原因，也不公布评标过程中的相关细节。</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24.4采用综合评分法的项目，未中标的投标人可于中标结果公告期限届满之日起通过“苏采云”系统查看自己的评审得分及排序情况。</w:t>
      </w:r>
      <w:r/>
    </w:p>
    <w:p>
      <w:pPr>
        <w:pStyle w:val="946"/>
        <w:ind w:firstLine="482"/>
        <w:keepLines w:val="0"/>
        <w:keepNext w:val="0"/>
        <w:pageBreakBefore w:val="0"/>
        <w:spacing w:before="0" w:after="0"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bookmarkStart w:id="170" w:name="_Toc513029232"/>
      <w:r/>
      <w:bookmarkStart w:id="171" w:name="_Toc20823304"/>
      <w:r/>
      <w:bookmarkStart w:id="172" w:name="_Toc16938548"/>
      <w:r>
        <w:rPr>
          <w:rFonts w:hint="eastAsia" w:ascii="宋体" w:hAnsi="宋体" w:eastAsia="宋体" w:cs="宋体"/>
          <w:b/>
          <w:bCs/>
          <w:color w:val="000000" w:themeColor="text1"/>
          <w:sz w:val="24"/>
          <w:szCs w:val="24"/>
          <w:highlight w:val="none"/>
          <w14:textFill>
            <w14:solidFill>
              <w14:schemeClr w14:val="tx1"/>
            </w14:solidFill>
          </w14:textFill>
        </w:rPr>
        <w:t xml:space="preserve">25、投标文件的澄清</w:t>
      </w:r>
      <w:bookmarkEnd w:id="170"/>
      <w:r/>
      <w:bookmarkEnd w:id="171"/>
      <w:r/>
      <w:bookmarkEnd w:id="172"/>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25.1评标期间，评委会对投标文件中含义不明确、同类问题表述不一致或者有明显文字和计算错误的内容 ，有权要求投标人作出必要的澄清、说明或者补正。</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投标人的澄清、说明或者补正不得超出投标文件的范围或者改变投标文件的实质性内容。</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评委会并非对每个投标人都做澄清要求。</w:t>
      </w:r>
      <w:r/>
    </w:p>
    <w:p>
      <w:pPr>
        <w:pStyle w:val="1063"/>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.2需要投标人进行澄清、说明和补正的，</w:t>
      </w:r>
      <w:r>
        <w:rPr>
          <w:rFonts w:hint="eastAsia" w:ascii="宋体" w:hAnsi="宋体" w:eastAsia="宋体" w:cs="宋体"/>
          <w:color w:val="000000" w:themeColor="text1"/>
          <w:sz w:val="24"/>
          <w:szCs w:val="24"/>
          <w:highlight w:val="none"/>
          <w:lang w:val="en-US"/>
          <w14:textFill>
            <w14:solidFill>
              <w14:schemeClr w14:val="tx1"/>
            </w14:solidFill>
          </w14:textFill>
        </w:rPr>
        <w:t xml:space="preserve">本项目投标人的澄清、说明或者补正采用线上澄清，</w:t>
      </w:r>
      <w:r>
        <w:rPr>
          <w:rFonts w:hint="eastAsia" w:ascii="宋体" w:hAnsi="宋体" w:eastAsia="宋体" w:cs="宋体"/>
          <w:color w:val="000000" w:themeColor="text1"/>
          <w:sz w:val="24"/>
          <w:szCs w:val="24"/>
          <w:highlight w:val="none"/>
          <w14:textFill>
            <w14:solidFill>
              <w14:schemeClr w14:val="tx1"/>
            </w14:solidFill>
          </w14:textFill>
        </w:rPr>
        <w:t xml:space="preserve">评委会将通过</w:t>
      </w:r>
      <w:r>
        <w:rPr>
          <w:rFonts w:hint="eastAsia" w:ascii="宋体" w:hAnsi="宋体" w:eastAsia="宋体" w:cs="宋体"/>
          <w:color w:val="000000" w:themeColor="text1"/>
          <w:sz w:val="24"/>
          <w:szCs w:val="24"/>
          <w:highlight w:val="none"/>
          <w:lang w:val="en-US"/>
          <w14:textFill>
            <w14:solidFill>
              <w14:schemeClr w14:val="tx1"/>
            </w14:solidFill>
          </w14:textFill>
        </w:rPr>
        <w:t xml:space="preserve">“苏采云”系统</w:t>
      </w:r>
      <w:r>
        <w:rPr>
          <w:rFonts w:hint="eastAsia" w:ascii="宋体" w:hAnsi="宋体" w:eastAsia="宋体" w:cs="宋体"/>
          <w:color w:val="000000" w:themeColor="text1"/>
          <w:sz w:val="24"/>
          <w:szCs w:val="24"/>
          <w:highlight w:val="none"/>
          <w14:textFill>
            <w14:solidFill>
              <w14:schemeClr w14:val="tx1"/>
            </w14:solidFill>
          </w14:textFill>
        </w:rPr>
        <w:t xml:space="preserve">向投标人发出“澄清要求函”，接到“澄清要求函”的投标人应当按照要求</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在规定时间内通过“苏采云”系统</w:t>
      </w:r>
      <w:r>
        <w:rPr>
          <w:rFonts w:hint="eastAsia" w:ascii="宋体" w:hAnsi="宋体" w:eastAsia="宋体" w:cs="宋体"/>
          <w:color w:val="000000" w:themeColor="text1"/>
          <w:sz w:val="24"/>
          <w:szCs w:val="24"/>
          <w:highlight w:val="non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25.3接到评委会澄清、说明和补正要求的投标人如未按规定做出澄清、说明和补正，其风险由投标人自行承担。</w:t>
      </w:r>
      <w:r/>
    </w:p>
    <w:p>
      <w:pPr>
        <w:pStyle w:val="946"/>
        <w:ind w:firstLine="482"/>
        <w:keepLines w:val="0"/>
        <w:keepNext w:val="0"/>
        <w:pageBreakBefore w:val="0"/>
        <w:spacing w:before="0" w:after="0"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bookmarkStart w:id="173" w:name="_Toc513029233"/>
      <w:r/>
      <w:bookmarkStart w:id="174" w:name="_Toc20823305"/>
      <w:r/>
      <w:bookmarkStart w:id="175" w:name="_Toc16938549"/>
      <w:r>
        <w:rPr>
          <w:rFonts w:hint="eastAsia" w:ascii="宋体" w:hAnsi="宋体" w:eastAsia="宋体" w:cs="宋体"/>
          <w:b/>
          <w:bCs/>
          <w:color w:val="000000" w:themeColor="text1"/>
          <w:sz w:val="24"/>
          <w:szCs w:val="24"/>
          <w:highlight w:val="none"/>
          <w14:textFill>
            <w14:solidFill>
              <w14:schemeClr w14:val="tx1"/>
            </w14:solidFill>
          </w14:textFill>
        </w:rPr>
        <w:t xml:space="preserve">26、对投标文件的初审</w:t>
      </w:r>
      <w:bookmarkEnd w:id="173"/>
      <w:r/>
      <w:bookmarkEnd w:id="174"/>
      <w:r/>
      <w:bookmarkEnd w:id="175"/>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投标文件初审分为资格审查和符合性审查。</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26.1.1资格审查：依据法律法规和招标文件的规定，</w:t>
      </w:r>
      <w:r>
        <w:rPr>
          <w:rFonts w:hint="eastAsia" w:ascii="宋体" w:hAnsi="宋体" w:eastAsia="宋体" w:cs="宋体"/>
          <w:color w:val="000000" w:themeColor="text1"/>
          <w:sz w:val="24"/>
          <w:szCs w:val="24"/>
          <w:highlight w:val="none"/>
          <w14:textFill>
            <w14:solidFill>
              <w14:schemeClr w14:val="tx1"/>
            </w14:solidFill>
          </w14:textFill>
        </w:rPr>
        <w:t xml:space="preserve">由采购人或其委托的代理机构对投标文件中的资格证明文件进行审查，以确定投标人是否具备投标资格。</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采购人在进行资格性审查的同时，将在“信用中国”网站（www.creditchina.gov.cn）查询投标人的信用记录，以确定投标人是否具备投标资格,查询结果留存并归档。</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26.1.2符合性审查：依据招标文件的规定，由评委会从投标文件的有效性、完整性和对招标文件的响应程度进行审查，以确定是否对招标文件的实质性要求作出响应。</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26.1.3对各投标人符合性审查过程中，对初步被认定为无效投标者，由评委会组长或采购人代表将集体意见通过</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“苏采云”系统中告知未通过符合性审查的原因，评标结束后，将不再告知未通过符合性审查的原因</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26.3如果投标文件实质上没有响应招标文件的要求，评委会将予以拒绝，投标人不得通过修改或撤销不合要求的偏离或保留而使其投标成为实质性响应的投标。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26.4</w:t>
      </w:r>
      <w:r>
        <w:rPr>
          <w:rFonts w:hint="eastAsia" w:ascii="宋体" w:hAnsi="宋体" w:eastAsia="宋体" w:cs="宋体"/>
          <w:bCs/>
          <w:color w:val="000000" w:themeColor="text1"/>
          <w:sz w:val="24"/>
          <w:szCs w:val="24"/>
          <w:highlight w:val="non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（1）投标文件中开标一览表内容与投标文件中相应内容不一致的，以开标一览表为准。</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（2）大写金额和小写金额不一致的，以大写金额为准。</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（4）总价金额与按单价汇总金额不一致的，以单价金额计算结果为准。</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同时出现两种以上错误的，按照前款规定的顺序修正。</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26.5 </w:t>
      </w:r>
      <w:r>
        <w:rPr>
          <w:rFonts w:hint="eastAsia" w:ascii="宋体" w:hAnsi="宋体" w:eastAsia="宋体" w:cs="宋体"/>
          <w:bCs/>
          <w:color w:val="000000" w:themeColor="text1"/>
          <w:sz w:val="24"/>
          <w:szCs w:val="24"/>
          <w:highlight w:val="none"/>
          <w14:textFill>
            <w14:solidFill>
              <w14:schemeClr w14:val="tx1"/>
            </w14:solidFill>
          </w14:textFill>
        </w:rPr>
        <w:t xml:space="preserve">评委会将按上述修正错误的方法调整投标文件中的投标报价，并通过</w:t>
      </w:r>
      <w:r>
        <w:rPr>
          <w:rFonts w:hint="eastAsia" w:ascii="宋体" w:hAnsi="宋体" w:eastAsia="宋体" w:cs="宋体"/>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szCs w:val="24"/>
          <w:highlight w:val="none"/>
          <w14:textFill>
            <w14:solidFill>
              <w14:schemeClr w14:val="tx1"/>
            </w14:solidFill>
          </w14:textFill>
        </w:rPr>
        <w:t xml:space="preserve">告知投标人，调整后的价格应对投标人具有约束力。如果投标人不接受修正后的价格，则其投标将被拒绝。</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非单一产品采购项目，招标文件中将载明其中的核心产品。多家投标人提供的核心产品品牌相同的，按前两款规定处理。</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76" w:name="_Toc513029234"/>
      <w:r/>
      <w:bookmarkStart w:id="177" w:name="_Toc16938550"/>
      <w:r/>
      <w:bookmarkStart w:id="178" w:name="_Toc20823306"/>
      <w:r>
        <w:rPr>
          <w:rFonts w:hint="eastAsia" w:ascii="宋体" w:hAnsi="宋体" w:eastAsia="宋体" w:cs="宋体"/>
          <w:color w:val="000000" w:themeColor="text1"/>
          <w:sz w:val="24"/>
          <w:szCs w:val="24"/>
          <w:highlight w:val="none"/>
          <w14:textFill>
            <w14:solidFill>
              <w14:schemeClr w14:val="tx1"/>
            </w14:solidFill>
          </w14:textFill>
        </w:rPr>
        <w:t xml:space="preserve">26.7投标人在开、评标全过程中应随时保持系统在线，及时在“苏采云”系统查阅、答复相关信息。</w:t>
      </w:r>
      <w:r/>
    </w:p>
    <w:p>
      <w:pPr>
        <w:pStyle w:val="946"/>
        <w:ind w:firstLine="482"/>
        <w:keepLines w:val="0"/>
        <w:keepNext w:val="0"/>
        <w:pageBreakBefore w:val="0"/>
        <w:spacing w:before="0" w:after="0"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27、</w:t>
      </w:r>
      <w:bookmarkEnd w:id="176"/>
      <w:r/>
      <w:bookmarkEnd w:id="177"/>
      <w:r/>
      <w:bookmarkEnd w:id="178"/>
      <w:r>
        <w:rPr>
          <w:rFonts w:hint="eastAsia" w:ascii="宋体" w:hAnsi="宋体" w:eastAsia="宋体" w:cs="宋体"/>
          <w:b/>
          <w:bCs/>
          <w:color w:val="000000" w:themeColor="text1"/>
          <w:sz w:val="24"/>
          <w:szCs w:val="24"/>
          <w:highlight w:val="none"/>
          <w14:textFill>
            <w14:solidFill>
              <w14:schemeClr w14:val="tx1"/>
            </w14:solidFill>
          </w14:textFill>
        </w:rPr>
        <w:t xml:space="preserve">无效投标条款和废标条款</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bookmarkStart w:id="179" w:name="_Toc513029235"/>
      <w:r/>
      <w:bookmarkStart w:id="180" w:name="_Toc20823307"/>
      <w:r/>
      <w:bookmarkStart w:id="181" w:name="_Toc16938551"/>
      <w:r>
        <w:rPr>
          <w:rFonts w:hint="eastAsia" w:ascii="宋体" w:hAnsi="宋体" w:eastAsia="宋体" w:cs="宋体"/>
          <w:bCs/>
          <w:color w:val="000000" w:themeColor="text1"/>
          <w:sz w:val="24"/>
          <w:szCs w:val="24"/>
          <w:highlight w:val="none"/>
          <w14:textFill>
            <w14:solidFill>
              <w14:schemeClr w14:val="tx1"/>
            </w14:solidFill>
          </w14:textFill>
        </w:rPr>
        <w:t xml:space="preserve">27.1无效投标条款</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27.1.1 投标人在</w:t>
      </w:r>
      <w:r>
        <w:rPr>
          <w:rFonts w:hint="eastAsia" w:ascii="宋体" w:hAnsi="宋体" w:eastAsia="宋体" w:cs="宋体"/>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szCs w:val="24"/>
          <w:highlight w:val="none"/>
          <w14:textFill>
            <w14:solidFill>
              <w14:schemeClr w14:val="tx1"/>
            </w14:solidFill>
          </w14:textFill>
        </w:rPr>
        <w:t xml:space="preserve">规定的时间内未成功解密电子投标文件的。</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27.1.2 投标人未按照招标文件要求上传电子投标文件的。</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27.1.3同一投标人提交两个（含两个）以上不同的投标报价的。</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27.1.4投标人不具备招标文件中规定资格要求的。</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27.1.5投标人的报价超过了采购预算或最高限价的。</w:t>
      </w:r>
      <w:r/>
    </w:p>
    <w:p>
      <w:pPr>
        <w:ind w:firstLine="480"/>
        <w:keepLines w:val="0"/>
        <w:keepNext w:val="0"/>
        <w:pageBreakBefore w:val="0"/>
        <w:spacing w:line="480" w:lineRule="exact"/>
        <w:widowControl w:val="off"/>
        <w:rPr>
          <w:rFonts w:hint="eastAsia" w:ascii="宋体" w:hAnsi="宋体" w:eastAsia="宋体" w:cs="宋体"/>
          <w:bCs/>
          <w:i/>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27.1.6未通过符合性审查的。</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27.1.7不符合招标文件中规定的实质性要求和条件的（加斜体下划线内容或打“★”内容为实质性要求和条件）。</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27.1.9 投标文件含有采购人不能接受的附加条件的。</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27.1.10评委会认为投标人的报价明显低于其他通过符合性审查投标人的报价，有可能影响产品质量或者不能诚信履约的，将通过</w:t>
      </w:r>
      <w:r>
        <w:rPr>
          <w:rFonts w:hint="eastAsia" w:ascii="宋体" w:hAnsi="宋体" w:eastAsia="宋体" w:cs="宋体"/>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szCs w:val="24"/>
          <w:highlight w:val="none"/>
          <w14:textFill>
            <w14:solidFill>
              <w14:schemeClr w14:val="tx1"/>
            </w14:solidFill>
          </w14:textFill>
        </w:rPr>
        <w:t xml:space="preserve">要求其在合理的时间内提供说明，必要时提交相关证明材料；投标人不能证明其报价合理性的，评委会应当将其作为无效投标处理。</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7</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.1.11本项目采购产品被财政部、国家发改委、生态环境部等列入</w:t>
      </w:r>
      <w:r>
        <w:rPr>
          <w:rFonts w:hint="eastAsia" w:ascii="宋体" w:hAnsi="宋体" w:eastAsia="宋体" w:cs="宋体"/>
          <w:bCs/>
          <w:color w:val="auto"/>
          <w:sz w:val="24"/>
          <w:szCs w:val="24"/>
          <w:highlight w:val="none"/>
          <w:lang w:val="zh-CN"/>
        </w:rPr>
        <w:t xml:space="preserve">“节能产品品目清单”、“环境标志产品品目清单”强制采购范围，</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而</w:t>
      </w:r>
      <w:r>
        <w:rPr>
          <w:rFonts w:hint="eastAsia" w:ascii="宋体" w:hAnsi="宋体" w:eastAsia="宋体" w:cs="宋体"/>
          <w:bCs/>
          <w:color w:val="000000" w:themeColor="text1"/>
          <w:sz w:val="24"/>
          <w:szCs w:val="24"/>
          <w:highlight w:val="none"/>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所</w:t>
      </w:r>
      <w:r>
        <w:rPr>
          <w:rFonts w:hint="eastAsia" w:ascii="宋体" w:hAnsi="宋体" w:eastAsia="宋体" w:cs="宋体"/>
          <w:bCs/>
          <w:color w:val="000000" w:themeColor="text1"/>
          <w:sz w:val="24"/>
          <w:szCs w:val="24"/>
          <w:highlight w:val="none"/>
          <w14:textFill>
            <w14:solidFill>
              <w14:schemeClr w14:val="tx1"/>
            </w14:solidFill>
          </w14:textFill>
        </w:rPr>
        <w:t xml:space="preserve">投</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产品不在强制采购范围内的。（</w:t>
      </w:r>
      <w:r>
        <w:rPr>
          <w:rFonts w:hint="eastAsia" w:ascii="宋体" w:hAnsi="宋体" w:eastAsia="宋体" w:cs="宋体"/>
          <w:bCs/>
          <w:color w:val="000000" w:themeColor="text1"/>
          <w:sz w:val="24"/>
          <w:szCs w:val="24"/>
          <w:highlight w:val="none"/>
          <w14:textFill>
            <w14:solidFill>
              <w14:schemeClr w14:val="tx1"/>
            </w14:solidFill>
          </w14:textFill>
        </w:rPr>
        <w:t xml:space="preserve">所投</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产品如属于政府强制采购节能产品品目清单范围内，</w:t>
      </w:r>
      <w:r>
        <w:rPr>
          <w:rFonts w:hint="eastAsia" w:ascii="宋体" w:hAnsi="宋体" w:eastAsia="宋体" w:cs="宋体"/>
          <w:bCs/>
          <w:color w:val="000000" w:themeColor="text1"/>
          <w:sz w:val="24"/>
          <w:szCs w:val="24"/>
          <w:highlight w:val="none"/>
          <w14:textFill>
            <w14:solidFill>
              <w14:schemeClr w14:val="tx1"/>
            </w14:solidFill>
          </w14:textFill>
        </w:rPr>
        <w:t xml:space="preserve">投标</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文件中必须提供国家确定的认证机构出具的、处于有效期之内的该节能产品认证证书图片）。</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27.1.12 投标文件未按照招标文件要求加盖CA电子公章的。</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27.1.13其他法律、法规及本招标文件规定的属无效投标的</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27.2废标条款</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27.2.1符合专业条件的投标人或者对招标文件作实质响应的投标人不足三家的。</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27.2.2出现影响采购公正的违法、违规行为的。</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27.2.3因重大变故，采购任务取消的。</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27.2.4评委会认定招标文件存在歧义、重大缺陷导致评审工作无法进行。</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27.2.5 因</w:t>
      </w:r>
      <w:r>
        <w:rPr>
          <w:rFonts w:hint="eastAsia" w:ascii="宋体" w:hAnsi="宋体" w:eastAsia="宋体" w:cs="宋体"/>
          <w:color w:val="000000" w:themeColor="text1"/>
          <w:sz w:val="24"/>
          <w:szCs w:val="24"/>
          <w:highlight w:val="none"/>
          <w14:textFill>
            <w14:solidFill>
              <w14:schemeClr w14:val="tx1"/>
            </w14:solidFill>
          </w14:textFill>
        </w:rPr>
        <w:t xml:space="preserve">“苏采云”系统</w:t>
      </w:r>
      <w:r>
        <w:rPr>
          <w:rFonts w:hint="eastAsia" w:ascii="宋体" w:hAnsi="宋体" w:eastAsia="宋体" w:cs="宋体"/>
          <w:bCs/>
          <w:color w:val="000000" w:themeColor="text1"/>
          <w:sz w:val="24"/>
          <w:szCs w:val="24"/>
          <w:highlight w:val="none"/>
          <w14:textFill>
            <w14:solidFill>
              <w14:schemeClr w14:val="tx1"/>
            </w14:solidFill>
          </w14:textFill>
        </w:rPr>
        <w:t xml:space="preserve">系统故障原因造成开标不成功的。</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27.3 投标截止时间结束后参加投标的投标人不足三家的处理：</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27.3.1如出现投标截止时间结束后参加投标的投标人或者在评标期间对招标文件做出实质响应的投标人不足三家情况，按政府采购相关规定执行。</w:t>
      </w:r>
      <w:r/>
    </w:p>
    <w:p>
      <w:pPr>
        <w:pStyle w:val="944"/>
        <w:ind w:firstLine="560"/>
        <w:keepLines w:val="0"/>
        <w:keepNext w:val="0"/>
        <w:pageBreakBefore w:val="0"/>
        <w:spacing w:before="181" w:after="181" w:line="480" w:lineRule="exact"/>
        <w:widowControl w:val="off"/>
        <w:rPr>
          <w:rFonts w:hint="eastAsia" w:ascii="黑体" w:hAnsi="黑体" w:eastAsia="黑体" w:cs="黑体"/>
          <w:b w:val="0"/>
          <w:bCs w:val="0"/>
          <w:color w:val="000000" w:themeColor="text1"/>
          <w:sz w:val="28"/>
          <w:szCs w:val="28"/>
          <w:highlight w:val="none"/>
          <w14:textFill>
            <w14:solidFill>
              <w14:schemeClr w14:val="tx1"/>
            </w14:solidFill>
          </w14:textFill>
        </w:rPr>
      </w:pPr>
      <w:r/>
      <w:bookmarkStart w:id="182" w:name="_Toc120614219"/>
      <w:r>
        <w:rPr>
          <w:rFonts w:hint="eastAsia" w:ascii="黑体" w:hAnsi="黑体" w:eastAsia="黑体" w:cs="黑体"/>
          <w:b w:val="0"/>
          <w:bCs w:val="0"/>
          <w:color w:val="000000" w:themeColor="text1"/>
          <w:sz w:val="28"/>
          <w:szCs w:val="28"/>
          <w:highlight w:val="none"/>
          <w14:textFill>
            <w14:solidFill>
              <w14:schemeClr w14:val="tx1"/>
            </w14:solidFill>
          </w14:textFill>
        </w:rPr>
        <w:t xml:space="preserve">六、</w:t>
      </w:r>
      <w:bookmarkEnd w:id="179"/>
      <w:r/>
      <w:bookmarkEnd w:id="180"/>
      <w:r/>
      <w:bookmarkEnd w:id="181"/>
      <w:r>
        <w:rPr>
          <w:rFonts w:hint="eastAsia" w:ascii="黑体" w:hAnsi="黑体" w:eastAsia="黑体" w:cs="黑体"/>
          <w:b w:val="0"/>
          <w:bCs w:val="0"/>
          <w:color w:val="000000" w:themeColor="text1"/>
          <w:sz w:val="28"/>
          <w:szCs w:val="28"/>
          <w:highlight w:val="none"/>
          <w14:textFill>
            <w14:solidFill>
              <w14:schemeClr w14:val="tx1"/>
            </w14:solidFill>
          </w14:textFill>
        </w:rPr>
        <w:t xml:space="preserve">定标</w:t>
      </w:r>
      <w:bookmarkEnd w:id="182"/>
      <w:r/>
      <w:r/>
    </w:p>
    <w:p>
      <w:pPr>
        <w:pStyle w:val="946"/>
        <w:ind w:firstLine="482"/>
        <w:keepLines w:val="0"/>
        <w:keepNext w:val="0"/>
        <w:pageBreakBefore w:val="0"/>
        <w:spacing w:before="0" w:after="0"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bookmarkStart w:id="183" w:name="_Toc513029238"/>
      <w:r/>
      <w:bookmarkStart w:id="184" w:name="_Toc16938554"/>
      <w:r/>
      <w:bookmarkStart w:id="185" w:name="_Toc20823310"/>
      <w:r>
        <w:rPr>
          <w:rFonts w:hint="eastAsia" w:ascii="宋体" w:hAnsi="宋体" w:eastAsia="宋体" w:cs="宋体"/>
          <w:b/>
          <w:bCs/>
          <w:color w:val="000000" w:themeColor="text1"/>
          <w:sz w:val="24"/>
          <w:szCs w:val="24"/>
          <w:highlight w:val="none"/>
          <w14:textFill>
            <w14:solidFill>
              <w14:schemeClr w14:val="tx1"/>
            </w14:solidFill>
          </w14:textFill>
        </w:rPr>
        <w:t xml:space="preserve">28、</w:t>
      </w:r>
      <w:bookmarkEnd w:id="183"/>
      <w:r>
        <w:rPr>
          <w:rFonts w:hint="eastAsia" w:ascii="宋体" w:hAnsi="宋体" w:eastAsia="宋体" w:cs="宋体"/>
          <w:b/>
          <w:bCs/>
          <w:color w:val="000000" w:themeColor="text1"/>
          <w:sz w:val="24"/>
          <w:szCs w:val="24"/>
          <w:highlight w:val="none"/>
          <w14:textFill>
            <w14:solidFill>
              <w14:schemeClr w14:val="tx1"/>
            </w14:solidFill>
          </w14:textFill>
        </w:rPr>
        <w:t xml:space="preserve">确定</w:t>
      </w:r>
      <w:bookmarkEnd w:id="184"/>
      <w:r/>
      <w:bookmarkEnd w:id="185"/>
      <w:r>
        <w:rPr>
          <w:rFonts w:hint="eastAsia" w:ascii="宋体" w:hAnsi="宋体" w:eastAsia="宋体" w:cs="宋体"/>
          <w:b/>
          <w:bCs/>
          <w:color w:val="000000" w:themeColor="text1"/>
          <w:sz w:val="24"/>
          <w:szCs w:val="24"/>
          <w:highlight w:val="none"/>
          <w14:textFill>
            <w14:solidFill>
              <w14:schemeClr w14:val="tx1"/>
            </w14:solidFill>
          </w14:textFill>
        </w:rPr>
        <w:t xml:space="preserve">中标单位</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28.1中标候选人的选取原则和数量见招标文件第五章规定。 </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8</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 按以下第</w:t>
      </w:r>
      <w:r>
        <w:rPr>
          <w:rFonts w:hint="eastAsia" w:ascii="宋体" w:hAnsi="宋体" w:eastAsia="宋体" w:cs="宋体"/>
          <w:bCs/>
          <w:color w:val="000000" w:themeColor="text1"/>
          <w:sz w:val="24"/>
          <w:szCs w:val="24"/>
          <w:highlight w:val="none"/>
          <w:u w:val="single"/>
          <w:lang w:val="zh-CN"/>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u w:val="single"/>
          <w:lang w:val="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种方式确定中标人</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（1）评委会直接确定排名第一的中标候选人为中标人；</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（2）采购人在评委会推荐的中标候选人中按顺序确定中标人。</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按第</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种方式确定中标人的，</w:t>
      </w:r>
      <w:r>
        <w:rPr>
          <w:rFonts w:hint="eastAsia" w:ascii="宋体" w:hAnsi="宋体" w:eastAsia="宋体" w:cs="宋体"/>
          <w:bCs/>
          <w:color w:val="000000" w:themeColor="text1"/>
          <w:sz w:val="24"/>
          <w:szCs w:val="24"/>
          <w:highlight w:val="none"/>
          <w14:textFill>
            <w14:solidFill>
              <w14:schemeClr w14:val="tx1"/>
            </w14:solidFill>
          </w14:textFill>
        </w:rPr>
        <w:t xml:space="preserve">采购代理机构</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自评审结束之日起两个工作日内将评审报告送交采购人，采购人自收到评审报告之日起五个工作日内在评审报告推荐的中标候选人中按顺序确定中标人。</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28.3 </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采购代理机构将在“宿迁市政府采购网”发布中标公告，公告期限为1个工作日。</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  若有充分证据证明，中标人出现下列情况之一的，一经查实，将被取消中标资格：</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28.4.1提供虚假材料谋取中标的。</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28.4.2向采购人、采购代理机构行贿或者提供其他不正当利益的。</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28.4.3属于本文件规定的无效条件，但在评标过程中又未被评委会发现的。</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28.4.4与采购人或者其他投标人恶意串通的。</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28.4.5采取不正当手段诋毁、排挤其他投标人的。</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86" w:name="_Toc200451960"/>
      <w:r>
        <w:rPr>
          <w:rFonts w:hint="eastAsia" w:ascii="宋体" w:hAnsi="宋体" w:eastAsia="宋体" w:cs="宋体"/>
          <w:color w:val="000000" w:themeColor="text1"/>
          <w:sz w:val="24"/>
          <w:szCs w:val="24"/>
          <w:highlight w:val="none"/>
          <w14:textFill>
            <w14:solidFill>
              <w14:schemeClr w14:val="tx1"/>
            </w14:solidFill>
          </w14:textFill>
        </w:rPr>
        <w:t xml:space="preserve">28.5 有下列情形之一的，视为投标人串通投标，投标无效：</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28.5.1不同投标人的投标文件由同一单位或者个人编制。</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28.5.2不同投标人委托同一单位或者个人办理投标事宜。</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28.5.3 不同投标人的投标文件载明的项目管理成员或者联系人员为同一人。</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28.5.4不同投标人的投标文件异常一致或者投标报价呈规律性差异。</w:t>
      </w:r>
      <w:r/>
    </w:p>
    <w:p>
      <w:pPr>
        <w:pStyle w:val="946"/>
        <w:ind w:firstLine="482"/>
        <w:keepLines w:val="0"/>
        <w:keepNext w:val="0"/>
        <w:pageBreakBefore w:val="0"/>
        <w:spacing w:before="0" w:after="0"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29、质疑处理</w:t>
      </w:r>
      <w:bookmarkEnd w:id="186"/>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29.1 提出质疑的投标人应当是参与所质疑项目采购活动的投标人。潜在投标人依法获取其可质疑的采购文件的，可以对采购文件提出质疑。</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29.2.1对可以质疑的采购文件提出质疑的，为收到采购文件之日或者采购文件公告期限届满之日；</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29.2.2对采购过程提出质疑的，为各采购程序环节结束之日；</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29.2.3对中标或者成交结果提出质疑的，为中标或者成交结果公告期限届满之日。</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29.4投标人应以书面形式向采购人或者其委托的采购代理机构提出质疑。质疑超出采购机构代理范围的，投标人应当向采购人提出。</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接收质疑函的方式：现场接收或邮寄接收。</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联系部门：</w:t>
      </w:r>
      <w:r>
        <w:rPr>
          <w:rFonts w:hint="eastAsia" w:ascii="宋体" w:hAnsi="宋体" w:eastAsia="宋体" w:cs="宋体"/>
          <w:color w:val="000000" w:themeColor="text1"/>
          <w:sz w:val="24"/>
          <w:szCs w:val="24"/>
          <w:highlight w:val="none"/>
          <w:u w:val="single"/>
          <w14:textFill>
            <w14:solidFill>
              <w14:schemeClr w14:val="tx1"/>
            </w14:solidFill>
          </w14:textFill>
        </w:rPr>
        <w:t xml:space="preserve">宿迁市住房和城乡建设局/</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江苏新时代工程项目管理有限公司</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郑帅0527-84388775</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李范范</w:t>
      </w:r>
      <w:r>
        <w:rPr>
          <w:rFonts w:hint="eastAsia" w:ascii="宋体" w:hAnsi="宋体" w:eastAsia="宋体" w:cs="宋体"/>
          <w:caps w:val="0"/>
          <w:color w:val="auto"/>
          <w:sz w:val="24"/>
          <w:szCs w:val="24"/>
          <w:highlight w:val="none"/>
          <w:u w:val="single"/>
        </w:rPr>
        <w:t xml:space="preserve">18360032585</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通讯地址：</w:t>
      </w:r>
      <w:r>
        <w:rPr>
          <w:rFonts w:hint="eastAsia" w:ascii="宋体" w:hAnsi="宋体" w:eastAsia="宋体" w:cs="宋体"/>
          <w:color w:val="000000" w:themeColor="text1"/>
          <w:sz w:val="24"/>
          <w:szCs w:val="24"/>
          <w:highlight w:val="none"/>
          <w:u w:val="single"/>
          <w14:textFill>
            <w14:solidFill>
              <w14:schemeClr w14:val="tx1"/>
            </w14:solidFill>
          </w14:textFill>
        </w:rPr>
        <w:t xml:space="preserve">宿迁市洪泽湖路793号建设大厦/</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宿迁市君临国际A座12楼</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 以下情形的质疑不予受理</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29.5.1 内容不符合《政府采购质疑和投诉办法》第十二条规定的质疑。</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29.5.2 超出政府采购法定期限的质疑。</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29.5.3 以传真、电子邮件等方式递交的非原件形式的质疑。</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29.5.4 未参加投标活动的投标人或在投标活动中自身权益未受到损害的投标人所提出的质疑。</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29.5.5投标人组成联合体参加投标，联合体中任何一方或多方未按要求签字、盖章、加盖公章的质疑。</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29.7  质疑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对采购人、采购代理机构的答复不满意，或者采购人、采购代理机构未在规定时间内作出答复的，可以在答复期满后15个工作日内向同级财政部门提起投诉。</w:t>
      </w:r>
      <w:r/>
    </w:p>
    <w:p>
      <w:pPr>
        <w:pStyle w:val="946"/>
        <w:ind w:firstLine="482"/>
        <w:keepLines w:val="0"/>
        <w:keepNext w:val="0"/>
        <w:pageBreakBefore w:val="0"/>
        <w:spacing w:before="0" w:after="0" w:line="48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30、中标通知书</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bookmarkStart w:id="187" w:name="_Toc16938552"/>
      <w:r/>
      <w:bookmarkStart w:id="188" w:name="_Toc120614220"/>
      <w:r/>
      <w:bookmarkStart w:id="189" w:name="_Toc513029236"/>
      <w:r/>
      <w:bookmarkStart w:id="190" w:name="_Toc20823308"/>
      <w:r>
        <w:rPr>
          <w:rFonts w:hint="eastAsia" w:ascii="宋体" w:hAnsi="宋体" w:eastAsia="宋体" w:cs="宋体"/>
          <w:color w:val="000000" w:themeColor="text1"/>
          <w:sz w:val="24"/>
          <w:szCs w:val="24"/>
          <w:highlight w:val="none"/>
          <w14:textFill>
            <w14:solidFill>
              <w14:schemeClr w14:val="tx1"/>
            </w14:solidFill>
          </w14:textFill>
        </w:rPr>
        <w:t xml:space="preserve">30.l中标结果确定后，代理机构将向中标人发出中标通知书。请中标人使用CA数字证书登录“苏采云系统”及时下载中标通知书。中标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可自行下载打印《中标通知书》，《中标通知书》将作为授予合同资格的唯一合法依据。</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30.2中标通知书将是合同的一个组成部分。对采购人和中标人均具有法律效力。中标通知书发出后，采购人改变中标结果的，或者中标人放弃中标项目的，应当依法承担法律责任。</w:t>
      </w:r>
      <w:r/>
    </w:p>
    <w:p>
      <w:pPr>
        <w:pStyle w:val="944"/>
        <w:ind w:firstLine="560"/>
        <w:keepLines w:val="0"/>
        <w:keepNext w:val="0"/>
        <w:pageBreakBefore w:val="0"/>
        <w:spacing w:before="181" w:after="181" w:line="480" w:lineRule="exact"/>
        <w:widowControl w:val="off"/>
        <w:rPr>
          <w:rFonts w:hint="eastAsia" w:ascii="黑体" w:hAnsi="黑体" w:eastAsia="黑体" w:cs="黑体"/>
          <w:b w:val="0"/>
          <w:bCs w:val="0"/>
          <w:color w:val="000000" w:themeColor="text1"/>
          <w:sz w:val="28"/>
          <w:szCs w:val="28"/>
          <w:highlight w:val="none"/>
          <w14:textFill>
            <w14:solidFill>
              <w14:schemeClr w14:val="tx1"/>
            </w14:solidFill>
          </w14:textFill>
        </w:rPr>
      </w:pPr>
      <w:r>
        <w:rPr>
          <w:rFonts w:hint="eastAsia" w:ascii="黑体" w:hAnsi="黑体" w:eastAsia="黑体" w:cs="黑体"/>
          <w:b w:val="0"/>
          <w:bCs w:val="0"/>
          <w:color w:val="000000" w:themeColor="text1"/>
          <w:sz w:val="28"/>
          <w:szCs w:val="28"/>
          <w:highlight w:val="none"/>
          <w14:textFill>
            <w14:solidFill>
              <w14:schemeClr w14:val="tx1"/>
            </w14:solidFill>
          </w14:textFill>
        </w:rPr>
        <w:t xml:space="preserve">七、授予合同</w:t>
      </w:r>
      <w:bookmarkEnd w:id="187"/>
      <w:r/>
      <w:bookmarkEnd w:id="188"/>
      <w:r/>
      <w:bookmarkEnd w:id="189"/>
      <w:r/>
      <w:bookmarkEnd w:id="190"/>
      <w:r/>
      <w:r/>
    </w:p>
    <w:p>
      <w:pPr>
        <w:pStyle w:val="946"/>
        <w:ind w:firstLine="482"/>
        <w:keepLines w:val="0"/>
        <w:keepNext w:val="0"/>
        <w:pageBreakBefore w:val="0"/>
        <w:spacing w:before="0" w:after="0" w:line="480" w:lineRule="exact"/>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bookmarkStart w:id="191" w:name="_Toc513029237"/>
      <w:r/>
      <w:bookmarkStart w:id="192" w:name="_Toc20823309"/>
      <w:r/>
      <w:bookmarkStart w:id="193" w:name="_Toc16938553"/>
      <w:r>
        <w:rPr>
          <w:rFonts w:hint="eastAsia" w:ascii="宋体" w:hAnsi="宋体" w:eastAsia="宋体" w:cs="宋体"/>
          <w:b/>
          <w:bCs w:val="0"/>
          <w:color w:val="000000" w:themeColor="text1"/>
          <w:sz w:val="24"/>
          <w:szCs w:val="24"/>
          <w:highlight w:val="none"/>
          <w14:textFill>
            <w14:solidFill>
              <w14:schemeClr w14:val="tx1"/>
            </w14:solidFill>
          </w14:textFill>
        </w:rPr>
        <w:t xml:space="preserve">31</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签订合同</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w:t>
      </w:r>
      <w:r>
        <w:rPr>
          <w:rFonts w:hint="eastAsia" w:ascii="宋体" w:hAnsi="宋体" w:eastAsia="宋体" w:cs="宋体"/>
          <w:color w:val="000000" w:themeColor="text1"/>
          <w:sz w:val="24"/>
          <w:szCs w:val="24"/>
          <w:highlight w:val="none"/>
          <w14:textFill>
            <w14:solidFill>
              <w14:schemeClr w14:val="tx1"/>
            </w14:solidFill>
          </w14:textFill>
        </w:rPr>
        <w:t xml:space="preserve">.l中标人应当在中标通知书发出之日起15日内，按照招标文件确定的事项与采购人签订政府采购合同。</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并在签订之日起2个工作日内将政府采购合同在指定的媒体上公告，但政府采购合同中涉及国家秘密、商业秘密的内容除外</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31.2招标文件、中标人的投标文件及招标过程中有关澄清、承诺文件均应作为合同附件。</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31.4本项目的非主体、非关键性工作是否允许分包按以下第</w:t>
      </w:r>
      <w:r>
        <w:rPr>
          <w:rFonts w:hint="eastAsia" w:ascii="宋体" w:hAnsi="宋体" w:eastAsia="宋体" w:cs="宋体"/>
          <w:color w:val="000000" w:themeColor="text1"/>
          <w:sz w:val="24"/>
          <w:szCs w:val="24"/>
          <w:highlight w:val="none"/>
          <w:u w:val="singl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种方式确定：</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1.允许分包，允许大中型企业向一家或者多家小微企业分包，分包具体内容、金额或比例：</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2.不允许分包。未经采购人同意，中标人也不得采用分包形式履行合同,否则采购人有权终止合同。转包或分包造成采购人损失的，中标人应承担相应赔偿责任。</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31.4履约保证金</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按照以下第</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1  </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方式确定履约保证收取方式。</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（1）不收取履约保证金。</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（2）履约保证金应在采购合同签订前提交，履约保证金的金额：</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按采购合同总价的</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%计取。除银行电汇、网上银行、数字人民币外，投标人还可选用银行保函、担保公司的保证担保或保险公司的保证保险、等多种形式向采购人缴纳；</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履约保证金退还的条件：按以下方式实行：</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货物类项目，项目验收合格，出具验收报告及履约保证金收据申请退付；</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履约保证金退还时间：采购单位收到投标人退付申请后5个工作日内退还；</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本项目支持和鼓励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使用江苏政府采购电子履约保函（保险）代替缴纳履约保证金。关于办理流程、偿付等内容详见江苏省政府采购网《关于在全省政府采购领域推行电子履约保函（保险） 的通知》 （苏财购﹝2023﹞150号）。</w:t>
      </w:r>
      <w:r/>
    </w:p>
    <w:p>
      <w:pPr>
        <w:ind w:firstLine="482"/>
        <w:keepLines w:val="0"/>
        <w:keepNext w:val="0"/>
        <w:pageBreakBefore w:val="0"/>
        <w:spacing w:line="480" w:lineRule="exact"/>
        <w:widowControl w:val="off"/>
        <w:rPr>
          <w:rFonts w:hint="eastAsia" w:ascii="宋体" w:hAnsi="宋体" w:eastAsia="宋体" w:cs="宋体"/>
          <w:b/>
          <w:bCs w:val="0"/>
          <w:color w:val="000000" w:themeColor="text1"/>
          <w:sz w:val="24"/>
          <w:szCs w:val="24"/>
          <w:highlight w:val="none"/>
          <w14:textFill>
            <w14:solidFill>
              <w14:schemeClr w14:val="tx1"/>
            </w14:solidFill>
          </w14:textFill>
        </w:rPr>
        <w:outlineLvl w:val="3"/>
      </w:pPr>
      <w:r>
        <w:rPr>
          <w:rFonts w:hint="eastAsia" w:ascii="宋体" w:hAnsi="宋体" w:eastAsia="宋体" w:cs="宋体"/>
          <w:b/>
          <w:bCs w:val="0"/>
          <w:color w:val="000000" w:themeColor="text1"/>
          <w:sz w:val="24"/>
          <w:szCs w:val="24"/>
          <w:highlight w:val="none"/>
          <w14:textFill>
            <w14:solidFill>
              <w14:schemeClr w14:val="tx1"/>
            </w14:solidFill>
          </w14:textFill>
        </w:rPr>
        <w:t xml:space="preserve">32、货物（包含与货物相关的服务）的追加</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91"/>
      <w:r/>
      <w:bookmarkEnd w:id="192"/>
      <w:r/>
      <w:bookmarkEnd w:id="193"/>
      <w:r/>
      <w:r/>
    </w:p>
    <w:p>
      <w:pPr>
        <w:pStyle w:val="946"/>
        <w:ind w:firstLine="482"/>
        <w:keepLines w:val="0"/>
        <w:keepNext w:val="0"/>
        <w:pageBreakBefore w:val="0"/>
        <w:spacing w:before="0" w:after="0" w:line="480" w:lineRule="exact"/>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bookmarkStart w:id="194" w:name="_Toc16938558"/>
      <w:r/>
      <w:bookmarkStart w:id="195" w:name="_Toc479757207"/>
      <w:r/>
      <w:bookmarkStart w:id="196" w:name="_Toc20823314"/>
      <w:r/>
      <w:bookmarkStart w:id="197" w:name="_Toc120614221"/>
      <w:r/>
      <w:bookmarkStart w:id="198" w:name="_Toc513029242"/>
      <w:r>
        <w:rPr>
          <w:rFonts w:hint="eastAsia" w:ascii="宋体" w:hAnsi="宋体" w:eastAsia="宋体" w:cs="宋体"/>
          <w:b/>
          <w:bCs w:val="0"/>
          <w:color w:val="000000" w:themeColor="text1"/>
          <w:sz w:val="24"/>
          <w:szCs w:val="24"/>
          <w:highlight w:val="none"/>
          <w14:textFill>
            <w14:solidFill>
              <w14:schemeClr w14:val="tx1"/>
            </w14:solidFill>
          </w14:textFill>
        </w:rPr>
        <w:t xml:space="preserve">33、政府采购履约资金扶持政策</w:t>
      </w:r>
      <w:r/>
    </w:p>
    <w:p>
      <w:pPr>
        <w:pStyle w:val="945"/>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33.1依</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946"/>
        <w:ind w:firstLine="482"/>
        <w:keepLines w:val="0"/>
        <w:keepNext w:val="0"/>
        <w:pageBreakBefore w:val="0"/>
        <w:spacing w:before="0" w:after="0" w:line="480" w:lineRule="exact"/>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34、验收及付款</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须承担由此发生的一切损失和费用，并接受相应的处理。</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34.2采购人可以邀请参加本项目的其他投标人或者第三方机构参与验收。参与验收的投标人或者第三方机构的意见作为验收书的参考资料一并存档。</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34.3严格按照采购合同开展履约验收。采购人成立验收小组，按照采购合同的约定对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34.4验收合格的项目，采购人将根据采购合同的约定及时向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支付采购资金、退还履约保证金。验收不合格的项目，采购人将依法及时处理。采购合同的履行、违约责任和解决争议的方式等适用《中华人民共和国民法典》。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在履约过程中有政府采购法律法规规定的违法违规情形的，采购人应当及时报告本级财政部门。</w:t>
      </w:r>
      <w:r/>
    </w:p>
    <w:p>
      <w:pPr>
        <w:pStyle w:val="946"/>
        <w:ind w:firstLine="482"/>
        <w:keepLines w:val="0"/>
        <w:keepNext w:val="0"/>
        <w:pageBreakBefore w:val="0"/>
        <w:spacing w:before="0" w:after="0" w:line="480" w:lineRule="exact"/>
        <w:widowControl w:val="off"/>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35、付款</w:t>
      </w:r>
      <w:r/>
    </w:p>
    <w:p>
      <w:pPr>
        <w:ind w:firstLine="480"/>
        <w:keepLines w:val="0"/>
        <w:keepNext w:val="0"/>
        <w:pageBreakBefore w:val="0"/>
        <w:spacing w:line="480" w:lineRule="exact"/>
        <w:widowControl w:val="off"/>
        <w:rPr>
          <w:rFonts w:hint="eastAsia" w:ascii="宋体" w:hAnsi="宋体" w:eastAsia="宋体" w:cs="宋体"/>
          <w:bCs/>
          <w:color w:val="000000" w:themeColor="text1"/>
          <w:sz w:val="24"/>
          <w:szCs w:val="24"/>
          <w:highlight w:val="none"/>
          <w14:textFill>
            <w14:solidFill>
              <w14:schemeClr w14:val="tx1"/>
            </w14:solidFill>
          </w14:textFill>
        </w:rPr>
      </w:pPr>
      <w:r/>
      <w:bookmarkStart w:id="199" w:name="EBec7f529f50594afd871ea9378869e456"/>
      <w:r>
        <w:rPr>
          <w:rFonts w:hint="eastAsia" w:ascii="宋体" w:hAnsi="宋体" w:eastAsia="宋体" w:cs="宋体"/>
          <w:bCs/>
          <w:color w:val="000000" w:themeColor="text1"/>
          <w:sz w:val="24"/>
          <w:szCs w:val="24"/>
          <w:highlight w:val="none"/>
          <w14:textFill>
            <w14:solidFill>
              <w14:schemeClr w14:val="tx1"/>
            </w14:solidFill>
          </w14:textFill>
        </w:rPr>
        <w:t xml:space="preserve">按照确定的付款方式，采购人及时办理付款手续。对于满足合同约定支付条件的，自收到发票后10个工作日内将资金支付到合同约定的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账户或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highlight w:val="none"/>
          <w14:textFill>
            <w14:solidFill>
              <w14:schemeClr w14:val="tx1"/>
            </w14:solidFill>
          </w14:textFill>
        </w:rPr>
        <w:t xml:space="preserve">数字人民币账户。</w:t>
      </w:r>
      <w:bookmarkEnd w:id="199"/>
      <w:r/>
      <w:r/>
    </w:p>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p>
      <w:pPr>
        <w:pStyle w:val="775"/>
        <w:rPr>
          <w:rFonts w:hint="eastAsia" w:asciiTheme="minorEastAsia" w:hAnsiTheme="minorEastAsia" w:eastAsiaTheme="minorEastAsia" w:cstheme="minorEastAsia"/>
          <w:bCs/>
          <w:color w:val="000000" w:themeColor="text1"/>
          <w:sz w:val="44"/>
          <w:highlight w:val="none"/>
          <w14:textFill>
            <w14:solidFill>
              <w14:schemeClr w14:val="tx1"/>
            </w14:solidFill>
          </w14:textFill>
        </w:rPr>
        <w:outlineLvl w:val="9"/>
      </w:pPr>
      <w:r>
        <w:rPr>
          <w:rFonts w:hint="eastAsia" w:asciiTheme="minorEastAsia" w:hAnsiTheme="minorEastAsia" w:eastAsiaTheme="minorEastAsia" w:cstheme="minorEastAsia"/>
          <w:bCs/>
          <w:color w:val="000000" w:themeColor="text1"/>
          <w:sz w:val="44"/>
          <w:highlight w:val="none"/>
          <w14:textFill>
            <w14:solidFill>
              <w14:schemeClr w14:val="tx1"/>
            </w14:solidFill>
          </w14:textFill>
        </w:rPr>
        <w:br w:type="page" w:clear="all"/>
      </w:r>
      <w:bookmarkEnd w:id="194"/>
      <w:r/>
      <w:bookmarkEnd w:id="195"/>
      <w:r/>
      <w:bookmarkEnd w:id="196"/>
      <w:r/>
      <w:bookmarkEnd w:id="197"/>
      <w:r/>
      <w:bookmarkEnd w:id="198"/>
      <w:r/>
      <w:r/>
    </w:p>
    <w:p>
      <w:pPr>
        <w:pStyle w:val="737"/>
        <w:jc w:val="center"/>
        <w:rPr>
          <w:rFonts w:hint="eastAsia"/>
          <w:b/>
          <w:bCs/>
          <w:highlight w:val="none"/>
        </w:rPr>
      </w:pPr>
      <w:r/>
      <w:bookmarkStart w:id="200" w:name="_Toc155086566"/>
      <w:r/>
      <w:bookmarkStart w:id="201" w:name="_Toc104802328"/>
      <w:r/>
      <w:bookmarkStart w:id="202" w:name="_Toc118461986"/>
      <w:r/>
      <w:bookmarkStart w:id="203" w:name="_Toc14763"/>
      <w:r/>
      <w:bookmarkStart w:id="204" w:name="_Toc31"/>
      <w:r/>
      <w:bookmarkStart w:id="205" w:name="_Hlt16619350"/>
      <w:r/>
      <w:bookmarkStart w:id="206" w:name="_Toc20823346"/>
      <w:r/>
      <w:bookmarkStart w:id="207" w:name="_Toc16938590"/>
      <w:r/>
      <w:bookmarkStart w:id="208" w:name="_Toc120614244"/>
      <w:r/>
      <w:bookmarkStart w:id="209" w:name="_Toc462564139"/>
      <w:r/>
      <w:bookmarkStart w:id="210" w:name="_Toc479757211"/>
      <w:r>
        <w:rPr>
          <w:rFonts w:hint="eastAsia"/>
          <w:b/>
          <w:bCs/>
          <w:highlight w:val="none"/>
        </w:rPr>
        <w:t xml:space="preserve">第三章  合同文本</w:t>
      </w:r>
      <w:bookmarkEnd w:id="200"/>
      <w:r/>
      <w:bookmarkEnd w:id="201"/>
      <w:r/>
      <w:bookmarkEnd w:id="202"/>
      <w:r/>
      <w:bookmarkEnd w:id="203"/>
      <w:r/>
      <w:bookmarkEnd w:id="204"/>
      <w:r/>
      <w:r/>
    </w:p>
    <w:p>
      <w:pPr>
        <w:ind w:firstLine="480"/>
        <w:keepLines w:val="0"/>
        <w:keepNext w:val="0"/>
        <w:pageBreakBefore w:val="0"/>
        <w:spacing w:line="480" w:lineRule="exact"/>
        <w:widowControl w:val="off"/>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bookmarkStart w:id="211" w:name="_Toc20823315"/>
      <w:r/>
      <w:bookmarkStart w:id="212" w:name="_Toc16938559"/>
      <w:r/>
      <w:bookmarkStart w:id="213" w:name="_Toc513029243"/>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以下为中标后签定本项目合同的通用条款，投标人不得提出实质性的修改。</w:t>
      </w:r>
      <w:r/>
    </w:p>
    <w:p>
      <w:pPr>
        <w:ind w:firstLine="480"/>
        <w:keepLines w:val="0"/>
        <w:keepNext w:val="0"/>
        <w:pageBreakBefore w:val="0"/>
        <w:spacing w:line="480" w:lineRule="exact"/>
        <w:widowControl w:val="off"/>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 xml:space="preserve">关于专用条款将由采购人与投标人结合本项目具体情况协商后签订。</w:t>
      </w:r>
      <w:bookmarkEnd w:id="211"/>
      <w:r/>
      <w:bookmarkEnd w:id="212"/>
      <w:r/>
      <w:bookmarkEnd w:id="213"/>
      <w:r/>
      <w:r/>
    </w:p>
    <w:p>
      <w:pPr>
        <w:ind w:firstLine="482"/>
        <w:jc w:val="center"/>
        <w:keepLines w:val="0"/>
        <w:keepNext w:val="0"/>
        <w:pageBreakBefore w:val="0"/>
        <w:spacing w:line="480" w:lineRule="exact"/>
        <w:widowControl w:val="off"/>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pPr>
      <w:r/>
      <w:bookmarkStart w:id="214" w:name="_Hlt16619369"/>
      <w:r/>
      <w:bookmarkEnd w:id="214"/>
      <w:r>
        <w:rPr>
          <w:rFonts w:hint="eastAsia" w:asciiTheme="minorEastAsia" w:hAnsiTheme="minorEastAsia" w:eastAsiaTheme="minorEastAsia" w:cstheme="minorEastAsia"/>
          <w:b/>
          <w:color w:val="000000" w:themeColor="text1"/>
          <w:sz w:val="24"/>
          <w:szCs w:val="24"/>
          <w:highlight w:val="none"/>
          <w:lang w:eastAsia="zh-CN"/>
          <w14:textFill>
            <w14:solidFill>
              <w14:schemeClr w14:val="tx1"/>
            </w14:solidFill>
          </w14:textFill>
        </w:rPr>
        <w:t xml:space="preserve">市区易涝点信息化管理系统平台新增监测点位项目</w:t>
      </w:r>
      <w:r>
        <w:rPr>
          <w:rFonts w:hint="eastAsia" w:asciiTheme="minorEastAsia" w:hAnsiTheme="minorEastAsia" w:eastAsiaTheme="minorEastAsia" w:cstheme="minorEastAsia"/>
          <w:b/>
          <w:color w:val="000000" w:themeColor="text1"/>
          <w:sz w:val="24"/>
          <w:szCs w:val="24"/>
          <w:highlight w:val="none"/>
          <w14:textFill>
            <w14:solidFill>
              <w14:schemeClr w14:val="tx1"/>
            </w14:solidFill>
          </w14:textFill>
        </w:rPr>
        <w:t xml:space="preserve">政府采购合同（参考）</w:t>
      </w:r>
      <w:r/>
    </w:p>
    <w:p>
      <w:pPr>
        <w:ind w:firstLine="562"/>
        <w:jc w:val="center"/>
        <w:keepLines w:val="0"/>
        <w:keepNext w:val="0"/>
        <w:pageBreakBefore w:val="0"/>
        <w:spacing w:before="181" w:after="181" w:line="480" w:lineRule="exact"/>
        <w:widowControl w:val="off"/>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 xml:space="preserve">专用条款</w:t>
      </w:r>
      <w:r/>
    </w:p>
    <w:p>
      <w:pPr>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采购单位（全称）：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（简称甲方）</w:t>
      </w:r>
      <w:r/>
    </w:p>
    <w:p>
      <w:pPr>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（全称）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（简称乙方）</w:t>
      </w:r>
      <w:r/>
    </w:p>
    <w:p>
      <w:pPr>
        <w:ind w:left="0" w:firstLine="480"/>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依照《中华人民共和国政府采购法》及其实施条例、《中华人民共和国民法典（第三编合同）》及其他有关法律、行政法规，遵循平等、自愿、公平和诚实信用的原则，双方就</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市区易涝点信息化管理系统平台新增监测点位项目</w:t>
      </w:r>
      <w:r>
        <w:rPr>
          <w:rFonts w:hint="eastAsia" w:ascii="宋体" w:hAnsi="宋体" w:eastAsia="宋体" w:cs="宋体"/>
          <w:color w:val="000000" w:themeColor="text1"/>
          <w:sz w:val="24"/>
          <w:szCs w:val="24"/>
          <w:highlight w:val="none"/>
          <w14:textFill>
            <w14:solidFill>
              <w14:schemeClr w14:val="tx1"/>
            </w14:solidFill>
          </w14:textFill>
        </w:rPr>
        <w:t xml:space="preserve">相关事项协商一致，达成如下合同条款：</w:t>
      </w:r>
      <w:r/>
    </w:p>
    <w:p>
      <w:pPr>
        <w:pStyle w:val="944"/>
        <w:numPr>
          <w:ilvl w:val="0"/>
          <w:numId w:val="0"/>
        </w:numPr>
        <w:ind w:left="0" w:firstLine="480"/>
        <w:keepLines w:val="0"/>
        <w:keepNext w:val="0"/>
        <w:pageBreakBefore w:val="0"/>
        <w:spacing w:before="0" w:after="0" w:line="480" w:lineRule="exact"/>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t xml:space="preserve">一、</w:t>
      </w:r>
      <w:r>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t xml:space="preserve">乙方向甲方提供总价值为</w:t>
      </w:r>
      <w:r>
        <w:rPr>
          <w:rFonts w:hint="eastAsia" w:asciiTheme="majorEastAsia" w:hAnsiTheme="majorEastAsia" w:eastAsiaTheme="majorEastAsia" w:cstheme="majorEastAsia"/>
          <w:b w:val="0"/>
          <w:bCs w:val="0"/>
          <w:color w:val="000000" w:themeColor="text1"/>
          <w:sz w:val="24"/>
          <w:szCs w:val="24"/>
          <w:highlight w:val="none"/>
          <w:u w:val="single"/>
          <w:lang w:val="en-US" w:eastAsia="zh-CN"/>
          <w14:textFill>
            <w14:solidFill>
              <w14:schemeClr w14:val="tx1"/>
            </w14:solidFill>
          </w14:textFill>
        </w:rPr>
        <w:t xml:space="preserve">              </w:t>
      </w:r>
      <w:r>
        <w:rPr>
          <w:rFonts w:hint="eastAsia" w:asciiTheme="majorEastAsia" w:hAnsiTheme="majorEastAsia" w:eastAsiaTheme="majorEastAsia" w:cstheme="majorEastAsia"/>
          <w:b w:val="0"/>
          <w:bCs w:val="0"/>
          <w:color w:val="000000" w:themeColor="text1"/>
          <w:sz w:val="24"/>
          <w:szCs w:val="24"/>
          <w:highlight w:val="none"/>
          <w14:textFill>
            <w14:solidFill>
              <w14:schemeClr w14:val="tx1"/>
            </w14:solidFill>
          </w14:textFill>
        </w:rPr>
        <w:t xml:space="preserve">元的标的物（货物）。</w:t>
      </w:r>
      <w:r/>
    </w:p>
    <w:p>
      <w:pPr>
        <w:ind w:left="0" w:firstLine="480"/>
        <w:keepLines w:val="0"/>
        <w:keepNext w:val="0"/>
        <w:pageBreakBefore w:val="0"/>
        <w:spacing w:line="480" w:lineRule="exact"/>
        <w:rPr>
          <w:rFonts w:hint="eastAsia" w:ascii="宋体" w:hAnsi="宋体" w:eastAsia="宋体" w:cs="宋体"/>
          <w:color w:val="ff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注：合同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总价包含</w:t>
      </w:r>
      <w:r>
        <w:rPr>
          <w:rFonts w:hint="eastAsia" w:ascii="宋体" w:hAnsi="宋体" w:eastAsia="宋体" w:cs="宋体"/>
          <w:color w:val="000000" w:themeColor="text1"/>
          <w:sz w:val="24"/>
          <w:szCs w:val="24"/>
          <w:highlight w:val="none"/>
          <w14:textFill>
            <w14:solidFill>
              <w14:schemeClr w14:val="tx1"/>
            </w14:solidFill>
          </w14:textFill>
        </w:rPr>
        <w:t xml:space="preserve">全部货物和服务、设备及其备品、备件和专用工具费用、数据对接费、入网费、电费、人工费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税费及包装、运输、保险、安装、调试、技术支持与培训、售后服务与维保及相关劳务支出等工作所发生的全部费用以及企业利润、税金和政策性文件规定及合同包含的所有风险、责任等各项应有费用。</w:t>
      </w:r>
      <w:r/>
    </w:p>
    <w:p>
      <w:pPr>
        <w:ind w:left="0" w:firstLine="482"/>
        <w:jc w:val="center"/>
        <w:keepLines w:val="0"/>
        <w:keepNext w:val="0"/>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主要标的物清单（详细列明）</w:t>
      </w:r>
      <w:r/>
    </w:p>
    <w:tbl>
      <w:tblPr>
        <w:tblStyle w:val="747"/>
        <w:tblW w:w="8600" w:type="dxa"/>
        <w:jc w:val="center"/>
        <w:tblLayout w:type="fixed"/>
        <w:tblCellMar>
          <w:left w:w="108" w:type="dxa"/>
          <w:top w:w="0" w:type="dxa"/>
          <w:right w:w="108" w:type="dxa"/>
          <w:bottom w:w="0" w:type="dxa"/>
        </w:tblCellMar>
        <w:tblLook w:val="04A0" w:firstRow="1" w:lastRow="0" w:firstColumn="1" w:lastColumn="0" w:noHBand="0" w:noVBand="1"/>
      </w:tblPr>
      <w:tblGrid>
        <w:gridCol w:w="1080"/>
        <w:gridCol w:w="3040"/>
        <w:gridCol w:w="1240"/>
        <w:gridCol w:w="1080"/>
        <w:gridCol w:w="1080"/>
        <w:gridCol w:w="1080"/>
      </w:tblGrid>
      <w:tr>
        <w:trPr>
          <w:jc w:val="center"/>
          <w:trHeight w:val="570"/>
        </w:trPr>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lef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3040" w:type="dxa"/>
            <w:vAlign w:val="center"/>
            <w:textDirection w:val="lrTb"/>
            <w:noWrap w:val="false"/>
          </w:tcPr>
          <w:p>
            <w:pPr>
              <w:ind w:lef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货物名称.品牌.规格.型号</w:t>
            </w:r>
            <w:r/>
          </w:p>
        </w:tc>
        <w:tc>
          <w:tcPr>
            <w:tcBorders>
              <w:top w:val="single" w:color="auto" w:sz="4" w:space="0"/>
              <w:left w:val="none" w:color="000000" w:sz="4" w:space="0"/>
              <w:bottom w:val="single" w:color="auto" w:sz="4" w:space="0"/>
              <w:right w:val="single" w:color="auto" w:sz="4" w:space="0"/>
            </w:tcBorders>
            <w:tcW w:w="1240" w:type="dxa"/>
            <w:vAlign w:val="center"/>
            <w:textDirection w:val="lrTb"/>
            <w:noWrap w:val="false"/>
          </w:tcPr>
          <w:p>
            <w:pPr>
              <w:ind w:lef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lef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数量</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lef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单价（元）</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ind w:lef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总价（元）</w:t>
            </w:r>
            <w:r/>
          </w:p>
        </w:tc>
      </w:tr>
      <w:tr>
        <w:trPr>
          <w:jc w:val="center"/>
          <w:trHeight w:val="547"/>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ind w:lef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ind w:lef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ind w:lef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jc w:val="center"/>
          <w:trHeight w:val="54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ind w:lef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ind w:lef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ind w:lef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ind w:lef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tc>
      </w:tr>
      <w:tr>
        <w:trPr>
          <w:jc w:val="center"/>
          <w:trHeight w:val="570"/>
        </w:trPr>
        <w:tc>
          <w:tcPr>
            <w:gridSpan w:val="6"/>
            <w:tcBorders>
              <w:top w:val="single" w:color="auto" w:sz="4" w:space="0"/>
              <w:left w:val="single" w:color="auto" w:sz="4" w:space="0"/>
              <w:bottom w:val="single" w:color="auto" w:sz="4" w:space="0"/>
              <w:right w:val="single" w:color="auto" w:sz="4" w:space="0"/>
            </w:tcBorders>
            <w:tcW w:w="8600" w:type="dxa"/>
            <w:vAlign w:val="center"/>
            <w:textDirection w:val="lrTb"/>
            <w:noWrap w:val="false"/>
          </w:tcPr>
          <w:p>
            <w:pPr>
              <w:ind w:left="0" w:firstLine="0"/>
              <w:jc w:val="center"/>
              <w:keepLines w:val="0"/>
              <w:keepNext w:val="0"/>
              <w:pageBreakBefore w:val="0"/>
              <w:spacing w:line="400" w:lineRule="exact"/>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合计：人民币金额（大写）：                  （￥：       ）</w:t>
            </w:r>
            <w:r/>
          </w:p>
        </w:tc>
      </w:tr>
    </w:tbl>
    <w:p>
      <w:pPr>
        <w:pStyle w:val="944"/>
        <w:numPr>
          <w:ilvl w:val="0"/>
          <w:numId w:val="0"/>
        </w:numPr>
        <w:ind w:left="0" w:firstLine="480"/>
        <w:keepLines w:val="0"/>
        <w:keepNext w:val="0"/>
        <w:pageBreakBefore w:val="0"/>
        <w:spacing w:before="0" w:after="0" w:line="480" w:lineRule="exact"/>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t xml:space="preserve">二、合同履行期限、地点</w:t>
      </w:r>
      <w:r/>
    </w:p>
    <w:p>
      <w:pPr>
        <w:ind w:lef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（一）合同履行期限：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合同签订并生效后50日历天完成货物、设备的采购、进场安装及调试等相关的全部工作。</w:t>
      </w:r>
      <w:r/>
    </w:p>
    <w:p>
      <w:pPr>
        <w:ind w:left="0" w:firstLine="480"/>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（二）履行地点：</w:t>
      </w:r>
      <w:r>
        <w:rPr>
          <w:rFonts w:hint="eastAsia" w:ascii="宋体" w:hAnsi="宋体" w:eastAsia="宋体" w:cs="宋体"/>
          <w:color w:val="000000" w:themeColor="text1"/>
          <w:sz w:val="24"/>
          <w:szCs w:val="24"/>
          <w:highlight w:val="none"/>
          <w:u w:val="single"/>
          <w14:textFill>
            <w14:solidFill>
              <w14:schemeClr w14:val="tx1"/>
            </w14:solidFill>
          </w14:textFill>
        </w:rPr>
        <w:t xml:space="preserve">甲方指定地点</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944"/>
        <w:numPr>
          <w:ilvl w:val="0"/>
          <w:numId w:val="0"/>
        </w:numPr>
        <w:ind w:left="0" w:firstLine="480"/>
        <w:keepLines w:val="0"/>
        <w:keepNext w:val="0"/>
        <w:pageBreakBefore w:val="0"/>
        <w:spacing w:before="0" w:after="0" w:line="480" w:lineRule="exact"/>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t xml:space="preserve">三、质量技术标准</w:t>
      </w:r>
      <w:r/>
    </w:p>
    <w:p>
      <w:pPr>
        <w:ind w:left="0" w:firstLine="480"/>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乙方提供的服务和产品性能及质量有国家标准的应符合国家标准。无国家标准的应符合行业标准或企业标准，并满足采购文件要求，实现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w:t>
      </w:r>
      <w:r>
        <w:rPr>
          <w:rFonts w:hint="eastAsia" w:ascii="宋体" w:hAnsi="宋体" w:eastAsia="宋体" w:cs="宋体"/>
          <w:color w:val="000000" w:themeColor="text1"/>
          <w:sz w:val="24"/>
          <w:szCs w:val="24"/>
          <w:highlight w:val="none"/>
          <w14:textFill>
            <w14:solidFill>
              <w14:schemeClr w14:val="tx1"/>
            </w14:solidFill>
          </w14:textFill>
        </w:rPr>
        <w:t xml:space="preserve">文件承诺条款。</w:t>
      </w:r>
      <w:r/>
    </w:p>
    <w:p>
      <w:pPr>
        <w:pStyle w:val="944"/>
        <w:numPr>
          <w:ilvl w:val="0"/>
          <w:numId w:val="0"/>
        </w:numPr>
        <w:ind w:left="0" w:firstLine="480"/>
        <w:keepLines w:val="0"/>
        <w:keepNext w:val="0"/>
        <w:pageBreakBefore w:val="0"/>
        <w:spacing w:before="0" w:after="0" w:line="480" w:lineRule="exact"/>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t xml:space="preserve">四、验收</w:t>
      </w:r>
      <w:r/>
    </w:p>
    <w:p>
      <w:pPr>
        <w:ind w:left="0" w:firstLine="480"/>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在货物进场并安装调试后，甲方根据技术要求组织验收，验收内容包括：型号、规格、数量、外观质量、及货物包装是否完好，安装调试是否合格，所提供货物的装箱清单、原厂保修卡、随机资料及配件、随机工具等是否齐全。货物最终验收后，乙方应对由于设计、工艺或材料的缺陷而发生的任何不足或故障负责，并承担由此引起的一切后果。</w:t>
      </w:r>
      <w:r/>
    </w:p>
    <w:p>
      <w:pPr>
        <w:ind w:left="0" w:firstLine="480"/>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（二）甲方组建验收小组，按约定的时间组织验收，并出具验收报告。</w:t>
      </w:r>
      <w:r/>
    </w:p>
    <w:p>
      <w:pPr>
        <w:ind w:left="0" w:firstLine="480"/>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（三）验收条件及标准：乙方在规定时间内完成设备采购、安装和调试，提出书面申请由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组织初次验收。甲方组织相关专家或权威鉴定单位进行验收，对照招标文件提供的采购清单，对采购产品进行检查验收。如经检查或检测，不符合招标文件要求的，甲方有权拒收，乙方将无条件整改，由此产生的一切后果由乙方承担；售后服务期满乙方向甲方提交项目验收技术资料以及终验申请单，甲方收到申请后3个工作日组织终验且验收无问题后签署终验单。</w:t>
      </w:r>
      <w:r/>
    </w:p>
    <w:p>
      <w:pPr>
        <w:ind w:left="0" w:firstLine="480"/>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（四）甲方在验收中，如发现有与合同规定不符的，应在向乙方提出书面意见，不出具验收报告，乙方在接到甲方书面意见后，应在 3 天内予以处理。</w:t>
      </w:r>
      <w:r/>
    </w:p>
    <w:p>
      <w:pPr>
        <w:pStyle w:val="944"/>
        <w:numPr>
          <w:ilvl w:val="0"/>
          <w:numId w:val="0"/>
        </w:numPr>
        <w:ind w:left="0" w:firstLine="480"/>
        <w:keepLines w:val="0"/>
        <w:keepNext w:val="0"/>
        <w:pageBreakBefore w:val="0"/>
        <w:spacing w:before="0" w:after="0" w:line="480" w:lineRule="exact"/>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t xml:space="preserve">五、付款方式</w:t>
      </w:r>
      <w:r>
        <w:rPr>
          <w:rFonts w:hint="eastAsia" w:asciiTheme="majorEastAsia" w:hAnsiTheme="majorEastAsia" w:eastAsiaTheme="majorEastAsia" w:cstheme="majorEastAsia"/>
          <w:b w:val="0"/>
          <w:bCs w:val="0"/>
          <w:color w:val="000000" w:themeColor="text1"/>
          <w:sz w:val="24"/>
          <w:szCs w:val="24"/>
          <w:highlight w:val="none"/>
          <w:lang w:val="en-US" w:eastAsia="zh-CN"/>
          <w14:textFill>
            <w14:solidFill>
              <w14:schemeClr w14:val="tx1"/>
            </w14:solidFill>
          </w14:textFill>
        </w:rPr>
        <w:t xml:space="preserve">及结算</w:t>
      </w:r>
      <w:r>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t xml:space="preserve">：</w:t>
      </w:r>
      <w:r/>
    </w:p>
    <w:p>
      <w:pPr>
        <w:ind w:left="0" w:firstLine="480"/>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1、付款方式：</w:t>
      </w:r>
      <w:r>
        <w:rPr>
          <w:rFonts w:hint="eastAsia" w:ascii="宋体" w:hAnsi="宋体" w:eastAsia="宋体" w:cs="宋体"/>
          <w:color w:val="000000" w:themeColor="text1"/>
          <w:sz w:val="24"/>
          <w:szCs w:val="24"/>
          <w:highlight w:val="none"/>
          <w14:textFill>
            <w14:solidFill>
              <w14:schemeClr w14:val="tx1"/>
            </w14:solidFill>
          </w14:textFill>
        </w:rPr>
        <w:t xml:space="preserve">预付款：采购合同签订后收到中标人发票后10个工作日内支付合同金额的30%；</w:t>
      </w:r>
      <w:r/>
    </w:p>
    <w:p>
      <w:pPr>
        <w:ind w:lef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进度款：</w:t>
      </w: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全部货物到货并经甲方确认签收后，付至合同价款的50%。货物安装完毕，经甲方确认，项目进行试运行（3个月），试运行结束，进行初验，经验收合格后，支付至合同金额的95%，余款待运维期满且经最终验收合格后付清（最终结算价款以审定的金额为准）。</w:t>
      </w:r>
      <w:r/>
    </w:p>
    <w:p>
      <w:pPr>
        <w:ind w:left="0" w:firstLine="480"/>
        <w:jc w:val="both"/>
        <w:keepLines w:val="0"/>
        <w:keepNext w:val="0"/>
        <w:pageBreakBefore w:val="0"/>
        <w:spacing w:line="4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注：(1)在签订合同时，乙方明确表示无需预付款或者主动要求降低预付款比例的金额，甲方可不适用预付款规定。</w:t>
      </w:r>
      <w:r/>
    </w:p>
    <w:p>
      <w:pPr>
        <w:ind w:left="0" w:firstLine="480"/>
        <w:jc w:val="both"/>
        <w:keepLines w:val="0"/>
        <w:keepNext w:val="0"/>
        <w:pageBreakBefore w:val="0"/>
        <w:spacing w:line="4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对于满足合同约定支付条件的，自收到发票后10个工作日内将资金支付到合同约定的乙方账户或乙方数字人民币账户。</w:t>
      </w:r>
      <w:r/>
    </w:p>
    <w:p>
      <w:pPr>
        <w:ind w:left="0" w:firstLine="480"/>
        <w:jc w:val="both"/>
        <w:keepLines w:val="0"/>
        <w:keepNext w:val="0"/>
        <w:pageBreakBefore w:val="0"/>
        <w:spacing w:line="48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(2)最终结算：最终结算金额以采购人委托的审计单位审定的结果为准。</w:t>
      </w:r>
      <w:r/>
    </w:p>
    <w:p>
      <w:pPr>
        <w:pStyle w:val="944"/>
        <w:numPr>
          <w:ilvl w:val="0"/>
          <w:numId w:val="0"/>
        </w:numPr>
        <w:ind w:left="0" w:firstLine="480"/>
        <w:keepLines w:val="0"/>
        <w:keepNext w:val="0"/>
        <w:pageBreakBefore w:val="0"/>
        <w:spacing w:before="0" w:after="0" w:line="480" w:lineRule="exact"/>
        <w:rPr>
          <w:rFonts w:hint="eastAsia" w:asciiTheme="majorEastAsia" w:hAnsiTheme="majorEastAsia" w:eastAsiaTheme="majorEastAsia" w:cstheme="majorEastAsia"/>
          <w:b w:val="0"/>
          <w:bCs w:val="0"/>
          <w:color w:val="000000" w:themeColor="text1"/>
          <w:sz w:val="24"/>
          <w:szCs w:val="24"/>
          <w:highlight w:val="none"/>
          <w:lang w:val="en-US"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lang w:val="en-US" w:eastAsia="zh-CN"/>
          <w14:textFill>
            <w14:solidFill>
              <w14:schemeClr w14:val="tx1"/>
            </w14:solidFill>
          </w14:textFill>
        </w:rPr>
        <w:t xml:space="preserve">六、售后服务（运维期)</w:t>
      </w:r>
      <w:r/>
    </w:p>
    <w:p>
      <w:pPr>
        <w:ind w:lef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本项目售后服务期为36个月（自初验验收合格之日起计算），售后服务期内所有设施设备的更换、维修均为免费（包括非故意人为损坏）以及相关配件的维修、保养费用由乙方免费提供，所有点位的网络通讯费用由乙方提供，所有的服务产生的费用均不再收取；服务期满后，双方另行协商维护费用及职责。</w:t>
      </w:r>
      <w:r/>
    </w:p>
    <w:p>
      <w:pPr>
        <w:ind w:lef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(二）售后服务保障不力的，甲方有权终止合同，停止支付项目相关费用。</w:t>
      </w:r>
      <w:r/>
    </w:p>
    <w:p>
      <w:pPr>
        <w:ind w:lef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(三）需求调整和完善。售后服务期内乙方应对甲方提出具体需求进行调整和完善。提供定期现场巡检和回访。</w:t>
      </w:r>
      <w:r/>
    </w:p>
    <w:p>
      <w:pPr>
        <w:ind w:left="0" w:firstLine="480"/>
        <w:keepLines w:val="0"/>
        <w:keepNext w:val="0"/>
        <w:pageBreakBefore w:val="0"/>
        <w:spacing w:line="480" w:lineRule="exac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四）故障及时响应。成立专门的本地维护服务和技术支持小组，设备运行异常时，在接到采购人通知后，须全力协助采购人，使系统尽快恢复正常。具体为：疑难问题(不危及运行)在24小时内答复用户。重大问题(危及运行)在2小时内到现场处理或通过网络远程处理。特大问题(系统不能正常运行)在2小时内恢复系统运行，并在24小时内派技术人员到现场解决。现场予以排除故障、修复或更换零部件，或启用替代品。如需更换设备或送修，必须在2个工作日内解决。采购人不承担所产生的任何费用。</w:t>
      </w:r>
      <w:r/>
    </w:p>
    <w:p>
      <w:pPr>
        <w:pStyle w:val="944"/>
        <w:numPr>
          <w:ilvl w:val="0"/>
          <w:numId w:val="0"/>
        </w:numPr>
        <w:ind w:left="0" w:firstLine="480"/>
        <w:keepLines w:val="0"/>
        <w:keepNext w:val="0"/>
        <w:pageBreakBefore w:val="0"/>
        <w:spacing w:before="0" w:after="0" w:line="480" w:lineRule="exact"/>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t xml:space="preserve">七、违约条款</w:t>
      </w:r>
      <w:r/>
    </w:p>
    <w:p>
      <w:pPr>
        <w:ind w:left="0" w:firstLine="480"/>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（一）甲方无正当理由拒收货物、拒付货物款的，由甲方向乙方偿付合同总价的5%违约金。</w:t>
      </w:r>
      <w:r/>
    </w:p>
    <w:p>
      <w:pPr>
        <w:ind w:left="0" w:firstLine="480"/>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szCs w:val="24"/>
          <w:highlight w:val="none"/>
          <w14:textFill>
            <w14:solidFill>
              <w14:schemeClr w14:val="tx1"/>
            </w14:solidFill>
          </w14:textFill>
        </w:rPr>
        <w:t xml:space="preserve">）如乙方不能交付货物、完成安装调试的；甲方有权单方解除合同，同时乙方应向甲方支付合同总价20%的违约金。 </w:t>
      </w:r>
      <w:r/>
    </w:p>
    <w:p>
      <w:pPr>
        <w:ind w:left="0" w:firstLine="480"/>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14:textFill>
            <w14:solidFill>
              <w14:schemeClr w14:val="tx1"/>
            </w14:solidFill>
          </w14:textFill>
        </w:rPr>
        <w:t xml:space="preserve">）乙方逾期交付的，每逾期1天，乙方向甲方偿付合同总额的5‰的滞纳金。如乙方逾期交付达10天，甲方有权解除合同，解除合同的通知自到达乙方时生效。 </w:t>
      </w:r>
      <w:r/>
    </w:p>
    <w:p>
      <w:pPr>
        <w:ind w:left="0" w:firstLine="480"/>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szCs w:val="24"/>
          <w:highlight w:val="none"/>
          <w14:textFill>
            <w14:solidFill>
              <w14:schemeClr w14:val="tx1"/>
            </w14:solidFill>
          </w14:textFill>
        </w:rPr>
        <w:t xml:space="preserve">）乙方所交付的货物品种、型号、规格不符合合同规定的，甲方有权拒收。甲方拒收的，乙方应向甲方支付货款总额5%的违约金。</w:t>
      </w:r>
      <w:r/>
    </w:p>
    <w:p>
      <w:pPr>
        <w:ind w:left="0" w:firstLine="480"/>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szCs w:val="24"/>
          <w:highlight w:val="none"/>
          <w14:textFill>
            <w14:solidFill>
              <w14:schemeClr w14:val="tx1"/>
            </w14:solidFill>
          </w14:textFill>
        </w:rPr>
        <w:t xml:space="preserve">）在乙方承诺的或国家规定的质量保证期内（取两者中最长的期限），如经乙方两次维修或更换，货物仍不能达到合同约定的质量标准，甲方有权退货，乙方应退回全部货款，并按第3款处理，同时，乙方还须赔偿甲方因此遭受的损失。 </w:t>
      </w:r>
      <w:r/>
    </w:p>
    <w:p>
      <w:pPr>
        <w:ind w:left="0" w:firstLine="480"/>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szCs w:val="24"/>
          <w:highlight w:val="none"/>
          <w14:textFill>
            <w14:solidFill>
              <w14:schemeClr w14:val="tx1"/>
            </w14:solidFill>
          </w14:textFill>
        </w:rPr>
        <w:t xml:space="preserve">）乙方未按本合同的规定和“服务承诺”提供伴随服务/售后服务的，应按合同总价款的5%向甲方承担违约责任。 </w:t>
      </w:r>
      <w:r/>
    </w:p>
    <w:p>
      <w:pPr>
        <w:ind w:left="0" w:firstLine="480"/>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24"/>
          <w:szCs w:val="24"/>
          <w:highlight w:val="none"/>
          <w14:textFill>
            <w14:solidFill>
              <w14:schemeClr w14:val="tx1"/>
            </w14:solidFill>
          </w14:textFill>
        </w:rPr>
        <w:t xml:space="preserve">）乙方在承担上述4-7款一项或多项违约责任后，仍应继续履行合同规定的义务（甲方解除合同的除外）。甲方未能及时追究乙方的任何一项违约责任并不表明甲方放弃追究乙方该项或其他违约责任。 </w:t>
      </w:r>
      <w:r/>
    </w:p>
    <w:p>
      <w:pPr>
        <w:ind w:left="0" w:firstLine="480"/>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color w:val="000000" w:themeColor="text1"/>
          <w:sz w:val="24"/>
          <w:szCs w:val="24"/>
          <w:highlight w:val="none"/>
          <w14:textFill>
            <w14:solidFill>
              <w14:schemeClr w14:val="tx1"/>
            </w14:solidFill>
          </w14:textFill>
        </w:rPr>
        <w:t xml:space="preserve">）乙方投标属虚假承诺，或经权威部门监测提供的货物不能满足采购文件要求，或是由于乙方的过错造成合同无法继续履行的，甲方有权解除合同，同时乙方还须向甲方支付不少于合同总价30%赔偿金。 </w:t>
      </w:r>
      <w:r/>
    </w:p>
    <w:p>
      <w:pPr>
        <w:ind w:left="0" w:firstLine="480"/>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color w:val="000000" w:themeColor="text1"/>
          <w:sz w:val="24"/>
          <w:szCs w:val="24"/>
          <w:highlight w:val="none"/>
          <w14:textFill>
            <w14:solidFill>
              <w14:schemeClr w14:val="tx1"/>
            </w14:solidFill>
          </w14:textFill>
        </w:rPr>
        <w:t xml:space="preserve">）非因甲方原因，乙方不履行本合同规定的义务，致使工作延误，甲方有权要求其强制履行或解除合同，并要求乙方等额赔偿由此造成的一切损失。</w:t>
      </w:r>
      <w:r/>
    </w:p>
    <w:p>
      <w:pPr>
        <w:ind w:left="0" w:firstLine="480"/>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十</w:t>
      </w:r>
      <w:r>
        <w:rPr>
          <w:rFonts w:hint="eastAsia" w:ascii="宋体" w:hAnsi="宋体" w:eastAsia="宋体" w:cs="宋体"/>
          <w:color w:val="000000" w:themeColor="text1"/>
          <w:sz w:val="24"/>
          <w:szCs w:val="24"/>
          <w:highlight w:val="none"/>
          <w14:textFill>
            <w14:solidFill>
              <w14:schemeClr w14:val="tx1"/>
            </w14:solidFill>
          </w14:textFill>
        </w:rPr>
        <w:t xml:space="preserve">）本项目不得转让分包，如有发生，无条件清理退场，所造成的一切损失由乙方负责。</w:t>
      </w:r>
      <w:r/>
    </w:p>
    <w:p>
      <w:pPr>
        <w:pStyle w:val="944"/>
        <w:numPr>
          <w:ilvl w:val="0"/>
          <w:numId w:val="0"/>
        </w:numPr>
        <w:ind w:left="0" w:firstLine="480"/>
        <w:keepLines w:val="0"/>
        <w:keepNext w:val="0"/>
        <w:pageBreakBefore w:val="0"/>
        <w:spacing w:before="0" w:after="0" w:line="480" w:lineRule="exact"/>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t xml:space="preserve">八、知识产权</w:t>
      </w:r>
      <w:r/>
    </w:p>
    <w:p>
      <w:pPr>
        <w:ind w:left="0" w:firstLine="480"/>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pStyle w:val="944"/>
        <w:numPr>
          <w:ilvl w:val="0"/>
          <w:numId w:val="0"/>
        </w:numPr>
        <w:ind w:left="0" w:firstLine="480"/>
        <w:keepLines w:val="0"/>
        <w:keepNext w:val="0"/>
        <w:pageBreakBefore w:val="0"/>
        <w:spacing w:before="0" w:after="0" w:line="480" w:lineRule="exact"/>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t xml:space="preserve">九、合同生效</w:t>
      </w:r>
      <w:r/>
    </w:p>
    <w:p>
      <w:pPr>
        <w:ind w:left="0" w:firstLine="480"/>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本合同经甲方、乙方签字盖章后生效，合同签订的内容不能超出采购文件和响应文件的实质性内容。</w:t>
      </w:r>
      <w:r/>
    </w:p>
    <w:p>
      <w:pPr>
        <w:pStyle w:val="944"/>
        <w:numPr>
          <w:ilvl w:val="0"/>
          <w:numId w:val="0"/>
        </w:numPr>
        <w:ind w:left="0" w:firstLine="480"/>
        <w:keepLines w:val="0"/>
        <w:keepNext w:val="0"/>
        <w:pageBreakBefore w:val="0"/>
        <w:spacing w:before="0" w:after="0" w:line="480" w:lineRule="exact"/>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t xml:space="preserve">十、合同的组成部分</w:t>
      </w:r>
      <w:r/>
    </w:p>
    <w:p>
      <w:pPr>
        <w:ind w:left="0" w:firstLine="480"/>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本合同条款、成交通知书、采购文件、响应文件及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投标人</w:t>
      </w:r>
      <w:r>
        <w:rPr>
          <w:rFonts w:hint="eastAsia" w:ascii="宋体" w:hAnsi="宋体" w:eastAsia="宋体" w:cs="宋体"/>
          <w:color w:val="000000" w:themeColor="text1"/>
          <w:sz w:val="24"/>
          <w:szCs w:val="24"/>
          <w:highlight w:val="none"/>
          <w14:textFill>
            <w14:solidFill>
              <w14:schemeClr w14:val="tx1"/>
            </w14:solidFill>
          </w14:textFill>
        </w:rPr>
        <w:t xml:space="preserve">在报价时的书面承诺等构成合同的组成部分。 </w:t>
      </w:r>
      <w:r/>
    </w:p>
    <w:p>
      <w:pPr>
        <w:pStyle w:val="944"/>
        <w:numPr>
          <w:ilvl w:val="0"/>
          <w:numId w:val="0"/>
        </w:numPr>
        <w:ind w:left="0" w:firstLine="480"/>
        <w:keepLines w:val="0"/>
        <w:keepNext w:val="0"/>
        <w:pageBreakBefore w:val="0"/>
        <w:spacing w:before="0" w:after="0" w:line="480" w:lineRule="exact"/>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t xml:space="preserve">十一、合同份数</w:t>
      </w:r>
      <w:r/>
    </w:p>
    <w:p>
      <w:pPr>
        <w:ind w:left="0" w:firstLine="480"/>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本合同一式陆份，以中文书写，甲方执肆份、乙方执贰份。</w:t>
      </w:r>
      <w:r/>
    </w:p>
    <w:p>
      <w:pPr>
        <w:ind w:left="0" w:firstLine="480"/>
        <w:keepLines w:val="0"/>
        <w:keepNext w:val="0"/>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lang w:val="en-US" w:eastAsia="zh-CN" w:bidi="ar-SA"/>
          <w14:textFill>
            <w14:solidFill>
              <w14:schemeClr w14:val="tx1"/>
            </w14:solidFill>
          </w14:textFill>
        </w:rPr>
        <w:t xml:space="preserve">十二、</w:t>
      </w:r>
      <w:r>
        <w:rPr>
          <w:rFonts w:hint="eastAsia" w:ascii="宋体" w:hAnsi="宋体" w:eastAsia="宋体" w:cs="宋体"/>
          <w:color w:val="000000" w:themeColor="text1"/>
          <w:sz w:val="24"/>
          <w:szCs w:val="24"/>
          <w:highlight w:val="none"/>
          <w14:textFill>
            <w14:solidFill>
              <w14:schemeClr w14:val="tx1"/>
            </w14:solidFill>
          </w14:textFill>
        </w:rPr>
        <w:t xml:space="preserve">本合同一切未尽事宜，按民法典有关规定执行，无相关规定的，由甲乙双方协商解决。</w:t>
      </w:r>
      <w:r/>
    </w:p>
    <w:p>
      <w:pP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br w:type="page" w:clear="all"/>
      </w:r>
      <w:r/>
    </w:p>
    <w:p>
      <w:pPr>
        <w:ind w:firstLine="562"/>
        <w:jc w:val="center"/>
        <w:keepLines w:val="0"/>
        <w:keepNext w:val="0"/>
        <w:pageBreakBefore w:val="0"/>
        <w:spacing w:before="181" w:after="181" w:line="480" w:lineRule="exact"/>
        <w:widowControl w:val="off"/>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8"/>
          <w:highlight w:val="none"/>
          <w14:textFill>
            <w14:solidFill>
              <w14:schemeClr w14:val="tx1"/>
            </w14:solidFill>
          </w14:textFill>
        </w:rPr>
        <w:t xml:space="preserve">通用条款</w:t>
      </w:r>
      <w:r/>
    </w:p>
    <w:p>
      <w:pPr>
        <w:pStyle w:val="944"/>
        <w:numPr>
          <w:ilvl w:val="0"/>
          <w:numId w:val="0"/>
        </w:numPr>
        <w:ind w:left="0" w:firstLine="480"/>
        <w:keepLines w:val="0"/>
        <w:keepNext w:val="0"/>
        <w:pageBreakBefore w:val="0"/>
        <w:spacing w:before="0" w:after="0" w:line="480" w:lineRule="exact"/>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t xml:space="preserve">十三、词语涵义</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（一）合同：甲乙双方签署的、合同格式中载明的甲方与乙方所达成的协议，包括所有的附件、附录和构成合同的所有文件。</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（二）合同价：根据合同规定，乙方在正确地完全履行合同义务后甲方应支付给卖方的价格。</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（三）货物：乙方根据合同规定须向买方提供的一切设备、机械、仪表、备件、工具、手册和其他技术资料及其他材料。</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（四）服务：根据合同规定甲方承担与供货有关的辅助服务，如运输、保险以及其它的伴随服务，比如安装、调试、提供技术援助、培训和其他类似的乙方应承担的义务。</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（五）甲方：采购单位，即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（六）乙方：提供货物和服务的公司或实体，即</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（七）不可抗力：指不能预见、不能避免和不能克服的客观情况，如战争、动乱、空中飞行物体坠落或其它非甲乙方责任造成的爆炸、火灾，以及协议条款约定等级以上的风、雨、雪、地震等。</w:t>
      </w:r>
      <w:r/>
    </w:p>
    <w:p>
      <w:pPr>
        <w:pStyle w:val="944"/>
        <w:numPr>
          <w:ilvl w:val="0"/>
          <w:numId w:val="0"/>
        </w:numPr>
        <w:ind w:left="0" w:firstLine="480"/>
        <w:keepLines w:val="0"/>
        <w:keepNext w:val="0"/>
        <w:pageBreakBefore w:val="0"/>
        <w:spacing w:before="0" w:after="0" w:line="480" w:lineRule="exact"/>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t xml:space="preserve">十四、技术规格</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乙方所提供货物的技术规格应与采购文件规定的技术规格以及所附的技术规格响应表相一致。</w:t>
      </w:r>
      <w:r/>
    </w:p>
    <w:p>
      <w:pPr>
        <w:pStyle w:val="944"/>
        <w:numPr>
          <w:ilvl w:val="0"/>
          <w:numId w:val="0"/>
        </w:numPr>
        <w:ind w:left="0" w:firstLine="480"/>
        <w:keepLines w:val="0"/>
        <w:keepNext w:val="0"/>
        <w:pageBreakBefore w:val="0"/>
        <w:spacing w:before="0" w:after="0" w:line="480" w:lineRule="exact"/>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t xml:space="preserve">十五、专利权</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乙方应保证甲方在使用该货物或其任何一部分时不受第三方提出侵犯其专利权、商标权和工业设计权的起诉。一旦出现专利侵权，乙方应负全部责任。</w:t>
      </w:r>
      <w:r/>
    </w:p>
    <w:p>
      <w:pPr>
        <w:pStyle w:val="944"/>
        <w:numPr>
          <w:ilvl w:val="0"/>
          <w:numId w:val="0"/>
        </w:numPr>
        <w:ind w:left="0" w:firstLine="480"/>
        <w:keepLines w:val="0"/>
        <w:keepNext w:val="0"/>
        <w:pageBreakBefore w:val="0"/>
        <w:spacing w:before="0" w:after="0" w:line="480" w:lineRule="exact"/>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t xml:space="preserve">十六、包装要求</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除合同另有规定外，乙方提供的全部货物均按标准保护措施进行包装。该包装应适应于远距离运输、防潮、防震、防锈和防野蛮装卸，以确保货物安全无损运抵指定现场。由于包装不善所引起的货物锈蚀、损坏和损失均由卖方承担。</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（二）每件包装箱内应附一份详细装箱单和质量合格标识。</w:t>
      </w:r>
      <w:r/>
    </w:p>
    <w:p>
      <w:pPr>
        <w:pStyle w:val="944"/>
        <w:numPr>
          <w:ilvl w:val="0"/>
          <w:numId w:val="0"/>
        </w:numPr>
        <w:ind w:left="0" w:firstLine="480"/>
        <w:keepLines w:val="0"/>
        <w:keepNext w:val="0"/>
        <w:pageBreakBefore w:val="0"/>
        <w:spacing w:before="0" w:after="0" w:line="480" w:lineRule="exact"/>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t xml:space="preserve">十七、装运条件</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根据采购人指定地点，乙方负责安排运输，并承担运费。</w:t>
      </w:r>
      <w:r/>
    </w:p>
    <w:p>
      <w:pPr>
        <w:pStyle w:val="944"/>
        <w:numPr>
          <w:ilvl w:val="0"/>
          <w:numId w:val="0"/>
        </w:numPr>
        <w:ind w:left="0" w:firstLine="480"/>
        <w:keepLines w:val="0"/>
        <w:keepNext w:val="0"/>
        <w:pageBreakBefore w:val="0"/>
        <w:spacing w:before="0" w:after="0" w:line="480" w:lineRule="exact"/>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t xml:space="preserve">十八、付款</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（一）本合同以人民币付款。</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乙方应按照与甲方签订的合同规定交货。交货后乙方向甲方提供下列单据，按合同规定审核后付款：1、发票；2、制造厂家出具的质量检验证书等；3、装箱单；4、验收合格证书；5、买方加盖公章证明货物交付使用合格的验收合格报告。</w:t>
      </w:r>
      <w:r/>
    </w:p>
    <w:p>
      <w:pPr>
        <w:pStyle w:val="944"/>
        <w:numPr>
          <w:ilvl w:val="0"/>
          <w:numId w:val="0"/>
        </w:numPr>
        <w:ind w:left="0" w:firstLine="480"/>
        <w:keepLines w:val="0"/>
        <w:keepNext w:val="0"/>
        <w:pageBreakBefore w:val="0"/>
        <w:spacing w:before="0" w:after="0" w:line="480" w:lineRule="exact"/>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t xml:space="preserve">十九、伴随服务</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乙方应按照国家有关规定和合同中所附的服务承诺提供服务，主要包括：</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（一）货物的现场安装；</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（二）提供货物组装和维修所需的工具；</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（三）在合同中乙方承诺的期限内对所提供货物实施运行监督、维修，该服务并不能免除乙方在质量保证期内应承担的义务；</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（四）在项目交货现场就货物的安装、启动、运行、维护对使用方人员进行培训。</w:t>
      </w:r>
      <w:r/>
    </w:p>
    <w:p>
      <w:pPr>
        <w:pStyle w:val="944"/>
        <w:numPr>
          <w:ilvl w:val="0"/>
          <w:numId w:val="0"/>
        </w:numPr>
        <w:ind w:left="0" w:firstLine="480"/>
        <w:keepLines w:val="0"/>
        <w:keepNext w:val="0"/>
        <w:pageBreakBefore w:val="0"/>
        <w:spacing w:before="0" w:after="0" w:line="480" w:lineRule="exact"/>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t xml:space="preserve">二十、质量保证</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（一）乙方所提供的产品必须符合最新的国家标准和行业标准。</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乙方应保证货物是全新、未使用过的原装合格正品，并完全符合合同规定的质量、规格和性能。货物在正确安装、正常使用和保养条件下，在其使用寿命内应具有满意的性能。货物最终验收后，在质量保证期内，对由于设计、工艺或材料缺陷而发生任何不足或故障，乙方应负责并承担相应费用。</w:t>
      </w:r>
      <w:r/>
    </w:p>
    <w:p>
      <w:pPr>
        <w:pStyle w:val="944"/>
        <w:numPr>
          <w:ilvl w:val="0"/>
          <w:numId w:val="0"/>
        </w:numPr>
        <w:ind w:left="0" w:firstLine="480"/>
        <w:keepLines w:val="0"/>
        <w:keepNext w:val="0"/>
        <w:pageBreakBefore w:val="0"/>
        <w:spacing w:before="0" w:after="0" w:line="480" w:lineRule="exact"/>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t xml:space="preserve">二十一、检验</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甲方在乙方交货后及时组织验收，如果货物的质量和规格与合同规定相符，甲方应及时填写验收表；如果货物的质量、规格与合同规定不符，或在质量保证期内发现货物是有缺陷的（包括潜在缺陷或使用不符合要求的材料），甲方应报请法定检验机构进行检查，有权凭其出具的检验报告向乙方提出索赔。</w:t>
      </w:r>
      <w:r/>
    </w:p>
    <w:p>
      <w:pPr>
        <w:pStyle w:val="944"/>
        <w:numPr>
          <w:ilvl w:val="0"/>
          <w:numId w:val="0"/>
        </w:numPr>
        <w:ind w:left="0" w:firstLine="480"/>
        <w:keepLines w:val="0"/>
        <w:keepNext w:val="0"/>
        <w:pageBreakBefore w:val="0"/>
        <w:spacing w:before="0" w:after="0" w:line="480" w:lineRule="exact"/>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t xml:space="preserve">二十二、索赔</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甲方有权根据法定检验机构出具的检验报告，向乙方提出索赔。根据合同规定的检验期和质量保证期内，如乙方对甲方提出的索赔和差异负有责任，乙方应按照甲方同意的下列一种或多种方式解决索赔事宜：</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1、乙方同意退货，按合同中规定的货币将货款退还给甲方，并承担由此发生的一切损失和费用，包括利息、银行手续费、运费、保险费、检验费、仓储费、装卸费以及为保护退回货物所需的其它必要费用。</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2、根据货物的低劣程度、损坏程度以及买方所遭损失的数额，乙方须降低货物的价格。</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用符合合同规定的规格、质量和性能要求的新零件、部件或设备来更换和或修补有缺陷的部分，乙方应承担一切费用和风险并负担甲方所蒙受的全部直接损失费用。同时应按合同规定对更换和修补件，相应延长质量保证期。</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（二）在甲方发出索赔通知后20天内，如乙方未作答复，上述索赔应视为已被接受，按照本合同规定的任何一种方法解决索赔事宜，甲方将采用法律手段解决索赔事宜。</w:t>
      </w:r>
      <w:r/>
    </w:p>
    <w:p>
      <w:pPr>
        <w:pStyle w:val="944"/>
        <w:numPr>
          <w:ilvl w:val="0"/>
          <w:numId w:val="0"/>
        </w:numPr>
        <w:ind w:left="0" w:firstLine="480"/>
        <w:keepLines w:val="0"/>
        <w:keepNext w:val="0"/>
        <w:pageBreakBefore w:val="0"/>
        <w:spacing w:before="0" w:after="0" w:line="480" w:lineRule="exact"/>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t xml:space="preserve">二十三、误期赔偿</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合同规定外，如果乙方没有按照合同规定的时间交货和提供服务，甲方将从货款中扣除误期赔偿费而不影响合同项目的其他补救方法，赔偿费按每周迟交货物交货价或未提供服务费用的0.5%计收，直至交货或提供服务为止，一周按7天计算，不足7天按一周计算。但误期赔偿费的最高限为误期货物或服务合同价的5%。一旦达到误期赔偿的最高限额，甲方可考虑终止合同。</w:t>
      </w:r>
      <w:r/>
    </w:p>
    <w:p>
      <w:pPr>
        <w:pStyle w:val="944"/>
        <w:numPr>
          <w:ilvl w:val="0"/>
          <w:numId w:val="0"/>
        </w:numPr>
        <w:ind w:left="0" w:firstLine="480"/>
        <w:keepLines w:val="0"/>
        <w:keepNext w:val="0"/>
        <w:pageBreakBefore w:val="0"/>
        <w:spacing w:before="0" w:after="0" w:line="480" w:lineRule="exact"/>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t xml:space="preserve">二十四、不可抗力</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pStyle w:val="944"/>
        <w:numPr>
          <w:ilvl w:val="0"/>
          <w:numId w:val="0"/>
        </w:numPr>
        <w:ind w:left="0" w:firstLine="480"/>
        <w:keepLines w:val="0"/>
        <w:keepNext w:val="0"/>
        <w:pageBreakBefore w:val="0"/>
        <w:spacing w:before="0" w:after="0" w:line="480" w:lineRule="exact"/>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t xml:space="preserve">二十五、税费</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中国政府根据现行税法规定对甲方征收的与本合同有关的一切税费由甲方负担；规定对乙方征收的与本合同有关的一切税费由乙方负担。</w:t>
      </w:r>
      <w:r/>
    </w:p>
    <w:p>
      <w:pPr>
        <w:pStyle w:val="944"/>
        <w:numPr>
          <w:ilvl w:val="0"/>
          <w:numId w:val="0"/>
        </w:numPr>
        <w:ind w:left="0" w:firstLine="480"/>
        <w:keepLines w:val="0"/>
        <w:keepNext w:val="0"/>
        <w:pageBreakBefore w:val="0"/>
        <w:spacing w:before="0" w:after="0" w:line="480" w:lineRule="exact"/>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t xml:space="preserve">二十六、合同争议</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甲乙双方应通过友好协商，解决在执行本合同中所发生的或与本合同有关的一切争议。如果协商仍得不到解决，任何一方均可按“中华人民共和国民法典”规定提交调解和仲裁。   </w:t>
      </w:r>
      <w:r/>
    </w:p>
    <w:p>
      <w:pPr>
        <w:pStyle w:val="944"/>
        <w:numPr>
          <w:ilvl w:val="0"/>
          <w:numId w:val="0"/>
        </w:numPr>
        <w:ind w:left="0" w:firstLine="480"/>
        <w:keepLines w:val="0"/>
        <w:keepNext w:val="0"/>
        <w:pageBreakBefore w:val="0"/>
        <w:spacing w:before="0" w:after="0" w:line="480" w:lineRule="exact"/>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pPr>
      <w:r>
        <w:rPr>
          <w:rFonts w:hint="eastAsia" w:asciiTheme="majorEastAsia" w:hAnsiTheme="majorEastAsia" w:eastAsiaTheme="majorEastAsia" w:cstheme="majorEastAsia"/>
          <w:b w:val="0"/>
          <w:bCs w:val="0"/>
          <w:color w:val="000000" w:themeColor="text1"/>
          <w:sz w:val="24"/>
          <w:szCs w:val="24"/>
          <w:highlight w:val="none"/>
          <w:lang w:eastAsia="zh-CN"/>
          <w14:textFill>
            <w14:solidFill>
              <w14:schemeClr w14:val="tx1"/>
            </w14:solidFill>
          </w14:textFill>
        </w:rPr>
        <w:t xml:space="preserve">二十七、适用法律</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本合同应按照中华人民共和国的现行法律进行解释。</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甲方：（盖章）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乙方：（盖章）      </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地址：</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法定（授权）代表人：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法定（授权）代表人：</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联系人：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联系人：</w:t>
      </w:r>
      <w:r/>
    </w:p>
    <w:p>
      <w:pPr>
        <w:ind w:firstLine="480"/>
        <w:keepLines w:val="0"/>
        <w:keepNext w:val="0"/>
        <w:pageBreakBefore w:val="0"/>
        <w:spacing w:line="4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联系电话：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联系电话：</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2025年    月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2025年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月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日</w:t>
      </w:r>
      <w:r/>
    </w:p>
    <w:p>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rPr>
          <w:rFonts w:hint="eastAsia" w:asciiTheme="minorEastAsia" w:hAnsiTheme="minorEastAsia" w:eastAsiaTheme="minorEastAsia" w:cstheme="minorEastAsia"/>
          <w:bCs/>
          <w:color w:val="000000" w:themeColor="text1"/>
          <w:sz w:val="4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44"/>
          <w:highlight w:val="none"/>
          <w14:textFill>
            <w14:solidFill>
              <w14:schemeClr w14:val="tx1"/>
            </w14:solidFill>
          </w14:textFill>
        </w:rPr>
        <w:br w:type="page" w:clear="all"/>
      </w:r>
      <w:r/>
    </w:p>
    <w:p>
      <w:pPr>
        <w:pStyle w:val="737"/>
        <w:jc w:val="center"/>
        <w:rPr>
          <w:rFonts w:hint="eastAsia"/>
          <w:b/>
          <w:bCs/>
          <w:highlight w:val="none"/>
        </w:rPr>
      </w:pPr>
      <w:r/>
      <w:bookmarkStart w:id="215" w:name="_Toc30872"/>
      <w:r/>
      <w:bookmarkStart w:id="216" w:name="_Toc11911"/>
      <w:r>
        <w:rPr>
          <w:rFonts w:hint="eastAsia"/>
          <w:b/>
          <w:bCs/>
          <w:highlight w:val="none"/>
        </w:rPr>
        <w:t xml:space="preserve">第</w:t>
      </w:r>
      <w:bookmarkEnd w:id="205"/>
      <w:r>
        <w:rPr>
          <w:rFonts w:hint="eastAsia"/>
          <w:b/>
          <w:bCs/>
          <w:highlight w:val="none"/>
        </w:rPr>
        <w:t xml:space="preserve">四章 </w:t>
      </w:r>
      <w:r>
        <w:rPr>
          <w:rFonts w:hint="eastAsia"/>
          <w:b/>
          <w:bCs/>
          <w:highlight w:val="none"/>
          <w:lang w:val="en-US" w:eastAsia="zh-CN"/>
        </w:rPr>
        <w:t xml:space="preserve"> </w:t>
      </w:r>
      <w:r>
        <w:rPr>
          <w:rFonts w:hint="eastAsia"/>
          <w:b/>
          <w:bCs/>
          <w:highlight w:val="none"/>
        </w:rPr>
        <w:t xml:space="preserve">采购需求</w:t>
      </w:r>
      <w:bookmarkEnd w:id="206"/>
      <w:r/>
      <w:bookmarkEnd w:id="207"/>
      <w:r/>
      <w:bookmarkEnd w:id="208"/>
      <w:r/>
      <w:bookmarkEnd w:id="215"/>
      <w:r/>
      <w:bookmarkEnd w:id="216"/>
      <w:r/>
      <w:r/>
    </w:p>
    <w:p>
      <w:pPr>
        <w:pStyle w:val="979"/>
        <w:jc w:val="center"/>
        <w:keepLines w:val="0"/>
        <w:keepNext w:val="0"/>
        <w:pageBreakBefore w:val="0"/>
        <w:spacing w:line="360" w:lineRule="auto"/>
        <w:widowControl w:val="off"/>
        <w:rPr>
          <w:rFonts w:hint="eastAsia" w:asciiTheme="minorEastAsia" w:hAnsiTheme="minorEastAsia" w:eastAsiaTheme="minorEastAsia" w:cstheme="minorEastAsia"/>
          <w:b/>
          <w:bCs/>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bidi="ar-SA"/>
          <w14:textFill>
            <w14:solidFill>
              <w14:schemeClr w14:val="tx1"/>
            </w14:solidFill>
          </w14:textFill>
        </w:rPr>
      </w:r>
      <w:r/>
    </w:p>
    <w:p>
      <w:pPr>
        <w:pStyle w:val="1060"/>
        <w:ind w:firstLine="480"/>
        <w:keepLines w:val="0"/>
        <w:keepNext w:val="0"/>
        <w:pageBreakBefore w:val="0"/>
        <w:spacing w:line="520" w:lineRule="exact"/>
        <w:widowControl w:val="off"/>
        <w:rPr>
          <w:rFonts w:hint="eastAsia" w:asciiTheme="majorEastAsia" w:hAnsiTheme="majorEastAsia" w:eastAsiaTheme="majorEastAsia" w:cstheme="majorEastAsia"/>
          <w:b w:val="0"/>
          <w:bCs w:val="0"/>
          <w:color w:val="000000" w:themeColor="text1"/>
          <w:sz w:val="24"/>
          <w:szCs w:val="24"/>
          <w:highlight w:val="none"/>
          <w:lang w:val="en-US" w:eastAsia="zh-CN" w:bidi="ar-SA"/>
          <w14:textFill>
            <w14:solidFill>
              <w14:schemeClr w14:val="tx1"/>
            </w14:solidFill>
          </w14:textFill>
        </w:rPr>
        <w:outlineLvl w:val="1"/>
      </w:pPr>
      <w:r/>
      <w:bookmarkStart w:id="217" w:name="_Toc4404"/>
      <w:r/>
      <w:bookmarkStart w:id="218" w:name="_Toc26554093"/>
      <w:r/>
      <w:bookmarkStart w:id="219" w:name="_Toc120614281"/>
      <w:r/>
      <w:bookmarkStart w:id="220" w:name="_Toc49090575"/>
      <w:r>
        <w:rPr>
          <w:rFonts w:hint="eastAsia" w:asciiTheme="majorEastAsia" w:hAnsiTheme="majorEastAsia" w:eastAsiaTheme="majorEastAsia" w:cstheme="majorEastAsia"/>
          <w:b w:val="0"/>
          <w:bCs w:val="0"/>
          <w:color w:val="000000" w:themeColor="text1"/>
          <w:sz w:val="24"/>
          <w:szCs w:val="24"/>
          <w:highlight w:val="none"/>
          <w:lang w:val="en-US" w:eastAsia="zh-CN" w:bidi="ar-SA"/>
          <w14:textFill>
            <w14:solidFill>
              <w14:schemeClr w14:val="tx1"/>
            </w14:solidFill>
          </w14:textFill>
        </w:rPr>
        <w:t xml:space="preserve">一、项目概况</w:t>
      </w:r>
      <w:bookmarkEnd w:id="217"/>
      <w:r/>
      <w:r/>
    </w:p>
    <w:p>
      <w:pPr>
        <w:pStyle w:val="1060"/>
        <w:ind w:firstLine="482"/>
        <w:keepLines w:val="0"/>
        <w:keepNext w:val="0"/>
        <w:pageBreakBefore w:val="0"/>
        <w:spacing w:line="520" w:lineRule="exact"/>
        <w:widowControl w:val="off"/>
        <w:rPr>
          <w:rFonts w:hint="eastAsia" w:asciiTheme="minorEastAsia" w:hAnsiTheme="minorEastAsia" w:eastAsiaTheme="minorEastAsia" w:cstheme="minorEastAsia"/>
          <w:b/>
          <w:bCs/>
          <w:color w:val="000000" w:themeColor="text1"/>
          <w:sz w:val="24"/>
          <w:szCs w:val="24"/>
          <w:highlight w:val="none"/>
          <w:lang w:val="en-US" w:eastAsia="zh-CN" w:bidi="ar-SA"/>
          <w14:textFill>
            <w14:solidFill>
              <w14:schemeClr w14:val="tx1"/>
            </w14:solidFill>
          </w14:textFill>
        </w:rPr>
        <w:outlineLvl w:val="1"/>
      </w:pPr>
      <w:r>
        <w:rPr>
          <w:rFonts w:hint="eastAsia" w:asciiTheme="minorEastAsia" w:hAnsiTheme="minorEastAsia" w:eastAsiaTheme="minorEastAsia" w:cstheme="minorEastAsia"/>
          <w:b/>
          <w:bCs/>
          <w:color w:val="000000" w:themeColor="text1"/>
          <w:sz w:val="24"/>
          <w:szCs w:val="24"/>
          <w:highlight w:val="none"/>
          <w:lang w:val="en-US" w:eastAsia="zh-CN" w:bidi="ar-SA"/>
          <w14:textFill>
            <w14:solidFill>
              <w14:schemeClr w14:val="tx1"/>
            </w14:solidFill>
          </w14:textFill>
        </w:rPr>
        <w:t xml:space="preserve">（一）项目简介</w:t>
      </w:r>
      <w:r/>
    </w:p>
    <w:p>
      <w:pPr>
        <w:pStyle w:val="1060"/>
        <w:ind w:firstLine="480"/>
        <w:keepLines w:val="0"/>
        <w:keepNext w:val="0"/>
        <w:pageBreakBefore w:val="0"/>
        <w:spacing w:line="520" w:lineRule="exact"/>
        <w:widowControl w:val="off"/>
        <w:rPr>
          <w:rFonts w:hint="eastAsia" w:asciiTheme="minorEastAsia" w:hAnsiTheme="minorEastAsia" w:eastAsiaTheme="minorEastAsia" w:cstheme="minorEastAsia"/>
          <w:b w:val="0"/>
          <w:bCs w:val="0"/>
          <w:color w:val="000000" w:themeColor="text1"/>
          <w:sz w:val="24"/>
          <w:szCs w:val="24"/>
          <w:highlight w:val="none"/>
          <w:lang w:val="en-US" w:eastAsia="zh-CN" w:bidi="ar-SA"/>
          <w14:textFill>
            <w14:solidFill>
              <w14:schemeClr w14:val="tx1"/>
            </w14:solidFill>
          </w14:textFill>
        </w:rPr>
        <w:outlineLvl w:val="1"/>
      </w:pPr>
      <w:r>
        <w:rPr>
          <w:rFonts w:hint="eastAsia" w:asciiTheme="minorEastAsia" w:hAnsiTheme="minorEastAsia" w:eastAsiaTheme="minorEastAsia" w:cstheme="minorEastAsia"/>
          <w:b w:val="0"/>
          <w:bCs w:val="0"/>
          <w:color w:val="000000" w:themeColor="text1"/>
          <w:sz w:val="24"/>
          <w:szCs w:val="24"/>
          <w:highlight w:val="none"/>
          <w:lang w:val="en-US" w:eastAsia="zh-CN" w:bidi="ar-SA"/>
          <w14:textFill>
            <w14:solidFill>
              <w14:schemeClr w14:val="tx1"/>
            </w14:solidFill>
          </w14:textFill>
        </w:rPr>
        <w:t xml:space="preserve">宿迁市住建局拟对宿迁市市区易涝点新增点位项目进行采购。为城区80个易涝监测点位建设安装视频监控(球机)、雷达水位计、电子水尺等硬件设备，并无缝传输至宿迁市市区易涝点监测管理平台，实现对这些区域的实时监测和预警，提高城市防洪</w:t>
      </w:r>
      <w:r>
        <w:rPr>
          <w:rFonts w:hint="eastAsia" w:asciiTheme="minorEastAsia" w:hAnsiTheme="minorEastAsia" w:eastAsiaTheme="minorEastAsia" w:cstheme="minorEastAsia"/>
          <w:b w:val="0"/>
          <w:bCs w:val="0"/>
          <w:color w:val="auto"/>
          <w:sz w:val="24"/>
          <w:szCs w:val="24"/>
          <w:highlight w:val="none"/>
          <w:lang w:val="en-US" w:eastAsia="zh-CN" w:bidi="ar-SA"/>
        </w:rPr>
        <w:t xml:space="preserve">排涝工作的效率和准确性。同时对市区易涝点监测管理平台做部分扩容优化提升及提升平台的安全性。</w:t>
      </w:r>
      <w:r/>
    </w:p>
    <w:p>
      <w:pPr>
        <w:pStyle w:val="1060"/>
        <w:ind w:firstLine="482"/>
        <w:keepLines w:val="0"/>
        <w:keepNext w:val="0"/>
        <w:pageBreakBefore w:val="0"/>
        <w:spacing w:line="520" w:lineRule="exact"/>
        <w:widowControl w:val="off"/>
        <w:rPr>
          <w:rFonts w:hint="eastAsia" w:asciiTheme="minorEastAsia" w:hAnsiTheme="minorEastAsia" w:eastAsiaTheme="minorEastAsia" w:cstheme="minorEastAsia"/>
          <w:b/>
          <w:bCs/>
          <w:color w:val="000000" w:themeColor="text1"/>
          <w:sz w:val="24"/>
          <w:szCs w:val="24"/>
          <w:highlight w:val="none"/>
          <w:lang w:val="en-US" w:eastAsia="zh-CN" w:bidi="ar-SA"/>
          <w14:textFill>
            <w14:solidFill>
              <w14:schemeClr w14:val="tx1"/>
            </w14:solidFill>
          </w14:textFill>
        </w:rPr>
        <w:outlineLvl w:val="1"/>
      </w:pPr>
      <w:r>
        <w:rPr>
          <w:rFonts w:hint="eastAsia" w:asciiTheme="minorEastAsia" w:hAnsiTheme="minorEastAsia" w:eastAsiaTheme="minorEastAsia" w:cstheme="minorEastAsia"/>
          <w:b/>
          <w:bCs/>
          <w:color w:val="000000" w:themeColor="text1"/>
          <w:sz w:val="24"/>
          <w:szCs w:val="24"/>
          <w:highlight w:val="none"/>
          <w:lang w:val="en-US" w:eastAsia="zh-CN" w:bidi="ar-SA"/>
          <w14:textFill>
            <w14:solidFill>
              <w14:schemeClr w14:val="tx1"/>
            </w14:solidFill>
          </w14:textFill>
        </w:rPr>
        <w:t xml:space="preserve">（二）付款方式：</w:t>
      </w:r>
      <w:r/>
    </w:p>
    <w:p>
      <w:pPr>
        <w:pStyle w:val="1060"/>
        <w:ind w:firstLine="480"/>
        <w:keepLines w:val="0"/>
        <w:keepNext w:val="0"/>
        <w:pageBreakBefore w:val="0"/>
        <w:spacing w:line="520" w:lineRule="exact"/>
        <w:widowControl w:val="off"/>
        <w:rPr>
          <w:rFonts w:hint="eastAsia" w:asciiTheme="minorEastAsia" w:hAnsiTheme="minorEastAsia" w:eastAsiaTheme="minorEastAsia" w:cstheme="minorEastAsia"/>
          <w:b w:val="0"/>
          <w:bCs w:val="0"/>
          <w:color w:val="000000" w:themeColor="text1"/>
          <w:sz w:val="24"/>
          <w:szCs w:val="24"/>
          <w:highlight w:val="none"/>
          <w:lang w:val="en-US" w:eastAsia="zh-CN" w:bidi="ar-SA"/>
          <w14:textFill>
            <w14:solidFill>
              <w14:schemeClr w14:val="tx1"/>
            </w14:solidFill>
          </w14:textFill>
        </w:rPr>
        <w:outlineLvl w:val="1"/>
      </w:pPr>
      <w:r>
        <w:rPr>
          <w:rFonts w:hint="eastAsia" w:asciiTheme="minorEastAsia" w:hAnsiTheme="minorEastAsia" w:eastAsiaTheme="minorEastAsia" w:cstheme="minorEastAsia"/>
          <w:b w:val="0"/>
          <w:bCs w:val="0"/>
          <w:color w:val="000000" w:themeColor="text1"/>
          <w:sz w:val="24"/>
          <w:szCs w:val="24"/>
          <w:highlight w:val="none"/>
          <w:lang w:val="en-US" w:eastAsia="zh-CN" w:bidi="ar-SA"/>
          <w14:textFill>
            <w14:solidFill>
              <w14:schemeClr w14:val="tx1"/>
            </w14:solidFill>
          </w14:textFill>
        </w:rPr>
        <w:t xml:space="preserve">预付款：采购合同签订后收到中标人发票后10个工作日内支付合同金额的30%；</w:t>
      </w:r>
      <w:r/>
    </w:p>
    <w:p>
      <w:pPr>
        <w:pStyle w:val="1060"/>
        <w:ind w:firstLine="480"/>
        <w:keepLines w:val="0"/>
        <w:keepNext w:val="0"/>
        <w:pageBreakBefore w:val="0"/>
        <w:spacing w:line="520" w:lineRule="exact"/>
        <w:widowControl w:val="off"/>
        <w:rPr>
          <w:rFonts w:hint="eastAsia" w:asciiTheme="minorEastAsia" w:hAnsiTheme="minorEastAsia" w:eastAsiaTheme="minorEastAsia" w:cstheme="minorEastAsia"/>
          <w:b w:val="0"/>
          <w:bCs w:val="0"/>
          <w:color w:val="000000" w:themeColor="text1"/>
          <w:sz w:val="24"/>
          <w:szCs w:val="24"/>
          <w:highlight w:val="none"/>
          <w:lang w:val="en-US" w:eastAsia="zh-CN" w:bidi="ar-SA"/>
          <w14:textFill>
            <w14:solidFill>
              <w14:schemeClr w14:val="tx1"/>
            </w14:solidFill>
          </w14:textFill>
        </w:rPr>
        <w:outlineLvl w:val="1"/>
      </w:pPr>
      <w:r>
        <w:rPr>
          <w:rFonts w:hint="eastAsia" w:asciiTheme="minorEastAsia" w:hAnsiTheme="minorEastAsia" w:eastAsiaTheme="minorEastAsia" w:cstheme="minorEastAsia"/>
          <w:b w:val="0"/>
          <w:bCs w:val="0"/>
          <w:color w:val="000000" w:themeColor="text1"/>
          <w:sz w:val="24"/>
          <w:szCs w:val="24"/>
          <w:highlight w:val="none"/>
          <w:lang w:val="en-US" w:eastAsia="zh-CN" w:bidi="ar-SA"/>
          <w14:textFill>
            <w14:solidFill>
              <w14:schemeClr w14:val="tx1"/>
            </w14:solidFill>
          </w14:textFill>
        </w:rPr>
        <w:t xml:space="preserve">进度款：全部货物到货并经甲方确认签收后，付至合同价款的50%。货物安装完毕，经甲方确认，项目进行试运行（3个月），试运行结束，进行初验，经验收合格后，支付至合同金额的95%，余款待运维期满且经最终验收合格后付清（最终结算价款以审定的金额为准）。</w:t>
      </w:r>
      <w:r/>
    </w:p>
    <w:p>
      <w:pPr>
        <w:pStyle w:val="1060"/>
        <w:ind w:firstLine="482"/>
        <w:keepLines w:val="0"/>
        <w:keepNext w:val="0"/>
        <w:pageBreakBefore w:val="0"/>
        <w:spacing w:line="520" w:lineRule="exact"/>
        <w:widowControl w:val="off"/>
        <w:rPr>
          <w:rFonts w:hint="eastAsia" w:asciiTheme="minorEastAsia" w:hAnsiTheme="minorEastAsia" w:eastAsiaTheme="minorEastAsia" w:cstheme="minorEastAsia"/>
          <w:b w:val="0"/>
          <w:bCs w:val="0"/>
          <w:color w:val="000000" w:themeColor="text1"/>
          <w:sz w:val="24"/>
          <w:szCs w:val="24"/>
          <w:highlight w:val="none"/>
          <w:lang w:val="en-US" w:eastAsia="zh-CN" w:bidi="ar-SA"/>
          <w14:textFill>
            <w14:solidFill>
              <w14:schemeClr w14:val="tx1"/>
            </w14:solidFill>
          </w14:textFill>
        </w:rPr>
        <w:outlineLvl w:val="1"/>
      </w:pPr>
      <w:r>
        <w:rPr>
          <w:rFonts w:hint="eastAsia" w:asciiTheme="minorEastAsia" w:hAnsiTheme="minorEastAsia" w:eastAsiaTheme="minorEastAsia" w:cstheme="minorEastAsia"/>
          <w:b/>
          <w:bCs/>
          <w:color w:val="000000" w:themeColor="text1"/>
          <w:sz w:val="24"/>
          <w:szCs w:val="24"/>
          <w:highlight w:val="none"/>
          <w:lang w:val="en-US" w:eastAsia="zh-CN" w:bidi="ar-SA"/>
          <w14:textFill>
            <w14:solidFill>
              <w14:schemeClr w14:val="tx1"/>
            </w14:solidFill>
          </w14:textFill>
        </w:rPr>
        <w:t xml:space="preserve">（三）采购范围：</w:t>
      </w:r>
      <w:r>
        <w:rPr>
          <w:rFonts w:hint="eastAsia" w:asciiTheme="minorEastAsia" w:hAnsiTheme="minorEastAsia" w:eastAsiaTheme="minorEastAsia" w:cstheme="minorEastAsia"/>
          <w:b w:val="0"/>
          <w:bCs w:val="0"/>
          <w:color w:val="000000" w:themeColor="text1"/>
          <w:sz w:val="24"/>
          <w:szCs w:val="24"/>
          <w:highlight w:val="none"/>
          <w:lang w:val="en-US" w:eastAsia="zh-CN" w:bidi="ar-SA"/>
          <w14:textFill>
            <w14:solidFill>
              <w14:schemeClr w14:val="tx1"/>
            </w14:solidFill>
          </w14:textFill>
        </w:rPr>
        <w:t xml:space="preserve">货物、安装调试、系统对接、运行维护保养及售后服务。</w:t>
      </w:r>
      <w:r/>
    </w:p>
    <w:p>
      <w:pPr>
        <w:pStyle w:val="1060"/>
        <w:ind w:firstLine="482"/>
        <w:keepLines w:val="0"/>
        <w:keepNext w:val="0"/>
        <w:pageBreakBefore w:val="0"/>
        <w:spacing w:line="520" w:lineRule="exact"/>
        <w:widowControl w:val="off"/>
        <w:rPr>
          <w:rFonts w:hint="eastAsia" w:asciiTheme="minorEastAsia" w:hAnsiTheme="minorEastAsia" w:eastAsiaTheme="minorEastAsia" w:cstheme="minorEastAsia"/>
          <w:b w:val="0"/>
          <w:bCs w:val="0"/>
          <w:color w:val="000000" w:themeColor="text1"/>
          <w:sz w:val="24"/>
          <w:szCs w:val="24"/>
          <w:highlight w:val="none"/>
          <w:lang w:val="en-US" w:eastAsia="zh-CN" w:bidi="ar-SA"/>
          <w14:textFill>
            <w14:solidFill>
              <w14:schemeClr w14:val="tx1"/>
            </w14:solidFill>
          </w14:textFill>
        </w:rPr>
        <w:outlineLvl w:val="1"/>
      </w:pPr>
      <w:r>
        <w:rPr>
          <w:rFonts w:hint="eastAsia" w:asciiTheme="minorEastAsia" w:hAnsiTheme="minorEastAsia" w:eastAsiaTheme="minorEastAsia" w:cstheme="minorEastAsia"/>
          <w:b/>
          <w:bCs/>
          <w:color w:val="000000" w:themeColor="text1"/>
          <w:sz w:val="24"/>
          <w:szCs w:val="24"/>
          <w:highlight w:val="none"/>
          <w:lang w:val="en-US" w:eastAsia="zh-CN" w:bidi="ar-SA"/>
          <w14:textFill>
            <w14:solidFill>
              <w14:schemeClr w14:val="tx1"/>
            </w14:solidFill>
          </w14:textFill>
        </w:rPr>
        <w:t xml:space="preserve">（四）运维期：</w:t>
      </w:r>
      <w:r>
        <w:rPr>
          <w:rFonts w:hint="eastAsia" w:asciiTheme="minorEastAsia" w:hAnsiTheme="minorEastAsia" w:eastAsiaTheme="minorEastAsia" w:cstheme="minorEastAsia"/>
          <w:b w:val="0"/>
          <w:bCs w:val="0"/>
          <w:color w:val="000000" w:themeColor="text1"/>
          <w:sz w:val="24"/>
          <w:szCs w:val="24"/>
          <w:highlight w:val="none"/>
          <w:lang w:val="en-US" w:eastAsia="zh-CN" w:bidi="ar-SA"/>
          <w14:textFill>
            <w14:solidFill>
              <w14:schemeClr w14:val="tx1"/>
            </w14:solidFill>
          </w14:textFill>
        </w:rPr>
        <w:t xml:space="preserve">自验收合格之日起3年。</w:t>
      </w:r>
      <w:r/>
    </w:p>
    <w:p>
      <w:pPr>
        <w:pStyle w:val="1060"/>
        <w:ind w:firstLine="480"/>
        <w:keepLines w:val="0"/>
        <w:keepNext w:val="0"/>
        <w:pageBreakBefore w:val="0"/>
        <w:spacing w:line="520" w:lineRule="exact"/>
        <w:widowControl w:val="off"/>
        <w:rPr>
          <w:rFonts w:hint="eastAsia" w:asciiTheme="majorEastAsia" w:hAnsiTheme="majorEastAsia" w:eastAsiaTheme="majorEastAsia" w:cstheme="majorEastAsia"/>
          <w:b w:val="0"/>
          <w:bCs w:val="0"/>
          <w:color w:val="000000" w:themeColor="text1"/>
          <w:sz w:val="24"/>
          <w:szCs w:val="24"/>
          <w:highlight w:val="none"/>
          <w:lang w:val="en-US" w:eastAsia="zh-CN" w:bidi="ar-SA"/>
          <w14:textFill>
            <w14:solidFill>
              <w14:schemeClr w14:val="tx1"/>
            </w14:solidFill>
          </w14:textFill>
        </w:rPr>
        <w:outlineLvl w:val="1"/>
      </w:pPr>
      <w:r/>
      <w:bookmarkStart w:id="221" w:name="_Toc2402"/>
      <w:r>
        <w:rPr>
          <w:rFonts w:hint="eastAsia" w:asciiTheme="majorEastAsia" w:hAnsiTheme="majorEastAsia" w:eastAsiaTheme="majorEastAsia" w:cstheme="majorEastAsia"/>
          <w:b w:val="0"/>
          <w:bCs w:val="0"/>
          <w:color w:val="000000" w:themeColor="text1"/>
          <w:sz w:val="24"/>
          <w:szCs w:val="24"/>
          <w:highlight w:val="none"/>
          <w:lang w:val="en-US" w:eastAsia="zh-CN" w:bidi="ar-SA"/>
          <w14:textFill>
            <w14:solidFill>
              <w14:schemeClr w14:val="tx1"/>
            </w14:solidFill>
          </w14:textFill>
        </w:rPr>
        <w:t xml:space="preserve">二、服务要求及内容</w:t>
      </w:r>
      <w:r/>
    </w:p>
    <w:p>
      <w:pPr>
        <w:pStyle w:val="1060"/>
        <w:ind w:firstLine="480"/>
        <w:keepLines w:val="0"/>
        <w:keepNext w:val="0"/>
        <w:pageBreakBefore w:val="0"/>
        <w:spacing w:line="520" w:lineRule="exact"/>
        <w:widowControl w:val="off"/>
        <w:rPr>
          <w:rFonts w:hint="eastAsia" w:asciiTheme="minorEastAsia" w:hAnsiTheme="minorEastAsia" w:eastAsiaTheme="minorEastAsia" w:cstheme="minorEastAsia"/>
          <w:b w:val="0"/>
          <w:bCs w:val="0"/>
          <w:color w:val="000000" w:themeColor="text1"/>
          <w:sz w:val="24"/>
          <w:szCs w:val="24"/>
          <w:highlight w:val="none"/>
          <w:lang w:val="en-US" w:eastAsia="zh-CN" w:bidi="ar-SA"/>
          <w14:textFill>
            <w14:solidFill>
              <w14:schemeClr w14:val="tx1"/>
            </w14:solidFill>
          </w14:textFill>
        </w:rPr>
        <w:outlineLvl w:val="1"/>
      </w:pPr>
      <w:r>
        <w:rPr>
          <w:rFonts w:hint="eastAsia" w:asciiTheme="minorEastAsia" w:hAnsiTheme="minorEastAsia" w:eastAsiaTheme="minorEastAsia" w:cstheme="minorEastAsia"/>
          <w:b w:val="0"/>
          <w:bCs w:val="0"/>
          <w:color w:val="000000" w:themeColor="text1"/>
          <w:sz w:val="24"/>
          <w:szCs w:val="24"/>
          <w:highlight w:val="none"/>
          <w:lang w:val="en-US" w:eastAsia="zh-CN" w:bidi="ar-SA"/>
          <w14:textFill>
            <w14:solidFill>
              <w14:schemeClr w14:val="tx1"/>
            </w14:solidFill>
          </w14:textFill>
        </w:rPr>
        <w:t xml:space="preserve">为城区80个易涝监测点位建设安装视频监控（球机）、雷达水位计、电子水尺等硬件设备，通过与宿迁市市区易涝点监测管理平台对接，把监控点位上的视频信息、水位、水情信息准确、实时的传输到宿迁市市区易涝点监测管理平台上，实现对这些区域的实时监测和预警，提高城市</w:t>
      </w:r>
      <w:r>
        <w:rPr>
          <w:rFonts w:hint="eastAsia" w:asciiTheme="minorEastAsia" w:hAnsiTheme="minorEastAsia" w:eastAsiaTheme="minorEastAsia" w:cstheme="minorEastAsia"/>
          <w:b w:val="0"/>
          <w:bCs w:val="0"/>
          <w:color w:val="auto"/>
          <w:sz w:val="24"/>
          <w:szCs w:val="24"/>
          <w:highlight w:val="none"/>
          <w:lang w:val="en-US" w:eastAsia="zh-CN" w:bidi="ar-SA"/>
        </w:rPr>
        <w:t xml:space="preserve">防洪排涝工作的效率和准确性。同时对市区易涝点监测管理平台做部分扩容优化提升及提升平台的安全性。</w:t>
      </w:r>
      <w:r/>
    </w:p>
    <w:p>
      <w:pPr>
        <w:pStyle w:val="1060"/>
        <w:ind w:firstLine="480"/>
        <w:keepLines w:val="0"/>
        <w:keepNext w:val="0"/>
        <w:pageBreakBefore w:val="0"/>
        <w:spacing w:line="520" w:lineRule="exact"/>
        <w:widowControl w:val="off"/>
        <w:rPr>
          <w:rFonts w:hint="eastAsia" w:asciiTheme="majorEastAsia" w:hAnsiTheme="majorEastAsia" w:eastAsiaTheme="majorEastAsia" w:cstheme="majorEastAsia"/>
          <w:b w:val="0"/>
          <w:bCs w:val="0"/>
          <w:color w:val="000000" w:themeColor="text1"/>
          <w:sz w:val="24"/>
          <w:szCs w:val="24"/>
          <w:highlight w:val="none"/>
          <w:lang w:val="en-US" w:eastAsia="zh-CN" w:bidi="ar-SA"/>
          <w14:textFill>
            <w14:solidFill>
              <w14:schemeClr w14:val="tx1"/>
            </w14:solidFill>
          </w14:textFill>
        </w:rPr>
        <w:outlineLvl w:val="1"/>
      </w:pPr>
      <w:r>
        <w:rPr>
          <w:rFonts w:hint="eastAsia" w:asciiTheme="majorEastAsia" w:hAnsiTheme="majorEastAsia" w:eastAsiaTheme="majorEastAsia" w:cstheme="majorEastAsia"/>
          <w:b w:val="0"/>
          <w:bCs w:val="0"/>
          <w:color w:val="000000" w:themeColor="text1"/>
          <w:sz w:val="24"/>
          <w:szCs w:val="24"/>
          <w:highlight w:val="none"/>
          <w:lang w:val="en-US" w:eastAsia="zh-CN" w:bidi="ar-SA"/>
          <w14:textFill>
            <w14:solidFill>
              <w14:schemeClr w14:val="tx1"/>
            </w14:solidFill>
          </w14:textFill>
        </w:rPr>
        <w:t xml:space="preserve">三、采购清单及技术参数要求</w:t>
      </w:r>
      <w:bookmarkEnd w:id="221"/>
      <w:r/>
      <w:r/>
    </w:p>
    <w:p>
      <w:pPr>
        <w:ind w:firstLine="482"/>
        <w:jc w:val="left"/>
        <w:keepLines w:val="0"/>
        <w:keepNext w:val="0"/>
        <w:pageBreakBefore w:val="0"/>
        <w:spacing w:line="520" w:lineRule="exact"/>
        <w:widowControl w:val="off"/>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（一）采购清单</w:t>
      </w:r>
      <w:r/>
    </w:p>
    <w:tbl>
      <w:tblPr>
        <w:tblStyle w:val="747"/>
        <w:tblW w:w="9315" w:type="dxa"/>
        <w:jc w:val="center"/>
        <w:tblLayout w:type="fixed"/>
        <w:tblCellMar>
          <w:left w:w="108" w:type="dxa"/>
          <w:top w:w="0" w:type="dxa"/>
          <w:right w:w="108" w:type="dxa"/>
          <w:bottom w:w="0" w:type="dxa"/>
        </w:tblCellMar>
        <w:tblLook w:val="04A0" w:firstRow="1" w:lastRow="0" w:firstColumn="1" w:lastColumn="0" w:noHBand="0" w:noVBand="1"/>
      </w:tblPr>
      <w:tblGrid>
        <w:gridCol w:w="671"/>
        <w:gridCol w:w="1212"/>
        <w:gridCol w:w="5973"/>
        <w:gridCol w:w="709"/>
        <w:gridCol w:w="750"/>
      </w:tblGrid>
      <w:tr>
        <w:trPr>
          <w:jc w:val="center"/>
          <w:trHeight w:val="1034"/>
        </w:trPr>
        <w:tc>
          <w:tcPr>
            <w:shd w:val="clear" w:color="auto" w:fill="b8cce4" w:themeFill="accent1" w:themeFillTint="66"/>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keepLines w:val="0"/>
              <w:keepNext w:val="0"/>
              <w:pageBreakBefore w:val="0"/>
              <w:spacing w:line="360" w:lineRule="auto"/>
              <w:widowControl w:val="off"/>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t xml:space="preserve">序号</w:t>
            </w:r>
            <w:r/>
          </w:p>
        </w:tc>
        <w:tc>
          <w:tcPr>
            <w:shd w:val="clear" w:color="auto" w:fill="b8cce4" w:themeFill="accent1" w:themeFillTint="66"/>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t xml:space="preserve">名  称</w:t>
            </w:r>
            <w:r/>
          </w:p>
        </w:tc>
        <w:tc>
          <w:tcPr>
            <w:shd w:val="clear" w:color="auto" w:fill="b8cce4" w:themeFill="accent1" w:themeFillTint="66"/>
            <w:tcBorders>
              <w:top w:val="single" w:color="000000" w:sz="4" w:space="0"/>
              <w:left w:val="single" w:color="000000" w:sz="4" w:space="0"/>
              <w:bottom w:val="single" w:color="000000" w:sz="4" w:space="0"/>
              <w:right w:val="single" w:color="000000" w:sz="4" w:space="0"/>
            </w:tcBorders>
            <w:tcW w:w="5973"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t xml:space="preserve">功能及技术要求</w:t>
            </w:r>
            <w:r/>
          </w:p>
        </w:tc>
        <w:tc>
          <w:tcPr>
            <w:shd w:val="clear" w:color="auto" w:fill="b8cce4" w:themeFill="accent1" w:themeFillTint="66"/>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t xml:space="preserve">单位</w:t>
            </w:r>
            <w:r/>
          </w:p>
        </w:tc>
        <w:tc>
          <w:tcPr>
            <w:shd w:val="clear" w:color="auto" w:fill="b8cce4" w:themeFill="accent1" w:themeFillTint="66"/>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highlight w:val="none"/>
                <w:lang w:val="en-US" w:eastAsia="zh-CN"/>
                <w14:textFill>
                  <w14:solidFill>
                    <w14:schemeClr w14:val="tx1"/>
                  </w14:solidFill>
                </w14:textFill>
              </w:rPr>
              <w:t xml:space="preserve">数量</w:t>
            </w:r>
            <w:r/>
          </w:p>
        </w:tc>
      </w:tr>
      <w:tr>
        <w:trPr>
          <w:jc w:val="center"/>
          <w:trHeight w:val="1489"/>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雷达水位计</w:t>
            </w:r>
            <w:r/>
          </w:p>
        </w:tc>
        <w:tc>
          <w:tcPr>
            <w:shd w:val="clear" w:color="auto" w:fill="auto"/>
            <w:tcBorders>
              <w:top w:val="single" w:color="000000" w:sz="4" w:space="0"/>
              <w:left w:val="single" w:color="000000" w:sz="4" w:space="0"/>
              <w:bottom w:val="single" w:color="000000" w:sz="4" w:space="0"/>
              <w:right w:val="single" w:color="000000" w:sz="4" w:space="0"/>
            </w:tcBorders>
            <w:tcW w:w="5973" w:type="dxa"/>
            <w:vAlign w:val="center"/>
            <w:textDirection w:val="lrTb"/>
            <w:noWrap w:val="false"/>
          </w:tcPr>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1、测量范围：0-60m。</w:t>
            </w:r>
            <w:r/>
          </w:p>
          <w:p>
            <w:pPr>
              <w:jc w:val="left"/>
              <w:spacing w:line="27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2、▲盲区：10.8cm以内（</w:t>
            </w:r>
            <w:r>
              <w:rPr>
                <w:rFonts w:hint="eastAsia" w:asciiTheme="minorEastAsia" w:hAnsiTheme="minorEastAsia" w:eastAsiaTheme="minorEastAsia" w:cstheme="minorEastAsia"/>
                <w:color w:val="auto"/>
                <w:highlight w:val="none"/>
                <w:lang w:eastAsia="zh-CN"/>
              </w:rPr>
              <w:t xml:space="preserve">需提供具备CMA资质检测机构出具的检测报告</w:t>
            </w:r>
            <w:r>
              <w:rPr>
                <w:rFonts w:hint="eastAsia" w:asciiTheme="minorEastAsia" w:hAnsiTheme="minorEastAsia" w:eastAsiaTheme="minorEastAsia" w:cstheme="minorEastAsia"/>
                <w:color w:val="auto"/>
                <w:highlight w:val="none"/>
              </w:rPr>
              <w:t xml:space="preserve">）。</w:t>
            </w:r>
            <w:r/>
          </w:p>
          <w:p>
            <w:pPr>
              <w:jc w:val="left"/>
              <w:spacing w:line="27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3、▲测量精度：不大于±3mm，（</w:t>
            </w:r>
            <w:r>
              <w:rPr>
                <w:rFonts w:hint="eastAsia" w:asciiTheme="minorEastAsia" w:hAnsiTheme="minorEastAsia" w:eastAsiaTheme="minorEastAsia" w:cstheme="minorEastAsia"/>
                <w:color w:val="auto"/>
                <w:highlight w:val="none"/>
                <w:lang w:eastAsia="zh-CN"/>
              </w:rPr>
              <w:t xml:space="preserve">需提供具备CMA资质检测机构出具的检测报告</w:t>
            </w:r>
            <w:r>
              <w:rPr>
                <w:rFonts w:hint="eastAsia" w:asciiTheme="minorEastAsia" w:hAnsiTheme="minorEastAsia" w:eastAsiaTheme="minorEastAsia" w:cstheme="minorEastAsia"/>
                <w:color w:val="auto"/>
                <w:highlight w:val="none"/>
              </w:rPr>
              <w:t xml:space="preserve">）。</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4、分辨率：1mm。</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5、工作频率：80GHz。</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6、工作原理：调频连续波（FMCW）。</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7、发射功率（EIRP）：5-10dBm（根据水体变化规律智能调节）。</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8、响应时间：最快100ms，10s输出平均测量值。</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9、波束角：不大于4</w:t>
            </w:r>
            <w:r>
              <w:rPr>
                <w:rFonts w:ascii="Symbol" w:hAnsi="Symbol" w:eastAsia="Symbol" w:cs="Symbol"/>
                <w:color w:val="auto"/>
                <w:highlight w:val="none"/>
                <w:lang w:val="en-US" w:eastAsia="zh-CN"/>
              </w:rPr>
              <w:t xml:space="preserve">°</w:t>
            </w:r>
            <w:r>
              <w:rPr>
                <w:rFonts w:hint="eastAsia" w:asciiTheme="minorEastAsia" w:hAnsiTheme="minorEastAsia" w:eastAsiaTheme="minorEastAsia" w:cstheme="minorEastAsia"/>
                <w:color w:val="auto"/>
                <w:highlight w:val="none"/>
                <w:lang w:val="en-US" w:eastAsia="zh-CN"/>
              </w:rPr>
              <w:t xml:space="preserve">，供电范围：DC 6-30V，典型12V。</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10、天线：透镜天线。</w:t>
            </w:r>
            <w:r/>
          </w:p>
          <w:p>
            <w:pPr>
              <w:ind w:left="0" w:firstLine="0"/>
              <w:jc w:val="both"/>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11、工作电流不大于10.8mA12、静态值守电流不大于3.81mA</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12、▲外壳防护等级防尘（IP6X),防水(IPX8)，1.0m的入水深度，静置8小时。（需提供具备CMA资质检测机构出具的检测报告）。</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13、▲重复性误差为0，回差为0（需提供具备CMA资质检测机构出具的检测报告）。</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14、▲产品通过抗电磁干扰检测（需提供具备CMA资质检测机构出具的检测报告）。</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15、产品带记录固态存储容量不小于32MB。</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16、通讯接口：标配RS485接口，可支持定制RS232/4-20mA</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通讯协议：Modbus协议；可自定义协议。</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17、工作温度：-25℃~+55℃。</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18、配置软件：提供配套专用软件，可以在电脑上实现参数设置、校准调整、数据保存等操作，同时也能显示水位、空高等实时数据。</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19、▲通过水利部水文仪器及岩土工程仪器质量监督检验测试中心检测并出具检测报告。（需提供复印件）</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20、▲设备自带手机蓝牙微信小程序调参并能同时实时看料位或者水位高度和空高,实现参数设置、校准调整、数据保存等操作,并有手机蓝牙自动化连接软件著作权证书。（需提供复印件）</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21、设备具有RS485和4-20mA信号同时双输出功能</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26</w:t>
            </w:r>
            <w:r/>
          </w:p>
        </w:tc>
      </w:tr>
      <w:tr>
        <w:trPr>
          <w:jc w:val="center"/>
          <w:trHeight w:val="1586"/>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电子水尺（核心产品）</w:t>
            </w:r>
            <w:r/>
          </w:p>
        </w:tc>
        <w:tc>
          <w:tcPr>
            <w:shd w:val="clear" w:color="auto" w:fill="auto"/>
            <w:tcBorders>
              <w:top w:val="single" w:color="000000" w:sz="4" w:space="0"/>
              <w:left w:val="single" w:color="000000" w:sz="4" w:space="0"/>
              <w:bottom w:val="single" w:color="000000" w:sz="4" w:space="0"/>
              <w:right w:val="single" w:color="000000" w:sz="4" w:space="0"/>
            </w:tcBorders>
            <w:tcW w:w="5973" w:type="dxa"/>
            <w:vAlign w:val="center"/>
            <w:textDirection w:val="lrTb"/>
            <w:noWrap w:val="false"/>
          </w:tcPr>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1、单元规格：40cm、50cm、80cm、100cm、120cm、150cm。</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2、变幅范围：由以上单元任意组合。</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3、测量精度： 1cm。</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4、供电方式：DC 5V-18V。</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5、传输方式：RS485。</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6、功耗：静态功耗小于2mA,最大功耗小于30mA。</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7、最大测深：20米。</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8、▲通过水利部水文仪器及岩土工程仪器质量监督检验测试中心检测并提供检测报告。（需提供复印件）</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9、▲获得《全国水利系统招标产品重点采购目录》入选证书。（需提供复印件）</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10、▲具有电子水尺嵌入式软件著作权证书。（需提供复印件）</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11、▲生产厂家需通过IS014001环境管理体系认证。（需提供复印件）</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12、▲生产厂家需通过ISO19001质量管理体系认证。（需提供复印件）</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54</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视频监控</w:t>
            </w:r>
            <w:r/>
          </w:p>
        </w:tc>
        <w:tc>
          <w:tcPr>
            <w:shd w:val="clear" w:color="auto" w:fill="auto"/>
            <w:tcBorders>
              <w:top w:val="single" w:color="000000" w:sz="4" w:space="0"/>
              <w:left w:val="single" w:color="000000" w:sz="4" w:space="0"/>
              <w:bottom w:val="single" w:color="000000" w:sz="4" w:space="0"/>
              <w:right w:val="single" w:color="000000" w:sz="4" w:space="0"/>
            </w:tcBorders>
            <w:tcW w:w="5973" w:type="dxa"/>
            <w:vAlign w:val="center"/>
            <w:textDirection w:val="lrTb"/>
            <w:noWrap w:val="false"/>
          </w:tcPr>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1、视频分辨率和帧率最大为：3200×1800、25fps。</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2、设备靶面尺寸为1/2.5英寸。</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3、最低照度彩色不大于0.005 lx，黑白不大于0.001 lx。</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4、支持水平0° ~ 360°，连续旋转；垂直 -15° ~ 90°。</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5、支持300个预置位，可按照所设置的预置位完成大于8条巡航路径。支持预置位视频冻结功能。</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6、具有H.264、H.265、MJPEG设置选项，可将H.264、H.265格式设置为High Profile/Main/Baseline。</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7、在网络直连的环境下，只输出主码流、分辨率设置为3200×1800、帧率设置为25fps、码率设置为2Mbps时，网络协议为UDP、最短延时、智能分析关闭时，视频图像传输至客户端的延时时间≤100ms。</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8、可对经过设定区域的行人进行人脸检测和人脸跟随，当检测到人脸后，可抓拍人脸图片、联动聚焦、目标跟随、报警上传、发送邮件、联动录像、辅助输出等，抓拍图片数量可设。</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9、▲设备镜头上方具有防雨帽檐，可将镜头上方雨水向两侧分流。（需提供具备CMA资质检测机构出具的检测报告）</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10、▲夜间天气晴朗无遮挡，红外补光灯开启，可识别距离设备150m处的人体轮廓。（需提供具备CMA资质检测机构出具的检测报告）</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11、▲设备在专用聚焦模式下具有3种聚焦功能：前景聚焦、后景聚焦、区域聚焦。（需提供具备CMA资质检测机构出具的检测报告）</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12、▲设备内置8颗补光灯、1个RJ45网络接口、1路音频输入接口、1路音频输出接口、2路报警输入接口、1个SD卡插槽。设备采用DC36V供电。（需提供具备CMA资质检测机构出具的检测报告）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78</w:t>
            </w:r>
            <w:r/>
          </w:p>
        </w:tc>
      </w:tr>
      <w:tr>
        <w:trPr>
          <w:jc w:val="center"/>
          <w:trHeight w:val="2700"/>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视频监控平台</w:t>
            </w:r>
            <w:r/>
          </w:p>
        </w:tc>
        <w:tc>
          <w:tcPr>
            <w:shd w:val="clear" w:color="auto" w:fill="auto"/>
            <w:tcBorders>
              <w:top w:val="single" w:color="000000" w:sz="4" w:space="0"/>
              <w:left w:val="single" w:color="000000" w:sz="4" w:space="0"/>
              <w:bottom w:val="single" w:color="000000" w:sz="4" w:space="0"/>
              <w:right w:val="single" w:color="000000" w:sz="4" w:space="0"/>
            </w:tcBorders>
            <w:tcW w:w="5973" w:type="dxa"/>
            <w:vAlign w:val="center"/>
            <w:textDirection w:val="lrTb"/>
            <w:noWrap w:val="false"/>
          </w:tcPr>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1、提供不低于300路监控接入能力，提供视频级联能力并提供在线状态运维能力。</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2、视频管理服务，支持编码设备通过SDK协议、GB28181协议、ONVIF协议等接入平台，实现视频预览、录像回放、视频上墙、视频事件监控服务能力，并且在网络带宽不足、有流量限制的网络环境下可以通过以图片替代视频的模式提供监控服务。</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3、支持视频实时预览能力，实现预览窗口布局切换、预览画面自适应及全屏切换。</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4、支持云台控制、实时抓图、紧急录像、即时回放、主子码流切换、声音开启\关闭、辅屏预览（1个辅屏）、对讲、广播、报警输出控制的能力。</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5、支持智能规则展示的能力（如：针对热成像设备温度信息实时展示）。</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6、支持资源视图管理能力，以视图形式管理监控点、视频预览轮巡等自定义资源组，其中视图类型包含公有视图和私有视图。</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7、支持全景视频监控预览能力，支持球型鹰眼、全景摄像机的全景模式。</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8、支持录像计划管理能力，支持实时录像计划、录像回传计划。</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9、支持录像回放能力，支持多画面同步回放和异步回放切换、超高倍速回放、分段回放、录像下载、录像剪辑、录像标签、录像锁定、录像抓图。</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10、支持监控摄像机、编码设备、存储设备、解码设备等物联设备在线状态、工作状态、硬盘状态、指标采集。</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11、支持监控点通道的在线状态、录制状态、录像完整性、录像保存天数指标检测。</w:t>
            </w:r>
            <w:r>
              <w:rPr>
                <w:rFonts w:hint="eastAsia" w:asciiTheme="minorEastAsia" w:hAnsiTheme="minorEastAsia" w:eastAsiaTheme="minorEastAsia" w:cstheme="minorEastAsia"/>
                <w:color w:val="auto"/>
                <w:highlight w:val="none"/>
                <w:lang w:val="en-US" w:eastAsia="zh-CN"/>
              </w:rPr>
              <w:br/>
            </w:r>
            <w:r>
              <w:rPr>
                <w:rFonts w:hint="eastAsia" w:asciiTheme="minorEastAsia" w:hAnsiTheme="minorEastAsia" w:eastAsiaTheme="minorEastAsia" w:cstheme="minorEastAsia"/>
                <w:color w:val="auto"/>
                <w:highlight w:val="none"/>
                <w:lang w:val="en-US" w:eastAsia="zh-CN"/>
              </w:rPr>
              <w:t xml:space="preserve">12、▲支持视频码流水印是否倾斜、透明度和倾斜角度可配置。（需提供具备CMA资质检测机构出具的检测报告）</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13、图片查询支持批量下载，支持配置批量下载图片数量上限。（需提供具备CMA资质检测机构出具的检测报告）</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14、支持IPv6网络适配，支持IPv6网络环境下平台部署，并支持用户以IPv6的方式进行平台访问和业务应用实现；支持通过IPv6的方式添加视频设备等。（需提供具备CMA资质检测机构出具的检测报告）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w:t>
            </w:r>
            <w:r/>
          </w:p>
        </w:tc>
      </w:tr>
      <w:tr>
        <w:trPr>
          <w:jc w:val="center"/>
          <w:trHeight w:val="1084"/>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易涝监测集控安全网关</w:t>
            </w:r>
            <w:r/>
          </w:p>
        </w:tc>
        <w:tc>
          <w:tcPr>
            <w:shd w:val="clear" w:color="auto" w:fill="auto"/>
            <w:tcBorders>
              <w:top w:val="single" w:color="000000" w:sz="4" w:space="0"/>
              <w:left w:val="single" w:color="000000" w:sz="4" w:space="0"/>
              <w:bottom w:val="single" w:color="000000" w:sz="4" w:space="0"/>
              <w:right w:val="single" w:color="000000" w:sz="4" w:space="0"/>
            </w:tcBorders>
            <w:tcW w:w="5973" w:type="dxa"/>
            <w:vAlign w:val="center"/>
            <w:textDirection w:val="lrTb"/>
            <w:noWrap w:val="false"/>
          </w:tcPr>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1、1U标准机架式设备，设备配置1个RJ-45 Console口，1个10/100 Base-Tx带外管理口，1个10/100/1000 Base-T HA接口，4个具备bypass功能的10/100/1000 Base-T接口，1个网络接口扩展槽位，2个USB口，集中管理中心软件一套,此次提供UDP视频吞吐不小于8G,TCP视频吞吐不小于3G。</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2、支持自动生成易涝点位分布热力图，并可基于不同IP子网实时监控前端IPC资产的部署位置、工作状态等信息。（提供界面截图）</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3、产品具有与公安“一机一档”系统联动能力，通过与“一机一档”联动增强产品资产感知及异常资产监测能力。（提供界面截图）</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4、针对非法接入和可疑终端等设备，支持异常行为高级诊断功能（包括流量和持续时间等），提供至少9种查询选项，并包含私有视频协议和异常状态，协助客户进一步排查和分析。</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5、支持对具有唯一性标识的设备进行认证，实现GB/T 28181协议、GA/T 1400协议、GB35114协议等识别，并支持设备注册，注册信息包括设备IP/MAC、设备ID、设备属性等信息。（需提供具备CMA资质检测机构出具的检测报告）</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▲6、采用具有自主知识产权的VSP或LOS通用安全平台，具备高效、智能、安全、易扩展等特点。（需提供第三方权威机构证明材料）</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▲7、采用自主知识产权的共享接入检测技术，防止非法终端接入网络。（提供第三方权威机构证明材料）。</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8、支持前端网络视频资产自动识别功能，可自动识别前端网络视频资产IP、MAC、品牌等信息，同时支持视频资产一键导入功能，可一键导入前端网络资产列表。（需提供具备CMA资质检测机构出具的检测报告）</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▲9、支持内容过滤功能，包括GB/T 28181内容过滤、GA/T 1400内容过滤、GB35114媒体流的内容过滤，基于安全策略对进行内容过滤，对含有敏感信息的信令、数据流数据和媒体流数据进行拦截丢弃，并进行日志告警。（需提供具备CMA资质检测机构出具的检测报告）</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▲10、产品必须通过公安部安全与警用电子产品质量检测中心测试，符合《GA/T 1788.3-2021公安视频图像信息系统安全要求-第3部分：安全交互》纵向安全防护系统产品的相关要求，安全能力等级达到增强II级，提供相关证明材料。</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w:t>
            </w:r>
            <w:r/>
          </w:p>
        </w:tc>
      </w:tr>
      <w:tr>
        <w:trPr>
          <w:jc w:val="center"/>
          <w:trHeight w:val="767"/>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监控立杆</w:t>
            </w:r>
            <w:r/>
          </w:p>
        </w:tc>
        <w:tc>
          <w:tcPr>
            <w:shd w:val="clear" w:color="auto" w:fill="auto"/>
            <w:tcBorders>
              <w:top w:val="single" w:color="000000" w:sz="4" w:space="0"/>
              <w:left w:val="single" w:color="000000" w:sz="4" w:space="0"/>
              <w:bottom w:val="single" w:color="000000" w:sz="4" w:space="0"/>
              <w:right w:val="single" w:color="000000" w:sz="4" w:space="0"/>
            </w:tcBorders>
            <w:tcW w:w="5973" w:type="dxa"/>
            <w:vAlign w:val="center"/>
            <w:textDirection w:val="lrTb"/>
            <w:noWrap w:val="false"/>
          </w:tcPr>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1、材质：采用Q235B优质管材，主杆为等径管，杆高3.0m上口径φ140mm，下口径为φ140mm，底板法兰：320*320mm；壁厚3.0mm。</w:t>
            </w:r>
            <w:r>
              <w:rPr>
                <w:rFonts w:hint="eastAsia" w:asciiTheme="minorEastAsia" w:hAnsiTheme="minorEastAsia" w:eastAsiaTheme="minorEastAsia" w:cstheme="minorEastAsia"/>
                <w:color w:val="auto"/>
                <w:highlight w:val="none"/>
                <w:lang w:val="en-US" w:eastAsia="zh-CN"/>
              </w:rPr>
              <w:br/>
            </w:r>
            <w:r>
              <w:rPr>
                <w:rFonts w:hint="eastAsia" w:asciiTheme="minorEastAsia" w:hAnsiTheme="minorEastAsia" w:eastAsiaTheme="minorEastAsia" w:cstheme="minorEastAsia"/>
                <w:color w:val="auto"/>
                <w:highlight w:val="none"/>
                <w:lang w:val="en-US" w:eastAsia="zh-CN"/>
              </w:rPr>
              <w:t xml:space="preserve">2、横臂：长度0.5m—1.0m，等径管φ76mm; 横臂顶面水平付托方管卡槽方便监控设备数量增加以及其左右移动位置不受影响。</w:t>
            </w:r>
            <w:r>
              <w:rPr>
                <w:rFonts w:hint="eastAsia" w:asciiTheme="minorEastAsia" w:hAnsiTheme="minorEastAsia" w:eastAsiaTheme="minorEastAsia" w:cstheme="minorEastAsia"/>
                <w:color w:val="auto"/>
                <w:highlight w:val="none"/>
                <w:lang w:val="en-US" w:eastAsia="zh-CN"/>
              </w:rPr>
              <w:br/>
            </w:r>
            <w:r>
              <w:rPr>
                <w:rFonts w:hint="eastAsia" w:asciiTheme="minorEastAsia" w:hAnsiTheme="minorEastAsia" w:eastAsiaTheme="minorEastAsia" w:cstheme="minorEastAsia"/>
                <w:color w:val="auto"/>
                <w:highlight w:val="none"/>
                <w:lang w:val="en-US" w:eastAsia="zh-CN"/>
              </w:rPr>
              <w:t xml:space="preserve">3、地笼：4-M18*800mm 接地热镀锌扁铁：4*40*1200mm；开挖基础尺寸：500*500*600mm，C25砼。</w:t>
            </w:r>
            <w:r>
              <w:rPr>
                <w:rFonts w:hint="eastAsia" w:asciiTheme="minorEastAsia" w:hAnsiTheme="minorEastAsia" w:eastAsiaTheme="minorEastAsia" w:cstheme="minorEastAsia"/>
                <w:color w:val="auto"/>
                <w:highlight w:val="none"/>
                <w:lang w:val="en-US" w:eastAsia="zh-CN"/>
              </w:rPr>
              <w:br/>
            </w:r>
            <w:r>
              <w:rPr>
                <w:rFonts w:hint="eastAsia" w:asciiTheme="minorEastAsia" w:hAnsiTheme="minorEastAsia" w:eastAsiaTheme="minorEastAsia" w:cstheme="minorEastAsia"/>
                <w:color w:val="auto"/>
                <w:highlight w:val="none"/>
                <w:lang w:val="en-US" w:eastAsia="zh-CN"/>
              </w:rPr>
              <w:t xml:space="preserve">4、加工工艺：清除毛刺以及锐边倒钝，焊接保证强度，焊缝均匀牢固，无虚焊、假焊。</w:t>
            </w:r>
            <w:r>
              <w:rPr>
                <w:rFonts w:hint="eastAsia" w:asciiTheme="minorEastAsia" w:hAnsiTheme="minorEastAsia" w:eastAsiaTheme="minorEastAsia" w:cstheme="minorEastAsia"/>
                <w:color w:val="auto"/>
                <w:highlight w:val="none"/>
                <w:lang w:val="en-US" w:eastAsia="zh-CN"/>
              </w:rPr>
              <w:br/>
            </w:r>
            <w:r>
              <w:rPr>
                <w:rFonts w:hint="eastAsia" w:asciiTheme="minorEastAsia" w:hAnsiTheme="minorEastAsia" w:eastAsiaTheme="minorEastAsia" w:cstheme="minorEastAsia"/>
                <w:color w:val="auto"/>
                <w:highlight w:val="none"/>
                <w:lang w:val="en-US" w:eastAsia="zh-CN"/>
              </w:rPr>
              <w:t xml:space="preserve">5、表面处理要求：整体热镀锌、表面静电喷涂；颜色可根据业主需求而定制。</w:t>
            </w:r>
            <w:r>
              <w:rPr>
                <w:rFonts w:hint="eastAsia" w:asciiTheme="minorEastAsia" w:hAnsiTheme="minorEastAsia" w:eastAsiaTheme="minorEastAsia" w:cstheme="minorEastAsia"/>
                <w:color w:val="auto"/>
                <w:highlight w:val="none"/>
                <w:lang w:val="en-US" w:eastAsia="zh-CN"/>
              </w:rPr>
              <w:br/>
            </w:r>
            <w:r>
              <w:rPr>
                <w:rFonts w:hint="eastAsia" w:asciiTheme="minorEastAsia" w:hAnsiTheme="minorEastAsia" w:eastAsiaTheme="minorEastAsia" w:cstheme="minorEastAsia"/>
                <w:color w:val="auto"/>
                <w:highlight w:val="none"/>
                <w:lang w:val="en-US" w:eastAsia="zh-CN"/>
              </w:rPr>
              <w:t xml:space="preserve">6、成品包装及运输：包装采用气泡袋与麻布结合，并做好标识便于安装，运输保证产品中途不得损坏，破损。</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80</w:t>
            </w:r>
            <w:r/>
          </w:p>
        </w:tc>
      </w:tr>
      <w:tr>
        <w:trPr>
          <w:jc w:val="center"/>
          <w:trHeight w:val="1344"/>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弱电箱</w:t>
            </w:r>
            <w:r/>
          </w:p>
        </w:tc>
        <w:tc>
          <w:tcPr>
            <w:shd w:val="clear" w:color="auto" w:fill="auto"/>
            <w:tcBorders>
              <w:top w:val="single" w:color="000000" w:sz="4" w:space="0"/>
              <w:left w:val="single" w:color="000000" w:sz="4" w:space="0"/>
              <w:bottom w:val="single" w:color="000000" w:sz="4" w:space="0"/>
              <w:right w:val="single" w:color="000000" w:sz="4" w:space="0"/>
            </w:tcBorders>
            <w:tcW w:w="5973" w:type="dxa"/>
            <w:vAlign w:val="center"/>
            <w:textDirection w:val="lrTb"/>
            <w:noWrap w:val="false"/>
          </w:tcPr>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1、材质：不锈钢。</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2、基础尺寸：400mm*300*200mm,厚度0.5mm。</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3、机箱具有防热、防尘、防水、防盗功能;适应室外工作环境、密封良好，做防锈、防腐处理。</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80</w:t>
            </w:r>
            <w:r/>
          </w:p>
        </w:tc>
      </w:tr>
      <w:tr>
        <w:trPr>
          <w:jc w:val="center"/>
          <w:trHeight w:val="602"/>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摄像机内存卡</w:t>
            </w:r>
            <w:r/>
          </w:p>
        </w:tc>
        <w:tc>
          <w:tcPr>
            <w:shd w:val="clear" w:color="auto" w:fill="auto"/>
            <w:tcBorders>
              <w:top w:val="single" w:color="000000" w:sz="4" w:space="0"/>
              <w:left w:val="single" w:color="000000" w:sz="4" w:space="0"/>
              <w:bottom w:val="single" w:color="000000" w:sz="4" w:space="0"/>
              <w:right w:val="single" w:color="000000" w:sz="4" w:space="0"/>
            </w:tcBorders>
            <w:tcW w:w="5973" w:type="dxa"/>
            <w:vAlign w:val="center"/>
            <w:textDirection w:val="lrTb"/>
            <w:noWrap w:val="false"/>
          </w:tcPr>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1、存储类型：TF（microSD)卡。</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2、最高读取速度：100MB/S。</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3、内容存量：512GB。</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80</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路由器</w:t>
            </w:r>
            <w:r/>
          </w:p>
        </w:tc>
        <w:tc>
          <w:tcPr>
            <w:shd w:val="clear" w:color="auto" w:fill="auto"/>
            <w:tcBorders>
              <w:top w:val="single" w:color="000000" w:sz="4" w:space="0"/>
              <w:left w:val="single" w:color="000000" w:sz="4" w:space="0"/>
              <w:bottom w:val="single" w:color="000000" w:sz="4" w:space="0"/>
              <w:right w:val="single" w:color="000000" w:sz="4" w:space="0"/>
            </w:tcBorders>
            <w:tcW w:w="5973" w:type="dxa"/>
            <w:vAlign w:val="center"/>
            <w:textDirection w:val="lrTb"/>
            <w:noWrap w:val="false"/>
          </w:tcPr>
          <w:p>
            <w:pPr>
              <w:numPr>
                <w:ilvl w:val="0"/>
                <w:numId w:val="0"/>
              </w:num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1、网络标准：wifi6。</w:t>
            </w:r>
            <w:r/>
          </w:p>
          <w:p>
            <w:pPr>
              <w:numPr>
                <w:ilvl w:val="0"/>
                <w:numId w:val="0"/>
              </w:num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2、无线传输速率：3000Mbps。</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3、网口：4个千兆网口。</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80</w:t>
            </w:r>
            <w:r/>
          </w:p>
        </w:tc>
      </w:tr>
      <w:tr>
        <w:trPr>
          <w:jc w:val="center"/>
          <w:trHeight w:val="306"/>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转换器</w:t>
            </w:r>
            <w:r/>
          </w:p>
        </w:tc>
        <w:tc>
          <w:tcPr>
            <w:shd w:val="clear" w:color="auto" w:fill="auto"/>
            <w:tcBorders>
              <w:top w:val="single" w:color="000000" w:sz="4" w:space="0"/>
              <w:left w:val="single" w:color="000000" w:sz="4" w:space="0"/>
              <w:bottom w:val="single" w:color="000000" w:sz="4" w:space="0"/>
              <w:right w:val="single" w:color="000000" w:sz="4" w:space="0"/>
            </w:tcBorders>
            <w:tcW w:w="5973" w:type="dxa"/>
            <w:vAlign w:val="center"/>
            <w:textDirection w:val="lrTb"/>
            <w:noWrap w:val="false"/>
          </w:tcPr>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1、支持功能：Modbus RTU/TCP互转，Modbus TCP转Modbus RTU主站，TCP服务器模式透传，TCP 客户端方式透传，自定义透传。</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2、接口类型：螺钉式接线端子、RJ45。</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3、通信格式：默认 9600 波特率、8位数据，1位停止，无校验(可配置)。</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4、通讯协议：Modbus TCP; TCP;HTTP。</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80</w:t>
            </w:r>
            <w:r/>
          </w:p>
        </w:tc>
      </w:tr>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网络</w:t>
            </w:r>
            <w:r/>
          </w:p>
        </w:tc>
        <w:tc>
          <w:tcPr>
            <w:shd w:val="clear" w:color="auto" w:fill="auto"/>
            <w:tcBorders>
              <w:top w:val="single" w:color="000000" w:sz="4" w:space="0"/>
              <w:left w:val="single" w:color="000000" w:sz="4" w:space="0"/>
              <w:bottom w:val="single" w:color="000000" w:sz="4" w:space="0"/>
              <w:right w:val="single" w:color="000000" w:sz="4" w:space="0"/>
            </w:tcBorders>
            <w:tcW w:w="5973" w:type="dxa"/>
            <w:vAlign w:val="center"/>
            <w:textDirection w:val="lrTb"/>
            <w:noWrap w:val="false"/>
          </w:tcPr>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提供3年20M互联网专线用于易涝点视频监控传输使用。</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80</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5973" w:type="dxa"/>
            <w:vAlign w:val="center"/>
            <w:textDirection w:val="lrTb"/>
            <w:noWrap w:val="false"/>
          </w:tcPr>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RS485信号线、水晶头、空开滑轨、插排、避雷器等。</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80</w:t>
            </w:r>
            <w:r/>
          </w:p>
        </w:tc>
      </w:tr>
      <w:tr>
        <w:trPr>
          <w:jc w:val="center"/>
          <w:trHeight w:val="493"/>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系统集成</w:t>
            </w:r>
            <w:r/>
          </w:p>
        </w:tc>
        <w:tc>
          <w:tcPr>
            <w:shd w:val="clear" w:color="auto" w:fill="auto"/>
            <w:tcBorders>
              <w:top w:val="single" w:color="000000" w:sz="4" w:space="0"/>
              <w:left w:val="single" w:color="000000" w:sz="4" w:space="0"/>
              <w:bottom w:val="single" w:color="000000" w:sz="4" w:space="0"/>
              <w:right w:val="single" w:color="000000" w:sz="4" w:space="0"/>
            </w:tcBorders>
            <w:tcW w:w="5973" w:type="dxa"/>
            <w:vAlign w:val="center"/>
            <w:textDirection w:val="lrTb"/>
            <w:noWrap w:val="false"/>
          </w:tcPr>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设备安装、部署、调试、土建施工等。</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80</w:t>
            </w:r>
            <w:r/>
          </w:p>
        </w:tc>
      </w:tr>
      <w:tr>
        <w:trPr>
          <w:jc w:val="center"/>
          <w:trHeight w:val="493"/>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设备对接调试</w:t>
            </w:r>
            <w:r/>
          </w:p>
        </w:tc>
        <w:tc>
          <w:tcPr>
            <w:shd w:val="clear" w:color="auto" w:fill="auto"/>
            <w:tcBorders>
              <w:top w:val="single" w:color="000000" w:sz="4" w:space="0"/>
              <w:left w:val="single" w:color="000000" w:sz="4" w:space="0"/>
              <w:bottom w:val="single" w:color="000000" w:sz="4" w:space="0"/>
              <w:right w:val="single" w:color="000000" w:sz="4" w:space="0"/>
            </w:tcBorders>
            <w:tcW w:w="5973" w:type="dxa"/>
            <w:vAlign w:val="center"/>
            <w:textDirection w:val="lrTb"/>
            <w:noWrap w:val="false"/>
          </w:tcPr>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施工点位上监控视频、水位、水情信息等设备数据对接至宿迁市市区易涝点监测管理平台上，监控画面流畅，水位、水情信息准确（涵盖过程中第三方对接费用成本）。</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w:t>
            </w:r>
            <w:r/>
          </w:p>
        </w:tc>
      </w:tr>
      <w:tr>
        <w:trPr>
          <w:jc w:val="center"/>
          <w:trHeight w:val="493"/>
        </w:trPr>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平台及现场点位运维</w:t>
            </w:r>
            <w:r/>
          </w:p>
        </w:tc>
        <w:tc>
          <w:tcPr>
            <w:shd w:val="clear" w:color="auto" w:fill="auto"/>
            <w:tcBorders>
              <w:top w:val="single" w:color="000000" w:sz="4" w:space="0"/>
              <w:left w:val="single" w:color="000000" w:sz="4" w:space="0"/>
              <w:bottom w:val="single" w:color="000000" w:sz="4" w:space="0"/>
              <w:right w:val="single" w:color="000000" w:sz="4" w:space="0"/>
            </w:tcBorders>
            <w:tcW w:w="5973" w:type="dxa"/>
            <w:vAlign w:val="center"/>
            <w:textDirection w:val="lrTb"/>
            <w:noWrap w:val="false"/>
          </w:tcPr>
          <w:p>
            <w:pPr>
              <w:numPr>
                <w:ilvl w:val="0"/>
                <w:numId w:val="0"/>
              </w:num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1、宿迁市市区易涝点监测管理平台扩增点位运维及汛期实时保障（含软件故障，与第三方厂家商定）。</w:t>
            </w:r>
            <w:r/>
          </w:p>
          <w:p>
            <w:pPr>
              <w:numPr>
                <w:ilvl w:val="0"/>
                <w:numId w:val="0"/>
              </w:num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2、宿迁市市区易涝点监测管理平台扩容提升优化（站点编码管理、站点信息及设备信息管理、汛期报告自动生成、数据集成等）。</w:t>
            </w:r>
            <w:r/>
          </w:p>
          <w:p>
            <w:pPr>
              <w:jc w:val="left"/>
              <w:spacing w:line="270" w:lineRule="exact"/>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3、现场点位运维主要工作：检查设备运行状况、清理周边杂物、排查隐患。年定期巡检至少20次，其中汛期每月巡检2至3次，非汛期巡检每月一次，并出具详细巡检报告，附每个点位实时巡检照片及时间水印。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3</w:t>
            </w:r>
            <w:r/>
          </w:p>
        </w:tc>
      </w:tr>
    </w:tbl>
    <w:p>
      <w:pPr>
        <w:ind w:firstLine="482"/>
        <w:jc w:val="left"/>
        <w:keepLines w:val="0"/>
        <w:keepNext w:val="0"/>
        <w:pageBreakBefore w:val="0"/>
        <w:spacing w:line="520" w:lineRule="exact"/>
        <w:widowControl w:val="off"/>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r>
      <w:r/>
    </w:p>
    <w:p>
      <w:pPr>
        <w:ind w:firstLine="482"/>
        <w:jc w:val="left"/>
        <w:keepLines w:val="0"/>
        <w:keepNext w:val="0"/>
        <w:pageBreakBefore w:val="0"/>
        <w:spacing w:line="520" w:lineRule="exact"/>
        <w:widowControl w:val="off"/>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（二）建设点位清单</w:t>
      </w:r>
      <w:r/>
    </w:p>
    <w:tbl>
      <w:tblPr>
        <w:tblStyle w:val="747"/>
        <w:tblW w:w="930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07"/>
        <w:gridCol w:w="972"/>
        <w:gridCol w:w="1205"/>
        <w:gridCol w:w="909"/>
        <w:gridCol w:w="2730"/>
        <w:gridCol w:w="2182"/>
        <w:gridCol w:w="696"/>
      </w:tblGrid>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站点类型</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区域</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建设内容</w:t>
            </w:r>
            <w:r/>
          </w:p>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（硬件设备）</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000000"/>
                <w:sz w:val="20"/>
                <w:szCs w:val="20"/>
                <w:highlight w:val="none"/>
                <w:u w:val="none"/>
              </w:rPr>
              <w:suppressLineNumbers w:val="0"/>
            </w:pPr>
            <w:r>
              <w:rPr>
                <w:rFonts w:hint="eastAsia" w:asciiTheme="minorEastAsia" w:hAnsiTheme="minorEastAsia" w:eastAsiaTheme="minorEastAsia" w:cstheme="minorEastAsia"/>
                <w:b/>
                <w:bCs/>
                <w:i w:val="0"/>
                <w:iCs w:val="0"/>
                <w:color w:val="000000"/>
                <w:sz w:val="20"/>
                <w:szCs w:val="20"/>
                <w:highlight w:val="none"/>
                <w:u w:val="none"/>
                <w:lang w:val="en-US" w:eastAsia="zh-CN" w:bidi="ar"/>
              </w:rPr>
              <w:t xml:space="preserve">备注</w:t>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YL001</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颐和路与滨河路交叉口</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YL003</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宝龙西巷与大连路交叉口</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YL004</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青年路与项王路交叉口</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YL005</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富康大道与项王路交叉口</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YL006</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君悦花园西门</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YL007</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黄海大道与西湖路交叉口</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YL008</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兰亭御城西门</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YL010</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滨江花园北门</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YL011</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苏苑花园西门</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YL012</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通湖大道与宿支路交叉口</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YL014</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平安路与洞庭湖路</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YL015</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迎宾大道（建陵路）与深圳西路交叉口</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宿城经开区（南片区）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YL016</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四海路与创业路交叉口</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宿城经开区（西片区）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YL018</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科兴路与古城路交叉口</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宿城经开区（西片区）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YL019</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科苑路与复旦路交叉口</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宿豫区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YL020</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江山大道与井冈山路交叉口</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宿豫区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YL021</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汉江路与玉泉山路交叉口</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宿豫区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YL022</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黄浦江路与五台山路交叉口</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宿豫区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YL024</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金沙江路与洪泽湖东路交叉口</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市经开区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YL031</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梨园小区西门</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市经开区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YL032</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富康大道与金坛路交叉口</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市经开区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YL033</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御水佳园东门</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438"/>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市经开区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YL034</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瑞景名都东门</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高新区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YL036</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嘉陵江路与雁荡山路交叉口</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高新区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YL037</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天圣玻璃与雁荡山路交叉口</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高新区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YL040</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松芝科技西门</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高新区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YL041</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漓江路与陆庄路交汇处</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湖滨新区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YL042</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迎宾大道与天和北路交叉口</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湖滨新区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YL043</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发展大道与天和北路交叉口</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高新区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YL045</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九洲路与伟业路交叉口</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YL046</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运河路南（东方幸福月子中心东门）</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湖滨新区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YL047</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奥体路与三峰路交叉口东侧</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市经开区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YL048</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丹阳路</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市经开区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YL049</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青年路与枣庄路交叉口北侧</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YL050</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八一西路与黄河路交叉口</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宿豫区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YL051</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湘江路(文体中心)</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宿豫区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YL052</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珠江路(燕山路-五台山路)</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YY001</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鼓楼医院东南角</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YY002</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第一人民医院东门</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XX001</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市实验学校（府苑小区西）</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XX002</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马陵中学南门</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XX003</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青海湖路小学南门</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XX004</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宿迁学院东门</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XX005</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市实小幸福路校区东门</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XX006</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钟吾初中东门</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市经开区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XX007</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淮海技师学院西南角</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市经开区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XX008</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市第一高中北门</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湖滨新区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XX009</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崇文初级中学南门</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市经开区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XC001</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发展大道与上海路交叉口</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none" w:color="000000" w:sz="4" w:space="0"/>
              <w:left w:val="none" w:color="000000" w:sz="4" w:space="0"/>
              <w:bottom w:val="none" w:color="000000" w:sz="4" w:space="0"/>
              <w:right w:val="non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XC002</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西湖路黄河桥口</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XC003</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洪泽湖路河滨桥口</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DSC001</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幸福南路与西湖路交叉口（地一街）</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SJ001</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恒力国际酒店东门</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易涝点</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湖滨新区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SJ002</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星辰国际酒店南门</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视频监控（球机）、电子水尺</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河道</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宿豫区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牡丹江河</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牡丹江河入六塘河交汇处</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视频监控（球机）、水位计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河道</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宿豫区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贺兰山河</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北京路与嘉陵江路交叉口东侧</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视频监控（球机）、水位计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河道</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西民便河</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苏州路闸</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视频监控（球机）、水位计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河道</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西民便河</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刘桥渡槽</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视频监控（球机）、水位计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河道</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苏宿园区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十支河</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十支河与清水河处</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视频监控（球机）、水位计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河道</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苏宿园区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富民河</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富民河与通湖大道处</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视频监控（球机）、水位计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河道</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市经开区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西民便河</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洋大河与西民便河交叉口</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视频监控（球机）、水位计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河道</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市经开区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十支沟</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上海路与重庆路西北侧</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视频监控（球机）、水位计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河道</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湖滨新区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一支渠</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井头街道</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视频监控（球机）、水位计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255"/>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河道</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湖滨新区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拦山河</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井头街道</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视频监控（球机）、水位计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泵站</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宿豫区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牡丹江河泵站</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牡丹江河与六塘河交汇处</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视频监控（球机）、水位计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泵站</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宿豫区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阿里山河泵站</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阿里山河河西首</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视频监控（球机）、水位计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泵站</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城南排涝站</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运河堤路9号</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视频监控（球机）、水位计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泵站</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黄河排涝站</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花园路188号</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视频监控（球机）、水位计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泵站</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果园排涝站</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果园社区</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视频监控（球机）、水位计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泵站</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南区排涝站</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宿城南经济开发区</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视频监控（球机）、水位计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泵站</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开发区排涝站</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宿城南经济开发区</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视频监控（球机）、水位计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泵站</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黑海路排涝站</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利民河南端</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视频监控（球机）、水位计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泵站</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宿城区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南海路排涝站</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为民河南端</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jc w:val="cente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视频监控（球机）、水位计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40" w:lineRule="auto"/>
              <w:rPr>
                <w:rFonts w:hint="eastAsia" w:asciiTheme="minorEastAsia" w:hAnsiTheme="minorEastAsia" w:eastAsiaTheme="minorEastAsia" w:cstheme="minorEastAsia"/>
                <w:i w:val="0"/>
                <w:iCs w:val="0"/>
                <w:color w:val="000000"/>
                <w:sz w:val="20"/>
                <w:szCs w:val="20"/>
                <w:highlight w:val="none"/>
                <w:u w:val="none"/>
              </w:rPr>
            </w:pPr>
            <w:r>
              <w:rPr>
                <w:rFonts w:hint="eastAsia" w:asciiTheme="minorEastAsia" w:hAnsiTheme="minorEastAsia" w:eastAsiaTheme="minorEastAsia" w:cstheme="minorEastAsia"/>
                <w:i w:val="0"/>
                <w:iCs w:val="0"/>
                <w:color w:val="000000"/>
                <w:sz w:val="20"/>
                <w:szCs w:val="20"/>
                <w:highlight w:val="none"/>
                <w:u w:val="none"/>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泵站</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苏宿园区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利民河闸站</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利民河与清水河交汇处</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视频监控（球机）、水位计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泵站</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苏宿园区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为民河北闸站</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为民河与清水河交汇处</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视频监控（球机）、水位计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607" w:type="dxa"/>
            <w:vAlign w:val="center"/>
            <w:textDirection w:val="lrTb"/>
            <w:noWrap w:val="false"/>
          </w:tcPr>
          <w:p>
            <w:pP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泵站</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苏宿园区</w:t>
            </w:r>
            <w:r/>
          </w:p>
        </w:tc>
        <w:tc>
          <w:tcPr>
            <w:shd w:val="clear" w:color="auto" w:fill="auto"/>
            <w:tcBorders>
              <w:top w:val="single" w:color="000000" w:sz="4" w:space="0"/>
              <w:left w:val="single" w:color="000000" w:sz="4" w:space="0"/>
              <w:bottom w:val="single" w:color="000000" w:sz="4" w:space="0"/>
              <w:right w:val="single" w:color="000000" w:sz="4" w:space="0"/>
            </w:tcBorders>
            <w:tcW w:w="909" w:type="dxa"/>
            <w:vAlign w:val="center"/>
            <w:textDirection w:val="lrTb"/>
            <w:noWrap w:val="false"/>
          </w:tcPr>
          <w:p>
            <w:pP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为民河南闸站</w:t>
            </w:r>
            <w:r/>
          </w:p>
        </w:tc>
        <w:tc>
          <w:tcPr>
            <w:shd w:val="clear" w:color="auto" w:fill="auto"/>
            <w:tcBorders>
              <w:top w:val="single" w:color="000000" w:sz="4" w:space="0"/>
              <w:left w:val="single" w:color="000000" w:sz="4" w:space="0"/>
              <w:bottom w:val="single" w:color="000000" w:sz="4" w:space="0"/>
              <w:right w:val="single" w:color="000000" w:sz="4" w:space="0"/>
            </w:tcBorders>
            <w:tcW w:w="2730" w:type="dxa"/>
            <w:vAlign w:val="center"/>
            <w:textDirection w:val="lrTb"/>
            <w:noWrap w:val="false"/>
          </w:tcPr>
          <w:p>
            <w:pP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为民河与阳澄湖路交汇处南侧</w:t>
            </w:r>
            <w:r/>
          </w:p>
        </w:tc>
        <w:tc>
          <w:tcPr>
            <w:shd w:val="clear" w:color="auto" w:fill="auto"/>
            <w:tcBorders>
              <w:top w:val="single" w:color="000000" w:sz="4" w:space="0"/>
              <w:left w:val="single" w:color="000000" w:sz="4" w:space="0"/>
              <w:bottom w:val="single" w:color="000000" w:sz="4" w:space="0"/>
              <w:right w:val="single" w:color="000000" w:sz="4" w:space="0"/>
            </w:tcBorders>
            <w:tcW w:w="2182" w:type="dxa"/>
            <w:vAlign w:val="center"/>
            <w:textDirection w:val="lrTb"/>
            <w:noWrap w:val="false"/>
          </w:tcPr>
          <w:p>
            <w:pP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视频监控（球机）、水位计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tc>
      </w:tr>
      <w:tr>
        <w:trPr>
          <w:jc w:val="center"/>
          <w:trHeight w:val="240"/>
        </w:trPr>
        <w:tc>
          <w:tcPr>
            <w:gridSpan w:val="7"/>
            <w:shd w:val="clear" w:color="auto" w:fill="auto"/>
            <w:tcBorders>
              <w:top w:val="single" w:color="000000" w:sz="4" w:space="0"/>
              <w:left w:val="single" w:color="000000" w:sz="4" w:space="0"/>
              <w:bottom w:val="single" w:color="000000" w:sz="4" w:space="0"/>
              <w:right w:val="single" w:color="000000" w:sz="4" w:space="0"/>
            </w:tcBorders>
            <w:tcW w:w="9301" w:type="dxa"/>
            <w:vAlign w:val="center"/>
            <w:vMerge w:val="restart"/>
            <w:textDirection w:val="lrTb"/>
            <w:noWrap/>
          </w:tcPr>
          <w:p>
            <w:pPr>
              <w:spacing w:line="27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val="en-US" w:eastAsia="zh-CN"/>
                <w14:textFill>
                  <w14:solidFill>
                    <w14:schemeClr w14:val="tx1"/>
                  </w14:solidFill>
                </w14:textFill>
              </w:rPr>
              <w:t xml:space="preserve">预留4点位应急建设，共计80个</w:t>
            </w:r>
            <w:r/>
          </w:p>
        </w:tc>
      </w:tr>
    </w:tbl>
    <w:p>
      <w:pPr>
        <w:pStyle w:val="1095"/>
        <w:numPr>
          <w:ilvl w:val="0"/>
          <w:numId w:val="0"/>
        </w:numPr>
        <w:jc w:val="both"/>
        <w:spacing w:line="360" w:lineRule="auto"/>
        <w:widowControl w:val="off"/>
        <w:rPr>
          <w:rFonts w:hint="eastAsia" w:asciiTheme="minorEastAsia" w:hAnsiTheme="minorEastAsia" w:eastAsiaTheme="minorEastAsia" w:cstheme="minorEastAsia"/>
          <w:b/>
          <w:bCs/>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bidi="ar-SA"/>
          <w14:textFill>
            <w14:solidFill>
              <w14:schemeClr w14:val="tx1"/>
            </w14:solidFill>
          </w14:textFill>
        </w:rPr>
      </w:r>
      <w:r/>
    </w:p>
    <w:p>
      <w:pPr>
        <w:pStyle w:val="1060"/>
        <w:ind w:firstLine="480"/>
        <w:keepLines w:val="0"/>
        <w:keepNext w:val="0"/>
        <w:pageBreakBefore w:val="0"/>
        <w:spacing w:line="480" w:lineRule="exact"/>
        <w:rPr>
          <w:rFonts w:hint="eastAsia" w:asciiTheme="majorEastAsia" w:hAnsiTheme="majorEastAsia" w:eastAsiaTheme="majorEastAsia" w:cstheme="majorEastAsia"/>
          <w:b w:val="0"/>
          <w:bCs w:val="0"/>
          <w:color w:val="000000" w:themeColor="text1"/>
          <w:sz w:val="24"/>
          <w:szCs w:val="24"/>
          <w:highlight w:val="none"/>
          <w:lang w:val="en-US" w:eastAsia="zh-CN" w:bidi="ar-SA"/>
          <w14:textFill>
            <w14:solidFill>
              <w14:schemeClr w14:val="tx1"/>
            </w14:solidFill>
          </w14:textFill>
        </w:rPr>
        <w:outlineLvl w:val="1"/>
      </w:pPr>
      <w:r>
        <w:rPr>
          <w:rFonts w:hint="eastAsia" w:asciiTheme="majorEastAsia" w:hAnsiTheme="majorEastAsia" w:eastAsiaTheme="majorEastAsia" w:cstheme="majorEastAsia"/>
          <w:b w:val="0"/>
          <w:bCs w:val="0"/>
          <w:color w:val="000000" w:themeColor="text1"/>
          <w:sz w:val="24"/>
          <w:szCs w:val="24"/>
          <w:highlight w:val="none"/>
          <w:lang w:val="en-US" w:eastAsia="zh-CN" w:bidi="ar-SA"/>
          <w14:textFill>
            <w14:solidFill>
              <w14:schemeClr w14:val="tx1"/>
            </w14:solidFill>
          </w14:textFill>
        </w:rPr>
        <w:t xml:space="preserve">四、项目实施方案</w:t>
      </w:r>
      <w:r/>
    </w:p>
    <w:p>
      <w:pPr>
        <w:ind w:firstLine="480"/>
        <w:keepLines w:val="0"/>
        <w:keepNext w:val="0"/>
        <w:pageBreakBefore w:val="0"/>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投标人应在投标文件中提供完备的项目总体实施方案，包括项目实施计划方案、需求理解分析、施工技术分析、对现有平台技术描述、售后服务及培训方案。其中：</w:t>
      </w:r>
      <w:r/>
    </w:p>
    <w:p>
      <w:pPr>
        <w:ind w:firstLine="480"/>
        <w:keepLines w:val="0"/>
        <w:keepNext w:val="0"/>
        <w:pageBreakBefore w:val="0"/>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（1）项目实施计划方案：人员配备、岗位职责、设备安装调试、有明确的时间节点和进度安排，项目管理运行机制健全。</w:t>
      </w:r>
      <w:r/>
    </w:p>
    <w:p>
      <w:pPr>
        <w:ind w:firstLine="480"/>
        <w:keepLines w:val="0"/>
        <w:keepNext w:val="0"/>
        <w:pageBreakBefore w:val="0"/>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（2）需求理解分析：结合本地实际情况，对市区易涝点建设的项目概况、需求、现状及重难点问题进行分析，要求结构清晰，描述准确、全面、完整，科学合理有针对性。</w:t>
      </w:r>
      <w:r/>
    </w:p>
    <w:p>
      <w:pPr>
        <w:ind w:firstLine="480"/>
        <w:keepLines w:val="0"/>
        <w:keepNext w:val="0"/>
        <w:pageBreakBefore w:val="0"/>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（3）施工技术分析：能对所有点位施工现场进行实地勘测，结合实地情况逐一描述点位施工环境，取电方式，并提供现场照片。</w:t>
      </w:r>
      <w:r/>
    </w:p>
    <w:p>
      <w:pPr>
        <w:ind w:firstLine="480"/>
        <w:keepLines w:val="0"/>
        <w:keepNext w:val="0"/>
        <w:pageBreakBefore w:val="0"/>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（4）现有平台技术描述：能对现有易涝点平台采用的框架，技术方案及对接方式进行详细描述。要求结构清晰，描述准确、全面、完整，科学合理有针对性。</w:t>
      </w:r>
      <w:r/>
    </w:p>
    <w:p>
      <w:pPr>
        <w:ind w:firstLine="480"/>
        <w:keepLines w:val="0"/>
        <w:keepNext w:val="0"/>
        <w:pageBreakBefore w:val="0"/>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（5）平台扩容优化提升：站点编码管理、站点信息及设备信息管理、汛期报告自动生成、数据集成等。</w:t>
      </w:r>
      <w:r/>
    </w:p>
    <w:p>
      <w:pPr>
        <w:ind w:firstLine="480"/>
        <w:keepLines w:val="0"/>
        <w:keepNext w:val="0"/>
        <w:pageBreakBefore w:val="0"/>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（6）售后服务方案：根据采购需求中售后服务要求，编制售后服务方案。</w:t>
      </w:r>
      <w:r/>
    </w:p>
    <w:p>
      <w:pPr>
        <w:pStyle w:val="1060"/>
        <w:ind w:firstLine="480"/>
        <w:keepLines w:val="0"/>
        <w:keepNext w:val="0"/>
        <w:pageBreakBefore w:val="0"/>
        <w:spacing w:line="480" w:lineRule="exact"/>
        <w:rPr>
          <w:rFonts w:hint="eastAsia" w:asciiTheme="majorEastAsia" w:hAnsiTheme="majorEastAsia" w:eastAsiaTheme="majorEastAsia" w:cstheme="majorEastAsia"/>
          <w:b w:val="0"/>
          <w:bCs w:val="0"/>
          <w:color w:val="000000" w:themeColor="text1"/>
          <w:sz w:val="24"/>
          <w:szCs w:val="24"/>
          <w:highlight w:val="none"/>
          <w:lang w:val="en-US" w:eastAsia="zh-CN" w:bidi="ar-SA"/>
          <w14:textFill>
            <w14:solidFill>
              <w14:schemeClr w14:val="tx1"/>
            </w14:solidFill>
          </w14:textFill>
        </w:rPr>
        <w:outlineLvl w:val="1"/>
      </w:pPr>
      <w:r/>
      <w:bookmarkStart w:id="222" w:name="_Toc2913"/>
      <w:r>
        <w:rPr>
          <w:rFonts w:hint="eastAsia" w:asciiTheme="majorEastAsia" w:hAnsiTheme="majorEastAsia" w:eastAsiaTheme="majorEastAsia" w:cstheme="majorEastAsia"/>
          <w:b w:val="0"/>
          <w:bCs w:val="0"/>
          <w:color w:val="000000" w:themeColor="text1"/>
          <w:sz w:val="24"/>
          <w:szCs w:val="24"/>
          <w:highlight w:val="none"/>
          <w:lang w:val="en-US" w:eastAsia="zh-CN" w:bidi="ar-SA"/>
          <w14:textFill>
            <w14:solidFill>
              <w14:schemeClr w14:val="tx1"/>
            </w14:solidFill>
          </w14:textFill>
        </w:rPr>
        <w:t xml:space="preserve">五、工期、质保期及实施地点</w:t>
      </w:r>
      <w:bookmarkEnd w:id="222"/>
      <w:r/>
      <w:r/>
    </w:p>
    <w:p>
      <w:pPr>
        <w:ind w:firstLine="480"/>
        <w:keepLines w:val="0"/>
        <w:keepNext w:val="0"/>
        <w:pageBreakBefore w:val="0"/>
        <w:spacing w:line="48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（一）工期：</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合同签订并生效后50日历天完成货物、设备的采购、进场安装及调试等相关的全部工作。</w:t>
      </w:r>
      <w:r/>
    </w:p>
    <w:p>
      <w:pPr>
        <w:ind w:firstLine="480"/>
        <w:keepLines w:val="0"/>
        <w:keepNext w:val="0"/>
        <w:pageBreakBefore w:val="0"/>
        <w:spacing w:line="48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（二）运维服务期和质保期：三年。</w:t>
      </w:r>
      <w:r/>
    </w:p>
    <w:p>
      <w:pPr>
        <w:ind w:firstLine="480"/>
        <w:keepLines w:val="0"/>
        <w:keepNext w:val="0"/>
        <w:pageBreakBefore w:val="0"/>
        <w:spacing w:line="48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（三）实施地点：采购人指定。</w:t>
      </w:r>
      <w:r/>
    </w:p>
    <w:p>
      <w:pPr>
        <w:pStyle w:val="1060"/>
        <w:ind w:firstLine="480"/>
        <w:keepLines w:val="0"/>
        <w:keepNext w:val="0"/>
        <w:pageBreakBefore w:val="0"/>
        <w:spacing w:line="480" w:lineRule="exact"/>
        <w:rPr>
          <w:rFonts w:hint="eastAsia" w:asciiTheme="majorEastAsia" w:hAnsiTheme="majorEastAsia" w:eastAsiaTheme="majorEastAsia" w:cstheme="majorEastAsia"/>
          <w:b w:val="0"/>
          <w:bCs w:val="0"/>
          <w:color w:val="000000" w:themeColor="text1"/>
          <w:sz w:val="24"/>
          <w:szCs w:val="24"/>
          <w:highlight w:val="none"/>
          <w:lang w:val="en-US" w:eastAsia="zh-CN" w:bidi="ar-SA"/>
          <w14:textFill>
            <w14:solidFill>
              <w14:schemeClr w14:val="tx1"/>
            </w14:solidFill>
          </w14:textFill>
        </w:rPr>
        <w:outlineLvl w:val="1"/>
      </w:pPr>
      <w:r/>
      <w:bookmarkStart w:id="223" w:name="_Toc6963"/>
      <w:r>
        <w:rPr>
          <w:rFonts w:hint="eastAsia" w:asciiTheme="majorEastAsia" w:hAnsiTheme="majorEastAsia" w:eastAsiaTheme="majorEastAsia" w:cstheme="majorEastAsia"/>
          <w:b w:val="0"/>
          <w:bCs w:val="0"/>
          <w:color w:val="000000" w:themeColor="text1"/>
          <w:sz w:val="24"/>
          <w:szCs w:val="24"/>
          <w:highlight w:val="none"/>
          <w:lang w:val="en-US" w:eastAsia="zh-CN" w:bidi="ar-SA"/>
          <w14:textFill>
            <w14:solidFill>
              <w14:schemeClr w14:val="tx1"/>
            </w14:solidFill>
          </w14:textFill>
        </w:rPr>
        <w:t xml:space="preserve">六、产品质量要求</w:t>
      </w:r>
      <w:bookmarkEnd w:id="223"/>
      <w:r/>
      <w:r/>
    </w:p>
    <w:p>
      <w:pPr>
        <w:ind w:firstLine="480"/>
        <w:keepLines w:val="0"/>
        <w:keepNext w:val="0"/>
        <w:pageBreakBefore w:val="0"/>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bookmarkStart w:id="224" w:name="_Toc5866"/>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1.质量标准：遵循国家、行业及地方现行的规范和标准。</w:t>
      </w:r>
      <w:r/>
    </w:p>
    <w:p>
      <w:pPr>
        <w:ind w:firstLine="480"/>
        <w:keepLines w:val="0"/>
        <w:keepNext w:val="0"/>
        <w:pageBreakBefore w:val="0"/>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投标人必须提供符合国家质量检测标准的全新、未使用过的货物（包括所有设备的元器件、零配件、专用工具等），表面无划伤，无碰撞，无任何缺陷隐患，在中国境内可依常规安全合法使用，并附有原始厂商的装箱单、完整的技术资料及相应的中文说明等相关资料，必须提供设备的供货配置清单。若中标货物质量不符合招标文件要求，采购人有权拒收货物。投标人在交货时必需提供主要产品生产厂家供货证明书。投标人所供货物若与标书上列明的设备的型号、技术指标等不相符，有造假现象的，采购人有权拒收货物，投标人应承担由此给采购人带来的损失。</w:t>
      </w:r>
      <w:r/>
    </w:p>
    <w:p>
      <w:pPr>
        <w:pStyle w:val="1060"/>
        <w:ind w:firstLine="480"/>
        <w:keepLines w:val="0"/>
        <w:keepNext w:val="0"/>
        <w:pageBreakBefore w:val="0"/>
        <w:spacing w:line="480" w:lineRule="exact"/>
        <w:rPr>
          <w:rFonts w:hint="eastAsia" w:asciiTheme="majorEastAsia" w:hAnsiTheme="majorEastAsia" w:eastAsiaTheme="majorEastAsia" w:cstheme="majorEastAsia"/>
          <w:b w:val="0"/>
          <w:bCs w:val="0"/>
          <w:color w:val="000000" w:themeColor="text1"/>
          <w:sz w:val="24"/>
          <w:szCs w:val="24"/>
          <w:highlight w:val="none"/>
          <w:lang w:val="en-US" w:eastAsia="zh-CN" w:bidi="ar-SA"/>
          <w14:textFill>
            <w14:solidFill>
              <w14:schemeClr w14:val="tx1"/>
            </w14:solidFill>
          </w14:textFill>
        </w:rPr>
        <w:outlineLvl w:val="1"/>
      </w:pPr>
      <w:r>
        <w:rPr>
          <w:rFonts w:hint="eastAsia" w:asciiTheme="majorEastAsia" w:hAnsiTheme="majorEastAsia" w:eastAsiaTheme="majorEastAsia" w:cstheme="majorEastAsia"/>
          <w:b w:val="0"/>
          <w:bCs w:val="0"/>
          <w:color w:val="000000" w:themeColor="text1"/>
          <w:sz w:val="24"/>
          <w:szCs w:val="24"/>
          <w:highlight w:val="none"/>
          <w:lang w:val="en-US" w:eastAsia="zh-CN" w:bidi="ar-SA"/>
          <w14:textFill>
            <w14:solidFill>
              <w14:schemeClr w14:val="tx1"/>
            </w14:solidFill>
          </w14:textFill>
        </w:rPr>
        <w:t xml:space="preserve">七、项目管理力量、安装调试技术人员配备要求</w:t>
      </w:r>
      <w:r/>
    </w:p>
    <w:p>
      <w:pPr>
        <w:ind w:firstLine="480"/>
        <w:keepLines w:val="0"/>
        <w:keepNext w:val="0"/>
        <w:pageBreakBefore w:val="0"/>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投标人应组建专业服务团队负责本项目实施工作。项目团队应结合招标需求，因地制宜的制定项目实施计划，保证计划的科学性和可落地的要求，按计划推进设备安装、调试及将数据接入指定监测平台等工作。项目负责人负责项目的整体规划、进度和质量控制，协调各个部门和团队成员之间的工作，确保项目顺利进行，沟通项目进展情况，及时向采购人汇报。其他团队人员须了解用户具体需求，能够准确查找问题，熟练处理采购人提出的日常问题。</w:t>
      </w:r>
      <w:r/>
    </w:p>
    <w:p>
      <w:pPr>
        <w:pStyle w:val="1060"/>
        <w:ind w:firstLine="480"/>
        <w:keepLines w:val="0"/>
        <w:keepNext w:val="0"/>
        <w:pageBreakBefore w:val="0"/>
        <w:spacing w:line="480" w:lineRule="exact"/>
        <w:rPr>
          <w:rFonts w:hint="eastAsia" w:asciiTheme="majorEastAsia" w:hAnsiTheme="majorEastAsia" w:eastAsiaTheme="majorEastAsia" w:cstheme="majorEastAsia"/>
          <w:b w:val="0"/>
          <w:bCs w:val="0"/>
          <w:color w:val="000000" w:themeColor="text1"/>
          <w:sz w:val="24"/>
          <w:szCs w:val="24"/>
          <w:highlight w:val="none"/>
          <w:lang w:val="en-US" w:eastAsia="zh-CN" w:bidi="ar-SA"/>
          <w14:textFill>
            <w14:solidFill>
              <w14:schemeClr w14:val="tx1"/>
            </w14:solidFill>
          </w14:textFill>
        </w:rPr>
        <w:outlineLvl w:val="1"/>
      </w:pPr>
      <w:r>
        <w:rPr>
          <w:rFonts w:hint="eastAsia" w:asciiTheme="majorEastAsia" w:hAnsiTheme="majorEastAsia" w:eastAsiaTheme="majorEastAsia" w:cstheme="majorEastAsia"/>
          <w:b w:val="0"/>
          <w:bCs w:val="0"/>
          <w:color w:val="000000" w:themeColor="text1"/>
          <w:sz w:val="24"/>
          <w:szCs w:val="24"/>
          <w:highlight w:val="none"/>
          <w:lang w:val="en-US" w:eastAsia="zh-CN" w:bidi="ar-SA"/>
          <w14:textFill>
            <w14:solidFill>
              <w14:schemeClr w14:val="tx1"/>
            </w14:solidFill>
          </w14:textFill>
        </w:rPr>
        <w:t xml:space="preserve">八、安全要求</w:t>
      </w:r>
      <w:r/>
    </w:p>
    <w:p>
      <w:pPr>
        <w:ind w:firstLine="480"/>
        <w:keepLines w:val="0"/>
        <w:keepNext w:val="0"/>
        <w:pageBreakBefore w:val="0"/>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投标人对所供货物负责，其质量应严格执行国家级行业现行产品合格标准，因项目实施过程中产生的安全事故、人员伤亡、财产损失及因设备运行过程中出现的各类事故及危险事件，投标人负全部责任，并足额承担因此产生相应赔偿、损失及所有费用。</w:t>
      </w:r>
      <w:r/>
    </w:p>
    <w:p>
      <w:pPr>
        <w:pStyle w:val="1060"/>
        <w:ind w:firstLine="480"/>
        <w:keepLines w:val="0"/>
        <w:keepNext w:val="0"/>
        <w:pageBreakBefore w:val="0"/>
        <w:spacing w:line="480" w:lineRule="exact"/>
        <w:rPr>
          <w:rFonts w:hint="eastAsia" w:asciiTheme="majorEastAsia" w:hAnsiTheme="majorEastAsia" w:eastAsiaTheme="majorEastAsia" w:cstheme="majorEastAsia"/>
          <w:b w:val="0"/>
          <w:bCs w:val="0"/>
          <w:color w:val="000000" w:themeColor="text1"/>
          <w:sz w:val="24"/>
          <w:szCs w:val="24"/>
          <w:highlight w:val="none"/>
          <w:lang w:val="en-US" w:eastAsia="zh-CN" w:bidi="ar-SA"/>
          <w14:textFill>
            <w14:solidFill>
              <w14:schemeClr w14:val="tx1"/>
            </w14:solidFill>
          </w14:textFill>
        </w:rPr>
        <w:outlineLvl w:val="1"/>
      </w:pPr>
      <w:r>
        <w:rPr>
          <w:rFonts w:hint="eastAsia" w:asciiTheme="majorEastAsia" w:hAnsiTheme="majorEastAsia" w:eastAsiaTheme="majorEastAsia" w:cstheme="majorEastAsia"/>
          <w:b w:val="0"/>
          <w:bCs w:val="0"/>
          <w:color w:val="000000" w:themeColor="text1"/>
          <w:sz w:val="24"/>
          <w:szCs w:val="24"/>
          <w:highlight w:val="none"/>
          <w:lang w:val="en-US" w:eastAsia="zh-CN" w:bidi="ar-SA"/>
          <w14:textFill>
            <w14:solidFill>
              <w14:schemeClr w14:val="tx1"/>
            </w14:solidFill>
          </w14:textFill>
        </w:rPr>
        <w:t xml:space="preserve">九、验收标准及要求</w:t>
      </w:r>
      <w:r/>
    </w:p>
    <w:p>
      <w:pPr>
        <w:ind w:firstLine="480"/>
        <w:keepLines w:val="0"/>
        <w:keepNext w:val="0"/>
        <w:pageBreakBefore w:val="0"/>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keepLines w:val="0"/>
        <w:keepNext w:val="0"/>
        <w:pageBreakBefore w:val="0"/>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2、采购人对中标人提供的货物在使用前，中标人需负责培训采购人的使用操作人员，直到符合技术要求；</w:t>
      </w:r>
      <w:r/>
    </w:p>
    <w:p>
      <w:pPr>
        <w:ind w:firstLine="480"/>
        <w:keepLines w:val="0"/>
        <w:keepNext w:val="0"/>
        <w:pageBreakBefore w:val="0"/>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验收前中标人必须确保项目设备、材料、功能完全满足国家行业有关质量标准，应保证所提供设备涉及到的知识产权和所提供的软件、技术资料是合法取得，并享有完整的知识产权，不会因为采购人的使用而被责令停止使用、追偿或要求赔偿损失，如出现此情况，一切经济和法律责任均由中标人承担。</w:t>
      </w:r>
      <w:r/>
    </w:p>
    <w:p>
      <w:pPr>
        <w:pStyle w:val="1099"/>
        <w:ind w:firstLine="480"/>
        <w:keepLines w:val="0"/>
        <w:keepNext w:val="0"/>
        <w:pageBreakBefore w:val="0"/>
        <w:spacing w:line="480" w:lineRule="exact"/>
        <w:rPr>
          <w:rFonts w:hint="eastAsia" w:asciiTheme="minorEastAsia" w:hAnsiTheme="minorEastAsia" w:eastAsiaTheme="minorEastAsia" w:cstheme="minorEastAsia"/>
          <w:b w:val="0"/>
          <w:bCs/>
          <w:sz w:val="24"/>
          <w:szCs w:val="22"/>
          <w:highlight w:val="none"/>
          <w:lang w:val="en-US" w:eastAsia="zh-CN"/>
        </w:rPr>
        <w:outlineLvl w:val="9"/>
      </w:pPr>
      <w:r>
        <w:rPr>
          <w:rFonts w:hint="eastAsia" w:asciiTheme="minorEastAsia" w:hAnsiTheme="minorEastAsia" w:eastAsiaTheme="minorEastAsia" w:cstheme="minorEastAsia"/>
          <w:b w:val="0"/>
          <w:bCs/>
          <w:sz w:val="24"/>
          <w:szCs w:val="22"/>
          <w:highlight w:val="none"/>
          <w:lang w:val="en-US" w:eastAsia="zh-CN"/>
        </w:rPr>
        <w:t xml:space="preserve">4、验收</w:t>
      </w:r>
      <w:r/>
    </w:p>
    <w:p>
      <w:pPr>
        <w:ind w:firstLine="480"/>
        <w:keepLines w:val="0"/>
        <w:keepNext w:val="0"/>
        <w:pageBreakBefore w:val="0"/>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投标人按约定将货物送至采购人指定地点并安装调试完毕，乙方向甲方提交项目验收技术资料以及验收申请单，甲方收到申请后3个工作日内组织验收并按照合同约定以及投标文件中的产品技术标准进行验收，无问题后签署验收单。</w:t>
      </w:r>
      <w:r/>
    </w:p>
    <w:p>
      <w:pPr>
        <w:ind w:firstLine="480"/>
        <w:keepLines w:val="0"/>
        <w:keepNext w:val="0"/>
        <w:pageBreakBefore w:val="0"/>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验收的标准按照采购文件、响应文件及相关标准实施，须服从采购人安排要求。</w:t>
      </w:r>
      <w:bookmarkEnd w:id="224"/>
      <w:r/>
    </w:p>
    <w:p>
      <w:pPr>
        <w:pStyle w:val="1060"/>
        <w:ind w:firstLine="480"/>
        <w:keepLines w:val="0"/>
        <w:keepNext w:val="0"/>
        <w:pageBreakBefore w:val="0"/>
        <w:spacing w:line="480" w:lineRule="exact"/>
        <w:rPr>
          <w:rFonts w:hint="eastAsia" w:asciiTheme="majorEastAsia" w:hAnsiTheme="majorEastAsia" w:eastAsiaTheme="majorEastAsia" w:cstheme="majorEastAsia"/>
          <w:b w:val="0"/>
          <w:bCs w:val="0"/>
          <w:color w:val="000000" w:themeColor="text1"/>
          <w:sz w:val="24"/>
          <w:szCs w:val="24"/>
          <w:highlight w:val="none"/>
          <w:lang w:val="en-US" w:eastAsia="zh-CN" w:bidi="ar-SA"/>
          <w14:textFill>
            <w14:solidFill>
              <w14:schemeClr w14:val="tx1"/>
            </w14:solidFill>
          </w14:textFill>
        </w:rPr>
        <w:outlineLvl w:val="1"/>
      </w:pPr>
      <w:r>
        <w:rPr>
          <w:rFonts w:hint="eastAsia" w:asciiTheme="majorEastAsia" w:hAnsiTheme="majorEastAsia" w:eastAsiaTheme="majorEastAsia" w:cstheme="majorEastAsia"/>
          <w:b w:val="0"/>
          <w:bCs w:val="0"/>
          <w:color w:val="000000" w:themeColor="text1"/>
          <w:sz w:val="24"/>
          <w:szCs w:val="24"/>
          <w:highlight w:val="none"/>
          <w:lang w:val="en-US" w:eastAsia="zh-CN" w:bidi="ar-SA"/>
          <w14:textFill>
            <w14:solidFill>
              <w14:schemeClr w14:val="tx1"/>
            </w14:solidFill>
          </w14:textFill>
        </w:rPr>
        <w:t xml:space="preserve">十、售后服务（运维期）</w:t>
      </w:r>
      <w:r/>
    </w:p>
    <w:p>
      <w:pPr>
        <w:ind w:firstLine="480"/>
        <w:keepLines w:val="0"/>
        <w:keepNext w:val="0"/>
        <w:pageBreakBefore w:val="0"/>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本项目售后服务期为36个月（自验收合格之日起计算），售后服务期内所有设施设备的更换、维修均为免费（包括非故意人为损坏），相关配件的维修、保养费用由中标人免费提供，所有点位的网络通讯费用由乙方提供，所有服务产生的费用均不再收取；服务期满后，双方另行协商维护费用及职责。</w:t>
      </w:r>
      <w:r/>
    </w:p>
    <w:p>
      <w:pPr>
        <w:ind w:firstLine="480"/>
        <w:keepLines w:val="0"/>
        <w:keepNext w:val="0"/>
        <w:pageBreakBefore w:val="0"/>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2.售后服务保障不力的，采购人有权终止合同，停止支付项目相关费用。</w:t>
      </w:r>
      <w:r/>
    </w:p>
    <w:p>
      <w:pPr>
        <w:ind w:firstLine="480"/>
        <w:keepLines w:val="0"/>
        <w:keepNext w:val="0"/>
        <w:pageBreakBefore w:val="0"/>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3.需求调整和完善。售后服务期内中标人应对采购人提出的具体需求进行调整和完善。提供定期现场巡检和回访。</w:t>
      </w:r>
      <w:r/>
    </w:p>
    <w:p>
      <w:pPr>
        <w:ind w:firstLine="480"/>
        <w:keepLines w:val="0"/>
        <w:keepNext w:val="0"/>
        <w:pageBreakBefore w:val="0"/>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故障及时响应。成立专门的本地维护服务和技术支持小组，设备运行异常时，在接到采购人通知后，须全力协助采购人，使系统尽快恢复正常。具体为：疑难问题(不危及运行)在24小时内答复用户。重大问题(危及运行)在2小时内到现场处理或通过网络远程处理。特大问题(系统不能正常运行)在2小时内恢复系统运行，并在24小时内派技术人员到现场解决。现场予以排除故障、修复或更换零部件，或启用替代品。如需更换设备或送修，必须在2个工作日内解决。采购人不承担所产生的任何费用。</w:t>
      </w:r>
      <w:r/>
    </w:p>
    <w:p>
      <w:pPr>
        <w:pStyle w:val="1060"/>
        <w:ind w:firstLine="480"/>
        <w:keepLines w:val="0"/>
        <w:keepNext w:val="0"/>
        <w:pageBreakBefore w:val="0"/>
        <w:spacing w:line="480" w:lineRule="exact"/>
        <w:rPr>
          <w:rFonts w:hint="eastAsia" w:asciiTheme="majorEastAsia" w:hAnsiTheme="majorEastAsia" w:eastAsiaTheme="majorEastAsia" w:cstheme="majorEastAsia"/>
          <w:b w:val="0"/>
          <w:bCs w:val="0"/>
          <w:color w:val="000000" w:themeColor="text1"/>
          <w:sz w:val="24"/>
          <w:szCs w:val="24"/>
          <w:highlight w:val="none"/>
          <w:lang w:val="en-US" w:eastAsia="zh-CN" w:bidi="ar-SA"/>
          <w14:textFill>
            <w14:solidFill>
              <w14:schemeClr w14:val="tx1"/>
            </w14:solidFill>
          </w14:textFill>
        </w:rPr>
        <w:outlineLvl w:val="1"/>
      </w:pPr>
      <w:r>
        <w:rPr>
          <w:rFonts w:hint="eastAsia" w:asciiTheme="majorEastAsia" w:hAnsiTheme="majorEastAsia" w:eastAsiaTheme="majorEastAsia" w:cstheme="majorEastAsia"/>
          <w:b w:val="0"/>
          <w:bCs w:val="0"/>
          <w:color w:val="000000" w:themeColor="text1"/>
          <w:sz w:val="24"/>
          <w:szCs w:val="24"/>
          <w:highlight w:val="none"/>
          <w:lang w:val="en-US" w:eastAsia="zh-CN" w:bidi="ar-SA"/>
          <w14:textFill>
            <w14:solidFill>
              <w14:schemeClr w14:val="tx1"/>
            </w14:solidFill>
          </w14:textFill>
        </w:rPr>
        <w:t xml:space="preserve">十一、其他</w:t>
      </w:r>
      <w:r/>
    </w:p>
    <w:p>
      <w:pPr>
        <w:ind w:firstLine="480"/>
        <w:keepLines w:val="0"/>
        <w:keepNext w:val="0"/>
        <w:pageBreakBefore w:val="0"/>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本项目不接受备选的方案或有选择的报价，只允许有一个报价。报价内容包括：设备采购安装、调试及相关配套费、网络费、数据对接费、人工费、服务费、税金、满足实现采购需求功能和效果以及履约过程中涉及到的其他一切费用。投标人充分考虑所有可能影响到报价的因素。如发生漏、缺、少项，损失自负，含招标文件规定的所有一切责任、义务和可能风险的全部费用。</w:t>
      </w:r>
      <w:r/>
    </w:p>
    <w:p>
      <w:pPr>
        <w:ind w:firstLine="480"/>
        <w:keepLines w:val="0"/>
        <w:keepNext w:val="0"/>
        <w:pageBreakBefore w:val="0"/>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（2）若本项目设备在质保期内损坏，在返修期间，中标人应针对此项目提供备用设备（备用设备性能参数不影响整体性能和安全性）。</w:t>
      </w:r>
      <w:r/>
    </w:p>
    <w:p>
      <w:pPr>
        <w:ind w:firstLine="480"/>
        <w:keepLines w:val="0"/>
        <w:keepNext w:val="0"/>
        <w:pageBreakBefore w:val="0"/>
        <w:spacing w:line="48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（3）中标人所提供产品为原厂全新正品，品牌、型号、参数与投标文件所投产品一致，否则采购人有权退货。</w:t>
      </w:r>
      <w:r/>
    </w:p>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clear="all"/>
      </w:r>
      <w:r/>
    </w:p>
    <w:p>
      <w:pPr>
        <w:pStyle w:val="737"/>
        <w:jc w:val="center"/>
        <w:rPr>
          <w:rFonts w:hint="eastAsia"/>
          <w:b/>
          <w:bCs/>
          <w:highlight w:val="none"/>
        </w:rPr>
      </w:pPr>
      <w:r/>
      <w:bookmarkStart w:id="225" w:name="_Toc29974"/>
      <w:r/>
      <w:bookmarkStart w:id="226" w:name="_Toc30458"/>
      <w:r>
        <w:rPr>
          <w:rFonts w:hint="eastAsia"/>
          <w:b/>
          <w:bCs/>
          <w:highlight w:val="none"/>
        </w:rPr>
        <w:t xml:space="preserve">第五章  评标方法与评标标准</w:t>
      </w:r>
      <w:bookmarkEnd w:id="225"/>
      <w:r/>
      <w:bookmarkEnd w:id="226"/>
      <w:r/>
      <w:r/>
    </w:p>
    <w:p>
      <w:pPr>
        <w:spacing w:line="40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p>
      <w:pPr>
        <w:ind w:firstLine="482"/>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一、</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资格审查。</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资格审查人员按照下列指标对各投标人的资格进行审查，未通过审查的为无效标，不参与评标。</w:t>
      </w:r>
      <w:r/>
    </w:p>
    <w:tbl>
      <w:tblPr>
        <w:tblStyle w:val="747"/>
        <w:tblW w:w="50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562"/>
        <w:gridCol w:w="4566"/>
      </w:tblGrid>
      <w:tr>
        <w:trPr>
          <w:jc w:val="center"/>
          <w:trHeight w:val="510" w:hRule="exact"/>
        </w:trPr>
        <w:tc>
          <w:tcPr>
            <w:tcMar>
              <w:left w:w="57" w:type="dxa"/>
              <w:top w:w="57" w:type="dxa"/>
              <w:right w:w="57" w:type="dxa"/>
              <w:bottom w:w="57" w:type="dxa"/>
            </w:tcMar>
            <w:tcW w:w="4506" w:type="dxa"/>
            <w:vAlign w:val="center"/>
            <w:textDirection w:val="lrTb"/>
            <w:noWrap w:val="false"/>
          </w:tcPr>
          <w:p>
            <w:pPr>
              <w:ind w:firstLine="480"/>
              <w:jc w:val="center"/>
              <w:spacing w:line="480" w:lineRule="exact"/>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资格审查因素</w:t>
            </w:r>
            <w:r/>
          </w:p>
        </w:tc>
        <w:tc>
          <w:tcPr>
            <w:tcMar>
              <w:left w:w="57" w:type="dxa"/>
              <w:top w:w="57" w:type="dxa"/>
              <w:right w:w="57" w:type="dxa"/>
              <w:bottom w:w="57" w:type="dxa"/>
            </w:tcMar>
            <w:tcW w:w="4509" w:type="dxa"/>
            <w:vAlign w:val="center"/>
            <w:textDirection w:val="lrTb"/>
            <w:noWrap w:val="false"/>
          </w:tcPr>
          <w:p>
            <w:pPr>
              <w:ind w:firstLine="480"/>
              <w:jc w:val="center"/>
              <w:spacing w:line="480" w:lineRule="exact"/>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审查标准</w:t>
            </w:r>
            <w:r/>
          </w:p>
        </w:tc>
      </w:tr>
      <w:tr>
        <w:trPr>
          <w:jc w:val="center"/>
          <w:trHeight w:val="510" w:hRule="exact"/>
        </w:trPr>
        <w:tc>
          <w:tcPr>
            <w:tcMar>
              <w:left w:w="57" w:type="dxa"/>
              <w:top w:w="57" w:type="dxa"/>
              <w:right w:w="57" w:type="dxa"/>
              <w:bottom w:w="57" w:type="dxa"/>
            </w:tcMar>
            <w:tcW w:w="4506" w:type="dxa"/>
            <w:vAlign w:val="center"/>
            <w:textDirection w:val="lrTb"/>
            <w:noWrap w:val="false"/>
          </w:tcPr>
          <w:p>
            <w:pPr>
              <w:ind w:firstLine="480"/>
              <w:jc w:val="center"/>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投标声明及承诺函</w:t>
            </w:r>
            <w:r/>
          </w:p>
        </w:tc>
        <w:tc>
          <w:tcPr>
            <w:tcMar>
              <w:left w:w="57" w:type="dxa"/>
              <w:top w:w="57" w:type="dxa"/>
              <w:right w:w="57" w:type="dxa"/>
              <w:bottom w:w="57" w:type="dxa"/>
            </w:tcMar>
            <w:tcW w:w="4509" w:type="dxa"/>
            <w:vAlign w:val="center"/>
            <w:textDirection w:val="lrTb"/>
            <w:noWrap w:val="false"/>
          </w:tcPr>
          <w:p>
            <w:pPr>
              <w:ind w:firstLine="480"/>
              <w:jc w:val="center"/>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符合招标文件要求</w:t>
            </w:r>
            <w:r/>
          </w:p>
        </w:tc>
      </w:tr>
      <w:tr>
        <w:trPr>
          <w:jc w:val="center"/>
          <w:trHeight w:val="510" w:hRule="exact"/>
        </w:trPr>
        <w:tc>
          <w:tcPr>
            <w:tcMar>
              <w:left w:w="57" w:type="dxa"/>
              <w:top w:w="57" w:type="dxa"/>
              <w:right w:w="57" w:type="dxa"/>
              <w:bottom w:w="57" w:type="dxa"/>
            </w:tcMar>
            <w:tcW w:w="4506" w:type="dxa"/>
            <w:vAlign w:val="center"/>
            <w:textDirection w:val="lrTb"/>
            <w:noWrap w:val="false"/>
          </w:tcPr>
          <w:p>
            <w:pPr>
              <w:ind w:firstLine="480"/>
              <w:jc w:val="center"/>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信用信息</w:t>
            </w:r>
            <w:r/>
          </w:p>
        </w:tc>
        <w:tc>
          <w:tcPr>
            <w:tcMar>
              <w:left w:w="57" w:type="dxa"/>
              <w:top w:w="57" w:type="dxa"/>
              <w:right w:w="57" w:type="dxa"/>
              <w:bottom w:w="57" w:type="dxa"/>
            </w:tcMar>
            <w:tcW w:w="4509" w:type="dxa"/>
            <w:vAlign w:val="center"/>
            <w:textDirection w:val="lrTb"/>
            <w:noWrap w:val="false"/>
          </w:tcPr>
          <w:p>
            <w:pPr>
              <w:ind w:firstLine="480"/>
              <w:jc w:val="center"/>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符合招标文件要求</w:t>
            </w:r>
            <w:r/>
          </w:p>
        </w:tc>
      </w:tr>
      <w:tr>
        <w:trPr>
          <w:jc w:val="center"/>
          <w:trHeight w:val="510" w:hRule="exact"/>
        </w:trPr>
        <w:tc>
          <w:tcPr>
            <w:tcMar>
              <w:left w:w="57" w:type="dxa"/>
              <w:top w:w="57" w:type="dxa"/>
              <w:right w:w="57" w:type="dxa"/>
              <w:bottom w:w="57" w:type="dxa"/>
            </w:tcMar>
            <w:tcW w:w="4506" w:type="dxa"/>
            <w:vAlign w:val="center"/>
            <w:textDirection w:val="lrTb"/>
            <w:noWrap w:val="false"/>
          </w:tcPr>
          <w:p>
            <w:pPr>
              <w:ind w:firstLine="480"/>
              <w:jc w:val="center"/>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联合体投标</w:t>
            </w:r>
            <w:r/>
          </w:p>
        </w:tc>
        <w:tc>
          <w:tcPr>
            <w:tcMar>
              <w:left w:w="57" w:type="dxa"/>
              <w:top w:w="57" w:type="dxa"/>
              <w:right w:w="57" w:type="dxa"/>
              <w:bottom w:w="57" w:type="dxa"/>
            </w:tcMar>
            <w:tcW w:w="4509" w:type="dxa"/>
            <w:vAlign w:val="center"/>
            <w:textDirection w:val="lrTb"/>
            <w:noWrap w:val="false"/>
          </w:tcPr>
          <w:p>
            <w:pPr>
              <w:ind w:firstLine="480"/>
              <w:jc w:val="center"/>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不接受联合体投标</w:t>
            </w:r>
            <w:r/>
          </w:p>
        </w:tc>
      </w:tr>
    </w:tbl>
    <w:p>
      <w:pPr>
        <w:ind w:firstLine="560"/>
        <w:spacing w:line="200" w:lineRule="exact"/>
        <w:rPr>
          <w:rFonts w:hint="eastAsia" w:asciiTheme="minorEastAsia" w:hAnsiTheme="minorEastAsia" w:eastAsiaTheme="minorEastAsia" w:cstheme="minorEastAsia"/>
          <w:b/>
          <w:color w:val="000000" w:themeColor="text1"/>
          <w:sz w:val="28"/>
          <w:szCs w:val="22"/>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8"/>
          <w:szCs w:val="22"/>
          <w:highlight w:val="none"/>
          <w14:textFill>
            <w14:solidFill>
              <w14:schemeClr w14:val="tx1"/>
            </w14:solidFill>
          </w14:textFill>
        </w:rPr>
      </w:r>
      <w:r/>
    </w:p>
    <w:p>
      <w:pPr>
        <w:ind w:firstLine="482"/>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二、</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符合性审查。</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评标委员会首先按照下列指标对各投标人的投标文件进行符合性审查，未通过审查的为无效标，不再参与评审。</w:t>
      </w:r>
      <w:r/>
    </w:p>
    <w:tbl>
      <w:tblPr>
        <w:tblStyle w:val="747"/>
        <w:tblW w:w="50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4570"/>
        <w:gridCol w:w="4575"/>
      </w:tblGrid>
      <w:tr>
        <w:trPr>
          <w:jc w:val="center"/>
          <w:trHeight w:val="510" w:hRule="exact"/>
        </w:trPr>
        <w:tc>
          <w:tcPr>
            <w:tcMar>
              <w:left w:w="57" w:type="dxa"/>
              <w:top w:w="57" w:type="dxa"/>
              <w:right w:w="57" w:type="dxa"/>
              <w:bottom w:w="57" w:type="dxa"/>
            </w:tcMar>
            <w:tcW w:w="4513" w:type="dxa"/>
            <w:vAlign w:val="center"/>
            <w:textDirection w:val="lrTb"/>
            <w:noWrap w:val="false"/>
          </w:tcPr>
          <w:p>
            <w:pPr>
              <w:ind w:firstLine="480"/>
              <w:jc w:val="center"/>
              <w:spacing w:line="480" w:lineRule="exact"/>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符合性审查因素</w:t>
            </w:r>
            <w:r/>
          </w:p>
        </w:tc>
        <w:tc>
          <w:tcPr>
            <w:tcMar>
              <w:left w:w="57" w:type="dxa"/>
              <w:top w:w="57" w:type="dxa"/>
              <w:right w:w="57" w:type="dxa"/>
              <w:bottom w:w="57" w:type="dxa"/>
            </w:tcMar>
            <w:tcW w:w="4517" w:type="dxa"/>
            <w:vAlign w:val="center"/>
            <w:textDirection w:val="lrTb"/>
            <w:noWrap w:val="false"/>
          </w:tcPr>
          <w:p>
            <w:pPr>
              <w:ind w:firstLine="480"/>
              <w:jc w:val="center"/>
              <w:spacing w:line="480" w:lineRule="exact"/>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审查标准</w:t>
            </w:r>
            <w:r/>
          </w:p>
        </w:tc>
      </w:tr>
      <w:tr>
        <w:trPr>
          <w:jc w:val="center"/>
          <w:trHeight w:val="510" w:hRule="exact"/>
        </w:trPr>
        <w:tc>
          <w:tcPr>
            <w:tcMar>
              <w:left w:w="57" w:type="dxa"/>
              <w:top w:w="57" w:type="dxa"/>
              <w:right w:w="57" w:type="dxa"/>
              <w:bottom w:w="57" w:type="dxa"/>
            </w:tcMar>
            <w:tcW w:w="4513" w:type="dxa"/>
            <w:vAlign w:val="center"/>
            <w:textDirection w:val="lrTb"/>
            <w:noWrap w:val="false"/>
          </w:tcPr>
          <w:p>
            <w:pPr>
              <w:ind w:firstLine="480"/>
              <w:jc w:val="center"/>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法人授权委托书</w:t>
            </w:r>
            <w:r/>
          </w:p>
        </w:tc>
        <w:tc>
          <w:tcPr>
            <w:tcMar>
              <w:left w:w="57" w:type="dxa"/>
              <w:top w:w="57" w:type="dxa"/>
              <w:right w:w="57" w:type="dxa"/>
              <w:bottom w:w="57" w:type="dxa"/>
            </w:tcMar>
            <w:tcW w:w="4517" w:type="dxa"/>
            <w:vAlign w:val="center"/>
            <w:textDirection w:val="lrTb"/>
            <w:noWrap w:val="false"/>
          </w:tcPr>
          <w:p>
            <w:pPr>
              <w:ind w:firstLine="480"/>
              <w:jc w:val="center"/>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符合招标文件要求</w:t>
            </w:r>
            <w:r/>
          </w:p>
        </w:tc>
      </w:tr>
      <w:tr>
        <w:trPr>
          <w:jc w:val="center"/>
          <w:trHeight w:val="510" w:hRule="exact"/>
        </w:trPr>
        <w:tc>
          <w:tcPr>
            <w:tcMar>
              <w:left w:w="57" w:type="dxa"/>
              <w:top w:w="57" w:type="dxa"/>
              <w:right w:w="57" w:type="dxa"/>
              <w:bottom w:w="57" w:type="dxa"/>
            </w:tcMar>
            <w:tcW w:w="4513" w:type="dxa"/>
            <w:vAlign w:val="center"/>
            <w:textDirection w:val="lrTb"/>
            <w:noWrap w:val="false"/>
          </w:tcPr>
          <w:p>
            <w:pPr>
              <w:ind w:firstLine="480"/>
              <w:jc w:val="center"/>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开标一览表及投标报价</w:t>
            </w:r>
            <w:r/>
          </w:p>
        </w:tc>
        <w:tc>
          <w:tcPr>
            <w:tcMar>
              <w:left w:w="57" w:type="dxa"/>
              <w:top w:w="57" w:type="dxa"/>
              <w:right w:w="57" w:type="dxa"/>
              <w:bottom w:w="57" w:type="dxa"/>
            </w:tcMar>
            <w:tcW w:w="4517" w:type="dxa"/>
            <w:vAlign w:val="center"/>
            <w:textDirection w:val="lrTb"/>
            <w:noWrap w:val="false"/>
          </w:tcPr>
          <w:p>
            <w:pPr>
              <w:ind w:firstLine="480"/>
              <w:jc w:val="center"/>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格式、填写要求符合招标文件规定</w:t>
            </w:r>
            <w:r/>
          </w:p>
        </w:tc>
      </w:tr>
      <w:tr>
        <w:trPr>
          <w:jc w:val="center"/>
          <w:trHeight w:val="510" w:hRule="exact"/>
        </w:trPr>
        <w:tc>
          <w:tcPr>
            <w:tcMar>
              <w:left w:w="57" w:type="dxa"/>
              <w:top w:w="57" w:type="dxa"/>
              <w:right w:w="57" w:type="dxa"/>
              <w:bottom w:w="57" w:type="dxa"/>
            </w:tcMar>
            <w:tcW w:w="4513" w:type="dxa"/>
            <w:vAlign w:val="center"/>
            <w:textDirection w:val="lrTb"/>
            <w:noWrap w:val="false"/>
          </w:tcPr>
          <w:p>
            <w:pPr>
              <w:ind w:firstLine="480"/>
              <w:jc w:val="center"/>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技术标准和要求</w:t>
            </w:r>
            <w:r/>
          </w:p>
        </w:tc>
        <w:tc>
          <w:tcPr>
            <w:tcMar>
              <w:left w:w="57" w:type="dxa"/>
              <w:top w:w="57" w:type="dxa"/>
              <w:right w:w="57" w:type="dxa"/>
              <w:bottom w:w="57" w:type="dxa"/>
            </w:tcMar>
            <w:tcW w:w="4517" w:type="dxa"/>
            <w:vAlign w:val="center"/>
            <w:textDirection w:val="lrTb"/>
            <w:noWrap w:val="false"/>
          </w:tcPr>
          <w:p>
            <w:pPr>
              <w:ind w:firstLine="480"/>
              <w:jc w:val="center"/>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符合招标文件要求</w:t>
            </w:r>
            <w:r/>
          </w:p>
        </w:tc>
      </w:tr>
      <w:tr>
        <w:trPr>
          <w:jc w:val="center"/>
          <w:trHeight w:val="510" w:hRule="exact"/>
        </w:trPr>
        <w:tc>
          <w:tcPr>
            <w:tcMar>
              <w:left w:w="57" w:type="dxa"/>
              <w:top w:w="57" w:type="dxa"/>
              <w:right w:w="57" w:type="dxa"/>
              <w:bottom w:w="57" w:type="dxa"/>
            </w:tcMar>
            <w:tcW w:w="4513" w:type="dxa"/>
            <w:vAlign w:val="center"/>
            <w:textDirection w:val="lrTb"/>
            <w:noWrap w:val="false"/>
          </w:tcPr>
          <w:p>
            <w:pPr>
              <w:ind w:firstLine="480"/>
              <w:jc w:val="center"/>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其他</w:t>
            </w:r>
            <w:r/>
          </w:p>
        </w:tc>
        <w:tc>
          <w:tcPr>
            <w:tcMar>
              <w:left w:w="57" w:type="dxa"/>
              <w:top w:w="57" w:type="dxa"/>
              <w:right w:w="57" w:type="dxa"/>
              <w:bottom w:w="57" w:type="dxa"/>
            </w:tcMar>
            <w:tcW w:w="4517" w:type="dxa"/>
            <w:vAlign w:val="center"/>
            <w:textDirection w:val="lrTb"/>
            <w:noWrap w:val="false"/>
          </w:tcPr>
          <w:p>
            <w:pPr>
              <w:ind w:firstLine="480"/>
              <w:jc w:val="center"/>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符合招标文件要求</w:t>
            </w:r>
            <w:r/>
          </w:p>
        </w:tc>
      </w:tr>
    </w:tbl>
    <w:p>
      <w:pPr>
        <w:ind w:firstLine="482"/>
        <w:keepLines w:val="0"/>
        <w:keepNext w:val="0"/>
        <w:pageBreakBefore w:val="0"/>
        <w:spacing w:line="480" w:lineRule="exact"/>
        <w:widowControl w:val="off"/>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三、评分办法—综合评分法</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一）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评标委员会根据评审后投标人排序推荐3名中标候选人。投标文件满足招标文件全部实质性要求，且评审后排序第一的投标人为第一中标候选人，依次类推。</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综合评分保留至小数点后两位。 </w:t>
      </w:r>
      <w:r/>
    </w:p>
    <w:p>
      <w:pPr>
        <w:pStyle w:val="751"/>
        <w:ind w:firstLine="482"/>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b/>
          <w:color w:val="000000" w:themeColor="text1"/>
          <w:sz w:val="24"/>
          <w:highlight w:val="none"/>
          <w14:textFill>
            <w14:solidFill>
              <w14:schemeClr w14:val="tx1"/>
            </w14:solidFill>
          </w14:textFill>
        </w:rPr>
        <w:t xml:space="preserve">（二）详细评审。</w:t>
      </w:r>
      <w:r>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t xml:space="preserve">评标委员会按照招标文件规定的评分标准，对各投标文件进行详细评审打分。评标委员会组长对各评审专家的打分情况进行复核无误后汇总，形成评审报告。</w:t>
      </w:r>
      <w:r/>
    </w:p>
    <w:tbl>
      <w:tblPr>
        <w:tblStyle w:val="747"/>
        <w:tblW w:w="9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2"/>
        <w:gridCol w:w="1159"/>
        <w:gridCol w:w="1050"/>
        <w:gridCol w:w="6084"/>
      </w:tblGrid>
      <w:tr>
        <w:trPr>
          <w:jc w:val="center"/>
          <w:trHeight w:val="454"/>
          <w:tblHeader/>
        </w:trPr>
        <w:tc>
          <w:tcPr>
            <w:gridSpan w:val="2"/>
            <w:tcMar>
              <w:left w:w="57" w:type="dxa"/>
              <w:top w:w="57" w:type="dxa"/>
              <w:right w:w="57" w:type="dxa"/>
              <w:bottom w:w="57" w:type="dxa"/>
            </w:tcMar>
            <w:tcW w:w="2261"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评审因素</w:t>
            </w:r>
            <w:r/>
          </w:p>
        </w:tc>
        <w:tc>
          <w:tcPr>
            <w:tcMar>
              <w:left w:w="57" w:type="dxa"/>
              <w:top w:w="57" w:type="dxa"/>
              <w:right w:w="57" w:type="dxa"/>
              <w:bottom w:w="57" w:type="dxa"/>
            </w:tcMar>
            <w:tcW w:w="1050"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分数</w:t>
            </w:r>
            <w:r/>
          </w:p>
        </w:tc>
        <w:tc>
          <w:tcPr>
            <w:tcMar>
              <w:left w:w="57" w:type="dxa"/>
              <w:top w:w="57" w:type="dxa"/>
              <w:right w:w="57" w:type="dxa"/>
              <w:bottom w:w="57" w:type="dxa"/>
            </w:tcMar>
            <w:tcW w:w="6084"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评审标准</w:t>
            </w:r>
            <w:r/>
          </w:p>
        </w:tc>
      </w:tr>
      <w:tr>
        <w:trPr>
          <w:jc w:val="center"/>
          <w:trHeight w:val="454"/>
        </w:trPr>
        <w:tc>
          <w:tcPr>
            <w:tcMar>
              <w:left w:w="57" w:type="dxa"/>
              <w:top w:w="57" w:type="dxa"/>
              <w:right w:w="57" w:type="dxa"/>
              <w:bottom w:w="57" w:type="dxa"/>
            </w:tcMar>
            <w:tcW w:w="1102"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报价分</w:t>
            </w:r>
            <w:r/>
          </w:p>
        </w:tc>
        <w:tc>
          <w:tcPr>
            <w:tcMar>
              <w:left w:w="57" w:type="dxa"/>
              <w:top w:w="57" w:type="dxa"/>
              <w:right w:w="57" w:type="dxa"/>
              <w:bottom w:w="57" w:type="dxa"/>
            </w:tcMar>
            <w:tcW w:w="1159"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投标报价</w:t>
            </w:r>
            <w:r/>
          </w:p>
        </w:tc>
        <w:tc>
          <w:tcPr>
            <w:tcMar>
              <w:left w:w="57" w:type="dxa"/>
              <w:top w:w="57" w:type="dxa"/>
              <w:right w:w="57" w:type="dxa"/>
              <w:bottom w:w="57" w:type="dxa"/>
            </w:tcMar>
            <w:tcW w:w="1050"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0.00分</w:t>
            </w:r>
            <w:r/>
          </w:p>
        </w:tc>
        <w:tc>
          <w:tcPr>
            <w:tcMar>
              <w:left w:w="57" w:type="dxa"/>
              <w:top w:w="57" w:type="dxa"/>
              <w:right w:w="57" w:type="dxa"/>
              <w:bottom w:w="57" w:type="dxa"/>
            </w:tcMar>
            <w:tcW w:w="6084" w:type="dxa"/>
            <w:vAlign w:val="center"/>
            <w:textDirection w:val="lrTb"/>
            <w:noWrap w:val="false"/>
          </w:tcPr>
          <w:p>
            <w:pPr>
              <w:keepLines w:val="0"/>
              <w:keepNext w:val="0"/>
              <w:pageBreakBefore w:val="0"/>
              <w:spacing w:line="3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采用低价优先法计算，即满足招标文件要求且投标价格最低的投标报价为评标基准价，其价格分为满分。其他投标人投标报价得分＝（评标基准价/投标报价）*</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0。</w:t>
            </w:r>
            <w:r/>
          </w:p>
          <w:p>
            <w:pPr>
              <w:keepLines w:val="0"/>
              <w:keepNext w:val="0"/>
              <w:pageBreakBefore w:val="0"/>
              <w:spacing w:line="3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注：符合条件的小企业（含小型、微型企业）参与投标，对小型和微型企业产品的价格给予10%的扣除，用扣除后的价格参与评审。</w:t>
            </w:r>
            <w:r/>
          </w:p>
        </w:tc>
      </w:tr>
      <w:tr>
        <w:trPr>
          <w:jc w:val="center"/>
          <w:trHeight w:val="454"/>
        </w:trPr>
        <w:tc>
          <w:tcPr>
            <w:tcMar>
              <w:left w:w="57" w:type="dxa"/>
              <w:top w:w="57" w:type="dxa"/>
              <w:right w:w="57" w:type="dxa"/>
              <w:bottom w:w="57" w:type="dxa"/>
            </w:tcMar>
            <w:tcW w:w="1102" w:type="dxa"/>
            <w:vAlign w:val="center"/>
            <w:vMerge w:val="restart"/>
            <w:textDirection w:val="lrTb"/>
            <w:noWrap w:val="false"/>
          </w:tcPr>
          <w:p>
            <w:pPr>
              <w:jc w:val="center"/>
              <w:keepLines w:val="0"/>
              <w:keepNext w:val="0"/>
              <w:pageBreakBefore w:val="0"/>
              <w:spacing w:line="3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技术</w:t>
            </w:r>
            <w:r/>
          </w:p>
          <w:p>
            <w:pPr>
              <w:jc w:val="center"/>
              <w:keepLines w:val="0"/>
              <w:keepNext w:val="0"/>
              <w:pageBreakBefore w:val="0"/>
              <w:spacing w:line="3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响应</w:t>
            </w:r>
            <w:r/>
          </w:p>
        </w:tc>
        <w:tc>
          <w:tcPr>
            <w:tcMar>
              <w:left w:w="57" w:type="dxa"/>
              <w:top w:w="57" w:type="dxa"/>
              <w:right w:w="57" w:type="dxa"/>
              <w:bottom w:w="57" w:type="dxa"/>
            </w:tcMar>
            <w:tcW w:w="1159"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w:t>
            </w:r>
            <w:r/>
          </w:p>
          <w:p>
            <w:pPr>
              <w:jc w:val="center"/>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参数响应</w:t>
            </w:r>
            <w:r/>
          </w:p>
        </w:tc>
        <w:tc>
          <w:tcPr>
            <w:tcMar>
              <w:left w:w="57" w:type="dxa"/>
              <w:top w:w="57" w:type="dxa"/>
              <w:right w:w="57" w:type="dxa"/>
              <w:bottom w:w="57" w:type="dxa"/>
            </w:tcMar>
            <w:tcW w:w="1050"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.00分</w:t>
            </w:r>
            <w:r/>
          </w:p>
        </w:tc>
        <w:tc>
          <w:tcPr>
            <w:tcMar>
              <w:left w:w="57" w:type="dxa"/>
              <w:top w:w="57" w:type="dxa"/>
              <w:right w:w="57" w:type="dxa"/>
              <w:bottom w:w="57" w:type="dxa"/>
            </w:tcMar>
            <w:tcW w:w="6084" w:type="dxa"/>
            <w:vAlign w:val="center"/>
            <w:textDirection w:val="lrTb"/>
            <w:noWrap w:val="false"/>
          </w:tcPr>
          <w:p>
            <w:pPr>
              <w:keepLines w:val="0"/>
              <w:keepNext w:val="0"/>
              <w:pageBreakBefore w:val="0"/>
              <w:spacing w:line="3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投标人所投产品的技术性能、功能、参数、规格等能够完全满足或优于采购文件中技术参数要求，得2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分。“▲”号为重</w:t>
            </w:r>
            <w:r>
              <w:rPr>
                <w:rFonts w:hint="eastAsia" w:ascii="宋体" w:hAnsi="宋体" w:eastAsia="宋体" w:cs="宋体"/>
                <w:color w:val="auto"/>
                <w:sz w:val="24"/>
                <w:szCs w:val="24"/>
                <w:highlight w:val="none"/>
                <w:lang w:val="en-US" w:eastAsia="zh-CN"/>
              </w:rPr>
              <w:t xml:space="preserve">点</w:t>
            </w:r>
            <w:r>
              <w:rPr>
                <w:rFonts w:hint="eastAsia" w:ascii="宋体" w:hAnsi="宋体" w:eastAsia="宋体" w:cs="宋体"/>
                <w:color w:val="auto"/>
                <w:sz w:val="24"/>
                <w:szCs w:val="24"/>
                <w:highlight w:val="none"/>
                <w:lang w:eastAsia="zh-CN"/>
              </w:rPr>
              <w:t xml:space="preserve">参数</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lang w:eastAsia="zh-CN"/>
              </w:rPr>
              <w:t xml:space="preserve">，每有一项(一个句号的完整内容为一“项”）不满足的扣</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color w:val="auto"/>
                <w:sz w:val="24"/>
                <w:szCs w:val="24"/>
                <w:highlight w:val="none"/>
                <w:lang w:val="en-US" w:eastAsia="zh-CN"/>
              </w:rPr>
              <w:t xml:space="preserve">其余每有</w:t>
            </w:r>
            <w:r>
              <w:rPr>
                <w:rFonts w:hint="eastAsia" w:ascii="宋体" w:hAnsi="宋体" w:eastAsia="宋体" w:cs="宋体"/>
                <w:color w:val="auto"/>
                <w:sz w:val="24"/>
                <w:szCs w:val="24"/>
                <w:highlight w:val="none"/>
                <w:lang w:eastAsia="zh-CN"/>
              </w:rPr>
              <w:t xml:space="preserve">一项(一个句号的完整内容为一“项”）</w:t>
            </w:r>
            <w:r>
              <w:rPr>
                <w:rFonts w:hint="eastAsia" w:ascii="宋体" w:hAnsi="宋体" w:eastAsia="宋体" w:cs="宋体"/>
                <w:color w:val="auto"/>
                <w:sz w:val="24"/>
                <w:szCs w:val="24"/>
                <w:highlight w:val="none"/>
                <w:lang w:val="en-US" w:eastAsia="zh-CN"/>
              </w:rPr>
              <w:t xml:space="preserve">负偏离</w:t>
            </w:r>
            <w:r>
              <w:rPr>
                <w:rFonts w:hint="eastAsia" w:ascii="宋体" w:hAnsi="宋体" w:eastAsia="宋体" w:cs="宋体"/>
                <w:color w:val="auto"/>
                <w:sz w:val="24"/>
                <w:szCs w:val="24"/>
                <w:highlight w:val="none"/>
                <w:lang w:eastAsia="zh-CN"/>
              </w:rPr>
              <w:t xml:space="preserve">的扣</w:t>
            </w:r>
            <w:r>
              <w:rPr>
                <w:rFonts w:hint="eastAsia" w:ascii="宋体" w:hAnsi="宋体" w:eastAsia="宋体" w:cs="宋体"/>
                <w:color w:val="auto"/>
                <w:sz w:val="24"/>
                <w:szCs w:val="24"/>
                <w:highlight w:val="none"/>
                <w:lang w:val="en-US" w:eastAsia="zh-CN"/>
              </w:rPr>
              <w:t xml:space="preserve">0.2</w:t>
            </w:r>
            <w:r>
              <w:rPr>
                <w:rFonts w:hint="eastAsia" w:ascii="宋体" w:hAnsi="宋体" w:eastAsia="宋体" w:cs="宋体"/>
                <w:color w:val="auto"/>
                <w:sz w:val="24"/>
                <w:szCs w:val="24"/>
                <w:highlight w:val="none"/>
                <w:lang w:eastAsia="zh-CN"/>
              </w:rPr>
              <w:t xml:space="preserve">分，扣完为止。</w:t>
            </w:r>
            <w:r/>
          </w:p>
          <w:p>
            <w:pPr>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注：投标人针对本项评分内容在投标文件《技术要求响应偏离表》中逐条列出响应及偏离情况，采购需求中要求提供证明材料的，以证明材料为准；采购需求中未要求提供证明材料的，以《技术要求响应偏离表》为准。未按要求提供证明材料或未在响应偏离表中列明偏离情况的对应项按负偏离进行扣分处理。</w:t>
            </w:r>
            <w:r/>
          </w:p>
        </w:tc>
      </w:tr>
      <w:tr>
        <w:trPr>
          <w:jc w:val="center"/>
          <w:trHeight w:val="454"/>
        </w:trPr>
        <w:tc>
          <w:tcPr>
            <w:tcMar>
              <w:left w:w="57" w:type="dxa"/>
              <w:top w:w="57" w:type="dxa"/>
              <w:right w:w="57" w:type="dxa"/>
              <w:bottom w:w="57" w:type="dxa"/>
            </w:tcMar>
            <w:tcW w:w="1102" w:type="dxa"/>
            <w:vAlign w:val="center"/>
            <w:vMerge w:val="continue"/>
            <w:textDirection w:val="lrTb"/>
            <w:noWrap w:val="false"/>
          </w:tcPr>
          <w:p>
            <w:pPr>
              <w:jc w:val="center"/>
              <w:keepLines w:val="0"/>
              <w:keepNext w:val="0"/>
              <w:pageBreakBefore w:val="0"/>
              <w:spacing w:line="3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shd w:val="clear" w:color="auto" w:fill="auto"/>
            <w:tcMar>
              <w:left w:w="57" w:type="dxa"/>
              <w:top w:w="57" w:type="dxa"/>
              <w:right w:w="57" w:type="dxa"/>
              <w:bottom w:w="57" w:type="dxa"/>
            </w:tcMar>
            <w:tcW w:w="1159"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节能环保</w:t>
            </w:r>
            <w:r/>
          </w:p>
        </w:tc>
        <w:tc>
          <w:tcPr>
            <w:shd w:val="clear" w:color="auto" w:fill="auto"/>
            <w:tcMar>
              <w:left w:w="57" w:type="dxa"/>
              <w:top w:w="57" w:type="dxa"/>
              <w:right w:w="57" w:type="dxa"/>
              <w:bottom w:w="57" w:type="dxa"/>
            </w:tcMar>
            <w:tcW w:w="1050"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2.00分</w:t>
            </w:r>
            <w:r/>
          </w:p>
        </w:tc>
        <w:tc>
          <w:tcPr>
            <w:shd w:val="clear" w:color="auto" w:fill="auto"/>
            <w:tcMar>
              <w:left w:w="57" w:type="dxa"/>
              <w:top w:w="57" w:type="dxa"/>
              <w:right w:w="57" w:type="dxa"/>
              <w:bottom w:w="57" w:type="dxa"/>
            </w:tcMar>
            <w:tcW w:w="6084" w:type="dxa"/>
            <w:vAlign w:val="center"/>
            <w:textDirection w:val="lrTb"/>
            <w:noWrap w:val="false"/>
          </w:tcPr>
          <w:p>
            <w:pPr>
              <w:keepLines w:val="0"/>
              <w:keepNext w:val="0"/>
              <w:pageBreakBefore w:val="0"/>
              <w:spacing w:line="34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1、投标产品在财政部、生态环境部公布的“环境标志产品政府采购品目清单”内，且投标文件中提供国家市场监督管理局确定的列入“参与实施政府采购环境标志产品认证机构名录 ”内的认证机构出具的、有效期内的该产品环境标志产品认证证书扫描件的得1分； 2、投标产品在财政部、发展改革委公布的“节能产品政府采购品目清单”内，且投标文件中提供国家市场监督管理局确定的列入“参与实施政府采购节能产品认证机构名录”内的认证机构出具的、有效期内的该产品的节能产品认证证书扫描件的得1分。未提供的不得分。</w:t>
            </w:r>
            <w:r/>
          </w:p>
        </w:tc>
      </w:tr>
      <w:tr>
        <w:trPr>
          <w:jc w:val="center"/>
          <w:trHeight w:val="454"/>
        </w:trPr>
        <w:tc>
          <w:tcPr>
            <w:tcMar>
              <w:left w:w="57" w:type="dxa"/>
              <w:top w:w="57" w:type="dxa"/>
              <w:right w:w="57" w:type="dxa"/>
              <w:bottom w:w="57" w:type="dxa"/>
            </w:tcMar>
            <w:tcW w:w="1102" w:type="dxa"/>
            <w:vAlign w:val="center"/>
            <w:vMerge w:val="restart"/>
            <w:textDirection w:val="lrTb"/>
            <w:noWrap w:val="false"/>
          </w:tcPr>
          <w:p>
            <w:pPr>
              <w:jc w:val="center"/>
              <w:keepLines w:val="0"/>
              <w:keepNext w:val="0"/>
              <w:pageBreakBefore w:val="0"/>
              <w:spacing w:line="3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企业经营业绩</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信誉</w:t>
            </w:r>
            <w:r/>
          </w:p>
        </w:tc>
        <w:tc>
          <w:tcPr>
            <w:tcMar>
              <w:left w:w="57" w:type="dxa"/>
              <w:top w:w="57" w:type="dxa"/>
              <w:right w:w="57" w:type="dxa"/>
              <w:bottom w:w="57" w:type="dxa"/>
            </w:tcMar>
            <w:tcW w:w="1159"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企业认证</w:t>
            </w:r>
            <w:r/>
          </w:p>
        </w:tc>
        <w:tc>
          <w:tcPr>
            <w:tcMar>
              <w:left w:w="57" w:type="dxa"/>
              <w:top w:w="57" w:type="dxa"/>
              <w:right w:w="57" w:type="dxa"/>
              <w:bottom w:w="57" w:type="dxa"/>
            </w:tcMar>
            <w:tcW w:w="1050"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3.00分</w:t>
            </w:r>
            <w:r/>
          </w:p>
        </w:tc>
        <w:tc>
          <w:tcPr>
            <w:tcMar>
              <w:left w:w="57" w:type="dxa"/>
              <w:top w:w="57" w:type="dxa"/>
              <w:right w:w="57" w:type="dxa"/>
              <w:bottom w:w="57" w:type="dxa"/>
            </w:tcMar>
            <w:tcW w:w="6084" w:type="dxa"/>
            <w:vAlign w:val="center"/>
            <w:textDirection w:val="lrTb"/>
            <w:noWrap w:val="false"/>
          </w:tcPr>
          <w:p>
            <w:pPr>
              <w:keepLines w:val="0"/>
              <w:keepNext w:val="0"/>
              <w:pageBreakBefore w:val="0"/>
              <w:spacing w:line="3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投标人具有有效期内的信息技术服务管理体系认证证书、信息系统建设和服务能力证书（CS5）、ITSS信息技术服务运行维护标准符合性证书（一级），每提供一个认证证书得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分。注：响应文件中提供相关证书扫描件，未提供不得分。</w:t>
            </w:r>
            <w:r/>
          </w:p>
        </w:tc>
      </w:tr>
      <w:tr>
        <w:trPr>
          <w:jc w:val="center"/>
          <w:trHeight w:val="454"/>
        </w:trPr>
        <w:tc>
          <w:tcPr>
            <w:tcMar>
              <w:left w:w="57" w:type="dxa"/>
              <w:top w:w="57" w:type="dxa"/>
              <w:right w:w="57" w:type="dxa"/>
              <w:bottom w:w="57" w:type="dxa"/>
            </w:tcMar>
            <w:tcW w:w="1102" w:type="dxa"/>
            <w:vAlign w:val="center"/>
            <w:vMerge w:val="continue"/>
            <w:textDirection w:val="lrTb"/>
            <w:noWrap w:val="false"/>
          </w:tcPr>
          <w:p>
            <w:pPr>
              <w:jc w:val="center"/>
              <w:keepLines w:val="0"/>
              <w:keepNext w:val="0"/>
              <w:pageBreakBefore w:val="0"/>
              <w:spacing w:line="34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Mar>
              <w:left w:w="57" w:type="dxa"/>
              <w:top w:w="57" w:type="dxa"/>
              <w:right w:w="57" w:type="dxa"/>
              <w:bottom w:w="57" w:type="dxa"/>
            </w:tcMar>
            <w:tcW w:w="1159"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企业业绩</w:t>
            </w:r>
            <w:r/>
          </w:p>
        </w:tc>
        <w:tc>
          <w:tcPr>
            <w:tcMar>
              <w:left w:w="57" w:type="dxa"/>
              <w:top w:w="57" w:type="dxa"/>
              <w:right w:w="57" w:type="dxa"/>
              <w:bottom w:w="57" w:type="dxa"/>
            </w:tcMar>
            <w:tcW w:w="1050"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.00分</w:t>
            </w:r>
            <w:r/>
          </w:p>
        </w:tc>
        <w:tc>
          <w:tcPr>
            <w:tcMar>
              <w:left w:w="57" w:type="dxa"/>
              <w:top w:w="57" w:type="dxa"/>
              <w:right w:w="57" w:type="dxa"/>
              <w:bottom w:w="57" w:type="dxa"/>
            </w:tcMar>
            <w:tcW w:w="6084" w:type="dxa"/>
            <w:vAlign w:val="center"/>
            <w:textDirection w:val="lrTb"/>
            <w:noWrap w:val="false"/>
          </w:tcPr>
          <w:p>
            <w:pPr>
              <w:keepLines w:val="0"/>
              <w:keepNext w:val="0"/>
              <w:pageBreakBefore w:val="0"/>
              <w:spacing w:line="3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投标人自2022年1月1日以来（以合同签订时间为准）承担过类似监控项目业绩的，每有一个得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分，本项最高得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line="340" w:lineRule="exact"/>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①须提供业绩证明材料，包括中标(成交)通知书、合同、验收报告，三者缺一不可。材料提供不全不得分；②业绩证明材料中应明确反映供应商名称、签订时间、项目内容等主要信息，无法反映的不得分；③中标人提供的业绩将随中标结果同步公开。</w:t>
            </w:r>
            <w:r/>
          </w:p>
        </w:tc>
      </w:tr>
      <w:tr>
        <w:trPr>
          <w:jc w:val="center"/>
          <w:trHeight w:val="454"/>
        </w:trPr>
        <w:tc>
          <w:tcPr>
            <w:tcMar>
              <w:left w:w="57" w:type="dxa"/>
              <w:top w:w="57" w:type="dxa"/>
              <w:right w:w="57" w:type="dxa"/>
              <w:bottom w:w="57" w:type="dxa"/>
            </w:tcMar>
            <w:tcW w:w="1102" w:type="dxa"/>
            <w:vAlign w:val="center"/>
            <w:vMerge w:val="restart"/>
            <w:textDirection w:val="lrTb"/>
            <w:noWrap w:val="false"/>
          </w:tcPr>
          <w:p>
            <w:pPr>
              <w:jc w:val="center"/>
              <w:keepLines w:val="0"/>
              <w:keepNext w:val="0"/>
              <w:pageBreakBefore w:val="0"/>
              <w:spacing w:line="3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项目管理力量、安装调试技术人</w:t>
            </w:r>
            <w:r/>
          </w:p>
          <w:p>
            <w:pPr>
              <w:jc w:val="center"/>
              <w:keepLines w:val="0"/>
              <w:keepNext w:val="0"/>
              <w:pageBreakBefore w:val="0"/>
              <w:spacing w:line="3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员配备</w:t>
            </w:r>
            <w:r/>
          </w:p>
        </w:tc>
        <w:tc>
          <w:tcPr>
            <w:tcMar>
              <w:left w:w="57" w:type="dxa"/>
              <w:top w:w="57" w:type="dxa"/>
              <w:right w:w="57" w:type="dxa"/>
              <w:bottom w:w="57" w:type="dxa"/>
            </w:tcMar>
            <w:tcW w:w="1159"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w:t>
            </w:r>
            <w:r/>
          </w:p>
          <w:p>
            <w:pPr>
              <w:jc w:val="center"/>
              <w:keepLines w:val="0"/>
              <w:keepNext w:val="0"/>
              <w:pageBreakBefore w:val="0"/>
              <w:spacing w:line="3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负责人</w:t>
            </w:r>
            <w:r/>
          </w:p>
        </w:tc>
        <w:tc>
          <w:tcPr>
            <w:tcMar>
              <w:left w:w="57" w:type="dxa"/>
              <w:top w:w="57" w:type="dxa"/>
              <w:right w:w="57" w:type="dxa"/>
              <w:bottom w:w="57" w:type="dxa"/>
            </w:tcMar>
            <w:tcW w:w="1050"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.00分</w:t>
            </w:r>
            <w:r/>
          </w:p>
        </w:tc>
        <w:tc>
          <w:tcPr>
            <w:tcMar>
              <w:left w:w="57" w:type="dxa"/>
              <w:top w:w="57" w:type="dxa"/>
              <w:right w:w="57" w:type="dxa"/>
              <w:bottom w:w="57" w:type="dxa"/>
            </w:tcMar>
            <w:tcW w:w="6084" w:type="dxa"/>
            <w:vAlign w:val="center"/>
            <w:textDirection w:val="lrTb"/>
            <w:noWrap w:val="false"/>
          </w:tcPr>
          <w:p>
            <w:pPr>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1、具有网络工程师、系统集成项目管理工程师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信息系统项目管理师证书的，每有以上任意一个证书得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分，最多得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2、具有高级及以上工程师证书、一级</w:t>
            </w:r>
            <w:r>
              <w:rPr>
                <w:rFonts w:hint="eastAsia" w:ascii="宋体" w:hAnsi="宋体" w:eastAsia="宋体" w:cs="宋体"/>
                <w:color w:val="auto"/>
                <w:sz w:val="24"/>
                <w:szCs w:val="24"/>
                <w:highlight w:val="none"/>
                <w:lang w:eastAsia="zh-CN"/>
              </w:rPr>
              <w:t xml:space="preserve">注册</w:t>
            </w:r>
            <w:r>
              <w:rPr>
                <w:rFonts w:hint="eastAsia" w:ascii="宋体" w:hAnsi="宋体" w:eastAsia="宋体" w:cs="宋体"/>
                <w:color w:val="auto"/>
                <w:sz w:val="24"/>
                <w:szCs w:val="24"/>
                <w:highlight w:val="none"/>
              </w:rPr>
              <w:t xml:space="preserve">建造师证书（机电工程或通信与广电工程）的，每有以上任意一个证书得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分。最多得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keepLines w:val="0"/>
              <w:keepNext w:val="0"/>
              <w:pageBreakBefore w:val="0"/>
              <w:spacing w:line="3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注：投标文件中提供项目负责人相关证书电子件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和</w:t>
            </w:r>
            <w:r>
              <w:rPr>
                <w:rFonts w:hint="eastAsia" w:ascii="宋体" w:hAnsi="宋体" w:eastAsia="宋体" w:cs="宋体"/>
                <w:color w:val="000000" w:themeColor="text1"/>
                <w:sz w:val="24"/>
                <w:szCs w:val="24"/>
                <w:highlight w:val="none"/>
                <w14:textFill>
                  <w14:solidFill>
                    <w14:schemeClr w14:val="tx1"/>
                  </w14:solidFill>
                </w14:textFill>
              </w:rPr>
              <w:t xml:space="preserve">在投标时提供近六个月以来任意一个月本单位为其办理的养老保险证明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证明以社保主管部门的证明为准，未提供或提供不全不得分。</w:t>
            </w:r>
            <w:r/>
          </w:p>
        </w:tc>
      </w:tr>
      <w:tr>
        <w:trPr>
          <w:jc w:val="center"/>
          <w:trHeight w:val="454"/>
        </w:trPr>
        <w:tc>
          <w:tcPr>
            <w:tcMar>
              <w:left w:w="57" w:type="dxa"/>
              <w:top w:w="57" w:type="dxa"/>
              <w:right w:w="57" w:type="dxa"/>
              <w:bottom w:w="57" w:type="dxa"/>
            </w:tcMar>
            <w:tcW w:w="1102" w:type="dxa"/>
            <w:vAlign w:val="center"/>
            <w:vMerge w:val="continue"/>
            <w:textDirection w:val="lrTb"/>
            <w:noWrap w:val="false"/>
          </w:tcPr>
          <w:p>
            <w:pPr>
              <w:jc w:val="center"/>
              <w:keepLines w:val="0"/>
              <w:keepNext w:val="0"/>
              <w:pageBreakBefore w:val="0"/>
              <w:spacing w:line="3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57" w:type="dxa"/>
              <w:top w:w="57" w:type="dxa"/>
              <w:right w:w="57" w:type="dxa"/>
              <w:bottom w:w="57" w:type="dxa"/>
            </w:tcMar>
            <w:tcW w:w="1159"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项目组成员（不含项目负责人）</w:t>
            </w:r>
            <w:r/>
          </w:p>
        </w:tc>
        <w:tc>
          <w:tcPr>
            <w:tcMar>
              <w:left w:w="57" w:type="dxa"/>
              <w:top w:w="57" w:type="dxa"/>
              <w:right w:w="57" w:type="dxa"/>
              <w:bottom w:w="57" w:type="dxa"/>
            </w:tcMar>
            <w:tcW w:w="1050"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.00分</w:t>
            </w:r>
            <w:r/>
          </w:p>
        </w:tc>
        <w:tc>
          <w:tcPr>
            <w:tcMar>
              <w:left w:w="57" w:type="dxa"/>
              <w:top w:w="57" w:type="dxa"/>
              <w:right w:w="57" w:type="dxa"/>
              <w:bottom w:w="57" w:type="dxa"/>
            </w:tcMar>
            <w:tcW w:w="6084" w:type="dxa"/>
            <w:vAlign w:val="center"/>
            <w:textDirection w:val="lrTb"/>
            <w:noWrap w:val="false"/>
          </w:tcPr>
          <w:p>
            <w:pPr>
              <w:keepLines w:val="0"/>
              <w:keepNext w:val="0"/>
              <w:pageBreakBefore w:val="0"/>
              <w:spacing w:line="3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具有网络工程师、信息系统项目管理师、系统分析师、注册信息安全工程师、IT运维工程师、系统架构设计师、弱电系统工程师、高级工程师证书（通信工程专业）的，每有一个得1分，最多得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p>
            <w:pPr>
              <w:keepLines w:val="0"/>
              <w:keepNext w:val="0"/>
              <w:pageBreakBefore w:val="0"/>
              <w:spacing w:line="340" w:lineRule="exact"/>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1、投标文件中提供以上人员相关证书电子件和在投标时提供近六个月以来任意一个月本单位为其办理的养老保险证明。证明以社保主管部门的证明为准，未提供或提供不全不得分。2、同一人具有多个证书的不重复计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3、同一类证书不重复计分。</w:t>
            </w:r>
            <w:r/>
          </w:p>
        </w:tc>
      </w:tr>
      <w:tr>
        <w:trPr>
          <w:jc w:val="center"/>
          <w:trHeight w:val="454"/>
        </w:trPr>
        <w:tc>
          <w:tcPr>
            <w:tcMar>
              <w:left w:w="57" w:type="dxa"/>
              <w:top w:w="57" w:type="dxa"/>
              <w:right w:w="57" w:type="dxa"/>
              <w:bottom w:w="57" w:type="dxa"/>
            </w:tcMar>
            <w:tcW w:w="1102" w:type="dxa"/>
            <w:vAlign w:val="center"/>
            <w:vMerge w:val="restart"/>
            <w:textDirection w:val="lrTb"/>
            <w:noWrap w:val="false"/>
          </w:tcPr>
          <w:p>
            <w:pPr>
              <w:jc w:val="center"/>
              <w:keepLines w:val="0"/>
              <w:keepNext w:val="0"/>
              <w:pageBreakBefore w:val="0"/>
              <w:spacing w:line="3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项目总体实施方案</w:t>
            </w:r>
            <w:r/>
          </w:p>
        </w:tc>
        <w:tc>
          <w:tcPr>
            <w:tcMar>
              <w:left w:w="57" w:type="dxa"/>
              <w:top w:w="57" w:type="dxa"/>
              <w:right w:w="57" w:type="dxa"/>
              <w:bottom w:w="57" w:type="dxa"/>
            </w:tcMar>
            <w:tcW w:w="1159"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项目需求理解及建设方案</w:t>
            </w:r>
            <w:r/>
          </w:p>
        </w:tc>
        <w:tc>
          <w:tcPr>
            <w:tcMar>
              <w:left w:w="57" w:type="dxa"/>
              <w:top w:w="57" w:type="dxa"/>
              <w:right w:w="57" w:type="dxa"/>
              <w:bottom w:w="57" w:type="dxa"/>
            </w:tcMar>
            <w:tcW w:w="1050"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.00分</w:t>
            </w:r>
            <w:r/>
          </w:p>
        </w:tc>
        <w:tc>
          <w:tcPr>
            <w:tcMar>
              <w:left w:w="57" w:type="dxa"/>
              <w:top w:w="57" w:type="dxa"/>
              <w:right w:w="57" w:type="dxa"/>
              <w:bottom w:w="57" w:type="dxa"/>
            </w:tcMar>
            <w:tcW w:w="6084" w:type="dxa"/>
            <w:vAlign w:val="center"/>
            <w:textDirection w:val="lrTb"/>
            <w:noWrap w:val="false"/>
          </w:tcPr>
          <w:p>
            <w:pPr>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在投标文件中提供完备的项目需求理解及建设方案，包括对项目建设背景的理解、对需求的深入分析、对易涝点、河道、泵站的系统设计方案（安装点位基础数据及安装规划，需要提供现场踏勘照片、取电方式等）等内容。优于采购需求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分；基本满足采购需求的，得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分；方案笼统，不满足采购需求的，得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分；其它情况或没有内容的不得分。</w:t>
            </w:r>
            <w:r/>
          </w:p>
        </w:tc>
      </w:tr>
      <w:tr>
        <w:trPr>
          <w:jc w:val="center"/>
          <w:trHeight w:val="454"/>
        </w:trPr>
        <w:tc>
          <w:tcPr>
            <w:tcMar>
              <w:left w:w="57" w:type="dxa"/>
              <w:top w:w="57" w:type="dxa"/>
              <w:right w:w="57" w:type="dxa"/>
              <w:bottom w:w="57" w:type="dxa"/>
            </w:tcMar>
            <w:tcW w:w="1102" w:type="dxa"/>
            <w:vAlign w:val="center"/>
            <w:vMerge w:val="continue"/>
            <w:textDirection w:val="lrTb"/>
            <w:noWrap w:val="false"/>
          </w:tcPr>
          <w:p>
            <w:pPr>
              <w:jc w:val="center"/>
              <w:keepLines w:val="0"/>
              <w:keepNext w:val="0"/>
              <w:pageBreakBefore w:val="0"/>
              <w:spacing w:line="3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57" w:type="dxa"/>
              <w:top w:w="57" w:type="dxa"/>
              <w:right w:w="57" w:type="dxa"/>
              <w:bottom w:w="57" w:type="dxa"/>
            </w:tcMar>
            <w:tcW w:w="1159" w:type="dxa"/>
            <w:vAlign w:val="center"/>
            <w:textDirection w:val="lrTb"/>
            <w:noWrap w:val="false"/>
          </w:tcPr>
          <w:p>
            <w:pPr>
              <w:pStyle w:val="751"/>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设备</w:t>
            </w:r>
            <w:r/>
          </w:p>
          <w:p>
            <w:pPr>
              <w:pStyle w:val="751"/>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对接方案</w:t>
            </w:r>
            <w:r/>
          </w:p>
        </w:tc>
        <w:tc>
          <w:tcPr>
            <w:tcMar>
              <w:left w:w="57" w:type="dxa"/>
              <w:top w:w="57" w:type="dxa"/>
              <w:right w:w="57" w:type="dxa"/>
              <w:bottom w:w="57" w:type="dxa"/>
            </w:tcMar>
            <w:tcW w:w="1050"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0分</w:t>
            </w:r>
            <w:r/>
          </w:p>
        </w:tc>
        <w:tc>
          <w:tcPr>
            <w:tcMar>
              <w:left w:w="57" w:type="dxa"/>
              <w:top w:w="57" w:type="dxa"/>
              <w:right w:w="57" w:type="dxa"/>
              <w:bottom w:w="57" w:type="dxa"/>
            </w:tcMar>
            <w:tcW w:w="6084" w:type="dxa"/>
            <w:vAlign w:val="center"/>
            <w:textDirection w:val="lrTb"/>
            <w:noWrap w:val="false"/>
          </w:tcPr>
          <w:p>
            <w:pP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对现有易涝点平台的技术框架，技术方案（涵盖数据采集、传输、存储、分析及等环节）及设备对接方式进行详细描述。详细说明平台与设备对接的实现方式，对接方式需满足现有易涝点平台的工作模式及加密方式，适配现有易涝点平台的数据采集方案和采集逻辑。对现有平台框架有详细了解，对接方案完善得5分，对现有平台框架有认知，对接方案方便可行得3分，对现有平台框架不熟悉，对接方案不完整需要改进后才可以实施的1分，没有内容或技术方案描述不合理不得分。</w:t>
            </w:r>
            <w:r/>
          </w:p>
        </w:tc>
      </w:tr>
      <w:tr>
        <w:trPr>
          <w:jc w:val="center"/>
          <w:trHeight w:val="1526"/>
        </w:trPr>
        <w:tc>
          <w:tcPr>
            <w:tcMar>
              <w:left w:w="57" w:type="dxa"/>
              <w:top w:w="57" w:type="dxa"/>
              <w:right w:w="57" w:type="dxa"/>
              <w:bottom w:w="57" w:type="dxa"/>
            </w:tcMar>
            <w:tcW w:w="1102" w:type="dxa"/>
            <w:vAlign w:val="center"/>
            <w:vMerge w:val="continue"/>
            <w:textDirection w:val="lrTb"/>
            <w:noWrap w:val="false"/>
          </w:tcPr>
          <w:p>
            <w:pPr>
              <w:jc w:val="center"/>
              <w:keepLines w:val="0"/>
              <w:keepNext w:val="0"/>
              <w:pageBreakBefore w:val="0"/>
              <w:spacing w:line="3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57" w:type="dxa"/>
              <w:top w:w="57" w:type="dxa"/>
              <w:right w:w="57" w:type="dxa"/>
              <w:bottom w:w="57" w:type="dxa"/>
            </w:tcMar>
            <w:tcW w:w="1159"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实施方案</w:t>
            </w:r>
            <w:r/>
          </w:p>
        </w:tc>
        <w:tc>
          <w:tcPr>
            <w:tcMar>
              <w:left w:w="57" w:type="dxa"/>
              <w:top w:w="57" w:type="dxa"/>
              <w:right w:w="57" w:type="dxa"/>
              <w:bottom w:w="57" w:type="dxa"/>
            </w:tcMar>
            <w:tcW w:w="1050"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.00分</w:t>
            </w:r>
            <w:r/>
          </w:p>
        </w:tc>
        <w:tc>
          <w:tcPr>
            <w:tcMar>
              <w:left w:w="57" w:type="dxa"/>
              <w:top w:w="57" w:type="dxa"/>
              <w:right w:w="57" w:type="dxa"/>
              <w:bottom w:w="57" w:type="dxa"/>
            </w:tcMar>
            <w:tcW w:w="6084" w:type="dxa"/>
            <w:vAlign w:val="center"/>
            <w:textDirection w:val="lrTb"/>
            <w:noWrap w:val="false"/>
          </w:tcPr>
          <w:p>
            <w:pP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根据投标人提供的针对本项目的实施方案即质量保证、人员配备、岗位职责、安装调试、安全保障等内容进行打分：方案内容详细全面、合理性好、优于采购需求的得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分；方案完整、措施基本可行，能够满足本项目采购需求的得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分；方案存在不足，基本可以满足项目实施要求，后期可以通过完善修正的，得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分；没有内容或不符合招标文件要求的不得分。</w:t>
            </w:r>
            <w:r/>
          </w:p>
        </w:tc>
      </w:tr>
      <w:tr>
        <w:trPr>
          <w:jc w:val="center"/>
          <w:trHeight w:val="1526"/>
        </w:trPr>
        <w:tc>
          <w:tcPr>
            <w:tcMar>
              <w:left w:w="57" w:type="dxa"/>
              <w:top w:w="57" w:type="dxa"/>
              <w:right w:w="57" w:type="dxa"/>
              <w:bottom w:w="57" w:type="dxa"/>
            </w:tcMar>
            <w:tcW w:w="1102" w:type="dxa"/>
            <w:vAlign w:val="center"/>
            <w:vMerge w:val="continue"/>
            <w:textDirection w:val="lrTb"/>
            <w:noWrap w:val="false"/>
          </w:tcPr>
          <w:p>
            <w:pPr>
              <w:jc w:val="center"/>
              <w:keepLines w:val="0"/>
              <w:keepNext w:val="0"/>
              <w:pageBreakBefore w:val="0"/>
              <w:spacing w:line="3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57" w:type="dxa"/>
              <w:top w:w="57" w:type="dxa"/>
              <w:right w:w="57" w:type="dxa"/>
              <w:bottom w:w="57" w:type="dxa"/>
            </w:tcMar>
            <w:tcW w:w="1159"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平台</w:t>
            </w:r>
            <w:r/>
          </w:p>
          <w:p>
            <w:pPr>
              <w:jc w:val="center"/>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扩容优化</w:t>
            </w:r>
            <w:r/>
          </w:p>
        </w:tc>
        <w:tc>
          <w:tcPr>
            <w:tcMar>
              <w:left w:w="57" w:type="dxa"/>
              <w:top w:w="57" w:type="dxa"/>
              <w:right w:w="57" w:type="dxa"/>
              <w:bottom w:w="57" w:type="dxa"/>
            </w:tcMar>
            <w:tcW w:w="1050"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.00分</w:t>
            </w:r>
            <w:r/>
          </w:p>
        </w:tc>
        <w:tc>
          <w:tcPr>
            <w:tcMar>
              <w:left w:w="57" w:type="dxa"/>
              <w:top w:w="57" w:type="dxa"/>
              <w:right w:w="57" w:type="dxa"/>
              <w:bottom w:w="57" w:type="dxa"/>
            </w:tcMar>
            <w:tcW w:w="6084" w:type="dxa"/>
            <w:vAlign w:val="center"/>
            <w:textDirection w:val="lrTb"/>
            <w:noWrap w:val="false"/>
          </w:tcPr>
          <w:p>
            <w:pPr>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结合用户实际使用情况，对平台进行</w:t>
            </w:r>
            <w:r>
              <w:rPr>
                <w:rFonts w:hint="eastAsia" w:ascii="宋体" w:hAnsi="宋体" w:eastAsia="宋体" w:cs="宋体"/>
                <w:color w:val="auto"/>
                <w:sz w:val="24"/>
                <w:szCs w:val="24"/>
                <w:highlight w:val="none"/>
              </w:rPr>
              <w:t xml:space="preserve">编码管理、站点信息及设备信息管理、汛期报告自动生成、数据集成等</w:t>
            </w:r>
            <w:r>
              <w:rPr>
                <w:rFonts w:hint="eastAsia" w:ascii="宋体" w:hAnsi="宋体" w:eastAsia="宋体" w:cs="宋体"/>
                <w:color w:val="auto"/>
                <w:sz w:val="24"/>
                <w:szCs w:val="24"/>
                <w:highlight w:val="none"/>
                <w:lang w:val="en-US" w:eastAsia="zh-CN"/>
              </w:rPr>
              <w:t xml:space="preserve">扩容优化提升。对上述优化方案进行详细说明，方案内容详细全面、合理性好、优于采购需求的得6分；方案说明基本完整，能够满足本项目采购需求的得4分；方案存在不足，基本可以满足项目实施要求，后期可以通过完善修正的，得2分；没有内容或不符合招标文件要求的不得分。</w:t>
            </w:r>
            <w:r/>
          </w:p>
        </w:tc>
      </w:tr>
      <w:tr>
        <w:trPr>
          <w:jc w:val="center"/>
          <w:trHeight w:val="1526"/>
        </w:trPr>
        <w:tc>
          <w:tcPr>
            <w:tcMar>
              <w:left w:w="57" w:type="dxa"/>
              <w:top w:w="57" w:type="dxa"/>
              <w:right w:w="57" w:type="dxa"/>
              <w:bottom w:w="57" w:type="dxa"/>
            </w:tcMar>
            <w:tcW w:w="1102" w:type="dxa"/>
            <w:vAlign w:val="center"/>
            <w:vMerge w:val="continue"/>
            <w:textDirection w:val="lrTb"/>
            <w:noWrap w:val="false"/>
          </w:tcPr>
          <w:p>
            <w:pPr>
              <w:jc w:val="center"/>
              <w:keepLines w:val="0"/>
              <w:keepNext w:val="0"/>
              <w:pageBreakBefore w:val="0"/>
              <w:spacing w:line="3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57" w:type="dxa"/>
              <w:top w:w="57" w:type="dxa"/>
              <w:right w:w="57" w:type="dxa"/>
              <w:bottom w:w="57" w:type="dxa"/>
            </w:tcMar>
            <w:tcW w:w="1159"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进度安排</w:t>
            </w:r>
            <w:r/>
          </w:p>
        </w:tc>
        <w:tc>
          <w:tcPr>
            <w:tcMar>
              <w:left w:w="57" w:type="dxa"/>
              <w:top w:w="57" w:type="dxa"/>
              <w:right w:w="57" w:type="dxa"/>
              <w:bottom w:w="57" w:type="dxa"/>
            </w:tcMar>
            <w:tcW w:w="1050"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.00分</w:t>
            </w:r>
            <w:r/>
          </w:p>
        </w:tc>
        <w:tc>
          <w:tcPr>
            <w:tcMar>
              <w:left w:w="57" w:type="dxa"/>
              <w:top w:w="57" w:type="dxa"/>
              <w:right w:w="57" w:type="dxa"/>
              <w:bottom w:w="57" w:type="dxa"/>
            </w:tcMar>
            <w:tcW w:w="6084" w:type="dxa"/>
            <w:vAlign w:val="center"/>
            <w:textDirection w:val="lrTb"/>
            <w:noWrap w:val="false"/>
          </w:tcPr>
          <w:p>
            <w:pPr>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根据供应商对本项目的产品到货日期安排、施工及设备安装计划等进行打分。进度安排详细、各环节衔接紧凑、能圆满完成采购需求，得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分；进度安排涵盖重要环节，工期能够满足采购需求，得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分；进度安排没有内容或其情况不满足采购需求的不得分。</w:t>
            </w:r>
            <w:r/>
          </w:p>
        </w:tc>
      </w:tr>
      <w:tr>
        <w:trPr>
          <w:jc w:val="center"/>
          <w:trHeight w:val="454"/>
        </w:trPr>
        <w:tc>
          <w:tcPr>
            <w:tcMar>
              <w:left w:w="57" w:type="dxa"/>
              <w:top w:w="57" w:type="dxa"/>
              <w:right w:w="57" w:type="dxa"/>
              <w:bottom w:w="57" w:type="dxa"/>
            </w:tcMar>
            <w:tcW w:w="1102" w:type="dxa"/>
            <w:vAlign w:val="center"/>
            <w:vMerge w:val="continue"/>
            <w:textDirection w:val="lrTb"/>
            <w:noWrap w:val="false"/>
          </w:tcPr>
          <w:p>
            <w:pPr>
              <w:jc w:val="center"/>
              <w:keepLines w:val="0"/>
              <w:keepNext w:val="0"/>
              <w:pageBreakBefore w:val="0"/>
              <w:spacing w:line="34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57" w:type="dxa"/>
              <w:top w:w="57" w:type="dxa"/>
              <w:right w:w="57" w:type="dxa"/>
              <w:bottom w:w="57" w:type="dxa"/>
            </w:tcMar>
            <w:tcW w:w="1159"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w:t>
            </w:r>
            <w:r/>
          </w:p>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服务方案</w:t>
            </w:r>
            <w:r/>
          </w:p>
        </w:tc>
        <w:tc>
          <w:tcPr>
            <w:tcMar>
              <w:left w:w="57" w:type="dxa"/>
              <w:top w:w="57" w:type="dxa"/>
              <w:right w:w="57" w:type="dxa"/>
              <w:bottom w:w="57" w:type="dxa"/>
            </w:tcMar>
            <w:tcW w:w="1050" w:type="dxa"/>
            <w:vAlign w:val="center"/>
            <w:textDirection w:val="lrTb"/>
            <w:noWrap w:val="false"/>
          </w:tcPr>
          <w:p>
            <w:pPr>
              <w:jc w:val="cente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.00分</w:t>
            </w:r>
            <w:r/>
          </w:p>
        </w:tc>
        <w:tc>
          <w:tcPr>
            <w:tcMar>
              <w:left w:w="57" w:type="dxa"/>
              <w:top w:w="57" w:type="dxa"/>
              <w:right w:w="57" w:type="dxa"/>
              <w:bottom w:w="57" w:type="dxa"/>
            </w:tcMar>
            <w:tcW w:w="6084" w:type="dxa"/>
            <w:vAlign w:val="center"/>
            <w:textDirection w:val="lrTb"/>
            <w:noWrap w:val="false"/>
          </w:tcPr>
          <w:p>
            <w:pPr>
              <w:keepLines w:val="0"/>
              <w:keepNext w:val="0"/>
              <w:pageBreakBefore w:val="0"/>
              <w:spacing w:line="3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根据投标人的售后服务方案（包括服务保障体系、响应时间和程度、紧急故障处理预案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巡检方案</w:t>
            </w:r>
            <w:r>
              <w:rPr>
                <w:rFonts w:hint="eastAsia" w:ascii="宋体" w:hAnsi="宋体" w:eastAsia="宋体" w:cs="宋体"/>
                <w:color w:val="auto"/>
                <w:sz w:val="24"/>
                <w:szCs w:val="24"/>
                <w:highlight w:val="none"/>
              </w:rPr>
              <w:t xml:space="preserve">等）以及质保期外的后续技术支持等相关内容逐项进行对比打分。售后服务方案内容详细全面、条理清晰、流程规范，得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分；售后服务方案内容粗略、条理性牵强、流程规范性欠缺，通过后期优化满足招标文件要求的，得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分；没有内容或不符合招标文件要求的不得分。</w:t>
            </w:r>
            <w:r/>
          </w:p>
        </w:tc>
      </w:tr>
    </w:tbl>
    <w:p>
      <w:pPr>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ind w:firstLine="482"/>
        <w:keepLines w:val="0"/>
        <w:keepNext w:val="0"/>
        <w:pageBreakBefore w:val="0"/>
        <w:spacing w:line="480" w:lineRule="exact"/>
        <w:widowControl w:val="off"/>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（三）评标结果。</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评标委员会按照本办法规定推荐中标候选人，并形成评标报告</w:t>
      </w:r>
      <w:r>
        <w:rPr>
          <w:rFonts w:hint="eastAsia" w:asciiTheme="minorEastAsia" w:hAnsiTheme="minorEastAsia" w:eastAsiaTheme="minorEastAsia" w:cstheme="minorEastAsia"/>
          <w:b w:val="0"/>
          <w:bCs w:val="0"/>
          <w:color w:val="000000" w:themeColor="text1"/>
          <w:sz w:val="24"/>
          <w:szCs w:val="24"/>
          <w:highlight w:val="none"/>
          <w:lang w:val="en-US" w:eastAsia="zh-CN"/>
          <w14:textFill>
            <w14:solidFill>
              <w14:schemeClr w14:val="tx1"/>
            </w14:solidFill>
          </w14:textFill>
        </w:rPr>
        <w:t xml:space="preserve">。</w:t>
      </w:r>
      <w:r/>
    </w:p>
    <w:p>
      <w:pPr>
        <w:ind w:firstLine="482"/>
        <w:keepLines w:val="0"/>
        <w:keepNext w:val="0"/>
        <w:pageBreakBefore w:val="0"/>
        <w:spacing w:line="480" w:lineRule="exact"/>
        <w:widowControl w:val="off"/>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（四）政府采购政策功能落实</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本项目落实的政府采购政策对应以下序号为 1、2、3、4  </w:t>
      </w:r>
      <w:r/>
    </w:p>
    <w:p>
      <w:pPr>
        <w:ind w:firstLine="482"/>
        <w:keepLines w:val="0"/>
        <w:keepNext w:val="0"/>
        <w:pageBreakBefore w:val="0"/>
        <w:spacing w:line="480" w:lineRule="exact"/>
        <w:widowControl w:val="off"/>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1、采购本国货物、工程和服务</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2"/>
        <w:keepLines w:val="0"/>
        <w:keepNext w:val="0"/>
        <w:pageBreakBefore w:val="0"/>
        <w:spacing w:line="480" w:lineRule="exact"/>
        <w:widowControl w:val="off"/>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2、中小企业政策</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本项目按以下第（2）种政策确定本项目落实的中小企业政策：</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（1）本项目专门面向中小企业（含监狱企业、残疾人福利企业）采购。</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（2）投标人提供的货物符合下列情形的，对小微企业报价给予10%的扣除，用扣除后的价格参加评审。</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r/>
    </w:p>
    <w:p>
      <w:pPr>
        <w:ind w:firstLine="482"/>
        <w:keepLines w:val="0"/>
        <w:keepNext w:val="0"/>
        <w:pageBreakBefore w:val="0"/>
        <w:spacing w:line="480" w:lineRule="exact"/>
        <w:widowControl w:val="off"/>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3、政府采购节能产品、环境标志产品</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（2）采购人拟采购的产品属于政府强制采购的节能产品品目清单范围的，投标人须提供国家确定的认证机构出具的、处于有效期之内的节能产品认证证书的，否则无效标处理。</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采用最低评标价法的项目，同等条件下优先推荐提供有效节能环保证书多的投标人为中标人。</w:t>
      </w:r>
      <w:r/>
    </w:p>
    <w:p>
      <w:pPr>
        <w:ind w:firstLine="482"/>
        <w:keepLines w:val="0"/>
        <w:keepNext w:val="0"/>
        <w:pageBreakBefore w:val="0"/>
        <w:spacing w:line="480" w:lineRule="exact"/>
        <w:widowControl w:val="off"/>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4、商品包装、快递包装政府采购需求标准（试行）</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5、绿色数据中心政府采购需求标准（试行）</w:t>
      </w:r>
      <w:r/>
    </w:p>
    <w:p>
      <w:pPr>
        <w:ind w:firstLine="480"/>
        <w:keepLines w:val="0"/>
        <w:keepNext w:val="0"/>
        <w:pageBreakBefore w:val="0"/>
        <w:spacing w:line="480" w:lineRule="exact"/>
        <w:widowControl w:val="off"/>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firstLine="480"/>
        <w:spacing w:line="480" w:lineRule="exact"/>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r>
      <w:r/>
    </w:p>
    <w:p>
      <w:pPr>
        <w:pStyle w:val="794"/>
        <w:ind w:left="0" w:firstLine="0"/>
        <w:rPr>
          <w:rFonts w:hint="eastAsia" w:asciiTheme="minorEastAsia" w:hAnsiTheme="minorEastAsia" w:eastAsiaTheme="minorEastAsia" w:cstheme="minorEastAsia"/>
          <w:color w:val="000000" w:themeColor="text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highlight w:val="none"/>
          <w14:textFill>
            <w14:solidFill>
              <w14:schemeClr w14:val="tx1"/>
            </w14:solidFill>
          </w14:textFill>
        </w:rPr>
      </w:r>
      <w:r/>
    </w:p>
    <w:p>
      <w:pPr>
        <w:pStyle w:val="794"/>
        <w:ind w:left="0" w:firstLine="0"/>
        <w:rPr>
          <w:rFonts w:hint="eastAsia" w:asciiTheme="minorEastAsia" w:hAnsiTheme="minorEastAsia" w:eastAsiaTheme="minorEastAsia" w:cstheme="minorEastAsia"/>
          <w:color w:val="000000" w:themeColor="text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highlight w:val="none"/>
          <w14:textFill>
            <w14:solidFill>
              <w14:schemeClr w14:val="tx1"/>
            </w14:solidFill>
          </w14:textFill>
        </w:rPr>
      </w:r>
      <w:r/>
    </w:p>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p>
      <w:pPr>
        <w:rPr>
          <w:rFonts w:hint="eastAsia" w:asciiTheme="minorEastAsia" w:hAnsiTheme="minorEastAsia" w:eastAsiaTheme="minorEastAsia" w:cstheme="minorEastAsia"/>
          <w:bCs/>
          <w:color w:val="000000" w:themeColor="text1"/>
          <w:sz w:val="4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44"/>
          <w:highlight w:val="none"/>
          <w14:textFill>
            <w14:solidFill>
              <w14:schemeClr w14:val="tx1"/>
            </w14:solidFill>
          </w14:textFill>
        </w:rPr>
        <w:br w:type="page" w:clear="all"/>
      </w:r>
      <w:r/>
    </w:p>
    <w:p>
      <w:pPr>
        <w:pStyle w:val="737"/>
        <w:jc w:val="center"/>
        <w:rPr>
          <w:rFonts w:hint="eastAsia"/>
          <w:b/>
          <w:bCs/>
          <w:highlight w:val="none"/>
        </w:rPr>
      </w:pPr>
      <w:r/>
      <w:bookmarkStart w:id="227" w:name="_Toc3087"/>
      <w:r/>
      <w:bookmarkStart w:id="228" w:name="_Toc31610"/>
      <w:r>
        <w:rPr>
          <w:rFonts w:hint="eastAsia"/>
          <w:b/>
          <w:bCs/>
          <w:highlight w:val="none"/>
        </w:rPr>
        <w:t xml:space="preserve">第六章  投标</w:t>
      </w:r>
      <w:bookmarkEnd w:id="218"/>
      <w:r/>
      <w:bookmarkEnd w:id="219"/>
      <w:r/>
      <w:bookmarkEnd w:id="220"/>
      <w:r>
        <w:rPr>
          <w:rFonts w:hint="eastAsia"/>
          <w:b/>
          <w:bCs/>
          <w:highlight w:val="none"/>
        </w:rPr>
        <w:t xml:space="preserve">文件格式</w:t>
      </w:r>
      <w:bookmarkEnd w:id="227"/>
      <w:r/>
      <w:bookmarkEnd w:id="228"/>
      <w:r>
        <w:rPr>
          <w:rFonts w:hint="eastAsia"/>
          <w:b/>
          <w:bCs/>
          <w:highlight w:val="none"/>
        </w:rPr>
        <w:t xml:space="preserve"> </w:t>
      </w:r>
      <w:r/>
    </w:p>
    <w:p>
      <w:pPr>
        <w:jc w:val="center"/>
        <w:rPr>
          <w:rFonts w:hint="eastAsia" w:asciiTheme="minorEastAsia" w:hAnsiTheme="minorEastAsia" w:eastAsiaTheme="minorEastAsia" w:cstheme="minorEastAsia"/>
          <w:b/>
          <w:color w:val="000000" w:themeColor="text1"/>
          <w:sz w:val="72"/>
          <w:highlight w:val="none"/>
          <w14:textFill>
            <w14:solidFill>
              <w14:schemeClr w14:val="tx1"/>
            </w14:solidFill>
          </w14:textFill>
        </w:rPr>
      </w:pPr>
      <w:r/>
      <w:bookmarkStart w:id="229" w:name="_Hlt26671244"/>
      <w:r/>
      <w:bookmarkEnd w:id="229"/>
      <w:r/>
      <w:bookmarkStart w:id="230" w:name="_Hlt26955039"/>
      <w:r/>
      <w:bookmarkEnd w:id="230"/>
      <w:r/>
      <w:bookmarkStart w:id="231" w:name="_Toc26554094"/>
      <w:r/>
      <w:bookmarkStart w:id="232" w:name="_Toc120614282"/>
      <w:r/>
      <w:bookmarkStart w:id="233" w:name="_Toc49090576"/>
      <w:r/>
      <w:r/>
    </w:p>
    <w:p>
      <w:pPr>
        <w:jc w:val="center"/>
        <w:rPr>
          <w:rFonts w:hint="eastAsia" w:asciiTheme="minorEastAsia" w:hAnsiTheme="minorEastAsia" w:eastAsiaTheme="minorEastAsia" w:cstheme="minorEastAsia"/>
          <w:b/>
          <w:color w:val="000000" w:themeColor="text1"/>
          <w:sz w:val="72"/>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72"/>
          <w:highlight w:val="none"/>
          <w14:textFill>
            <w14:solidFill>
              <w14:schemeClr w14:val="tx1"/>
            </w14:solidFill>
          </w14:textFill>
        </w:rPr>
        <w:t xml:space="preserve">投  标  文  件</w:t>
      </w:r>
      <w:r/>
    </w:p>
    <w:p>
      <w:pPr>
        <w:jc w:val="center"/>
        <w:rPr>
          <w:rFonts w:hint="eastAsia" w:asciiTheme="minorEastAsia" w:hAnsiTheme="minorEastAsia" w:eastAsiaTheme="minorEastAsia" w:cstheme="minorEastAsia"/>
          <w:b/>
          <w:color w:val="000000" w:themeColor="text1"/>
          <w:sz w:val="72"/>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72"/>
          <w:highlight w:val="none"/>
          <w14:textFill>
            <w14:solidFill>
              <w14:schemeClr w14:val="tx1"/>
            </w14:solidFill>
          </w14:textFill>
        </w:rPr>
      </w:r>
      <w:r/>
    </w:p>
    <w:p>
      <w:pPr>
        <w:jc w:val="center"/>
        <w:rPr>
          <w:rFonts w:hint="eastAsia" w:asciiTheme="minorEastAsia" w:hAnsiTheme="minorEastAsia" w:eastAsiaTheme="minorEastAsia" w:cstheme="minorEastAsia"/>
          <w:b/>
          <w:color w:val="000000" w:themeColor="text1"/>
          <w:sz w:val="72"/>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72"/>
          <w:highlight w:val="none"/>
          <w14:textFill>
            <w14:solidFill>
              <w14:schemeClr w14:val="tx1"/>
            </w14:solidFill>
          </w14:textFill>
        </w:rPr>
      </w:r>
      <w:r/>
    </w:p>
    <w:p>
      <w:pPr>
        <w:jc w:val="center"/>
        <w:rPr>
          <w:rFonts w:hint="eastAsia" w:asciiTheme="minorEastAsia" w:hAnsiTheme="minorEastAsia" w:eastAsiaTheme="minorEastAsia" w:cstheme="minorEastAsia"/>
          <w:b/>
          <w:color w:val="000000" w:themeColor="text1"/>
          <w:sz w:val="36"/>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36"/>
          <w:highlight w:val="none"/>
          <w14:textFill>
            <w14:solidFill>
              <w14:schemeClr w14:val="tx1"/>
            </w14:solidFill>
          </w14:textFill>
        </w:rPr>
      </w:r>
      <w:r/>
    </w:p>
    <w:p>
      <w:pPr>
        <w:jc w:val="center"/>
        <w:rPr>
          <w:rFonts w:hint="eastAsia" w:asciiTheme="minorEastAsia" w:hAnsiTheme="minorEastAsia" w:eastAsiaTheme="minorEastAsia" w:cstheme="minorEastAsia"/>
          <w:b/>
          <w:color w:val="000000" w:themeColor="text1"/>
          <w:sz w:val="36"/>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36"/>
          <w:highlight w:val="none"/>
          <w14:textFill>
            <w14:solidFill>
              <w14:schemeClr w14:val="tx1"/>
            </w14:solidFill>
          </w14:textFill>
        </w:rPr>
      </w:r>
      <w:r/>
    </w:p>
    <w:p>
      <w:pPr>
        <w:jc w:val="center"/>
        <w:rPr>
          <w:rFonts w:hint="eastAsia" w:asciiTheme="minorEastAsia" w:hAnsiTheme="minorEastAsia" w:eastAsiaTheme="minorEastAsia" w:cstheme="minorEastAsia"/>
          <w:b/>
          <w:color w:val="000000" w:themeColor="text1"/>
          <w:sz w:val="36"/>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36"/>
          <w:highlight w:val="none"/>
          <w14:textFill>
            <w14:solidFill>
              <w14:schemeClr w14:val="tx1"/>
            </w14:solidFill>
          </w14:textFill>
        </w:rPr>
      </w:r>
      <w:r/>
    </w:p>
    <w:p>
      <w:pPr>
        <w:ind w:firstLine="1084"/>
        <w:rPr>
          <w:rFonts w:hint="eastAsia" w:asciiTheme="minorEastAsia" w:hAnsiTheme="minorEastAsia" w:eastAsiaTheme="minorEastAsia" w:cstheme="minorEastAsia"/>
          <w:bCs/>
          <w:color w:val="000000" w:themeColor="text1"/>
          <w:sz w:val="36"/>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36"/>
          <w:highlight w:val="none"/>
          <w14:textFill>
            <w14:solidFill>
              <w14:schemeClr w14:val="tx1"/>
            </w14:solidFill>
          </w14:textFill>
        </w:rPr>
        <w:t xml:space="preserve">项 目 名 称：</w:t>
      </w:r>
      <w:r/>
    </w:p>
    <w:p>
      <w:pPr>
        <w:ind w:firstLine="1084"/>
        <w:rPr>
          <w:rFonts w:hint="eastAsia" w:asciiTheme="minorEastAsia" w:hAnsiTheme="minorEastAsia" w:eastAsiaTheme="minorEastAsia" w:cstheme="minorEastAsia"/>
          <w:bCs/>
          <w:color w:val="000000" w:themeColor="text1"/>
          <w:sz w:val="36"/>
          <w:highlight w:val="none"/>
          <w:u w:val="single"/>
          <w14:textFill>
            <w14:solidFill>
              <w14:schemeClr w14:val="tx1"/>
            </w14:solidFill>
          </w14:textFill>
        </w:rPr>
      </w:pPr>
      <w:r>
        <w:rPr>
          <w:rFonts w:hint="eastAsia" w:asciiTheme="minorEastAsia" w:hAnsiTheme="minorEastAsia" w:eastAsiaTheme="minorEastAsia" w:cstheme="minorEastAsia"/>
          <w:bCs/>
          <w:color w:val="000000" w:themeColor="text1"/>
          <w:sz w:val="36"/>
          <w:highlight w:val="none"/>
          <w14:textFill>
            <w14:solidFill>
              <w14:schemeClr w14:val="tx1"/>
            </w14:solidFill>
          </w14:textFill>
        </w:rPr>
        <w:t xml:space="preserve">项 目 编 号：</w:t>
      </w:r>
      <w:r/>
    </w:p>
    <w:p>
      <w:pPr>
        <w:rPr>
          <w:rFonts w:hint="eastAsia" w:asciiTheme="minorEastAsia" w:hAnsiTheme="minorEastAsia" w:eastAsiaTheme="minorEastAsia" w:cstheme="minorEastAsia"/>
          <w:bCs/>
          <w:color w:val="000000" w:themeColor="text1"/>
          <w:sz w:val="36"/>
          <w:highlight w:val="none"/>
          <w:u w:val="single"/>
          <w14:textFill>
            <w14:solidFill>
              <w14:schemeClr w14:val="tx1"/>
            </w14:solidFill>
          </w14:textFill>
        </w:rPr>
      </w:pPr>
      <w:r>
        <w:rPr>
          <w:rFonts w:hint="eastAsia" w:asciiTheme="minorEastAsia" w:hAnsiTheme="minorEastAsia" w:eastAsiaTheme="minorEastAsia" w:cstheme="minorEastAsia"/>
          <w:bCs/>
          <w:color w:val="000000" w:themeColor="text1"/>
          <w:sz w:val="36"/>
          <w:highlight w:val="none"/>
          <w14:textFill>
            <w14:solidFill>
              <w14:schemeClr w14:val="tx1"/>
            </w14:solidFill>
          </w14:textFill>
        </w:rPr>
        <w:t xml:space="preserve">      投标人名称 ：</w:t>
      </w:r>
      <w:r>
        <w:rPr>
          <w:rFonts w:hint="eastAsia" w:asciiTheme="minorEastAsia" w:hAnsiTheme="minorEastAsia" w:eastAsiaTheme="minorEastAsia" w:cstheme="minorEastAsia"/>
          <w:bCs/>
          <w:color w:val="000000" w:themeColor="text1"/>
          <w:sz w:val="36"/>
          <w:highlight w:val="none"/>
          <w:u w:val="single"/>
          <w14:textFill>
            <w14:solidFill>
              <w14:schemeClr w14:val="tx1"/>
            </w14:solidFill>
          </w14:textFill>
        </w:rPr>
        <w:t xml:space="preserve">（加盖CA电子公章）</w:t>
      </w:r>
      <w:r/>
    </w:p>
    <w:p>
      <w:pPr>
        <w:rPr>
          <w:rFonts w:hint="eastAsia" w:asciiTheme="minorEastAsia" w:hAnsiTheme="minorEastAsia" w:eastAsiaTheme="minorEastAsia" w:cstheme="minorEastAsia"/>
          <w:bCs/>
          <w:color w:val="000000" w:themeColor="text1"/>
          <w:sz w:val="36"/>
          <w:highlight w:val="none"/>
          <w:u w:val="single"/>
          <w14:textFill>
            <w14:solidFill>
              <w14:schemeClr w14:val="tx1"/>
            </w14:solidFill>
          </w14:textFill>
        </w:rPr>
      </w:pPr>
      <w:r>
        <w:rPr>
          <w:rFonts w:hint="eastAsia" w:asciiTheme="minorEastAsia" w:hAnsiTheme="minorEastAsia" w:eastAsiaTheme="minorEastAsia" w:cstheme="minorEastAsia"/>
          <w:bCs/>
          <w:color w:val="000000" w:themeColor="text1"/>
          <w:sz w:val="36"/>
          <w:highlight w:val="none"/>
          <w14:textFill>
            <w14:solidFill>
              <w14:schemeClr w14:val="tx1"/>
            </w14:solidFill>
          </w14:textFill>
        </w:rPr>
        <w:t xml:space="preserve">      日      期 ：</w:t>
      </w:r>
      <w:r/>
    </w:p>
    <w:p>
      <w:pPr>
        <w:jc w:val="center"/>
        <w:spacing w:line="440" w:lineRule="exact"/>
        <w:rPr>
          <w:rFonts w:hint="eastAsia" w:asciiTheme="minorEastAsia" w:hAnsiTheme="minorEastAsia" w:eastAsiaTheme="minorEastAsia" w:cstheme="minorEastAsia"/>
          <w:b/>
          <w:bCs/>
          <w:color w:val="000000" w:themeColor="text1"/>
          <w:sz w:val="32"/>
          <w:szCs w:val="32"/>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32"/>
          <w:szCs w:val="32"/>
          <w:highlight w:val="none"/>
          <w14:textFill>
            <w14:solidFill>
              <w14:schemeClr w14:val="tx1"/>
            </w14:solidFill>
          </w14:textFill>
        </w:rPr>
      </w:r>
      <w:r/>
    </w:p>
    <w:p>
      <w:pPr>
        <w:spacing w:line="44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p>
      <w:pPr>
        <w:ind w:firstLine="1084"/>
        <w:rPr>
          <w:rFonts w:hint="eastAsia" w:asciiTheme="minorEastAsia" w:hAnsiTheme="minorEastAsia" w:eastAsiaTheme="minorEastAsia" w:cstheme="minorEastAsia"/>
          <w:b/>
          <w:bCs/>
          <w:color w:val="000000" w:themeColor="text1"/>
          <w:sz w:val="32"/>
          <w:szCs w:val="32"/>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36"/>
          <w:highlight w:val="none"/>
          <w:u w:val="single"/>
          <w14:textFill>
            <w14:solidFill>
              <w14:schemeClr w14:val="tx1"/>
            </w14:solidFill>
          </w14:textFill>
        </w:rPr>
        <w:br w:type="page" w:clear="all"/>
      </w:r>
      <w:r/>
    </w:p>
    <w:p>
      <w:pPr>
        <w:jc w:val="center"/>
        <w:spacing w:line="440" w:lineRule="exact"/>
        <w:rPr>
          <w:rFonts w:hint="eastAsia" w:asciiTheme="minorEastAsia" w:hAnsiTheme="minorEastAsia" w:eastAsiaTheme="minorEastAsia" w:cstheme="minorEastAsia"/>
          <w:b/>
          <w:bCs/>
          <w:color w:val="000000" w:themeColor="text1"/>
          <w:sz w:val="32"/>
          <w:szCs w:val="32"/>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32"/>
          <w:szCs w:val="32"/>
          <w:highlight w:val="none"/>
          <w14:textFill>
            <w14:solidFill>
              <w14:schemeClr w14:val="tx1"/>
            </w14:solidFill>
          </w14:textFill>
        </w:rPr>
        <w:t xml:space="preserve">投标文件目录</w:t>
      </w:r>
      <w:r/>
    </w:p>
    <w:p>
      <w:pPr>
        <w:jc w:val="center"/>
        <w:spacing w:line="440" w:lineRule="exact"/>
        <w:rPr>
          <w:rFonts w:hint="eastAsia" w:asciiTheme="minorEastAsia" w:hAnsiTheme="minorEastAsia" w:eastAsiaTheme="minorEastAsia" w:cstheme="minorEastAsia"/>
          <w:b/>
          <w:bCs/>
          <w:color w:val="000000" w:themeColor="text1"/>
          <w:sz w:val="32"/>
          <w:szCs w:val="32"/>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32"/>
          <w:szCs w:val="32"/>
          <w:highlight w:val="none"/>
          <w14:textFill>
            <w14:solidFill>
              <w14:schemeClr w14:val="tx1"/>
            </w14:solidFill>
          </w14:textFill>
        </w:rPr>
      </w:r>
      <w:r/>
    </w:p>
    <w:p>
      <w:pPr>
        <w:ind w:firstLine="560"/>
        <w:spacing w:line="600" w:lineRule="exact"/>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一、投标声明及承诺函</w:t>
      </w:r>
      <w:r/>
    </w:p>
    <w:p>
      <w:pPr>
        <w:ind w:firstLine="560"/>
        <w:spacing w:line="600" w:lineRule="exact"/>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二、投标人基本情况</w:t>
      </w:r>
      <w:r/>
    </w:p>
    <w:p>
      <w:pPr>
        <w:ind w:firstLine="560"/>
        <w:spacing w:line="600" w:lineRule="exact"/>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 xml:space="preserve">三</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w:t>
      </w:r>
      <w:r>
        <w:rPr>
          <w:rFonts w:hint="eastAsia" w:ascii="Times New Roman" w:hAnsi="Times New Roman" w:eastAsia="宋体" w:cs="宋体"/>
          <w:b w:val="0"/>
          <w:bCs w:val="0"/>
          <w:iCs w:val="0"/>
          <w:caps w:val="0"/>
          <w:color w:val="auto"/>
          <w:sz w:val="28"/>
          <w:szCs w:val="28"/>
          <w:highlight w:val="none"/>
          <w:lang w:val="en-US" w:eastAsia="zh-CN"/>
        </w:rPr>
        <w:t xml:space="preserve">法定代表人身份证明或授权委托书</w:t>
      </w:r>
      <w:r/>
    </w:p>
    <w:p>
      <w:pPr>
        <w:ind w:firstLine="560"/>
        <w:spacing w:line="600" w:lineRule="exact"/>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 xml:space="preserve">四</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、开标一览表</w:t>
      </w:r>
      <w:r/>
    </w:p>
    <w:p>
      <w:pPr>
        <w:ind w:firstLine="560"/>
        <w:spacing w:line="600" w:lineRule="exact"/>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 xml:space="preserve">五</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、投标分项报价表</w:t>
      </w:r>
      <w:r/>
    </w:p>
    <w:p>
      <w:pPr>
        <w:ind w:firstLine="560"/>
        <w:spacing w:line="600" w:lineRule="exact"/>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 xml:space="preserve">六</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、中小企业或残疾人福利性单位声明函</w:t>
      </w:r>
      <w:r/>
    </w:p>
    <w:p>
      <w:pPr>
        <w:ind w:firstLine="560"/>
        <w:spacing w:line="600" w:lineRule="exact"/>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 xml:space="preserve">七</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、技术要求响应及偏离表</w:t>
      </w:r>
      <w:r/>
    </w:p>
    <w:p>
      <w:pPr>
        <w:ind w:firstLine="560"/>
        <w:spacing w:line="600" w:lineRule="exact"/>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 xml:space="preserve">八</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、项目组成员</w:t>
      </w:r>
      <w:r/>
    </w:p>
    <w:p>
      <w:pPr>
        <w:ind w:firstLine="560"/>
        <w:spacing w:line="600" w:lineRule="exact"/>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 xml:space="preserve">九</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 xml:space="preserve">企业认证</w:t>
      </w:r>
      <w:r/>
    </w:p>
    <w:p>
      <w:pPr>
        <w:ind w:firstLine="560"/>
        <w:spacing w:line="600" w:lineRule="exact"/>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 xml:space="preserve">十、</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企业业绩</w:t>
      </w:r>
      <w:r/>
    </w:p>
    <w:p>
      <w:pPr>
        <w:ind w:firstLine="560"/>
        <w:spacing w:line="600" w:lineRule="exact"/>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 xml:space="preserve">十</w:t>
      </w: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 xml:space="preserve">一</w:t>
      </w: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 xml:space="preserve">、项目实施方案</w:t>
      </w:r>
      <w:r/>
    </w:p>
    <w:p>
      <w:pPr>
        <w:ind w:firstLine="560"/>
        <w:spacing w:line="600" w:lineRule="exact"/>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十</w:t>
      </w:r>
      <w:r>
        <w:rPr>
          <w:rFonts w:hint="eastAsia" w:asciiTheme="minorEastAsia" w:hAnsiTheme="minorEastAsia" w:eastAsiaTheme="minorEastAsia" w:cstheme="minorEastAsia"/>
          <w:color w:val="000000" w:themeColor="text1"/>
          <w:sz w:val="28"/>
          <w:szCs w:val="28"/>
          <w:highlight w:val="none"/>
          <w:lang w:val="en-US" w:eastAsia="zh-CN"/>
          <w14:textFill>
            <w14:solidFill>
              <w14:schemeClr w14:val="tx1"/>
            </w14:solidFill>
          </w14:textFill>
        </w:rPr>
        <w:t xml:space="preserve">二</w:t>
      </w: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、投标所需其他材料</w:t>
      </w:r>
      <w:bookmarkEnd w:id="231"/>
      <w:bookmarkEnd w:id="232"/>
      <w:bookmarkEnd w:id="233"/>
      <w:r/>
    </w:p>
    <w:p>
      <w:pPr>
        <w:rPr>
          <w:rFonts w:hint="eastAsia" w:asciiTheme="minorEastAsia" w:hAnsiTheme="minorEastAsia" w:eastAsiaTheme="minorEastAsia" w:cstheme="minorEastAsia"/>
          <w:b/>
          <w:bCs/>
          <w:color w:val="000000" w:themeColor="text1"/>
          <w:sz w:val="30"/>
          <w:szCs w:val="30"/>
          <w:highlight w:val="none"/>
          <w14:textFill>
            <w14:solidFill>
              <w14:schemeClr w14:val="tx1"/>
            </w14:solidFill>
          </w14:textFill>
        </w:rPr>
      </w:pPr>
      <w:r/>
      <w:bookmarkStart w:id="234" w:name="_Toc120614284"/>
      <w:r>
        <w:rPr>
          <w:rFonts w:hint="eastAsia" w:asciiTheme="minorEastAsia" w:hAnsiTheme="minorEastAsia" w:eastAsiaTheme="minorEastAsia" w:cstheme="minorEastAsia"/>
          <w:b/>
          <w:bCs/>
          <w:color w:val="000000" w:themeColor="text1"/>
          <w:sz w:val="30"/>
          <w:szCs w:val="30"/>
          <w:highlight w:val="none"/>
          <w14:textFill>
            <w14:solidFill>
              <w14:schemeClr w14:val="tx1"/>
            </w14:solidFill>
          </w14:textFill>
        </w:rPr>
        <w:br w:type="page" w:clear="all"/>
      </w:r>
      <w:r/>
    </w:p>
    <w:p>
      <w:pPr>
        <w:pStyle w:val="1057"/>
        <w:spacing w:line="480" w:lineRule="exact"/>
        <w:rPr>
          <w:rFonts w:hint="eastAsia" w:asciiTheme="minorEastAsia" w:hAnsiTheme="minorEastAsia" w:eastAsiaTheme="minorEastAsia" w:cstheme="minorEastAsia"/>
          <w:b/>
          <w:bCs/>
          <w:color w:val="000000" w:themeColor="text1"/>
          <w:sz w:val="30"/>
          <w:szCs w:val="30"/>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30"/>
          <w:szCs w:val="30"/>
          <w:highlight w:val="none"/>
          <w14:textFill>
            <w14:solidFill>
              <w14:schemeClr w14:val="tx1"/>
            </w14:solidFill>
          </w14:textFill>
        </w:rPr>
        <w:t xml:space="preserve">一、投标声明及承诺函</w:t>
      </w:r>
      <w:r/>
    </w:p>
    <w:p>
      <w:pPr>
        <w:pStyle w:val="1057"/>
        <w:jc w:val="center"/>
        <w:spacing w:line="480" w:lineRule="exact"/>
        <w:rPr>
          <w:rFonts w:hint="eastAsia" w:asciiTheme="minorEastAsia" w:hAnsiTheme="minorEastAsia" w:eastAsiaTheme="minorEastAsia" w:cstheme="minorEastAsia"/>
          <w:b/>
          <w:bCs/>
          <w:color w:val="000000" w:themeColor="text1"/>
          <w:sz w:val="30"/>
          <w:szCs w:val="30"/>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30"/>
          <w:szCs w:val="30"/>
          <w:highlight w:val="none"/>
          <w14:textFill>
            <w14:solidFill>
              <w14:schemeClr w14:val="tx1"/>
            </w14:solidFill>
          </w14:textFill>
        </w:rPr>
        <w:t xml:space="preserve">投标声明及承诺函</w:t>
      </w:r>
      <w:r/>
    </w:p>
    <w:p>
      <w:pPr>
        <w:pStyle w:val="1057"/>
        <w:spacing w:line="48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57"/>
        <w:jc w:val="left"/>
        <w:spacing w:line="480" w:lineRule="exact"/>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（采购单位名称）：</w:t>
      </w:r>
      <w:r/>
    </w:p>
    <w:p>
      <w:pPr>
        <w:pStyle w:val="1057"/>
        <w:ind w:firstLine="480"/>
        <w:jc w:val="left"/>
        <w:spacing w:line="48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根据已收到的项目编号为</w:t>
      </w:r>
      <w:r>
        <w:rPr>
          <w:rFonts w:hint="eastAsia" w:asciiTheme="minorEastAsia" w:hAnsiTheme="minorEastAsia" w:eastAsiaTheme="minorEastAsia" w:cstheme="minorEastAsia"/>
          <w:color w:val="000000" w:themeColor="text1"/>
          <w:sz w:val="24"/>
          <w:szCs w:val="24"/>
          <w:highlight w:val="none"/>
          <w:u w:val="single"/>
          <w:lang w:val="en-US" w:eastAsia="zh-CN"/>
          <w14:textFill>
            <w14:solidFill>
              <w14:schemeClr w14:val="tx1"/>
            </w14:solidFill>
          </w14:textFill>
        </w:rPr>
        <w:t xml:space="preserve">JSZC-321300-SXSD-G2025-0016</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w:t>
      </w:r>
      <w:r>
        <w:rPr>
          <w:rFonts w:hint="eastAsia" w:asciiTheme="minorEastAsia" w:hAnsiTheme="minorEastAsia" w:eastAsiaTheme="minorEastAsia" w:cstheme="minorEastAsia"/>
          <w:color w:val="000000" w:themeColor="text1"/>
          <w:sz w:val="24"/>
          <w:szCs w:val="24"/>
          <w:highlight w:val="none"/>
          <w:u w:val="single"/>
          <w:lang w:eastAsia="zh-CN"/>
          <w14:textFill>
            <w14:solidFill>
              <w14:schemeClr w14:val="tx1"/>
            </w14:solidFill>
          </w14:textFill>
        </w:rPr>
        <w:t xml:space="preserve">市区易涝点信息化管理系统平台新增监测点位项目</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的招标文件，我方在参加本项目招投标活动中，特做出如下承诺：</w:t>
      </w:r>
      <w:r/>
    </w:p>
    <w:p>
      <w:pPr>
        <w:pStyle w:val="1057"/>
        <w:ind w:firstLine="480"/>
        <w:jc w:val="left"/>
        <w:spacing w:line="48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一、我方具备《中华人民共和国政府采购法》第二十二条第一款规定的6项条件；</w:t>
      </w:r>
      <w:r/>
    </w:p>
    <w:p>
      <w:pPr>
        <w:pStyle w:val="1057"/>
        <w:ind w:firstLine="480"/>
        <w:jc w:val="left"/>
        <w:spacing w:line="48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57"/>
        <w:ind w:firstLine="480"/>
        <w:jc w:val="left"/>
        <w:spacing w:line="48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三、我方按招标文件要求提交投标文件，响应招标文件规定的投标有效期；</w:t>
      </w:r>
      <w:r/>
    </w:p>
    <w:p>
      <w:pPr>
        <w:pStyle w:val="1057"/>
        <w:ind w:firstLine="480"/>
        <w:jc w:val="left"/>
        <w:spacing w:line="48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四、如果我方的投标文件被接受，我方将按《中华人民共和国民法典（第三编合同）》及其他有关法律、法规的规定，按期、按质、按量交付采购单位，全面做到履约守信；</w:t>
      </w:r>
      <w:r/>
    </w:p>
    <w:p>
      <w:pPr>
        <w:pStyle w:val="1057"/>
        <w:ind w:firstLine="480"/>
        <w:jc w:val="left"/>
        <w:spacing w:line="48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五、我方若违背本声明及承诺约定，经查实，自愿接受采购人及相关主管部门相应的规定处理，并依法承担相应的法律责任。</w:t>
      </w:r>
      <w:r/>
    </w:p>
    <w:p>
      <w:pPr>
        <w:pStyle w:val="1057"/>
        <w:ind w:firstLine="480"/>
        <w:jc w:val="left"/>
        <w:spacing w:line="48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六、我方同意采购人、采购代理机构将本声明及承诺函上网公开。</w:t>
      </w:r>
      <w:r/>
    </w:p>
    <w:p>
      <w:pPr>
        <w:pStyle w:val="1057"/>
        <w:ind w:firstLine="480"/>
        <w:jc w:val="left"/>
        <w:spacing w:line="48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57"/>
        <w:jc w:val="left"/>
        <w:spacing w:line="48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57"/>
        <w:ind w:firstLine="480"/>
        <w:jc w:val="left"/>
        <w:spacing w:line="48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投标人名称： （加盖CA电子公章）</w:t>
      </w:r>
      <w:r/>
    </w:p>
    <w:p>
      <w:pPr>
        <w:pStyle w:val="1057"/>
        <w:ind w:firstLine="480"/>
        <w:spacing w:line="48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日期：    年    月   日</w:t>
      </w:r>
      <w:r/>
    </w:p>
    <w:p>
      <w:pPr>
        <w:pStyle w:val="1057"/>
        <w:jc w:val="left"/>
        <w:spacing w:line="480" w:lineRule="exact"/>
        <w:rPr>
          <w:rFonts w:hint="eastAsia" w:asciiTheme="minorEastAsia" w:hAnsiTheme="minorEastAsia" w:eastAsiaTheme="minorEastAsia" w:cstheme="minorEastAsia"/>
          <w:b/>
          <w:bCs/>
          <w:color w:val="000000" w:themeColor="text1"/>
          <w:sz w:val="30"/>
          <w:szCs w:val="30"/>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clear="all"/>
      </w:r>
      <w:r>
        <w:rPr>
          <w:rFonts w:hint="eastAsia" w:asciiTheme="minorEastAsia" w:hAnsiTheme="minorEastAsia" w:eastAsiaTheme="minorEastAsia" w:cstheme="minorEastAsia"/>
          <w:b/>
          <w:bCs/>
          <w:color w:val="000000" w:themeColor="text1"/>
          <w:sz w:val="30"/>
          <w:szCs w:val="30"/>
          <w:highlight w:val="none"/>
          <w14:textFill>
            <w14:solidFill>
              <w14:schemeClr w14:val="tx1"/>
            </w14:solidFill>
          </w14:textFill>
        </w:rPr>
        <w:t xml:space="preserve">二、投标人基本情况</w:t>
      </w:r>
      <w:r/>
    </w:p>
    <w:p>
      <w:pPr>
        <w:pStyle w:val="1057"/>
        <w:jc w:val="center"/>
        <w:spacing w:line="480" w:lineRule="exact"/>
        <w:rPr>
          <w:rFonts w:hint="eastAsia" w:asciiTheme="minorEastAsia" w:hAnsiTheme="minorEastAsia" w:eastAsiaTheme="minorEastAsia" w:cstheme="minorEastAsia"/>
          <w:b/>
          <w:bCs/>
          <w:color w:val="000000" w:themeColor="text1"/>
          <w:sz w:val="30"/>
          <w:szCs w:val="30"/>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30"/>
          <w:szCs w:val="30"/>
          <w:highlight w:val="none"/>
          <w14:textFill>
            <w14:solidFill>
              <w14:schemeClr w14:val="tx1"/>
            </w14:solidFill>
          </w14:textFill>
        </w:rPr>
        <w:t xml:space="preserve">投标人基本情况表</w:t>
      </w:r>
      <w:r/>
    </w:p>
    <w:tbl>
      <w:tblPr>
        <w:tblStyle w:val="7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60"/>
              <w:jc w:val="center"/>
              <w:spacing w:line="6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投标人名称</w:t>
            </w:r>
            <w:r/>
          </w:p>
        </w:tc>
        <w:tc>
          <w:tcPr>
            <w:gridSpan w:val="3"/>
            <w:tcW w:w="6998" w:type="dxa"/>
            <w:vAlign w:val="center"/>
            <w:textDirection w:val="lrTb"/>
            <w:noWrap w:val="false"/>
          </w:tcPr>
          <w:p>
            <w:pPr>
              <w:pStyle w:val="1060"/>
              <w:jc w:val="center"/>
              <w:spacing w:line="6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60"/>
              <w:jc w:val="center"/>
              <w:spacing w:line="6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法定代表人</w:t>
            </w:r>
            <w:r/>
          </w:p>
        </w:tc>
        <w:tc>
          <w:tcPr>
            <w:tcW w:w="3118" w:type="dxa"/>
            <w:vAlign w:val="center"/>
            <w:textDirection w:val="lrTb"/>
            <w:noWrap w:val="false"/>
          </w:tcPr>
          <w:p>
            <w:pPr>
              <w:pStyle w:val="1060"/>
              <w:jc w:val="center"/>
              <w:spacing w:line="6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60"/>
              <w:jc w:val="center"/>
              <w:spacing w:line="6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注册地区</w:t>
            </w:r>
            <w:r/>
          </w:p>
        </w:tc>
        <w:tc>
          <w:tcPr>
            <w:tcW w:w="2604" w:type="dxa"/>
            <w:vAlign w:val="center"/>
            <w:textDirection w:val="lrTb"/>
            <w:noWrap w:val="false"/>
          </w:tcPr>
          <w:p>
            <w:pPr>
              <w:pStyle w:val="1060"/>
              <w:jc w:val="center"/>
              <w:spacing w:line="6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60"/>
              <w:jc w:val="center"/>
              <w:spacing w:line="6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地址</w:t>
            </w:r>
            <w:r/>
          </w:p>
        </w:tc>
        <w:tc>
          <w:tcPr>
            <w:tcW w:w="3118" w:type="dxa"/>
            <w:vAlign w:val="center"/>
            <w:textDirection w:val="lrTb"/>
            <w:noWrap w:val="false"/>
          </w:tcPr>
          <w:p>
            <w:pPr>
              <w:pStyle w:val="1060"/>
              <w:jc w:val="center"/>
              <w:spacing w:line="6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60"/>
              <w:jc w:val="center"/>
              <w:spacing w:line="6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邮政编码</w:t>
            </w:r>
            <w:r/>
          </w:p>
        </w:tc>
        <w:tc>
          <w:tcPr>
            <w:tcW w:w="2604" w:type="dxa"/>
            <w:vAlign w:val="center"/>
            <w:textDirection w:val="lrTb"/>
            <w:noWrap w:val="false"/>
          </w:tcPr>
          <w:p>
            <w:pPr>
              <w:pStyle w:val="1060"/>
              <w:jc w:val="center"/>
              <w:spacing w:line="6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60"/>
              <w:jc w:val="center"/>
              <w:spacing w:line="6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成立时间</w:t>
            </w:r>
            <w:r/>
          </w:p>
        </w:tc>
        <w:tc>
          <w:tcPr>
            <w:tcW w:w="3118" w:type="dxa"/>
            <w:vAlign w:val="center"/>
            <w:textDirection w:val="lrTb"/>
            <w:noWrap w:val="false"/>
          </w:tcPr>
          <w:p>
            <w:pPr>
              <w:pStyle w:val="1060"/>
              <w:jc w:val="center"/>
              <w:spacing w:line="6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60"/>
              <w:jc w:val="center"/>
              <w:spacing w:line="6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单位性质</w:t>
            </w:r>
            <w:r/>
          </w:p>
        </w:tc>
        <w:tc>
          <w:tcPr>
            <w:tcW w:w="2604" w:type="dxa"/>
            <w:vAlign w:val="center"/>
            <w:textDirection w:val="lrTb"/>
            <w:noWrap w:val="false"/>
          </w:tcPr>
          <w:p>
            <w:pPr>
              <w:pStyle w:val="1060"/>
              <w:jc w:val="center"/>
              <w:spacing w:line="6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60"/>
              <w:jc w:val="center"/>
              <w:spacing w:line="6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注册号或社会信用代码</w:t>
            </w:r>
            <w:r/>
          </w:p>
        </w:tc>
        <w:tc>
          <w:tcPr>
            <w:tcW w:w="3118" w:type="dxa"/>
            <w:vAlign w:val="center"/>
            <w:textDirection w:val="lrTb"/>
            <w:noWrap w:val="false"/>
          </w:tcPr>
          <w:p>
            <w:pPr>
              <w:pStyle w:val="1060"/>
              <w:jc w:val="center"/>
              <w:spacing w:line="6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60"/>
              <w:jc w:val="center"/>
              <w:spacing w:line="6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注册资本（万元）</w:t>
            </w:r>
            <w:r/>
          </w:p>
        </w:tc>
        <w:tc>
          <w:tcPr>
            <w:tcW w:w="2604" w:type="dxa"/>
            <w:vAlign w:val="center"/>
            <w:textDirection w:val="lrTb"/>
            <w:noWrap w:val="false"/>
          </w:tcPr>
          <w:p>
            <w:pPr>
              <w:pStyle w:val="1060"/>
              <w:jc w:val="center"/>
              <w:spacing w:line="6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60"/>
              <w:jc w:val="center"/>
              <w:spacing w:line="6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投标人类别</w:t>
            </w:r>
            <w:r/>
          </w:p>
        </w:tc>
        <w:tc>
          <w:tcPr>
            <w:gridSpan w:val="3"/>
            <w:tcW w:w="6998" w:type="dxa"/>
            <w:vAlign w:val="center"/>
            <w:textDirection w:val="lrTb"/>
            <w:noWrap w:val="false"/>
          </w:tcPr>
          <w:p>
            <w:pPr>
              <w:pStyle w:val="1060"/>
              <w:jc w:val="center"/>
              <w:spacing w:line="6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60"/>
              <w:jc w:val="center"/>
              <w:spacing w:line="6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开户银行</w:t>
            </w:r>
            <w:r/>
          </w:p>
        </w:tc>
        <w:tc>
          <w:tcPr>
            <w:tcW w:w="3118" w:type="dxa"/>
            <w:vAlign w:val="center"/>
            <w:textDirection w:val="lrTb"/>
            <w:noWrap w:val="false"/>
          </w:tcPr>
          <w:p>
            <w:pPr>
              <w:pStyle w:val="1060"/>
              <w:jc w:val="center"/>
              <w:spacing w:line="6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60"/>
              <w:jc w:val="center"/>
              <w:spacing w:line="6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账号</w:t>
            </w:r>
            <w:r/>
          </w:p>
        </w:tc>
        <w:tc>
          <w:tcPr>
            <w:tcW w:w="2604" w:type="dxa"/>
            <w:vAlign w:val="center"/>
            <w:textDirection w:val="lrTb"/>
            <w:noWrap w:val="false"/>
          </w:tcPr>
          <w:p>
            <w:pPr>
              <w:pStyle w:val="1060"/>
              <w:jc w:val="center"/>
              <w:spacing w:line="6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r>
      <w:tr>
        <w:trPr/>
        <w:tc>
          <w:tcPr>
            <w:tcW w:w="1526" w:type="dxa"/>
            <w:vAlign w:val="center"/>
            <w:textDirection w:val="lrTb"/>
            <w:noWrap w:val="false"/>
          </w:tcPr>
          <w:p>
            <w:pPr>
              <w:pStyle w:val="1060"/>
              <w:jc w:val="center"/>
              <w:spacing w:line="6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联系人</w:t>
            </w:r>
            <w:r/>
          </w:p>
        </w:tc>
        <w:tc>
          <w:tcPr>
            <w:tcW w:w="3118" w:type="dxa"/>
            <w:vAlign w:val="center"/>
            <w:textDirection w:val="lrTb"/>
            <w:noWrap w:val="false"/>
          </w:tcPr>
          <w:p>
            <w:pPr>
              <w:pStyle w:val="1060"/>
              <w:jc w:val="center"/>
              <w:spacing w:line="6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276" w:type="dxa"/>
            <w:vAlign w:val="center"/>
            <w:textDirection w:val="lrTb"/>
            <w:noWrap w:val="false"/>
          </w:tcPr>
          <w:p>
            <w:pPr>
              <w:pStyle w:val="1060"/>
              <w:jc w:val="center"/>
              <w:spacing w:line="6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联系电话</w:t>
            </w:r>
            <w:r/>
          </w:p>
        </w:tc>
        <w:tc>
          <w:tcPr>
            <w:tcW w:w="2604" w:type="dxa"/>
            <w:vAlign w:val="center"/>
            <w:textDirection w:val="lrTb"/>
            <w:noWrap w:val="false"/>
          </w:tcPr>
          <w:p>
            <w:pPr>
              <w:pStyle w:val="1060"/>
              <w:jc w:val="center"/>
              <w:spacing w:line="6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r>
      <w:tr>
        <w:trPr>
          <w:trHeight w:val="2376"/>
        </w:trPr>
        <w:tc>
          <w:tcPr>
            <w:tcW w:w="1526" w:type="dxa"/>
            <w:vAlign w:val="center"/>
            <w:textDirection w:val="lrTb"/>
            <w:noWrap w:val="false"/>
          </w:tcPr>
          <w:p>
            <w:pPr>
              <w:pStyle w:val="1060"/>
              <w:jc w:val="center"/>
              <w:spacing w:line="56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经营范围</w:t>
            </w:r>
            <w:r/>
          </w:p>
        </w:tc>
        <w:tc>
          <w:tcPr>
            <w:gridSpan w:val="3"/>
            <w:tcW w:w="6998" w:type="dxa"/>
            <w:textDirection w:val="lrTb"/>
            <w:noWrap w:val="false"/>
          </w:tcPr>
          <w:p>
            <w:pPr>
              <w:pStyle w:val="1060"/>
              <w:ind w:firstLine="1432"/>
              <w:spacing w:line="56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r>
      <w:tr>
        <w:trPr>
          <w:trHeight w:val="1134"/>
        </w:trPr>
        <w:tc>
          <w:tcPr>
            <w:tcW w:w="1526" w:type="dxa"/>
            <w:vAlign w:val="center"/>
            <w:textDirection w:val="lrTb"/>
            <w:noWrap w:val="false"/>
          </w:tcPr>
          <w:p>
            <w:pPr>
              <w:pStyle w:val="1060"/>
              <w:jc w:val="center"/>
              <w:spacing w:line="56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备注</w:t>
            </w:r>
            <w:r/>
          </w:p>
        </w:tc>
        <w:tc>
          <w:tcPr>
            <w:gridSpan w:val="3"/>
            <w:tcW w:w="6998" w:type="dxa"/>
            <w:vAlign w:val="center"/>
            <w:textDirection w:val="lrTb"/>
            <w:noWrap w:val="false"/>
          </w:tcPr>
          <w:p>
            <w:pPr>
              <w:pStyle w:val="1060"/>
              <w:jc w:val="center"/>
              <w:spacing w:line="5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60"/>
              <w:jc w:val="center"/>
              <w:spacing w:line="50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r>
    </w:tbl>
    <w:p>
      <w:pPr>
        <w:ind w:firstLine="480"/>
        <w:spacing w:line="440" w:lineRule="exact"/>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r>
      <w:r/>
    </w:p>
    <w:p>
      <w:pPr>
        <w:rPr>
          <w:rFonts w:hint="eastAsia" w:asciiTheme="minorEastAsia" w:hAnsiTheme="minorEastAsia" w:eastAsiaTheme="minorEastAsia" w:cstheme="minorEastAsia"/>
          <w:i/>
          <w:color w:val="000000" w:themeColor="text1"/>
          <w:sz w:val="32"/>
          <w:szCs w:val="32"/>
          <w:highlight w:val="none"/>
          <w:u w:val="single"/>
          <w14:textFill>
            <w14:solidFill>
              <w14:schemeClr w14:val="tx1"/>
            </w14:solidFill>
          </w14:textFill>
        </w:rPr>
      </w:pPr>
      <w:r>
        <w:rPr>
          <w:rFonts w:hint="eastAsia" w:asciiTheme="minorEastAsia" w:hAnsiTheme="minorEastAsia" w:eastAsiaTheme="minorEastAsia" w:cstheme="minorEastAsia"/>
          <w:i/>
          <w:color w:val="000000" w:themeColor="text1"/>
          <w:sz w:val="32"/>
          <w:szCs w:val="32"/>
          <w:highlight w:val="none"/>
          <w:u w:val="single"/>
          <w14:textFill>
            <w14:solidFill>
              <w14:schemeClr w14:val="tx1"/>
            </w14:solidFill>
          </w14:textFill>
        </w:rPr>
        <w:br w:type="page" w:clear="all"/>
      </w:r>
      <w:r/>
    </w:p>
    <w:p>
      <w:pPr>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t xml:space="preserve">三、法人授权书</w:t>
      </w:r>
      <w:r/>
    </w:p>
    <w:p>
      <w:pPr>
        <w:pStyle w:val="1057"/>
        <w:jc w:val="center"/>
        <w:keepLines w:val="0"/>
        <w:keepNext w:val="0"/>
        <w:pageBreakBefore w:val="0"/>
        <w:spacing w:line="480" w:lineRule="exact"/>
        <w:widowControl w:val="off"/>
        <w:rPr>
          <w:rFonts w:hint="eastAsia" w:ascii="宋体" w:hAnsi="宋体" w:eastAsia="宋体" w:cs="宋体"/>
          <w:b/>
          <w:bCs/>
          <w:caps w:val="0"/>
          <w:color w:val="auto"/>
          <w:sz w:val="32"/>
          <w:szCs w:val="32"/>
          <w:highlight w:val="none"/>
        </w:rPr>
      </w:pPr>
      <w:r>
        <w:rPr>
          <w:rFonts w:hint="eastAsia" w:ascii="宋体" w:hAnsi="宋体" w:eastAsia="宋体" w:cs="宋体"/>
          <w:b/>
          <w:bCs/>
          <w:caps w:val="0"/>
          <w:color w:val="auto"/>
          <w:sz w:val="32"/>
          <w:szCs w:val="32"/>
          <w:highlight w:val="none"/>
        </w:rPr>
        <w:t xml:space="preserve">法定代表人身份证明</w:t>
      </w:r>
      <w:r/>
    </w:p>
    <w:p>
      <w:pPr>
        <w:spacing w:line="360" w:lineRule="exact"/>
        <w:rPr>
          <w:rFonts w:hint="eastAsia" w:ascii="仿宋" w:hAnsi="仿宋" w:eastAsia="仿宋" w:cs="仿宋"/>
          <w:sz w:val="24"/>
          <w:highlight w:val="none"/>
        </w:rPr>
      </w:pPr>
      <w:r>
        <w:rPr>
          <w:rFonts w:hint="eastAsia" w:ascii="仿宋" w:hAnsi="仿宋" w:eastAsia="仿宋" w:cs="仿宋"/>
          <w:sz w:val="24"/>
          <w:highlight w:val="none"/>
        </w:rPr>
      </w:r>
      <w:r/>
    </w:p>
    <w:p>
      <w:pPr>
        <w:ind w:firstLine="480"/>
        <w:jc w:val="both"/>
        <w:keepLines w:val="0"/>
        <w:keepNext w:val="0"/>
        <w:pageBreakBefore w:val="0"/>
        <w:spacing w:line="500" w:lineRule="exact"/>
        <w:widowControl w:val="off"/>
        <w:rPr>
          <w:rFonts w:hint="eastAsia" w:ascii="宋体" w:hAnsi="宋体" w:eastAsia="宋体" w:cs="仿宋"/>
          <w:sz w:val="24"/>
          <w:highlight w:val="none"/>
        </w:rPr>
      </w:pPr>
      <w:r>
        <w:rPr>
          <w:rFonts w:hint="eastAsia" w:ascii="宋体" w:hAnsi="宋体" w:eastAsia="宋体" w:cs="仿宋"/>
          <w:sz w:val="24"/>
          <w:highlight w:val="none"/>
          <w:lang w:eastAsia="zh-CN"/>
        </w:rPr>
        <w:t xml:space="preserve">投标人</w:t>
      </w:r>
      <w:r>
        <w:rPr>
          <w:rFonts w:hint="eastAsia" w:ascii="宋体" w:hAnsi="宋体" w:eastAsia="宋体" w:cs="仿宋"/>
          <w:sz w:val="24"/>
          <w:highlight w:val="none"/>
        </w:rPr>
        <w:t xml:space="preserve">名称：</w:t>
      </w:r>
      <w:r>
        <w:rPr>
          <w:rFonts w:hint="eastAsia" w:ascii="宋体" w:hAnsi="宋体" w:eastAsia="宋体" w:cs="仿宋"/>
          <w:sz w:val="24"/>
          <w:highlight w:val="none"/>
          <w:u w:val="single"/>
        </w:rPr>
        <w:t xml:space="preserve">              </w:t>
      </w:r>
      <w:r>
        <w:rPr>
          <w:rFonts w:hint="eastAsia" w:ascii="宋体" w:hAnsi="宋体" w:eastAsia="宋体" w:cs="仿宋"/>
          <w:sz w:val="24"/>
          <w:highlight w:val="none"/>
          <w:u w:val="single"/>
          <w:lang w:val="en-US" w:eastAsia="zh-CN"/>
        </w:rPr>
        <w:t xml:space="preserve"> </w:t>
      </w:r>
      <w:r>
        <w:rPr>
          <w:rFonts w:hint="eastAsia" w:ascii="宋体" w:hAnsi="宋体" w:eastAsia="宋体" w:cs="仿宋"/>
          <w:sz w:val="24"/>
          <w:highlight w:val="none"/>
          <w:u w:val="single"/>
        </w:rPr>
        <w:t xml:space="preserve">            </w:t>
      </w:r>
      <w:r/>
    </w:p>
    <w:p>
      <w:pPr>
        <w:ind w:firstLine="480"/>
        <w:jc w:val="both"/>
        <w:keepLines w:val="0"/>
        <w:keepNext w:val="0"/>
        <w:pageBreakBefore w:val="0"/>
        <w:spacing w:line="500" w:lineRule="exact"/>
        <w:widowControl w:val="off"/>
        <w:rPr>
          <w:rFonts w:hint="eastAsia" w:ascii="宋体" w:hAnsi="宋体" w:eastAsia="宋体" w:cs="仿宋"/>
          <w:sz w:val="24"/>
          <w:highlight w:val="none"/>
        </w:rPr>
      </w:pPr>
      <w:r>
        <w:rPr>
          <w:rFonts w:hint="eastAsia" w:ascii="宋体" w:hAnsi="宋体" w:eastAsia="宋体" w:cs="仿宋"/>
          <w:sz w:val="24"/>
          <w:highlight w:val="none"/>
        </w:rPr>
        <w:t xml:space="preserve">单位性质：</w:t>
      </w:r>
      <w:r>
        <w:rPr>
          <w:rFonts w:hint="eastAsia" w:ascii="宋体" w:hAnsi="宋体" w:eastAsia="宋体" w:cs="仿宋"/>
          <w:sz w:val="24"/>
          <w:highlight w:val="none"/>
          <w:u w:val="single"/>
        </w:rPr>
        <w:t xml:space="preserve">               </w:t>
      </w:r>
      <w:r>
        <w:rPr>
          <w:rFonts w:hint="eastAsia" w:ascii="宋体" w:hAnsi="宋体" w:eastAsia="宋体" w:cs="仿宋"/>
          <w:sz w:val="24"/>
          <w:highlight w:val="none"/>
          <w:u w:val="single"/>
          <w:lang w:val="en-US" w:eastAsia="zh-CN"/>
        </w:rPr>
        <w:t xml:space="preserve"> </w:t>
      </w:r>
      <w:r>
        <w:rPr>
          <w:rFonts w:hint="eastAsia" w:ascii="宋体" w:hAnsi="宋体" w:eastAsia="宋体" w:cs="仿宋"/>
          <w:sz w:val="24"/>
          <w:highlight w:val="none"/>
          <w:u w:val="single"/>
        </w:rPr>
        <w:t xml:space="preserve">             </w:t>
      </w:r>
      <w:r>
        <w:rPr>
          <w:rFonts w:hint="eastAsia" w:ascii="宋体" w:hAnsi="宋体" w:eastAsia="宋体" w:cs="仿宋"/>
          <w:sz w:val="24"/>
          <w:highlight w:val="none"/>
        </w:rPr>
        <w:t xml:space="preserve"> </w:t>
      </w:r>
      <w:r/>
    </w:p>
    <w:p>
      <w:pPr>
        <w:ind w:firstLine="480"/>
        <w:jc w:val="both"/>
        <w:keepLines w:val="0"/>
        <w:keepNext w:val="0"/>
        <w:pageBreakBefore w:val="0"/>
        <w:spacing w:line="500" w:lineRule="exact"/>
        <w:widowControl w:val="off"/>
        <w:rPr>
          <w:rFonts w:hint="eastAsia" w:ascii="宋体" w:hAnsi="宋体" w:eastAsia="宋体" w:cs="仿宋"/>
          <w:sz w:val="24"/>
          <w:highlight w:val="none"/>
          <w:u w:val="single"/>
        </w:rPr>
      </w:pPr>
      <w:r>
        <w:rPr>
          <w:rFonts w:hint="eastAsia" w:ascii="宋体" w:hAnsi="宋体" w:eastAsia="宋体" w:cs="仿宋"/>
          <w:sz w:val="24"/>
          <w:highlight w:val="none"/>
        </w:rPr>
        <w:t xml:space="preserve">地址：</w:t>
      </w:r>
      <w:r>
        <w:rPr>
          <w:rFonts w:hint="eastAsia" w:ascii="宋体" w:hAnsi="宋体" w:eastAsia="宋体" w:cs="仿宋"/>
          <w:sz w:val="24"/>
          <w:highlight w:val="none"/>
          <w:u w:val="single"/>
        </w:rPr>
        <w:t xml:space="preserve">                    </w:t>
      </w:r>
      <w:r>
        <w:rPr>
          <w:rFonts w:hint="eastAsia" w:ascii="宋体" w:hAnsi="宋体" w:eastAsia="宋体" w:cs="仿宋"/>
          <w:sz w:val="24"/>
          <w:highlight w:val="none"/>
          <w:u w:val="single"/>
          <w:lang w:val="en-US" w:eastAsia="zh-CN"/>
        </w:rPr>
        <w:t xml:space="preserve">  </w:t>
      </w:r>
      <w:r>
        <w:rPr>
          <w:rFonts w:hint="eastAsia" w:ascii="宋体" w:hAnsi="宋体" w:eastAsia="宋体" w:cs="仿宋"/>
          <w:sz w:val="24"/>
          <w:highlight w:val="none"/>
          <w:u w:val="single"/>
        </w:rPr>
        <w:t xml:space="preserve">           </w:t>
      </w:r>
      <w:r/>
    </w:p>
    <w:p>
      <w:pPr>
        <w:ind w:firstLine="480"/>
        <w:jc w:val="both"/>
        <w:keepLines w:val="0"/>
        <w:keepNext w:val="0"/>
        <w:pageBreakBefore w:val="0"/>
        <w:spacing w:line="500" w:lineRule="exact"/>
        <w:widowControl w:val="off"/>
        <w:rPr>
          <w:rFonts w:hint="eastAsia" w:ascii="宋体" w:hAnsi="宋体" w:eastAsia="宋体" w:cs="仿宋"/>
          <w:sz w:val="24"/>
          <w:highlight w:val="none"/>
        </w:rPr>
      </w:pPr>
      <w:r>
        <w:rPr>
          <w:rFonts w:hint="eastAsia" w:ascii="宋体" w:hAnsi="宋体" w:eastAsia="宋体" w:cs="仿宋"/>
          <w:sz w:val="24"/>
          <w:highlight w:val="none"/>
        </w:rPr>
        <w:t xml:space="preserve">成立时间：</w:t>
      </w:r>
      <w:r>
        <w:rPr>
          <w:rFonts w:hint="eastAsia" w:ascii="宋体" w:hAnsi="宋体" w:eastAsia="宋体" w:cs="仿宋"/>
          <w:sz w:val="24"/>
          <w:highlight w:val="none"/>
          <w:u w:val="single"/>
        </w:rPr>
        <w:t xml:space="preserve">       </w:t>
      </w:r>
      <w:r>
        <w:rPr>
          <w:rFonts w:hint="eastAsia" w:ascii="宋体" w:hAnsi="宋体" w:eastAsia="宋体" w:cs="仿宋"/>
          <w:sz w:val="24"/>
          <w:highlight w:val="none"/>
        </w:rPr>
        <w:t xml:space="preserve">年</w:t>
      </w:r>
      <w:r>
        <w:rPr>
          <w:rFonts w:hint="eastAsia" w:ascii="宋体" w:hAnsi="宋体" w:eastAsia="宋体" w:cs="仿宋"/>
          <w:sz w:val="24"/>
          <w:highlight w:val="none"/>
          <w:u w:val="single"/>
        </w:rPr>
        <w:t xml:space="preserve">       </w:t>
      </w:r>
      <w:r>
        <w:rPr>
          <w:rFonts w:hint="eastAsia" w:ascii="宋体" w:hAnsi="宋体" w:eastAsia="宋体" w:cs="仿宋"/>
          <w:sz w:val="24"/>
          <w:highlight w:val="none"/>
        </w:rPr>
        <w:t xml:space="preserve">月</w:t>
      </w:r>
      <w:r>
        <w:rPr>
          <w:rFonts w:hint="eastAsia" w:ascii="宋体" w:hAnsi="宋体" w:eastAsia="宋体" w:cs="仿宋"/>
          <w:sz w:val="24"/>
          <w:highlight w:val="none"/>
          <w:u w:val="single"/>
        </w:rPr>
        <w:t xml:space="preserve">       </w:t>
      </w:r>
      <w:r>
        <w:rPr>
          <w:rFonts w:hint="eastAsia" w:ascii="宋体" w:hAnsi="宋体" w:eastAsia="宋体" w:cs="仿宋"/>
          <w:sz w:val="24"/>
          <w:highlight w:val="none"/>
        </w:rPr>
        <w:t xml:space="preserve">日</w:t>
      </w:r>
      <w:r/>
    </w:p>
    <w:p>
      <w:pPr>
        <w:ind w:firstLine="480"/>
        <w:jc w:val="both"/>
        <w:keepLines w:val="0"/>
        <w:keepNext w:val="0"/>
        <w:pageBreakBefore w:val="0"/>
        <w:spacing w:line="500" w:lineRule="exact"/>
        <w:widowControl w:val="off"/>
        <w:rPr>
          <w:rFonts w:hint="eastAsia" w:ascii="宋体" w:hAnsi="宋体" w:eastAsia="宋体" w:cs="仿宋"/>
          <w:sz w:val="24"/>
          <w:highlight w:val="none"/>
          <w:u w:val="single"/>
        </w:rPr>
      </w:pPr>
      <w:r>
        <w:rPr>
          <w:rFonts w:hint="eastAsia" w:ascii="宋体" w:hAnsi="宋体" w:eastAsia="宋体" w:cs="仿宋"/>
          <w:sz w:val="24"/>
          <w:highlight w:val="none"/>
        </w:rPr>
        <w:t xml:space="preserve">经营期限：</w:t>
      </w:r>
      <w:r>
        <w:rPr>
          <w:rFonts w:hint="eastAsia" w:ascii="宋体" w:hAnsi="宋体" w:eastAsia="宋体" w:cs="仿宋"/>
          <w:sz w:val="24"/>
          <w:highlight w:val="none"/>
          <w:u w:val="single"/>
        </w:rPr>
        <w:t xml:space="preserve">               </w:t>
      </w:r>
      <w:r>
        <w:rPr>
          <w:rFonts w:hint="eastAsia" w:ascii="宋体" w:hAnsi="宋体" w:eastAsia="宋体" w:cs="仿宋"/>
          <w:sz w:val="24"/>
          <w:highlight w:val="none"/>
          <w:u w:val="single"/>
          <w:lang w:val="en-US" w:eastAsia="zh-CN"/>
        </w:rPr>
        <w:t xml:space="preserve"> </w:t>
      </w:r>
      <w:r>
        <w:rPr>
          <w:rFonts w:hint="eastAsia" w:ascii="宋体" w:hAnsi="宋体" w:eastAsia="宋体" w:cs="仿宋"/>
          <w:sz w:val="24"/>
          <w:highlight w:val="none"/>
          <w:u w:val="single"/>
        </w:rPr>
        <w:t xml:space="preserve">             </w:t>
      </w:r>
      <w:r/>
    </w:p>
    <w:p>
      <w:pPr>
        <w:ind w:firstLine="480"/>
        <w:jc w:val="both"/>
        <w:keepLines w:val="0"/>
        <w:keepNext w:val="0"/>
        <w:pageBreakBefore w:val="0"/>
        <w:spacing w:line="500" w:lineRule="exact"/>
        <w:widowControl w:val="off"/>
        <w:rPr>
          <w:rFonts w:hint="eastAsia" w:ascii="宋体" w:hAnsi="宋体" w:eastAsia="宋体" w:cs="仿宋"/>
          <w:sz w:val="24"/>
          <w:highlight w:val="none"/>
        </w:rPr>
      </w:pPr>
      <w:r>
        <w:rPr>
          <w:rFonts w:hint="eastAsia" w:ascii="宋体" w:hAnsi="宋体" w:eastAsia="宋体" w:cs="仿宋"/>
          <w:sz w:val="24"/>
          <w:highlight w:val="none"/>
        </w:rPr>
        <w:t xml:space="preserve">姓名：</w:t>
      </w:r>
      <w:r>
        <w:rPr>
          <w:rFonts w:hint="eastAsia" w:ascii="宋体" w:hAnsi="宋体" w:eastAsia="宋体" w:cs="仿宋"/>
          <w:sz w:val="24"/>
          <w:highlight w:val="none"/>
          <w:u w:val="single"/>
        </w:rPr>
        <w:t xml:space="preserve">          </w:t>
      </w:r>
      <w:r>
        <w:rPr>
          <w:rFonts w:hint="eastAsia" w:ascii="宋体" w:hAnsi="宋体" w:eastAsia="宋体" w:cs="仿宋"/>
          <w:sz w:val="24"/>
          <w:highlight w:val="none"/>
        </w:rPr>
        <w:t xml:space="preserve">性别：</w:t>
      </w:r>
      <w:r>
        <w:rPr>
          <w:rFonts w:hint="eastAsia" w:ascii="宋体" w:hAnsi="宋体" w:eastAsia="宋体" w:cs="仿宋"/>
          <w:sz w:val="24"/>
          <w:highlight w:val="none"/>
          <w:u w:val="single"/>
        </w:rPr>
        <w:t xml:space="preserve">          </w:t>
      </w:r>
      <w:r>
        <w:rPr>
          <w:rFonts w:hint="eastAsia" w:ascii="宋体" w:hAnsi="宋体" w:eastAsia="宋体" w:cs="仿宋"/>
          <w:sz w:val="24"/>
          <w:highlight w:val="none"/>
        </w:rPr>
        <w:t xml:space="preserve">年龄：</w:t>
      </w:r>
      <w:r>
        <w:rPr>
          <w:rFonts w:hint="eastAsia" w:ascii="宋体" w:hAnsi="宋体" w:eastAsia="宋体" w:cs="仿宋"/>
          <w:sz w:val="24"/>
          <w:highlight w:val="none"/>
          <w:u w:val="single"/>
        </w:rPr>
        <w:t xml:space="preserve">          </w:t>
      </w:r>
      <w:r>
        <w:rPr>
          <w:rFonts w:hint="eastAsia" w:ascii="宋体" w:hAnsi="宋体" w:eastAsia="宋体" w:cs="仿宋"/>
          <w:sz w:val="24"/>
          <w:highlight w:val="none"/>
        </w:rPr>
        <w:t xml:space="preserve">职务：</w:t>
      </w:r>
      <w:r>
        <w:rPr>
          <w:rFonts w:hint="eastAsia" w:ascii="宋体" w:hAnsi="宋体" w:eastAsia="宋体" w:cs="仿宋"/>
          <w:sz w:val="24"/>
          <w:highlight w:val="none"/>
          <w:u w:val="single"/>
        </w:rPr>
        <w:t xml:space="preserve">          </w:t>
      </w:r>
      <w:r/>
    </w:p>
    <w:p>
      <w:pPr>
        <w:ind w:firstLine="480"/>
        <w:jc w:val="both"/>
        <w:keepLines w:val="0"/>
        <w:keepNext w:val="0"/>
        <w:pageBreakBefore w:val="0"/>
        <w:spacing w:line="500" w:lineRule="exact"/>
        <w:widowControl w:val="off"/>
        <w:rPr>
          <w:rFonts w:hint="eastAsia" w:ascii="宋体" w:hAnsi="宋体" w:eastAsia="宋体" w:cs="仿宋"/>
          <w:sz w:val="24"/>
          <w:highlight w:val="none"/>
        </w:rPr>
      </w:pPr>
      <w:r>
        <w:rPr>
          <w:rFonts w:hint="eastAsia" w:ascii="宋体" w:hAnsi="宋体" w:eastAsia="宋体" w:cs="仿宋"/>
          <w:sz w:val="24"/>
          <w:highlight w:val="none"/>
        </w:rPr>
        <w:t xml:space="preserve">系</w:t>
      </w:r>
      <w:r>
        <w:rPr>
          <w:rFonts w:hint="eastAsia" w:ascii="宋体" w:hAnsi="宋体" w:eastAsia="宋体" w:cs="仿宋"/>
          <w:sz w:val="24"/>
          <w:highlight w:val="none"/>
          <w:u w:val="single"/>
        </w:rPr>
        <w:t xml:space="preserve">                               </w:t>
      </w:r>
      <w:r>
        <w:rPr>
          <w:rFonts w:hint="eastAsia" w:ascii="宋体" w:hAnsi="宋体" w:eastAsia="宋体" w:cs="仿宋"/>
          <w:sz w:val="24"/>
          <w:highlight w:val="none"/>
        </w:rPr>
        <w:t xml:space="preserve"> （</w:t>
      </w:r>
      <w:r>
        <w:rPr>
          <w:rFonts w:hint="eastAsia" w:ascii="宋体" w:hAnsi="宋体" w:eastAsia="宋体" w:cs="仿宋"/>
          <w:sz w:val="24"/>
          <w:highlight w:val="none"/>
          <w:lang w:eastAsia="zh-CN"/>
        </w:rPr>
        <w:t xml:space="preserve">投标人</w:t>
      </w:r>
      <w:r>
        <w:rPr>
          <w:rFonts w:hint="eastAsia" w:ascii="宋体" w:hAnsi="宋体" w:eastAsia="宋体" w:cs="仿宋"/>
          <w:sz w:val="24"/>
          <w:highlight w:val="none"/>
        </w:rPr>
        <w:t xml:space="preserve">名称）的法定代表人。</w:t>
      </w:r>
      <w:r/>
    </w:p>
    <w:p>
      <w:pPr>
        <w:ind w:firstLine="480"/>
        <w:jc w:val="both"/>
        <w:keepLines w:val="0"/>
        <w:keepNext w:val="0"/>
        <w:pageBreakBefore w:val="0"/>
        <w:spacing w:line="500" w:lineRule="exact"/>
        <w:widowControl w:val="off"/>
        <w:tabs>
          <w:tab w:val="left" w:pos="5952" w:leader="none"/>
        </w:tabs>
        <w:rPr>
          <w:rFonts w:hint="eastAsia" w:ascii="宋体" w:hAnsi="宋体" w:eastAsia="宋体" w:cs="仿宋"/>
          <w:sz w:val="24"/>
          <w:highlight w:val="none"/>
        </w:rPr>
      </w:pPr>
      <w:r>
        <w:rPr>
          <w:rFonts w:hint="eastAsia" w:ascii="宋体" w:hAnsi="宋体" w:eastAsia="宋体" w:cs="仿宋"/>
          <w:sz w:val="24"/>
          <w:highlight w:val="none"/>
        </w:rPr>
        <w:t xml:space="preserve">特此证明。</w:t>
      </w:r>
      <w:r>
        <w:rPr>
          <w:rFonts w:hint="eastAsia" w:ascii="宋体" w:hAnsi="宋体" w:eastAsia="宋体" w:cs="仿宋"/>
          <w:sz w:val="24"/>
          <w:highlight w:val="none"/>
        </w:rPr>
        <w:tab/>
      </w:r>
      <w:r>
        <w:rPr>
          <w:rFonts w:hint="eastAsia" w:ascii="宋体" w:hAnsi="宋体" w:eastAsia="宋体" w:cs="仿宋"/>
          <w:sz w:val="24"/>
          <w:highlight w:val="none"/>
        </w:rPr>
        <w:t xml:space="preserve">                       </w:t>
      </w:r>
      <w:r/>
    </w:p>
    <w:p>
      <w:pPr>
        <w:ind w:firstLine="480"/>
        <w:jc w:val="both"/>
        <w:keepLines w:val="0"/>
        <w:keepNext w:val="0"/>
        <w:pageBreakBefore w:val="0"/>
        <w:spacing w:line="500" w:lineRule="exact"/>
        <w:widowControl w:val="off"/>
        <w:rPr>
          <w:rFonts w:hint="eastAsia" w:ascii="宋体" w:hAnsi="宋体" w:eastAsia="宋体" w:cs="仿宋"/>
          <w:sz w:val="24"/>
          <w:highlight w:val="none"/>
        </w:rPr>
      </w:pPr>
      <w:r>
        <w:rPr>
          <w:rFonts w:hint="eastAsia" w:ascii="宋体" w:hAnsi="宋体" w:eastAsia="宋体" w:cs="仿宋"/>
          <w:sz w:val="24"/>
          <w:highlight w:val="none"/>
        </w:rPr>
      </w:r>
      <w:r/>
    </w:p>
    <w:p>
      <w:pPr>
        <w:ind w:firstLine="480"/>
        <w:jc w:val="both"/>
        <w:keepLines w:val="0"/>
        <w:keepNext w:val="0"/>
        <w:pageBreakBefore w:val="0"/>
        <w:spacing w:line="500" w:lineRule="exact"/>
        <w:widowControl w:val="off"/>
        <w:rPr>
          <w:rFonts w:hint="eastAsia" w:ascii="宋体" w:hAnsi="宋体" w:eastAsia="宋体" w:cs="仿宋"/>
          <w:sz w:val="24"/>
          <w:highlight w:val="none"/>
        </w:rPr>
      </w:pPr>
      <w:r>
        <w:rPr>
          <w:rFonts w:hint="eastAsia" w:ascii="宋体" w:hAnsi="宋体" w:eastAsia="宋体" w:cs="仿宋"/>
          <w:sz w:val="24"/>
          <w:highlight w:val="none"/>
        </w:rPr>
      </w:r>
      <w:r/>
    </w:p>
    <w:p>
      <w:pPr>
        <w:ind w:firstLine="480"/>
        <w:jc w:val="both"/>
        <w:keepLines w:val="0"/>
        <w:keepNext w:val="0"/>
        <w:pageBreakBefore w:val="0"/>
        <w:spacing w:line="500" w:lineRule="exact"/>
        <w:widowControl w:val="off"/>
        <w:rPr>
          <w:rFonts w:hint="eastAsia" w:ascii="宋体" w:hAnsi="宋体" w:eastAsia="宋体" w:cs="仿宋"/>
          <w:sz w:val="24"/>
          <w:highlight w:val="none"/>
        </w:rPr>
      </w:pPr>
      <w:r>
        <w:rPr>
          <w:rFonts w:hint="eastAsia" w:ascii="宋体" w:hAnsi="宋体" w:eastAsia="宋体" w:cs="仿宋"/>
          <w:sz w:val="24"/>
          <w:szCs w:val="24"/>
          <w:highlight w:val="none"/>
        </w:rPr>
        <w:t xml:space="preserve">单位名称</w:t>
      </w:r>
      <w:r>
        <w:rPr>
          <w:rFonts w:hint="eastAsia" w:ascii="宋体" w:hAnsi="宋体" w:eastAsia="宋体" w:cs="仿宋"/>
          <w:sz w:val="24"/>
          <w:highlight w:val="none"/>
        </w:rPr>
        <w:t xml:space="preserve">：</w:t>
      </w:r>
      <w:r>
        <w:rPr>
          <w:rFonts w:hint="eastAsia" w:ascii="宋体" w:hAnsi="宋体" w:eastAsia="宋体" w:cs="仿宋"/>
          <w:sz w:val="24"/>
          <w:highlight w:val="none"/>
          <w:u w:val="single"/>
        </w:rPr>
        <w:t xml:space="preserve">       </w:t>
      </w:r>
      <w:r>
        <w:rPr>
          <w:rFonts w:hint="eastAsia" w:ascii="宋体" w:hAnsi="宋体" w:eastAsia="宋体" w:cs="仿宋"/>
          <w:sz w:val="24"/>
          <w:highlight w:val="none"/>
          <w:u w:val="single"/>
          <w:lang w:val="en-US" w:eastAsia="zh-CN"/>
        </w:rPr>
        <w:t xml:space="preserve">  </w:t>
      </w:r>
      <w:r>
        <w:rPr>
          <w:rFonts w:hint="eastAsia" w:ascii="宋体" w:hAnsi="宋体" w:eastAsia="宋体" w:cs="仿宋"/>
          <w:sz w:val="24"/>
          <w:highlight w:val="none"/>
          <w:u w:val="single"/>
        </w:rPr>
        <w:t xml:space="preserve">          </w:t>
      </w:r>
      <w:r>
        <w:rPr>
          <w:rFonts w:hint="eastAsia" w:ascii="宋体" w:hAnsi="宋体" w:eastAsia="宋体" w:cs="仿宋"/>
          <w:sz w:val="24"/>
          <w:highlight w:val="none"/>
        </w:rPr>
        <w:t xml:space="preserve">（</w:t>
      </w:r>
      <w:r>
        <w:rPr>
          <w:rFonts w:hint="eastAsia" w:ascii="宋体" w:hAnsi="宋体" w:eastAsia="宋体" w:cs="仿宋"/>
          <w:sz w:val="24"/>
          <w:szCs w:val="24"/>
          <w:highlight w:val="none"/>
        </w:rPr>
        <w:t xml:space="preserve">电子签章</w:t>
      </w:r>
      <w:r>
        <w:rPr>
          <w:rFonts w:hint="eastAsia" w:ascii="宋体" w:hAnsi="宋体" w:eastAsia="宋体" w:cs="仿宋"/>
          <w:sz w:val="24"/>
          <w:highlight w:val="none"/>
        </w:rPr>
        <w:t xml:space="preserve">）</w:t>
      </w:r>
      <w:r/>
    </w:p>
    <w:p>
      <w:pPr>
        <w:ind w:firstLine="480"/>
        <w:jc w:val="both"/>
        <w:keepLines w:val="0"/>
        <w:keepNext w:val="0"/>
        <w:pageBreakBefore w:val="0"/>
        <w:spacing w:line="500" w:lineRule="exact"/>
        <w:widowControl w:val="off"/>
        <w:rPr>
          <w:rFonts w:hint="eastAsia" w:ascii="宋体" w:hAnsi="宋体" w:eastAsia="宋体" w:cs="仿宋"/>
          <w:highlight w:val="none"/>
        </w:rPr>
      </w:pPr>
      <w:r>
        <w:rPr>
          <w:rFonts w:hint="eastAsia" w:ascii="宋体" w:hAnsi="宋体" w:eastAsia="宋体" w:cs="仿宋"/>
          <w:sz w:val="24"/>
          <w:szCs w:val="24"/>
          <w:highlight w:val="none"/>
        </w:rPr>
        <w:t xml:space="preserve">日期：    年    月 </w:t>
      </w:r>
      <w:r>
        <w:rPr>
          <w:rFonts w:hint="eastAsia" w:ascii="宋体" w:hAnsi="宋体" w:eastAsia="宋体" w:cs="仿宋"/>
          <w:sz w:val="24"/>
          <w:szCs w:val="24"/>
          <w:highlight w:val="none"/>
          <w:lang w:val="en-US" w:eastAsia="zh-CN"/>
        </w:rPr>
        <w:t xml:space="preserve"> </w:t>
      </w:r>
      <w:r>
        <w:rPr>
          <w:rFonts w:hint="eastAsia" w:ascii="宋体" w:hAnsi="宋体" w:eastAsia="宋体" w:cs="仿宋"/>
          <w:sz w:val="24"/>
          <w:szCs w:val="24"/>
          <w:highlight w:val="none"/>
        </w:rPr>
        <w:t xml:space="preserve">  日</w:t>
      </w:r>
      <w:r/>
    </w:p>
    <w:p>
      <w:pPr>
        <w:jc w:val="left"/>
        <w:spacing w:line="500" w:lineRule="exact"/>
        <w:rPr>
          <w:rFonts w:hint="eastAsia" w:ascii="仿宋" w:hAnsi="仿宋" w:eastAsia="仿宋" w:cs="仿宋"/>
          <w:b/>
          <w:sz w:val="24"/>
          <w:highlight w:val="none"/>
        </w:rPr>
      </w:pPr>
      <w:r>
        <w:rPr>
          <w:rFonts w:hint="eastAsia" w:ascii="仿宋" w:hAnsi="仿宋" w:eastAsia="仿宋" w:cs="仿宋"/>
          <w:b/>
          <w:sz w:val="24"/>
          <w:highlight w:val="none"/>
        </w:rPr>
      </w:r>
      <w:r/>
    </w:p>
    <w:p>
      <w:pPr>
        <w:pStyle w:val="1057"/>
        <w:jc w:val="center"/>
        <w:keepLines w:val="0"/>
        <w:keepNext w:val="0"/>
        <w:pageBreakBefore w:val="0"/>
        <w:spacing w:line="480" w:lineRule="exact"/>
        <w:widowControl w:val="off"/>
        <w:rPr>
          <w:rFonts w:hint="eastAsia" w:ascii="黑体" w:hAnsi="黑体" w:eastAsia="黑体" w:cs="黑体"/>
          <w:caps w:val="0"/>
          <w:color w:val="auto"/>
          <w:sz w:val="32"/>
          <w:szCs w:val="32"/>
          <w:highlight w:val="none"/>
        </w:rPr>
      </w:pPr>
      <w:r>
        <w:rPr>
          <w:rFonts w:hint="eastAsia" w:ascii="仿宋" w:hAnsi="仿宋" w:eastAsia="仿宋" w:cs="仿宋"/>
          <w:b/>
          <w:bCs/>
          <w:sz w:val="32"/>
          <w:szCs w:val="32"/>
          <w:highlight w:val="none"/>
        </w:rPr>
        <w:br w:type="page" w:clear="all"/>
      </w:r>
      <w:r>
        <w:rPr>
          <w:rFonts w:hint="eastAsia" w:ascii="宋体" w:hAnsi="宋体" w:eastAsia="宋体" w:cs="宋体"/>
          <w:b/>
          <w:bCs/>
          <w:caps w:val="0"/>
          <w:color w:val="auto"/>
          <w:sz w:val="32"/>
          <w:szCs w:val="32"/>
          <w:highlight w:val="none"/>
        </w:rPr>
        <w:t xml:space="preserve">法人授权委托书</w:t>
      </w:r>
      <w:r/>
    </w:p>
    <w:p>
      <w:pPr>
        <w:jc w:val="left"/>
        <w:rPr>
          <w:rFonts w:ascii="黑体" w:hAnsi="黑体" w:eastAsia="黑体"/>
          <w:iCs/>
          <w:sz w:val="32"/>
          <w:szCs w:val="32"/>
          <w:highlight w:val="none"/>
        </w:rPr>
      </w:pPr>
      <w:r>
        <w:rPr>
          <w:rFonts w:ascii="黑体" w:hAnsi="黑体" w:eastAsia="黑体"/>
          <w:iCs/>
          <w:sz w:val="32"/>
          <w:szCs w:val="32"/>
          <w:highlight w:val="none"/>
        </w:rPr>
      </w:r>
      <w:r/>
    </w:p>
    <w:p>
      <w:pPr>
        <w:ind w:firstLine="480"/>
        <w:keepLines w:val="0"/>
        <w:keepNext w:val="0"/>
        <w:pageBreakBefore w:val="0"/>
        <w:spacing w:line="500" w:lineRule="exact"/>
        <w:widowControl w:val="off"/>
        <w:tabs>
          <w:tab w:val="left" w:pos="360" w:leader="none"/>
        </w:tabs>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本授权书声明：____________（</w:t>
      </w:r>
      <w:r>
        <w:rPr>
          <w:rFonts w:hint="eastAsia" w:eastAsia="宋体"/>
          <w:sz w:val="24"/>
          <w:szCs w:val="24"/>
          <w:highlight w:val="none"/>
          <w:lang w:eastAsia="zh-CN"/>
        </w:rPr>
        <w:t xml:space="preserve">投标人</w:t>
      </w:r>
      <w:r>
        <w:rPr>
          <w:rFonts w:hint="eastAsia" w:ascii="Times New Roman" w:hAnsi="Times New Roman" w:eastAsia="宋体"/>
          <w:sz w:val="24"/>
          <w:szCs w:val="24"/>
          <w:highlight w:val="none"/>
        </w:rPr>
        <w:t xml:space="preserve">名称）授权________________（被授权人的姓名）为我方就</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single"/>
          <w:lang w:val="en-US" w:eastAsia="zh-CN"/>
        </w:rPr>
        <w:t xml:space="preserve">       </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号</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single"/>
          <w:lang w:val="en-US" w:eastAsia="zh-CN"/>
        </w:rPr>
        <w:t xml:space="preserve">       </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项目采购活动的合法代理人，以本单位名义全权处理一切与该项目采购有关的事务。</w:t>
      </w:r>
      <w:r/>
    </w:p>
    <w:p>
      <w:pPr>
        <w:ind w:firstLine="480"/>
        <w:keepLines w:val="0"/>
        <w:keepNext w:val="0"/>
        <w:pageBreakBefore w:val="0"/>
        <w:spacing w:line="500" w:lineRule="exact"/>
        <w:widowControl w:val="off"/>
        <w:tabs>
          <w:tab w:val="left" w:pos="360" w:leader="none"/>
        </w:tabs>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本授权书于</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single"/>
          <w:lang w:val="en-US" w:eastAsia="zh-CN"/>
        </w:rPr>
        <w:t xml:space="preserve"> </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年</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single"/>
          <w:lang w:val="en-US" w:eastAsia="zh-CN"/>
        </w:rPr>
        <w:t xml:space="preserve"> </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月</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u w:val="single"/>
          <w:lang w:val="en-US" w:eastAsia="zh-CN"/>
        </w:rPr>
        <w:t xml:space="preserve"> </w:t>
      </w:r>
      <w:r>
        <w:rPr>
          <w:rFonts w:hint="eastAsia" w:ascii="Times New Roman" w:hAnsi="Times New Roman" w:eastAsia="宋体"/>
          <w:sz w:val="24"/>
          <w:szCs w:val="24"/>
          <w:highlight w:val="none"/>
          <w:u w:val="single"/>
        </w:rPr>
        <w:t xml:space="preserve">   </w:t>
      </w:r>
      <w:r>
        <w:rPr>
          <w:rFonts w:hint="eastAsia" w:ascii="Times New Roman" w:hAnsi="Times New Roman" w:eastAsia="宋体"/>
          <w:sz w:val="24"/>
          <w:szCs w:val="24"/>
          <w:highlight w:val="none"/>
        </w:rPr>
        <w:t xml:space="preserve">日起生效，特此声明。</w:t>
      </w:r>
      <w:r/>
    </w:p>
    <w:p>
      <w:pPr>
        <w:ind w:firstLine="480"/>
        <w:keepLines w:val="0"/>
        <w:keepNext w:val="0"/>
        <w:pageBreakBefore w:val="0"/>
        <w:spacing w:line="500" w:lineRule="exact"/>
        <w:widowControl w:val="off"/>
        <w:tabs>
          <w:tab w:val="left" w:pos="360" w:leader="none"/>
        </w:tabs>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          </w:t>
      </w:r>
      <w:r/>
    </w:p>
    <w:p>
      <w:pPr>
        <w:ind w:firstLine="480"/>
        <w:keepLines w:val="0"/>
        <w:keepNext w:val="0"/>
        <w:pageBreakBefore w:val="0"/>
        <w:spacing w:line="500" w:lineRule="exact"/>
        <w:widowControl w:val="off"/>
        <w:tabs>
          <w:tab w:val="left" w:pos="360" w:leader="none"/>
        </w:tabs>
        <w:rPr>
          <w:rFonts w:hint="eastAsia" w:ascii="Times New Roman" w:hAnsi="Times New Roman" w:eastAsia="宋体"/>
          <w:sz w:val="24"/>
          <w:szCs w:val="24"/>
          <w:highlight w:val="none"/>
          <w:u w:val="single"/>
        </w:rPr>
      </w:pPr>
      <w:r>
        <w:rPr>
          <w:rFonts w:hint="eastAsia" w:ascii="Times New Roman" w:hAnsi="Times New Roman" w:eastAsia="宋体"/>
          <w:sz w:val="24"/>
          <w:szCs w:val="24"/>
          <w:highlight w:val="none"/>
        </w:rPr>
        <w:t xml:space="preserve">被授权人身份证号码：</w:t>
      </w:r>
      <w:r>
        <w:rPr>
          <w:rFonts w:hint="eastAsia" w:ascii="Times New Roman" w:hAnsi="Times New Roman" w:eastAsia="宋体"/>
          <w:sz w:val="24"/>
          <w:szCs w:val="24"/>
          <w:highlight w:val="none"/>
          <w:u w:val="single"/>
        </w:rPr>
        <w:t xml:space="preserve">                             </w:t>
      </w:r>
      <w:r/>
    </w:p>
    <w:p>
      <w:pPr>
        <w:ind w:firstLine="480"/>
        <w:keepLines w:val="0"/>
        <w:keepNext w:val="0"/>
        <w:pageBreakBefore w:val="0"/>
        <w:spacing w:line="500" w:lineRule="exact"/>
        <w:widowControl w:val="off"/>
        <w:tabs>
          <w:tab w:val="left" w:pos="360" w:leader="none"/>
        </w:tabs>
        <w:rPr>
          <w:rFonts w:hint="eastAsia" w:ascii="Times New Roman" w:hAnsi="Times New Roman" w:eastAsia="宋体"/>
          <w:sz w:val="24"/>
          <w:szCs w:val="24"/>
          <w:highlight w:val="none"/>
          <w:u w:val="single"/>
        </w:rPr>
      </w:pPr>
      <w:r>
        <w:rPr>
          <w:rFonts w:hint="eastAsia" w:ascii="Times New Roman" w:hAnsi="Times New Roman" w:eastAsia="宋体"/>
          <w:sz w:val="24"/>
          <w:szCs w:val="24"/>
          <w:highlight w:val="none"/>
        </w:rPr>
        <w:t xml:space="preserve">被授权人联系电话：（手机）</w:t>
      </w:r>
      <w:r>
        <w:rPr>
          <w:rFonts w:hint="eastAsia" w:ascii="Times New Roman" w:hAnsi="Times New Roman" w:eastAsia="宋体"/>
          <w:sz w:val="24"/>
          <w:szCs w:val="24"/>
          <w:highlight w:val="none"/>
          <w:u w:val="single"/>
        </w:rPr>
        <w:t xml:space="preserve">                       </w:t>
      </w:r>
      <w:r/>
    </w:p>
    <w:p>
      <w:pPr>
        <w:ind w:firstLine="480"/>
        <w:keepLines w:val="0"/>
        <w:keepNext w:val="0"/>
        <w:pageBreakBefore w:val="0"/>
        <w:spacing w:line="500" w:lineRule="exact"/>
        <w:widowControl w:val="off"/>
        <w:tabs>
          <w:tab w:val="left" w:pos="360" w:leader="none"/>
        </w:tabs>
        <w:rPr>
          <w:rFonts w:hint="eastAsia" w:ascii="Times New Roman" w:hAnsi="Times New Roman" w:eastAsia="宋体"/>
          <w:sz w:val="24"/>
          <w:szCs w:val="24"/>
          <w:highlight w:val="none"/>
        </w:rPr>
      </w:pPr>
      <w:r>
        <w:rPr>
          <w:rFonts w:hint="eastAsia" w:ascii="Times New Roman" w:hAnsi="Times New Roman" w:eastAsia="宋体"/>
          <w:sz w:val="24"/>
          <w:szCs w:val="24"/>
          <w:highlight w:val="none"/>
        </w:rPr>
        <w:t xml:space="preserve">授权单位名称：</w:t>
      </w:r>
      <w:r>
        <w:rPr>
          <w:rFonts w:hint="eastAsia" w:ascii="Times New Roman" w:hAnsi="Times New Roman" w:eastAsia="宋体"/>
          <w:sz w:val="24"/>
          <w:szCs w:val="24"/>
          <w:highlight w:val="none"/>
          <w:u w:val="single"/>
        </w:rPr>
        <w:t xml:space="preserve">       （加盖CA电子公章）        </w:t>
      </w:r>
      <w:r/>
    </w:p>
    <w:p>
      <w:pPr>
        <w:ind w:firstLine="480"/>
        <w:keepLines w:val="0"/>
        <w:keepNext w:val="0"/>
        <w:pageBreakBefore w:val="0"/>
        <w:spacing w:line="500" w:lineRule="exact"/>
        <w:widowControl w:val="off"/>
        <w:tabs>
          <w:tab w:val="left" w:pos="360" w:leader="none"/>
        </w:tabs>
        <w:rPr>
          <w:rFonts w:hint="eastAsia" w:ascii="Times New Roman" w:hAnsi="Times New Roman" w:eastAsia="宋体"/>
          <w:sz w:val="24"/>
          <w:szCs w:val="24"/>
          <w:highlight w:val="none"/>
          <w:u w:val="single"/>
        </w:rPr>
      </w:pPr>
      <w:r>
        <w:rPr>
          <w:rFonts w:hint="eastAsia" w:ascii="Times New Roman" w:hAnsi="Times New Roman" w:eastAsia="宋体"/>
          <w:sz w:val="24"/>
          <w:szCs w:val="24"/>
          <w:highlight w:val="none"/>
        </w:rPr>
        <w:t xml:space="preserve">单位地址：</w:t>
      </w:r>
      <w:r>
        <w:rPr>
          <w:rFonts w:hint="eastAsia" w:ascii="Times New Roman" w:hAnsi="Times New Roman" w:eastAsia="宋体"/>
          <w:sz w:val="24"/>
          <w:szCs w:val="24"/>
          <w:highlight w:val="none"/>
          <w:u w:val="single"/>
        </w:rPr>
        <w:t xml:space="preserve">                                       </w:t>
      </w:r>
      <w:r/>
    </w:p>
    <w:p>
      <w:pPr>
        <w:ind w:firstLine="480"/>
        <w:keepLines w:val="0"/>
        <w:keepNext w:val="0"/>
        <w:pageBreakBefore w:val="0"/>
        <w:spacing w:line="500" w:lineRule="exact"/>
        <w:widowControl w:val="off"/>
        <w:tabs>
          <w:tab w:val="left" w:pos="360" w:leader="none"/>
        </w:tabs>
        <w:rPr>
          <w:rFonts w:ascii="Times New Roman" w:hAnsi="Times New Roman" w:eastAsia="宋体"/>
          <w:sz w:val="24"/>
          <w:szCs w:val="24"/>
          <w:highlight w:val="none"/>
          <w:u w:val="single"/>
        </w:rPr>
      </w:pPr>
      <w:r>
        <w:rPr>
          <w:rFonts w:hint="eastAsia" w:ascii="Times New Roman" w:hAnsi="Times New Roman" w:eastAsia="宋体"/>
          <w:sz w:val="24"/>
          <w:szCs w:val="24"/>
          <w:highlight w:val="none"/>
        </w:rPr>
        <w:t xml:space="preserve">日期：</w:t>
      </w:r>
      <w:bookmarkStart w:id="235" w:name="_格式3__银行出具的资信证明"/>
      <w:r/>
      <w:bookmarkEnd w:id="235"/>
      <w:r/>
      <w:bookmarkStart w:id="236" w:name="_Hlt26671380"/>
      <w:r/>
      <w:bookmarkEnd w:id="236"/>
      <w:r/>
      <w:bookmarkStart w:id="237" w:name="_Hlt26955070"/>
      <w:r/>
      <w:bookmarkEnd w:id="237"/>
      <w:r>
        <w:rPr>
          <w:rFonts w:hint="eastAsia" w:ascii="Times New Roman" w:hAnsi="Times New Roman" w:eastAsia="宋体"/>
          <w:sz w:val="24"/>
          <w:szCs w:val="24"/>
          <w:highlight w:val="none"/>
          <w:u w:val="single"/>
        </w:rPr>
        <w:t xml:space="preserve">                                           </w:t>
      </w:r>
      <w:r/>
    </w:p>
    <w:p>
      <w:pPr>
        <w:pStyle w:val="1028"/>
        <w:ind w:firstLine="480"/>
        <w:rPr>
          <w:rFonts w:hint="eastAsia" w:ascii="Times New Roman" w:hAnsi="Times New Roman"/>
          <w:caps w:val="0"/>
          <w:color w:val="auto"/>
          <w:sz w:val="24"/>
          <w:szCs w:val="24"/>
          <w:highlight w:val="none"/>
        </w:rPr>
      </w:pPr>
      <w:r>
        <w:rPr>
          <w:rFonts w:hint="eastAsia" w:ascii="Times New Roman" w:hAnsi="Times New Roman"/>
          <w:caps w:val="0"/>
          <w:color w:val="auto"/>
          <w:sz w:val="24"/>
          <w:szCs w:val="24"/>
          <w:highlight w:val="none"/>
        </w:rPr>
      </w:r>
      <w:r/>
    </w:p>
    <w:p>
      <w:pP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br w:type="page" w:clear="all"/>
      </w:r>
      <w:r/>
    </w:p>
    <w:p>
      <w:pPr>
        <w:pStyle w:val="1028"/>
        <w:ind w:firstLine="480"/>
        <w:jc w:val="left"/>
        <w:spacing w:line="480" w:lineRule="exact"/>
        <w:rPr>
          <w:rFonts w:hint="eastAsia" w:asciiTheme="minorEastAsia" w:hAnsiTheme="minorEastAsia" w:eastAsiaTheme="minorEastAsia" w:cstheme="minorEastAsia"/>
          <w:color w:val="000000" w:themeColor="text1"/>
          <w:sz w:val="24"/>
          <w:szCs w:val="20"/>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lang w:eastAsia="zh-CN"/>
          <w14:textFill>
            <w14:solidFill>
              <w14:schemeClr w14:val="tx1"/>
            </w14:solidFill>
          </w14:textFill>
        </w:rPr>
        <w:t xml:space="preserve">四</w:t>
      </w:r>
      <w:r>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t xml:space="preserve">、开标一览表</w:t>
      </w:r>
      <w:r/>
    </w:p>
    <w:p>
      <w:pPr>
        <w:ind w:firstLine="480"/>
        <w:spacing w:line="48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投标人全称（加盖CA电子签章）：</w:t>
      </w:r>
      <w:r/>
    </w:p>
    <w:p>
      <w:pPr>
        <w:ind w:firstLine="480"/>
        <w:spacing w:line="480" w:lineRule="exact"/>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项目名称：</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市区易涝点信息化管理系统平台新增监测点位项目</w:t>
      </w:r>
      <w:r/>
    </w:p>
    <w:p>
      <w:pPr>
        <w:ind w:firstLine="480"/>
        <w:spacing w:line="48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招标编号：JSZC-321300-SXSD-G2025-0016  </w:t>
      </w:r>
      <w:r>
        <w:rPr>
          <w:rFonts w:hint="eastAsia" w:asciiTheme="minorEastAsia" w:hAnsiTheme="minorEastAsia" w:eastAsiaTheme="minorEastAsia" w:cstheme="minorEastAsia"/>
          <w:color w:val="000000" w:themeColor="text1"/>
          <w:sz w:val="30"/>
          <w:szCs w:val="30"/>
          <w:highlight w:val="none"/>
          <w14:textFill>
            <w14:solidFill>
              <w14:schemeClr w14:val="tx1"/>
            </w14:solidFill>
          </w14:textFill>
        </w:rPr>
        <w:t xml:space="preserve"> </w:t>
      </w:r>
      <w:r/>
    </w:p>
    <w:tbl>
      <w:tblPr>
        <w:tblStyle w:val="74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投标总报价</w:t>
            </w:r>
            <w:r/>
          </w:p>
        </w:tc>
      </w:tr>
      <w:tr>
        <w:trPr>
          <w:cantSplit/>
          <w:trHeight w:val="612"/>
        </w:trPr>
        <w:tc>
          <w:tcPr>
            <w:tcW w:w="8206" w:type="dxa"/>
            <w:vAlign w:val="center"/>
            <w:textDirection w:val="lrTb"/>
            <w:noWrap w:val="false"/>
          </w:tcPr>
          <w:p>
            <w:pPr>
              <w:pStyle w:val="1030"/>
              <w:ind w:firstLine="0"/>
              <w:spacing w:before="0" w:after="0" w:line="500" w:lineRule="exac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小写：                             （人民币：元）</w:t>
            </w:r>
            <w:r/>
          </w:p>
        </w:tc>
      </w:tr>
    </w:tbl>
    <w:p>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日期：  年月日</w:t>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firstLine="48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jc w:val="center"/>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p>
      <w:pPr>
        <w:jc w:val="center"/>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p>
      <w:pPr>
        <w:jc w:val="center"/>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p>
      <w:pPr>
        <w:jc w:val="center"/>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p>
      <w:pPr>
        <w:jc w:val="center"/>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p>
      <w:pPr>
        <w:jc w:val="center"/>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p>
      <w:pPr>
        <w:jc w:val="center"/>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p>
      <w:pPr>
        <w:jc w:val="center"/>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p>
      <w:pPr>
        <w:jc w:val="center"/>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p>
      <w:pPr>
        <w:jc w:val="center"/>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p>
      <w:pPr>
        <w:jc w:val="center"/>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p>
      <w:pPr>
        <w:jc w:val="center"/>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p>
      <w:pPr>
        <w:jc w:val="center"/>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p>
      <w:pPr>
        <w:jc w:val="center"/>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p>
      <w:pPr>
        <w:jc w:val="center"/>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p>
      <w:pPr>
        <w:jc w:val="center"/>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p>
      <w:pPr>
        <w:jc w:val="center"/>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p>
      <w:pPr>
        <w:jc w:val="center"/>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p>
      <w:pPr>
        <w:jc w:val="center"/>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p>
      <w:pPr>
        <w:jc w:val="center"/>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p>
      <w:pPr>
        <w:jc w:val="center"/>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p>
      <w:pPr>
        <w:jc w:val="center"/>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p>
      <w:pPr>
        <w:jc w:val="center"/>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p>
      <w:pPr>
        <w:jc w:val="center"/>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p>
      <w:pPr>
        <w:jc w:val="center"/>
        <w:rPr>
          <w:rFonts w:hint="eastAsia"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r>
      <w:r/>
    </w:p>
    <w:p>
      <w:pPr>
        <w:pStyle w:val="1028"/>
        <w:ind w:left="0" w:firstLine="0"/>
        <w:spacing w:line="480" w:lineRule="exact"/>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r>
      <w:r/>
    </w:p>
    <w:p>
      <w:pPr>
        <w:pStyle w:val="1028"/>
        <w:ind w:left="0" w:firstLine="0"/>
        <w:spacing w:line="480" w:lineRule="exact"/>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r>
      <w:r/>
    </w:p>
    <w:p>
      <w:pPr>
        <w:pStyle w:val="1028"/>
        <w:ind w:left="0" w:firstLine="0"/>
        <w:spacing w:line="480" w:lineRule="exact"/>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r>
      <w:r/>
    </w:p>
    <w:p>
      <w:pPr>
        <w:pStyle w:val="1028"/>
        <w:numPr>
          <w:ilvl w:val="0"/>
          <w:numId w:val="4"/>
        </w:numPr>
        <w:ind w:left="0" w:firstLine="0"/>
        <w:spacing w:line="480" w:lineRule="exact"/>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t xml:space="preserve">投标分项报价表 </w:t>
      </w:r>
      <w:r/>
    </w:p>
    <w:p>
      <w:pPr>
        <w:pStyle w:val="1028"/>
        <w:numPr>
          <w:ilvl w:val="0"/>
          <w:numId w:val="4"/>
        </w:numPr>
        <w:ind w:left="0" w:firstLine="0"/>
        <w:spacing w:line="480" w:lineRule="exact"/>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r>
      <w:r/>
    </w:p>
    <w:tbl>
      <w:tblPr>
        <w:tblStyle w:val="747"/>
        <w:tblW w:w="92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049"/>
        <w:gridCol w:w="888"/>
        <w:gridCol w:w="1012"/>
        <w:gridCol w:w="725"/>
        <w:gridCol w:w="1088"/>
        <w:gridCol w:w="1062"/>
        <w:gridCol w:w="863"/>
      </w:tblGrid>
      <w:tr>
        <w:trPr>
          <w:cantSplit/>
          <w:trHeight w:val="544"/>
        </w:trPr>
        <w:tc>
          <w:tcPr>
            <w:tcW w:w="556" w:type="dxa"/>
            <w:textDirection w:val="lrTb"/>
            <w:noWrap w:val="false"/>
          </w:tcPr>
          <w:p>
            <w:pPr>
              <w:jc w:val="cente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序号</w:t>
            </w:r>
            <w:r/>
          </w:p>
        </w:tc>
        <w:tc>
          <w:tcPr>
            <w:tcW w:w="1036" w:type="dxa"/>
            <w:vAlign w:val="center"/>
            <w:textDirection w:val="lrTb"/>
            <w:noWrap w:val="false"/>
          </w:tcPr>
          <w:p>
            <w:pPr>
              <w:jc w:val="cente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p>
        </w:tc>
        <w:tc>
          <w:tcPr>
            <w:tcW w:w="966" w:type="dxa"/>
            <w:vAlign w:val="center"/>
            <w:textDirection w:val="lrTb"/>
            <w:noWrap w:val="false"/>
          </w:tcPr>
          <w:p>
            <w:pPr>
              <w:jc w:val="cente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w:t>
            </w:r>
            <w:r/>
          </w:p>
        </w:tc>
        <w:tc>
          <w:tcPr>
            <w:tcW w:w="1049" w:type="dxa"/>
            <w:vAlign w:val="center"/>
            <w:textDirection w:val="lrTb"/>
            <w:noWrap w:val="false"/>
          </w:tcPr>
          <w:p>
            <w:pPr>
              <w:jc w:val="cente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p>
        </w:tc>
        <w:tc>
          <w:tcPr>
            <w:tcW w:w="888" w:type="dxa"/>
            <w:vAlign w:val="center"/>
            <w:textDirection w:val="lrTb"/>
            <w:noWrap w:val="false"/>
          </w:tcPr>
          <w:p>
            <w:pPr>
              <w:jc w:val="cente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w:t>
            </w:r>
            <w:r/>
          </w:p>
        </w:tc>
        <w:tc>
          <w:tcPr>
            <w:tcW w:w="1012" w:type="dxa"/>
            <w:vAlign w:val="center"/>
            <w:textDirection w:val="lrTb"/>
            <w:noWrap w:val="false"/>
          </w:tcPr>
          <w:p>
            <w:pPr>
              <w:jc w:val="cente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5</w:t>
            </w:r>
            <w:r/>
          </w:p>
        </w:tc>
        <w:tc>
          <w:tcPr>
            <w:tcW w:w="725" w:type="dxa"/>
            <w:vAlign w:val="center"/>
            <w:textDirection w:val="lrTb"/>
            <w:noWrap w:val="false"/>
          </w:tcPr>
          <w:p>
            <w:pPr>
              <w:jc w:val="cente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6</w:t>
            </w:r>
            <w:r/>
          </w:p>
        </w:tc>
        <w:tc>
          <w:tcPr>
            <w:tcW w:w="1088" w:type="dxa"/>
            <w:vAlign w:val="center"/>
            <w:textDirection w:val="lrTb"/>
            <w:noWrap w:val="false"/>
          </w:tcPr>
          <w:p>
            <w:pPr>
              <w:jc w:val="cente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7</w:t>
            </w:r>
            <w:r/>
          </w:p>
        </w:tc>
        <w:tc>
          <w:tcPr>
            <w:tcW w:w="1062" w:type="dxa"/>
            <w:vAlign w:val="center"/>
            <w:textDirection w:val="lrTb"/>
            <w:noWrap w:val="false"/>
          </w:tcPr>
          <w:p>
            <w:pPr>
              <w:jc w:val="cente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8</w:t>
            </w:r>
            <w:r/>
          </w:p>
        </w:tc>
        <w:tc>
          <w:tcPr>
            <w:tcW w:w="863" w:type="dxa"/>
            <w:vAlign w:val="center"/>
            <w:textDirection w:val="lrTb"/>
            <w:noWrap w:val="false"/>
          </w:tcPr>
          <w:p>
            <w:pPr>
              <w:jc w:val="center"/>
              <w:spacing w:line="0" w:lineRule="atLeast"/>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9</w:t>
            </w:r>
            <w:r/>
          </w:p>
        </w:tc>
      </w:tr>
      <w:tr>
        <w:trPr>
          <w:cantSplit/>
          <w:trHeight w:val="294"/>
        </w:trPr>
        <w:tc>
          <w:tcPr>
            <w:tcW w:w="556" w:type="dxa"/>
            <w:vAlign w:val="center"/>
            <w:textDirection w:val="lrTb"/>
            <w:noWrap w:val="false"/>
          </w:tcPr>
          <w:p>
            <w:pPr>
              <w:jc w:val="cente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w:t>
            </w:r>
            <w:r/>
          </w:p>
        </w:tc>
        <w:tc>
          <w:tcPr>
            <w:tcW w:w="1036" w:type="dxa"/>
            <w:vAlign w:val="center"/>
            <w:textDirection w:val="lrTb"/>
            <w:noWrap w:val="false"/>
          </w:tcPr>
          <w:p>
            <w:pPr>
              <w:jc w:val="cente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产品</w:t>
            </w:r>
            <w:r/>
          </w:p>
          <w:p>
            <w:pPr>
              <w:jc w:val="cente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名称</w:t>
            </w:r>
            <w:r/>
          </w:p>
        </w:tc>
        <w:tc>
          <w:tcPr>
            <w:tcW w:w="966" w:type="dxa"/>
            <w:vAlign w:val="center"/>
            <w:textDirection w:val="lrTb"/>
            <w:noWrap w:val="false"/>
          </w:tcPr>
          <w:p>
            <w:pPr>
              <w:jc w:val="cente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品牌</w:t>
            </w:r>
            <w:r/>
          </w:p>
        </w:tc>
        <w:tc>
          <w:tcPr>
            <w:tcW w:w="1049" w:type="dxa"/>
            <w:vAlign w:val="center"/>
            <w:textDirection w:val="lrTb"/>
            <w:noWrap w:val="false"/>
          </w:tcPr>
          <w:p>
            <w:pPr>
              <w:jc w:val="cente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规格</w:t>
            </w:r>
            <w:r/>
          </w:p>
          <w:p>
            <w:pPr>
              <w:jc w:val="cente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型号</w:t>
            </w:r>
            <w:r/>
          </w:p>
        </w:tc>
        <w:tc>
          <w:tcPr>
            <w:tcW w:w="888" w:type="dxa"/>
            <w:vAlign w:val="center"/>
            <w:textDirection w:val="lrTb"/>
            <w:noWrap w:val="false"/>
          </w:tcPr>
          <w:p>
            <w:pPr>
              <w:jc w:val="cente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产地</w:t>
            </w:r>
            <w:r/>
          </w:p>
        </w:tc>
        <w:tc>
          <w:tcPr>
            <w:tcW w:w="1012" w:type="dxa"/>
            <w:vAlign w:val="center"/>
            <w:textDirection w:val="lrTb"/>
            <w:noWrap w:val="false"/>
          </w:tcPr>
          <w:p>
            <w:pPr>
              <w:jc w:val="cente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交付期</w:t>
            </w:r>
            <w:r/>
          </w:p>
        </w:tc>
        <w:tc>
          <w:tcPr>
            <w:tcW w:w="725" w:type="dxa"/>
            <w:vAlign w:val="center"/>
            <w:textDirection w:val="lrTb"/>
            <w:noWrap w:val="false"/>
          </w:tcPr>
          <w:p>
            <w:pPr>
              <w:jc w:val="cente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数量</w:t>
            </w:r>
            <w:r/>
          </w:p>
        </w:tc>
        <w:tc>
          <w:tcPr>
            <w:tcW w:w="1088" w:type="dxa"/>
            <w:vAlign w:val="center"/>
            <w:textDirection w:val="lrTb"/>
            <w:noWrap w:val="false"/>
          </w:tcPr>
          <w:p>
            <w:pPr>
              <w:jc w:val="cente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分项单价</w:t>
            </w:r>
            <w:r/>
          </w:p>
        </w:tc>
        <w:tc>
          <w:tcPr>
            <w:tcW w:w="1062" w:type="dxa"/>
            <w:vAlign w:val="center"/>
            <w:textDirection w:val="lrTb"/>
            <w:noWrap w:val="false"/>
          </w:tcPr>
          <w:p>
            <w:pPr>
              <w:jc w:val="cente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分项总价</w:t>
            </w:r>
            <w:r/>
          </w:p>
        </w:tc>
        <w:tc>
          <w:tcPr>
            <w:tcW w:w="863" w:type="dxa"/>
            <w:vAlign w:val="center"/>
            <w:textDirection w:val="lrTb"/>
            <w:noWrap w:val="false"/>
          </w:tcPr>
          <w:p>
            <w:pPr>
              <w:jc w:val="cente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备注</w:t>
            </w:r>
            <w:r/>
          </w:p>
        </w:tc>
      </w:tr>
      <w:tr>
        <w:trPr>
          <w:cantSplit/>
          <w:trHeight w:val="696"/>
        </w:trPr>
        <w:tc>
          <w:tcPr>
            <w:tcW w:w="556" w:type="dxa"/>
            <w:vAlign w:val="center"/>
            <w:textDirection w:val="lrTb"/>
            <w:noWrap w:val="false"/>
          </w:tcPr>
          <w:p>
            <w:pPr>
              <w:jc w:val="cente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w:t>
            </w:r>
            <w:r/>
          </w:p>
        </w:tc>
        <w:tc>
          <w:tcPr>
            <w:tcW w:w="1036"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966"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049"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888"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012"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725"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088"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062"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863"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r>
      <w:tr>
        <w:trPr>
          <w:cantSplit/>
          <w:trHeight w:val="724"/>
        </w:trPr>
        <w:tc>
          <w:tcPr>
            <w:tcW w:w="556" w:type="dxa"/>
            <w:vAlign w:val="center"/>
            <w:textDirection w:val="lrTb"/>
            <w:noWrap w:val="false"/>
          </w:tcPr>
          <w:p>
            <w:pPr>
              <w:jc w:val="cente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w:t>
            </w:r>
            <w:r/>
          </w:p>
        </w:tc>
        <w:tc>
          <w:tcPr>
            <w:tcW w:w="1036"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966"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049"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888"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012"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725"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088"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062"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863"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r>
      <w:tr>
        <w:trPr>
          <w:cantSplit/>
          <w:trHeight w:val="640"/>
        </w:trPr>
        <w:tc>
          <w:tcPr>
            <w:tcW w:w="556" w:type="dxa"/>
            <w:vAlign w:val="center"/>
            <w:textDirection w:val="lrTb"/>
            <w:noWrap w:val="false"/>
          </w:tcPr>
          <w:p>
            <w:pPr>
              <w:jc w:val="cente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w:t>
            </w:r>
            <w:r/>
          </w:p>
        </w:tc>
        <w:tc>
          <w:tcPr>
            <w:tcW w:w="1036"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966"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049"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888"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012"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725"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088"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062"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863"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r>
      <w:tr>
        <w:trPr>
          <w:cantSplit/>
          <w:trHeight w:val="580"/>
        </w:trPr>
        <w:tc>
          <w:tcPr>
            <w:tcW w:w="556" w:type="dxa"/>
            <w:vAlign w:val="center"/>
            <w:textDirection w:val="lrTb"/>
            <w:noWrap w:val="false"/>
          </w:tcPr>
          <w:p>
            <w:pPr>
              <w:jc w:val="cente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tc>
        <w:tc>
          <w:tcPr>
            <w:tcW w:w="1036"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tc>
        <w:tc>
          <w:tcPr>
            <w:tcW w:w="966"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049"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888"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012"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725"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088"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062"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863" w:type="dxa"/>
            <w:vAlign w:val="center"/>
            <w:textDirection w:val="lrTb"/>
            <w:noWrap w:val="false"/>
          </w:tcPr>
          <w:p>
            <w:pPr>
              <w:spacing w:line="0" w:lineRule="atLeas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r>
      <w:tr>
        <w:trPr>
          <w:cantSplit/>
          <w:trHeight w:val="1030"/>
        </w:trPr>
        <w:tc>
          <w:tcPr>
            <w:gridSpan w:val="8"/>
            <w:tcW w:w="7320"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投标总报价（人民币：元）</w:t>
            </w:r>
            <w:r/>
          </w:p>
        </w:tc>
        <w:tc>
          <w:tcPr>
            <w:tcW w:w="1062" w:type="dxa"/>
            <w:textDirection w:val="lrTb"/>
            <w:noWrap w:val="false"/>
          </w:tcPr>
          <w:p>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863" w:type="dxa"/>
            <w:textDirection w:val="lrTb"/>
            <w:noWrap w:val="false"/>
          </w:tcPr>
          <w:p>
            <w:pP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r>
    </w:tbl>
    <w:p>
      <w:pPr>
        <w:ind w:firstLine="480"/>
        <w:spacing w:line="360" w:lineRule="exact"/>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备注：1.</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投标报价采用总承包方式，“投标总报价”应包括设备采购安装、调试及相关配套费、数据对接费、电费、入网费、人工费、服务费、税金、满足实现采购需求功能和效果以及履约过程中涉及到的其他一切费用</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招标文件中另有规定的除外。</w:t>
      </w:r>
      <w:r/>
    </w:p>
    <w:p>
      <w:pPr>
        <w:ind w:firstLine="480"/>
        <w:spacing w:line="360" w:lineRule="exact"/>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2. “投标分项报价表”中“投标总报价”数额应当与“开标一览表”中“投标总报价”数额一致。</w:t>
      </w:r>
      <w:r/>
    </w:p>
    <w:p>
      <w:pPr>
        <w:ind w:firstLine="480"/>
        <w:spacing w:line="360" w:lineRule="exact"/>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3.核心产品必须注明产品品牌、型号和产地。</w:t>
      </w:r>
      <w:r/>
    </w:p>
    <w:p>
      <w:pPr>
        <w:ind w:firstLine="480"/>
        <w:spacing w:line="360" w:lineRule="exact"/>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4.如投标人所投产品属于</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政府采购节能产品、环境标志产品的，须在本表中注明并在本表后按照招标文件要求提供相关证明材料。</w:t>
      </w:r>
      <w:r/>
    </w:p>
    <w:p>
      <w:pPr>
        <w:pStyle w:val="943"/>
        <w:ind w:firstLine="640"/>
        <w:jc w:val="left"/>
        <w:keepLines w:val="0"/>
        <w:keepNext w:val="0"/>
        <w:spacing w:before="0" w:after="0" w:line="480" w:lineRule="exact"/>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outlineLvl w:val="9"/>
      </w:pPr>
      <w:r>
        <w:rPr>
          <w:rFonts w:hint="eastAsia" w:asciiTheme="minorEastAsia" w:hAnsiTheme="minorEastAsia" w:eastAsiaTheme="minorEastAsia" w:cstheme="minorEastAsia"/>
          <w:strike/>
          <w:color w:val="000000" w:themeColor="text1"/>
          <w:sz w:val="32"/>
          <w:szCs w:val="32"/>
          <w:highlight w:val="none"/>
          <w14:textFill>
            <w14:solidFill>
              <w14:schemeClr w14:val="tx1"/>
            </w14:solidFill>
          </w14:textFill>
        </w:rPr>
        <w:br w:type="page" w:clear="all"/>
      </w:r>
      <w:r>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t xml:space="preserve">六、中小（微）企业声明函（货物） </w:t>
      </w:r>
      <w:r/>
    </w:p>
    <w:p>
      <w:pPr>
        <w:pStyle w:val="943"/>
        <w:jc w:val="center"/>
        <w:keepLines w:val="0"/>
        <w:keepNext w:val="0"/>
        <w:spacing w:before="0" w:after="0" w:line="480" w:lineRule="exact"/>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outlineLvl w:val="9"/>
      </w:pPr>
      <w:r>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r>
      <w:r/>
    </w:p>
    <w:p>
      <w:pPr>
        <w:pStyle w:val="943"/>
        <w:jc w:val="center"/>
        <w:keepLines w:val="0"/>
        <w:keepNext w:val="0"/>
        <w:spacing w:before="0" w:after="0" w:line="480" w:lineRule="exact"/>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outlineLvl w:val="9"/>
      </w:pPr>
      <w:r>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t xml:space="preserve">中小（微）企业声明函（货物）</w:t>
      </w:r>
      <w:r/>
    </w:p>
    <w:p>
      <w:pPr>
        <w:pStyle w:val="1073"/>
        <w:jc w:val="left"/>
        <w:spacing w:line="400" w:lineRule="exact"/>
        <w:rPr>
          <w:rStyle w:val="952"/>
          <w:rFonts w:hint="eastAsia" w:asciiTheme="minorEastAsia" w:hAnsiTheme="minorEastAsia" w:eastAsiaTheme="minorEastAsia" w:cstheme="minorEastAsia"/>
          <w:b/>
          <w:color w:val="000000" w:themeColor="text1"/>
          <w:sz w:val="32"/>
          <w:szCs w:val="32"/>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32"/>
          <w:szCs w:val="32"/>
          <w:highlight w:val="none"/>
          <w14:textFill>
            <w14:solidFill>
              <w14:schemeClr w14:val="tx1"/>
            </w14:solidFill>
          </w14:textFill>
        </w:rPr>
      </w:r>
      <w:r/>
    </w:p>
    <w:p>
      <w:pPr>
        <w:pStyle w:val="1073"/>
        <w:ind w:firstLine="480"/>
        <w:spacing w:line="480" w:lineRule="exact"/>
        <w:rPr>
          <w:rStyle w:val="952"/>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Style w:val="952"/>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本公司（联合体）郑重声明，根据《政府采购促进中小企业发展管理办法》（财库〔2020〕46号）的规定，本公司（联合体）参加</w:t>
      </w:r>
      <w:r>
        <w:rPr>
          <w:rStyle w:val="952"/>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 单位名称  </w:t>
      </w:r>
      <w:r>
        <w:rPr>
          <w:rStyle w:val="952"/>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w:t>
      </w:r>
      <w:r>
        <w:rPr>
          <w:rStyle w:val="952"/>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项目名称）</w:t>
      </w:r>
      <w:r>
        <w:rPr>
          <w:rStyle w:val="952"/>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 采购活动，提供的货物全部由符合政策要求的中小企业制造。相关企业（含联合体中的中小企业、签订分包意向协议的中小企业）的具体情况如下：</w:t>
      </w:r>
      <w:r/>
    </w:p>
    <w:p>
      <w:pPr>
        <w:pStyle w:val="1073"/>
        <w:ind w:firstLine="480"/>
        <w:spacing w:line="480" w:lineRule="exact"/>
        <w:rPr>
          <w:rStyle w:val="952"/>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Style w:val="952"/>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 </w:t>
      </w:r>
      <w:r>
        <w:rPr>
          <w:rStyle w:val="952"/>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标的名称          </w:t>
      </w:r>
      <w:r>
        <w:rPr>
          <w:rStyle w:val="952"/>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，属于（</w:t>
      </w:r>
      <w:r>
        <w:rPr>
          <w:rStyle w:val="952"/>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采购文件中明确的所属行业）行业</w:t>
      </w:r>
      <w:r>
        <w:rPr>
          <w:rStyle w:val="952"/>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；制造商为</w:t>
      </w:r>
      <w:r>
        <w:rPr>
          <w:rStyle w:val="952"/>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（企业名称）</w:t>
      </w:r>
      <w:r>
        <w:rPr>
          <w:rStyle w:val="952"/>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，从业人员人，营业收入为 万元，资产总额为万元</w:t>
      </w:r>
      <w:r>
        <w:rPr>
          <w:rStyle w:val="952"/>
          <w:rFonts w:hint="eastAsia" w:asciiTheme="minorEastAsia" w:hAnsiTheme="minorEastAsia" w:eastAsiaTheme="minorEastAsia" w:cstheme="minorEastAsia"/>
          <w:color w:val="000000" w:themeColor="text1"/>
          <w:sz w:val="24"/>
          <w:szCs w:val="24"/>
          <w:highlight w:val="none"/>
          <w:vertAlign w:val="superscript"/>
          <w14:textFill>
            <w14:solidFill>
              <w14:schemeClr w14:val="tx1"/>
            </w14:solidFill>
          </w14:textFill>
        </w:rPr>
        <w:t xml:space="preserve">1</w:t>
      </w:r>
      <w:r>
        <w:rPr>
          <w:rStyle w:val="952"/>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，属于</w:t>
      </w:r>
      <w:r>
        <w:rPr>
          <w:rStyle w:val="952"/>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（中型企业、小型企业、微型企业）；</w:t>
      </w:r>
      <w:r/>
    </w:p>
    <w:p>
      <w:pPr>
        <w:pStyle w:val="1073"/>
        <w:ind w:firstLine="480"/>
        <w:spacing w:line="480" w:lineRule="exact"/>
        <w:rPr>
          <w:rStyle w:val="952"/>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pPr>
      <w:r>
        <w:rPr>
          <w:rStyle w:val="952"/>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 </w:t>
      </w:r>
      <w:r>
        <w:rPr>
          <w:rStyle w:val="952"/>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标的名称          </w:t>
      </w:r>
      <w:r>
        <w:rPr>
          <w:rStyle w:val="952"/>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，属于（</w:t>
      </w:r>
      <w:r>
        <w:rPr>
          <w:rStyle w:val="952"/>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采购文件中明确的所属行业）行业</w:t>
      </w:r>
      <w:r>
        <w:rPr>
          <w:rStyle w:val="952"/>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；制造商为</w:t>
      </w:r>
      <w:r>
        <w:rPr>
          <w:rStyle w:val="952"/>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（企业名称）        </w:t>
      </w:r>
      <w:r>
        <w:rPr>
          <w:rStyle w:val="952"/>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，从业人员人，营业收入为 万元，资产总额为万元，属于</w:t>
      </w:r>
      <w:r>
        <w:rPr>
          <w:rStyle w:val="952"/>
          <w:rFonts w:hint="eastAsia" w:asciiTheme="minorEastAsia" w:hAnsiTheme="minorEastAsia" w:eastAsiaTheme="minorEastAsia" w:cstheme="minorEastAsia"/>
          <w:color w:val="000000" w:themeColor="text1"/>
          <w:sz w:val="24"/>
          <w:szCs w:val="24"/>
          <w:highlight w:val="none"/>
          <w:u w:val="single"/>
          <w14:textFill>
            <w14:solidFill>
              <w14:schemeClr w14:val="tx1"/>
            </w14:solidFill>
          </w14:textFill>
        </w:rPr>
        <w:t xml:space="preserve">（中型企业、小型企业、微型企业）；</w:t>
      </w:r>
      <w:r/>
    </w:p>
    <w:p>
      <w:pPr>
        <w:pStyle w:val="1073"/>
        <w:ind w:firstLine="480"/>
        <w:spacing w:line="480" w:lineRule="exact"/>
        <w:rPr>
          <w:rStyle w:val="952"/>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Style w:val="952"/>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pStyle w:val="1073"/>
        <w:ind w:firstLine="480"/>
        <w:spacing w:line="480" w:lineRule="exact"/>
        <w:rPr>
          <w:rStyle w:val="952"/>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Style w:val="952"/>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1073"/>
        <w:ind w:firstLine="480"/>
        <w:spacing w:line="480" w:lineRule="exact"/>
        <w:rPr>
          <w:rStyle w:val="952"/>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Style w:val="952"/>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spacing w:line="48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ind w:firstLine="360"/>
        <w:jc w:val="right"/>
        <w:spacing w:line="48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企业名称：（加盖CA电子公章）</w:t>
      </w:r>
      <w:r/>
    </w:p>
    <w:p>
      <w:pPr>
        <w:jc w:val="right"/>
        <w:spacing w:line="48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日  期：年___月___日</w:t>
      </w:r>
      <w:r/>
    </w:p>
    <w:p>
      <w:pPr>
        <w:pStyle w:val="1073"/>
        <w:ind w:firstLine="480"/>
        <w:spacing w:line="480" w:lineRule="exact"/>
        <w:rPr>
          <w:rStyle w:val="952"/>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p>
      <w:pPr>
        <w:pStyle w:val="1073"/>
        <w:ind w:firstLine="360"/>
        <w:spacing w:line="560" w:lineRule="exact"/>
        <w:rPr>
          <w:rStyle w:val="952"/>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Style w:val="952"/>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备注：1、从业人员、营业收入、资产总额填报上一年度数据，无上一年度数据的新成立企业可不填报。2、符合报价折扣情形的请将此函填报上传至“企业报价折扣证明”一栏中</w:t>
      </w:r>
      <w:r>
        <w:rPr>
          <w:rStyle w:val="952"/>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Style w:val="952"/>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此声明函将随成交结果同时公告，接受社会监督。</w:t>
      </w:r>
      <w:r/>
    </w:p>
    <w:p>
      <w:pPr>
        <w:pStyle w:val="943"/>
        <w:jc w:val="center"/>
        <w:keepLines w:val="0"/>
        <w:keepNext w:val="0"/>
        <w:spacing w:before="0" w:after="0" w:line="480" w:lineRule="exact"/>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outlineLvl w:val="9"/>
      </w:pPr>
      <w:r>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r>
      <w:r/>
    </w:p>
    <w:p>
      <w:pPr>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lang w:val="en-US" w:eastAsia="zh-CN"/>
        </w:rPr>
      </w:r>
      <w:r/>
    </w:p>
    <w:p>
      <w:pPr>
        <w:pStyle w:val="943"/>
        <w:jc w:val="center"/>
        <w:keepLines w:val="0"/>
        <w:keepNext w:val="0"/>
        <w:spacing w:before="0" w:after="0" w:line="480" w:lineRule="exact"/>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outlineLvl w:val="9"/>
      </w:pPr>
      <w:r>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r>
      <w:r/>
    </w:p>
    <w:p>
      <w:pPr>
        <w:pStyle w:val="943"/>
        <w:jc w:val="center"/>
        <w:keepLines w:val="0"/>
        <w:keepNext w:val="0"/>
        <w:spacing w:before="0" w:after="0" w:line="480" w:lineRule="exact"/>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outlineLvl w:val="9"/>
      </w:pPr>
      <w:r>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t xml:space="preserve">残疾人福利性单位声明函</w:t>
      </w:r>
      <w:r/>
    </w:p>
    <w:p>
      <w:pPr>
        <w:pStyle w:val="1075"/>
        <w:spacing w:line="588" w:lineRule="exact"/>
        <w:rPr>
          <w:rStyle w:val="952"/>
          <w:rFonts w:hint="eastAsia" w:asciiTheme="minorEastAsia" w:hAnsiTheme="minorEastAsia" w:eastAsiaTheme="minorEastAsia" w:cstheme="minorEastAsia"/>
          <w:b/>
          <w:color w:val="000000" w:themeColor="text1"/>
          <w:spacing w:val="6"/>
          <w:sz w:val="30"/>
          <w:szCs w:val="30"/>
          <w:highlight w:val="none"/>
          <w14:textFill>
            <w14:solidFill>
              <w14:schemeClr w14:val="tx1"/>
            </w14:solidFill>
          </w14:textFill>
        </w:rPr>
      </w:pPr>
      <w:r>
        <w:rPr>
          <w:rFonts w:hint="eastAsia" w:asciiTheme="minorEastAsia" w:hAnsiTheme="minorEastAsia" w:eastAsiaTheme="minorEastAsia" w:cstheme="minorEastAsia"/>
          <w:b/>
          <w:color w:val="000000" w:themeColor="text1"/>
          <w:spacing w:val="6"/>
          <w:sz w:val="30"/>
          <w:szCs w:val="30"/>
          <w:highlight w:val="none"/>
          <w14:textFill>
            <w14:solidFill>
              <w14:schemeClr w14:val="tx1"/>
            </w14:solidFill>
          </w14:textFill>
        </w:rPr>
      </w:r>
      <w:r/>
    </w:p>
    <w:p>
      <w:pPr>
        <w:ind w:firstLine="480"/>
        <w:spacing w:line="360" w:lineRule="auto"/>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80"/>
        <w:spacing w:line="360" w:lineRule="auto"/>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r>
      <w:r/>
    </w:p>
    <w:p>
      <w:pPr>
        <w:ind w:firstLine="480"/>
        <w:spacing w:line="360" w:lineRule="auto"/>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备注：1、投标人如不提供此声明函，价格将不做相应扣除。2、中标投标人为残疾人福利单位的，此声明函将随中标结果同时公告，接受社会监督；3、非残疾人福利性单位不需提供此函。</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4、符合报价折扣情形的请将此函填报上传至“企业报价折扣证明”一栏中。</w:t>
      </w:r>
      <w:r/>
    </w:p>
    <w:p>
      <w:pPr>
        <w:ind w:firstLine="480"/>
        <w:spacing w:line="360" w:lineRule="auto"/>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r>
      <w:r/>
    </w:p>
    <w:p>
      <w:pPr>
        <w:ind w:firstLine="624"/>
        <w:spacing w:line="360" w:lineRule="auto"/>
        <w:rPr>
          <w:rFonts w:hint="eastAsia" w:asciiTheme="minorEastAsia" w:hAnsiTheme="minorEastAsia" w:eastAsiaTheme="minorEastAsia" w:cstheme="minorEastAsia"/>
          <w:color w:val="000000" w:themeColor="text1"/>
          <w:spacing w:val="6"/>
          <w:sz w:val="30"/>
          <w:szCs w:val="30"/>
          <w:highlight w:val="none"/>
          <w14:textFill>
            <w14:solidFill>
              <w14:schemeClr w14:val="tx1"/>
            </w14:solidFill>
          </w14:textFill>
        </w:rPr>
      </w:pPr>
      <w:r>
        <w:rPr>
          <w:rFonts w:hint="eastAsia" w:asciiTheme="minorEastAsia" w:hAnsiTheme="minorEastAsia" w:eastAsiaTheme="minorEastAsia" w:cstheme="minorEastAsia"/>
          <w:color w:val="000000" w:themeColor="text1"/>
          <w:spacing w:val="6"/>
          <w:sz w:val="30"/>
          <w:szCs w:val="30"/>
          <w:highlight w:val="none"/>
          <w14:textFill>
            <w14:solidFill>
              <w14:schemeClr w14:val="tx1"/>
            </w14:solidFill>
          </w14:textFill>
        </w:rPr>
      </w:r>
      <w:r/>
    </w:p>
    <w:p>
      <w:pPr>
        <w:pStyle w:val="1061"/>
        <w:spacing w:line="360" w:lineRule="auto"/>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p>
      <w:pPr>
        <w:ind w:right="180" w:firstLine="360"/>
        <w:jc w:val="righ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企业名称：（加盖CA电子公章）</w:t>
      </w:r>
      <w:r/>
    </w:p>
    <w:p>
      <w:pPr>
        <w:jc w:val="righ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日  期：年___月___日</w:t>
      </w:r>
      <w:r/>
    </w:p>
    <w:p>
      <w:pPr>
        <w:jc w:val="left"/>
        <w:spacing w:line="560" w:lineRule="exact"/>
        <w:rPr>
          <w:rFonts w:hint="eastAsia" w:asciiTheme="minorEastAsia" w:hAnsiTheme="minorEastAsia" w:eastAsiaTheme="minorEastAsia" w:cstheme="minorEastAsia"/>
          <w:b/>
          <w:color w:val="000000" w:themeColor="text1"/>
          <w:sz w:val="32"/>
          <w:szCs w:val="32"/>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32"/>
          <w:szCs w:val="32"/>
          <w:highlight w:val="none"/>
          <w14:textFill>
            <w14:solidFill>
              <w14:schemeClr w14:val="tx1"/>
            </w14:solidFill>
          </w14:textFill>
        </w:rPr>
        <w:br w:type="page" w:clear="all"/>
      </w:r>
      <w:r>
        <w:rPr>
          <w:rFonts w:hint="eastAsia" w:asciiTheme="minorEastAsia" w:hAnsiTheme="minorEastAsia" w:eastAsiaTheme="minorEastAsia" w:cstheme="minorEastAsia"/>
          <w:b/>
          <w:color w:val="000000" w:themeColor="text1"/>
          <w:sz w:val="32"/>
          <w:szCs w:val="32"/>
          <w:highlight w:val="none"/>
          <w:lang w:eastAsia="zh-CN"/>
          <w14:textFill>
            <w14:solidFill>
              <w14:schemeClr w14:val="tx1"/>
            </w14:solidFill>
          </w14:textFill>
        </w:rPr>
        <w:t xml:space="preserve">七</w:t>
      </w:r>
      <w:r>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t xml:space="preserve">、技术要求响应及偏离表 </w:t>
      </w:r>
      <w:r/>
    </w:p>
    <w:tbl>
      <w:tblPr>
        <w:tblStyle w:val="74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Mar>
              <w:left w:w="57" w:type="dxa"/>
              <w:top w:w="57" w:type="dxa"/>
              <w:right w:w="57" w:type="dxa"/>
              <w:bottom w:w="57" w:type="dxa"/>
            </w:tcMar>
            <w:tcW w:w="545" w:type="dxa"/>
            <w:vAlign w:val="center"/>
            <w:textDirection w:val="lrTb"/>
            <w:noWrap w:val="false"/>
          </w:tcPr>
          <w:p>
            <w:pPr>
              <w:jc w:val="center"/>
              <w:spacing w:line="26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序号</w:t>
            </w:r>
            <w:r/>
          </w:p>
        </w:tc>
        <w:tc>
          <w:tcPr>
            <w:tcMar>
              <w:left w:w="57" w:type="dxa"/>
              <w:top w:w="57" w:type="dxa"/>
              <w:right w:w="57" w:type="dxa"/>
              <w:bottom w:w="57" w:type="dxa"/>
            </w:tcMar>
            <w:tcW w:w="3291" w:type="dxa"/>
            <w:vAlign w:val="center"/>
            <w:textDirection w:val="lrTb"/>
            <w:noWrap w:val="false"/>
          </w:tcPr>
          <w:p>
            <w:pPr>
              <w:pStyle w:val="1003"/>
              <w:jc w:val="center"/>
              <w:spacing w:before="0" w:beforeAutospacing="0" w:after="0" w:afterAutospacing="0" w:line="260" w:lineRule="exact"/>
              <w:rPr>
                <w:rFonts w:hint="eastAsia" w:asciiTheme="minorEastAsia" w:hAnsiTheme="minorEastAsia" w:eastAsiaTheme="minorEastAsia" w:cs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技术要求和商务要求中的实质性要求（打“★”内容）</w:t>
            </w:r>
            <w:r/>
          </w:p>
        </w:tc>
        <w:tc>
          <w:tcPr>
            <w:tcMar>
              <w:left w:w="57" w:type="dxa"/>
              <w:top w:w="57" w:type="dxa"/>
              <w:right w:w="57" w:type="dxa"/>
              <w:bottom w:w="57" w:type="dxa"/>
            </w:tcMar>
            <w:tcW w:w="2852" w:type="dxa"/>
            <w:vAlign w:val="center"/>
            <w:textDirection w:val="lrTb"/>
            <w:noWrap w:val="false"/>
          </w:tcPr>
          <w:p>
            <w:pPr>
              <w:pStyle w:val="1003"/>
              <w:jc w:val="center"/>
              <w:spacing w:before="0" w:beforeAutospacing="0" w:after="0" w:afterAutospacing="0" w:line="260" w:lineRule="exact"/>
              <w:rPr>
                <w:rFonts w:hint="eastAsia" w:asciiTheme="minorEastAsia" w:hAnsiTheme="minorEastAsia" w:eastAsiaTheme="minorEastAsia" w:cs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响应情况（填报“响应或完全响应”）</w:t>
            </w:r>
            <w:r/>
          </w:p>
        </w:tc>
        <w:tc>
          <w:tcPr>
            <w:tcMar>
              <w:left w:w="57" w:type="dxa"/>
              <w:top w:w="57" w:type="dxa"/>
              <w:right w:w="57" w:type="dxa"/>
              <w:bottom w:w="57" w:type="dxa"/>
            </w:tcMar>
            <w:tcW w:w="1308" w:type="dxa"/>
            <w:vAlign w:val="center"/>
            <w:textDirection w:val="lrTb"/>
            <w:noWrap w:val="false"/>
          </w:tcPr>
          <w:p>
            <w:pPr>
              <w:pStyle w:val="1003"/>
              <w:jc w:val="center"/>
              <w:spacing w:before="0" w:beforeAutospacing="0" w:after="0" w:afterAutospacing="0" w:line="260" w:lineRule="exact"/>
              <w:rPr>
                <w:rFonts w:hint="eastAsia" w:asciiTheme="minorEastAsia" w:hAnsiTheme="minorEastAsia" w:eastAsiaTheme="minorEastAsia" w:cstheme="minorEastAsia"/>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between w:val="none" w:color="000000" w:sz="0" w:space="0"/>
              </w:pBdr>
            </w:pPr>
            <w:r>
              <w:rPr>
                <w:rFonts w:hint="eastAsia" w:asciiTheme="minorEastAsia" w:hAnsiTheme="minorEastAsia" w:eastAsiaTheme="minorEastAsia" w:cstheme="minorEastAsia"/>
                <w:color w:val="000000" w:themeColor="text1"/>
                <w:highlight w:val="none"/>
                <w14:textFill>
                  <w14:solidFill>
                    <w14:schemeClr w14:val="tx1"/>
                  </w14:solidFill>
                </w14:textFill>
              </w:rPr>
              <w:t xml:space="preserve">偏离（填报“正偏离、符合或负偏离”）</w:t>
            </w:r>
            <w:r/>
          </w:p>
        </w:tc>
        <w:tc>
          <w:tcPr>
            <w:tcMar>
              <w:left w:w="57" w:type="dxa"/>
              <w:top w:w="57" w:type="dxa"/>
              <w:right w:w="57" w:type="dxa"/>
              <w:bottom w:w="57" w:type="dxa"/>
            </w:tcMar>
            <w:tcW w:w="1173" w:type="dxa"/>
            <w:vAlign w:val="center"/>
            <w:textDirection w:val="lrTb"/>
            <w:noWrap w:val="false"/>
          </w:tcPr>
          <w:p>
            <w:pPr>
              <w:jc w:val="center"/>
              <w:spacing w:line="26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证明</w:t>
            </w:r>
            <w:r/>
          </w:p>
          <w:p>
            <w:pPr>
              <w:jc w:val="center"/>
              <w:spacing w:line="26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材料</w:t>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3291"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3291"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3291"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3291"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3291"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3291"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3291"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2852"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3291"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tc>
        <w:tc>
          <w:tcPr>
            <w:tcW w:w="2852"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308"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1173" w:type="dxa"/>
            <w:textDirection w:val="lrTb"/>
            <w:noWrap w:val="false"/>
          </w:tcPr>
          <w:p>
            <w:pPr>
              <w:jc w:val="cente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r>
    </w:tbl>
    <w:p>
      <w:pPr>
        <w:spacing w:line="588" w:lineRule="exact"/>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 xml:space="preserve">1.投标人必须对技术要求和商务要求中的实质性要求（打“★”内容）做出明确响应，否则作无效响应处理。</w:t>
      </w:r>
      <w:r/>
    </w:p>
    <w:p>
      <w:pPr>
        <w:spacing w:line="588" w:lineRule="exact"/>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2.如果采购文件要求提供证明材料，投标人必须将证明材料列于该表之下。</w:t>
      </w:r>
      <w:r/>
    </w:p>
    <w:p>
      <w:pPr>
        <w:spacing w:line="588" w:lineRule="exact"/>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3.投标人未对实质性要求作出明确响应的，或未按采购文件要求提供证明材料的，该分包作无效响应处理。</w:t>
      </w:r>
      <w:r/>
    </w:p>
    <w:p>
      <w:pPr>
        <w:spacing w:line="588" w:lineRule="exact"/>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4.行数不够，可自行添加。</w:t>
      </w:r>
      <w:r/>
    </w:p>
    <w:p>
      <w:pPr>
        <w:jc w:val="center"/>
        <w:rPr>
          <w:rFonts w:hint="eastAsia" w:asciiTheme="minorEastAsia" w:hAnsiTheme="minorEastAsia" w:eastAsiaTheme="minorEastAsia" w:cstheme="minorEastAsia"/>
          <w:b/>
          <w:color w:val="000000" w:themeColor="text1"/>
          <w:sz w:val="36"/>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36"/>
          <w:highlight w:val="none"/>
          <w14:textFill>
            <w14:solidFill>
              <w14:schemeClr w14:val="tx1"/>
            </w14:solidFill>
          </w14:textFill>
        </w:rPr>
      </w:r>
      <w:r/>
    </w:p>
    <w:p>
      <w:pPr>
        <w:pStyle w:val="1064"/>
        <w:rPr>
          <w:rFonts w:hint="eastAsia" w:asciiTheme="minorEastAsia" w:hAnsiTheme="minorEastAsia" w:eastAsiaTheme="minorEastAsia" w:cstheme="minorEastAsia"/>
          <w:color w:val="000000" w:themeColor="text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highlight w:val="none"/>
          <w14:textFill>
            <w14:solidFill>
              <w14:schemeClr w14:val="tx1"/>
            </w14:solidFill>
          </w14:textFill>
        </w:rPr>
      </w:r>
      <w:r/>
    </w:p>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clear="all"/>
      </w:r>
      <w:r/>
    </w:p>
    <w:p>
      <w:pPr>
        <w:jc w:val="left"/>
        <w:spacing w:line="560" w:lineRule="exact"/>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t xml:space="preserve">八、项目组人员</w:t>
      </w:r>
      <w:r/>
    </w:p>
    <w:p>
      <w:pPr>
        <w:jc w:val="center"/>
        <w:spacing w:line="560" w:lineRule="exact"/>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t xml:space="preserve">项目组成员</w:t>
      </w:r>
      <w:r/>
    </w:p>
    <w:tbl>
      <w:tblPr>
        <w:tblStyle w:val="747"/>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2976"/>
        <w:gridCol w:w="1702"/>
        <w:gridCol w:w="962"/>
      </w:tblGrid>
      <w:tr>
        <w:trPr>
          <w:trHeight w:val="836"/>
        </w:trPr>
        <w:tc>
          <w:tcPr>
            <w:tcW w:w="959" w:type="dxa"/>
            <w:vAlign w:val="center"/>
            <w:textDirection w:val="lrTb"/>
            <w:noWrap w:val="false"/>
          </w:tcPr>
          <w:p>
            <w:pPr>
              <w:pStyle w:val="1065"/>
              <w:jc w:val="center"/>
              <w:spacing w:beforeAutospacing="1"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姓名</w:t>
            </w:r>
            <w:r/>
          </w:p>
        </w:tc>
        <w:tc>
          <w:tcPr>
            <w:tcW w:w="1843" w:type="dxa"/>
            <w:vAlign w:val="center"/>
            <w:textDirection w:val="lrTb"/>
            <w:noWrap w:val="false"/>
          </w:tcPr>
          <w:p>
            <w:pPr>
              <w:pStyle w:val="1065"/>
              <w:jc w:val="center"/>
              <w:spacing w:beforeAutospacing="1"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职务</w:t>
            </w:r>
            <w:r/>
          </w:p>
        </w:tc>
        <w:tc>
          <w:tcPr>
            <w:tcW w:w="2976" w:type="dxa"/>
            <w:vAlign w:val="center"/>
            <w:textDirection w:val="lrTb"/>
            <w:noWrap w:val="false"/>
          </w:tcPr>
          <w:p>
            <w:pPr>
              <w:pStyle w:val="1065"/>
              <w:ind w:firstLine="280"/>
              <w:spacing w:beforeAutospacing="1"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身份证号</w:t>
            </w:r>
            <w:r/>
          </w:p>
        </w:tc>
        <w:tc>
          <w:tcPr>
            <w:tcW w:w="1702" w:type="dxa"/>
            <w:vAlign w:val="center"/>
            <w:textDirection w:val="lrTb"/>
            <w:noWrap w:val="false"/>
          </w:tcPr>
          <w:p>
            <w:pPr>
              <w:pStyle w:val="1065"/>
              <w:jc w:val="center"/>
              <w:spacing w:beforeAutospacing="1"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相关证书</w:t>
            </w:r>
            <w:r/>
          </w:p>
        </w:tc>
        <w:tc>
          <w:tcPr>
            <w:tcW w:w="962" w:type="dxa"/>
            <w:vAlign w:val="center"/>
            <w:textDirection w:val="lrTb"/>
            <w:noWrap w:val="false"/>
          </w:tcPr>
          <w:p>
            <w:pPr>
              <w:pStyle w:val="1065"/>
              <w:spacing w:beforeAutospacing="1"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备注</w:t>
            </w:r>
            <w:r/>
          </w:p>
        </w:tc>
      </w:tr>
      <w:tr>
        <w:trPr>
          <w:trHeight w:val="729"/>
        </w:trPr>
        <w:tc>
          <w:tcPr>
            <w:tcW w:w="959"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03"/>
              <w:jc w:val="center"/>
              <w:rPr>
                <w:rFonts w:hint="eastAsia" w:asciiTheme="minorEastAsia" w:hAnsiTheme="minorEastAsia" w:eastAsiaTheme="minorEastAsia" w:cstheme="minorEastAsia"/>
                <w:color w:val="000000" w:themeColor="text1"/>
                <w:sz w:val="20"/>
                <w:szCs w:val="20"/>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项目</w:t>
            </w:r>
            <w:r>
              <w:rPr>
                <w:rFonts w:hint="eastAsia" w:asciiTheme="minorEastAsia" w:hAnsiTheme="minorEastAsia" w:eastAsiaTheme="minorEastAsia" w:cstheme="minorEastAsia"/>
                <w:color w:val="000000" w:themeColor="text1"/>
                <w:sz w:val="28"/>
                <w:szCs w:val="28"/>
                <w:highlight w:val="none"/>
                <w:lang w:eastAsia="zh-CN"/>
                <w14:textFill>
                  <w14:solidFill>
                    <w14:schemeClr w14:val="tx1"/>
                  </w14:solidFill>
                </w14:textFill>
              </w:rPr>
              <w:t xml:space="preserve">负责人</w:t>
            </w:r>
            <w:r/>
          </w:p>
        </w:tc>
        <w:tc>
          <w:tcPr>
            <w:tcW w:w="2976"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03"/>
              <w:jc w:val="cente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w:t>
            </w:r>
            <w:r/>
          </w:p>
        </w:tc>
        <w:tc>
          <w:tcPr>
            <w:tcW w:w="2976"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03"/>
              <w:ind w:firstLine="280"/>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w:t>
            </w:r>
            <w:r/>
          </w:p>
        </w:tc>
        <w:tc>
          <w:tcPr>
            <w:tcW w:w="2976"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03"/>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2976"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03"/>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2976"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2976"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2976"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2976"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2976"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r>
      <w:tr>
        <w:trPr>
          <w:trHeight w:val="729"/>
        </w:trPr>
        <w:tc>
          <w:tcPr>
            <w:tcW w:w="959"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1843"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2976"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1702"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c>
          <w:tcPr>
            <w:tcW w:w="962" w:type="dxa"/>
            <w:vAlign w:val="center"/>
            <w:textDirection w:val="lrTb"/>
            <w:noWrap w:val="false"/>
          </w:tcPr>
          <w:p>
            <w:pPr>
              <w:pStyle w:val="1065"/>
              <w:ind w:firstLine="560"/>
              <w:jc w:val="center"/>
              <w:spacing w:line="560" w:lineRule="exact"/>
              <w:widowControl/>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tc>
      </w:tr>
    </w:tbl>
    <w:p>
      <w:pPr>
        <w:pStyle w:val="1003"/>
        <w:ind w:firstLine="398"/>
        <w:spacing w:line="460" w:lineRule="exact"/>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注：如</w:t>
      </w:r>
      <w:r>
        <w:rPr>
          <w:rFonts w:hint="eastAsia" w:asciiTheme="minorEastAsia" w:hAnsiTheme="minorEastAsia" w:eastAsiaTheme="minorEastAsia" w:cstheme="minorEastAsia"/>
          <w:b/>
          <w:color w:val="000000" w:themeColor="text1"/>
          <w:highlight w:val="none"/>
          <w:lang w:eastAsia="zh-CN"/>
          <w14:textFill>
            <w14:solidFill>
              <w14:schemeClr w14:val="tx1"/>
            </w14:solidFill>
          </w14:textFill>
        </w:rPr>
        <w:t xml:space="preserve">投标人</w:t>
      </w:r>
      <w:r>
        <w:rPr>
          <w:rFonts w:hint="eastAsia" w:asciiTheme="minorEastAsia" w:hAnsiTheme="minorEastAsia" w:eastAsiaTheme="minorEastAsia" w:cstheme="minorEastAsia"/>
          <w:b/>
          <w:color w:val="000000" w:themeColor="text1"/>
          <w:highlight w:val="none"/>
          <w14:textFill>
            <w14:solidFill>
              <w14:schemeClr w14:val="tx1"/>
            </w14:solidFill>
          </w14:textFill>
        </w:rPr>
        <w:t xml:space="preserve">中标，项目组成员必须按本表承诺人员操作，不得随意更换。按招标文件要求附相关人员证书。</w:t>
      </w:r>
      <w:r/>
    </w:p>
    <w:p>
      <w:pPr>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br w:type="page" w:clear="all"/>
      </w:r>
      <w:r/>
    </w:p>
    <w:p>
      <w:pPr>
        <w:numPr>
          <w:ilvl w:val="0"/>
          <w:numId w:val="5"/>
        </w:numPr>
        <w:jc w:val="left"/>
        <w:spacing w:line="560" w:lineRule="exact"/>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t xml:space="preserve">企业认证</w:t>
      </w:r>
      <w:r>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br/>
      </w:r>
      <w:r>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br/>
      </w:r>
      <w:r/>
    </w:p>
    <w:p>
      <w:pPr>
        <w:numPr>
          <w:ilvl w:val="0"/>
          <w:numId w:val="5"/>
        </w:numPr>
        <w:jc w:val="left"/>
        <w:spacing w:line="560" w:lineRule="exact"/>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br w:type="page" w:clear="all"/>
      </w:r>
      <w:r>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t xml:space="preserve">企业业绩</w:t>
      </w:r>
      <w:r/>
    </w:p>
    <w:p>
      <w:pPr>
        <w:jc w:val="center"/>
        <w:spacing w:line="560" w:lineRule="exact"/>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t xml:space="preserve">投标人承担类似项目业绩一览表</w:t>
      </w:r>
      <w:r/>
    </w:p>
    <w:tbl>
      <w:tblPr>
        <w:tblStyle w:val="747"/>
        <w:tblW w:w="102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gridCol w:w="1395"/>
      </w:tblGrid>
      <w:tr>
        <w:trPr>
          <w:jc w:val="center"/>
          <w:trHeight w:val="754"/>
        </w:trPr>
        <w:tc>
          <w:tcPr>
            <w:tcW w:w="1229" w:type="dxa"/>
            <w:vAlign w:val="center"/>
            <w:textDirection w:val="lrTb"/>
            <w:noWrap w:val="false"/>
          </w:tcPr>
          <w:p>
            <w:pPr>
              <w:pStyle w:val="1068"/>
              <w:jc w:val="center"/>
              <w:spacing w:line="320" w:lineRule="exac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序号</w:t>
            </w:r>
            <w:r/>
          </w:p>
        </w:tc>
        <w:tc>
          <w:tcPr>
            <w:tcW w:w="3827" w:type="dxa"/>
            <w:vAlign w:val="center"/>
            <w:textDirection w:val="lrTb"/>
            <w:noWrap w:val="false"/>
          </w:tcPr>
          <w:p>
            <w:pPr>
              <w:pStyle w:val="1068"/>
              <w:jc w:val="center"/>
              <w:spacing w:line="320" w:lineRule="exac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项目名称</w:t>
            </w:r>
            <w:r/>
          </w:p>
        </w:tc>
        <w:tc>
          <w:tcPr>
            <w:tcW w:w="2433" w:type="dxa"/>
            <w:vAlign w:val="center"/>
            <w:textDirection w:val="lrTb"/>
            <w:noWrap w:val="false"/>
          </w:tcPr>
          <w:p>
            <w:pPr>
              <w:pStyle w:val="1068"/>
              <w:jc w:val="center"/>
              <w:spacing w:line="320" w:lineRule="exact"/>
              <w:rPr>
                <w:rFonts w:hint="eastAsia" w:asciiTheme="minorEastAsia" w:hAnsiTheme="minorEastAsia" w:eastAsiaTheme="minorEastAsia" w:cstheme="minorEastAsia"/>
                <w:color w:val="000000" w:themeColor="text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14:textFill>
                  <w14:solidFill>
                    <w14:schemeClr w14:val="tx1"/>
                  </w14:solidFill>
                </w14:textFill>
              </w:rPr>
              <w:t xml:space="preserve">采购单位</w:t>
            </w:r>
            <w:r/>
          </w:p>
        </w:tc>
        <w:tc>
          <w:tcPr>
            <w:tcW w:w="1395" w:type="dxa"/>
            <w:vAlign w:val="center"/>
            <w:textDirection w:val="lrTb"/>
            <w:noWrap w:val="false"/>
          </w:tcPr>
          <w:p>
            <w:pPr>
              <w:pStyle w:val="1068"/>
              <w:jc w:val="center"/>
              <w:spacing w:line="320" w:lineRule="exact"/>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 xml:space="preserve">合同签订时间</w:t>
            </w:r>
            <w:r/>
          </w:p>
        </w:tc>
        <w:tc>
          <w:tcPr>
            <w:tcW w:w="1395" w:type="dxa"/>
            <w:vAlign w:val="center"/>
            <w:textDirection w:val="lrTb"/>
            <w:noWrap w:val="false"/>
          </w:tcPr>
          <w:p>
            <w:pPr>
              <w:pStyle w:val="1068"/>
              <w:jc w:val="center"/>
              <w:spacing w:line="320" w:lineRule="exact"/>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Cs w:val="21"/>
                <w:highlight w:val="none"/>
                <w:lang w:eastAsia="zh-CN"/>
                <w14:textFill>
                  <w14:solidFill>
                    <w14:schemeClr w14:val="tx1"/>
                  </w14:solidFill>
                </w14:textFill>
              </w:rPr>
              <w:t xml:space="preserve">备注</w:t>
            </w:r>
            <w:r/>
          </w:p>
        </w:tc>
      </w:tr>
      <w:tr>
        <w:trPr>
          <w:jc w:val="center"/>
          <w:trHeight w:val="1510"/>
        </w:trPr>
        <w:tc>
          <w:tcPr>
            <w:tcW w:w="1229" w:type="dxa"/>
            <w:textDirection w:val="lrTb"/>
            <w:noWrap w:val="false"/>
          </w:tcPr>
          <w:p>
            <w:pPr>
              <w:pStyle w:val="1068"/>
              <w:jc w:val="center"/>
              <w:spacing w:line="560" w:lineRule="exact"/>
              <w:rPr>
                <w:rFonts w:hint="eastAsia" w:asciiTheme="minorEastAsia" w:hAnsiTheme="minorEastAsia" w:eastAsiaTheme="minorEastAsia" w:cstheme="minorEastAsia"/>
                <w:color w:val="000000" w:themeColor="text1"/>
                <w:sz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highlight w:val="none"/>
                <w14:textFill>
                  <w14:solidFill>
                    <w14:schemeClr w14:val="tx1"/>
                  </w14:solidFill>
                </w14:textFill>
              </w:rPr>
            </w:r>
            <w:r/>
          </w:p>
        </w:tc>
        <w:tc>
          <w:tcPr>
            <w:tcW w:w="3827" w:type="dxa"/>
            <w:vAlign w:val="center"/>
            <w:textDirection w:val="lrTb"/>
            <w:noWrap w:val="false"/>
          </w:tcPr>
          <w:p>
            <w:pPr>
              <w:pStyle w:val="1068"/>
              <w:jc w:val="center"/>
              <w:spacing w:line="560" w:lineRule="exact"/>
              <w:rPr>
                <w:rFonts w:hint="eastAsia" w:asciiTheme="minorEastAsia" w:hAnsiTheme="minorEastAsia" w:eastAsiaTheme="minorEastAsia" w:cstheme="minorEastAsia"/>
                <w:color w:val="000000" w:themeColor="text1"/>
                <w:sz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highlight w:val="none"/>
                <w14:textFill>
                  <w14:solidFill>
                    <w14:schemeClr w14:val="tx1"/>
                  </w14:solidFill>
                </w14:textFill>
              </w:rPr>
            </w:r>
            <w:r/>
          </w:p>
        </w:tc>
        <w:tc>
          <w:tcPr>
            <w:tcW w:w="2433" w:type="dxa"/>
            <w:vAlign w:val="center"/>
            <w:textDirection w:val="lrTb"/>
            <w:noWrap w:val="false"/>
          </w:tcPr>
          <w:p>
            <w:pPr>
              <w:pStyle w:val="1068"/>
              <w:jc w:val="center"/>
              <w:spacing w:line="560" w:lineRule="exact"/>
              <w:rPr>
                <w:rFonts w:hint="eastAsia" w:asciiTheme="minorEastAsia" w:hAnsiTheme="minorEastAsia" w:eastAsiaTheme="minorEastAsia" w:cstheme="minorEastAsia"/>
                <w:color w:val="000000" w:themeColor="text1"/>
                <w:sz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highlight w:val="none"/>
                <w14:textFill>
                  <w14:solidFill>
                    <w14:schemeClr w14:val="tx1"/>
                  </w14:solidFill>
                </w14:textFill>
              </w:rPr>
            </w:r>
            <w:r/>
          </w:p>
        </w:tc>
        <w:tc>
          <w:tcPr>
            <w:tcW w:w="1395" w:type="dxa"/>
            <w:vAlign w:val="center"/>
            <w:textDirection w:val="lrTb"/>
            <w:noWrap w:val="false"/>
          </w:tcPr>
          <w:p>
            <w:pPr>
              <w:pStyle w:val="1068"/>
              <w:jc w:val="center"/>
              <w:spacing w:line="560" w:lineRule="exact"/>
              <w:rPr>
                <w:rFonts w:hint="eastAsia" w:asciiTheme="minorEastAsia" w:hAnsiTheme="minorEastAsia" w:eastAsiaTheme="minorEastAsia" w:cstheme="minorEastAsia"/>
                <w:color w:val="000000" w:themeColor="text1"/>
                <w:sz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highlight w:val="none"/>
                <w14:textFill>
                  <w14:solidFill>
                    <w14:schemeClr w14:val="tx1"/>
                  </w14:solidFill>
                </w14:textFill>
              </w:rPr>
            </w:r>
            <w:r/>
          </w:p>
        </w:tc>
        <w:tc>
          <w:tcPr>
            <w:tcW w:w="1395" w:type="dxa"/>
            <w:vAlign w:val="center"/>
            <w:textDirection w:val="lrTb"/>
            <w:noWrap w:val="false"/>
          </w:tcPr>
          <w:p>
            <w:pPr>
              <w:pStyle w:val="1068"/>
              <w:jc w:val="center"/>
              <w:spacing w:line="560" w:lineRule="exact"/>
              <w:rPr>
                <w:rFonts w:hint="eastAsia" w:asciiTheme="minorEastAsia" w:hAnsiTheme="minorEastAsia" w:eastAsiaTheme="minorEastAsia" w:cstheme="minorEastAsia"/>
                <w:color w:val="000000" w:themeColor="text1"/>
                <w:sz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highlight w:val="none"/>
                <w14:textFill>
                  <w14:solidFill>
                    <w14:schemeClr w14:val="tx1"/>
                  </w14:solidFill>
                </w14:textFill>
              </w:rPr>
            </w:r>
            <w:r/>
          </w:p>
        </w:tc>
      </w:tr>
      <w:tr>
        <w:trPr>
          <w:jc w:val="center"/>
          <w:trHeight w:val="1510"/>
        </w:trPr>
        <w:tc>
          <w:tcPr>
            <w:tcW w:w="1229" w:type="dxa"/>
            <w:textDirection w:val="lrTb"/>
            <w:noWrap w:val="false"/>
          </w:tcPr>
          <w:p>
            <w:pPr>
              <w:pStyle w:val="1068"/>
              <w:jc w:val="center"/>
              <w:spacing w:line="560" w:lineRule="exact"/>
              <w:rPr>
                <w:rFonts w:hint="eastAsia" w:asciiTheme="minorEastAsia" w:hAnsiTheme="minorEastAsia" w:eastAsiaTheme="minorEastAsia" w:cstheme="minorEastAsia"/>
                <w:color w:val="000000" w:themeColor="text1"/>
                <w:sz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highlight w:val="none"/>
                <w14:textFill>
                  <w14:solidFill>
                    <w14:schemeClr w14:val="tx1"/>
                  </w14:solidFill>
                </w14:textFill>
              </w:rPr>
            </w:r>
            <w:r/>
          </w:p>
        </w:tc>
        <w:tc>
          <w:tcPr>
            <w:tcW w:w="3827" w:type="dxa"/>
            <w:vAlign w:val="center"/>
            <w:textDirection w:val="lrTb"/>
            <w:noWrap w:val="false"/>
          </w:tcPr>
          <w:p>
            <w:pPr>
              <w:pStyle w:val="1068"/>
              <w:jc w:val="center"/>
              <w:spacing w:line="560" w:lineRule="exact"/>
              <w:rPr>
                <w:rFonts w:hint="eastAsia" w:asciiTheme="minorEastAsia" w:hAnsiTheme="minorEastAsia" w:eastAsiaTheme="minorEastAsia" w:cstheme="minorEastAsia"/>
                <w:color w:val="000000" w:themeColor="text1"/>
                <w:sz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highlight w:val="none"/>
                <w14:textFill>
                  <w14:solidFill>
                    <w14:schemeClr w14:val="tx1"/>
                  </w14:solidFill>
                </w14:textFill>
              </w:rPr>
            </w:r>
            <w:r/>
          </w:p>
        </w:tc>
        <w:tc>
          <w:tcPr>
            <w:tcW w:w="2433" w:type="dxa"/>
            <w:vAlign w:val="center"/>
            <w:textDirection w:val="lrTb"/>
            <w:noWrap w:val="false"/>
          </w:tcPr>
          <w:p>
            <w:pPr>
              <w:pStyle w:val="1068"/>
              <w:jc w:val="center"/>
              <w:spacing w:line="560" w:lineRule="exact"/>
              <w:rPr>
                <w:rFonts w:hint="eastAsia" w:asciiTheme="minorEastAsia" w:hAnsiTheme="minorEastAsia" w:eastAsiaTheme="minorEastAsia" w:cstheme="minorEastAsia"/>
                <w:color w:val="000000" w:themeColor="text1"/>
                <w:sz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highlight w:val="none"/>
                <w14:textFill>
                  <w14:solidFill>
                    <w14:schemeClr w14:val="tx1"/>
                  </w14:solidFill>
                </w14:textFill>
              </w:rPr>
            </w:r>
            <w:r/>
          </w:p>
        </w:tc>
        <w:tc>
          <w:tcPr>
            <w:tcW w:w="1395" w:type="dxa"/>
            <w:vAlign w:val="center"/>
            <w:textDirection w:val="lrTb"/>
            <w:noWrap w:val="false"/>
          </w:tcPr>
          <w:p>
            <w:pPr>
              <w:pStyle w:val="1068"/>
              <w:jc w:val="center"/>
              <w:spacing w:line="560" w:lineRule="exact"/>
              <w:rPr>
                <w:rFonts w:hint="eastAsia" w:asciiTheme="minorEastAsia" w:hAnsiTheme="minorEastAsia" w:eastAsiaTheme="minorEastAsia" w:cstheme="minorEastAsia"/>
                <w:color w:val="000000" w:themeColor="text1"/>
                <w:sz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highlight w:val="none"/>
                <w14:textFill>
                  <w14:solidFill>
                    <w14:schemeClr w14:val="tx1"/>
                  </w14:solidFill>
                </w14:textFill>
              </w:rPr>
            </w:r>
            <w:r/>
          </w:p>
        </w:tc>
        <w:tc>
          <w:tcPr>
            <w:tcW w:w="1395" w:type="dxa"/>
            <w:vAlign w:val="center"/>
            <w:textDirection w:val="lrTb"/>
            <w:noWrap w:val="false"/>
          </w:tcPr>
          <w:p>
            <w:pPr>
              <w:pStyle w:val="1068"/>
              <w:jc w:val="center"/>
              <w:spacing w:line="560" w:lineRule="exact"/>
              <w:rPr>
                <w:rFonts w:hint="eastAsia" w:asciiTheme="minorEastAsia" w:hAnsiTheme="minorEastAsia" w:eastAsiaTheme="minorEastAsia" w:cstheme="minorEastAsia"/>
                <w:color w:val="000000" w:themeColor="text1"/>
                <w:sz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highlight w:val="none"/>
                <w14:textFill>
                  <w14:solidFill>
                    <w14:schemeClr w14:val="tx1"/>
                  </w14:solidFill>
                </w14:textFill>
              </w:rPr>
            </w:r>
            <w:r/>
          </w:p>
        </w:tc>
      </w:tr>
      <w:tr>
        <w:trPr>
          <w:jc w:val="center"/>
          <w:trHeight w:val="1510"/>
        </w:trPr>
        <w:tc>
          <w:tcPr>
            <w:tcW w:w="1229" w:type="dxa"/>
            <w:textDirection w:val="lrTb"/>
            <w:noWrap w:val="false"/>
          </w:tcPr>
          <w:p>
            <w:pPr>
              <w:pStyle w:val="1068"/>
              <w:jc w:val="center"/>
              <w:spacing w:line="560" w:lineRule="exact"/>
              <w:rPr>
                <w:rFonts w:hint="eastAsia" w:asciiTheme="minorEastAsia" w:hAnsiTheme="minorEastAsia" w:eastAsiaTheme="minorEastAsia" w:cstheme="minorEastAsia"/>
                <w:color w:val="000000" w:themeColor="text1"/>
                <w:sz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highlight w:val="none"/>
                <w14:textFill>
                  <w14:solidFill>
                    <w14:schemeClr w14:val="tx1"/>
                  </w14:solidFill>
                </w14:textFill>
              </w:rPr>
            </w:r>
            <w:r/>
          </w:p>
        </w:tc>
        <w:tc>
          <w:tcPr>
            <w:tcW w:w="3827" w:type="dxa"/>
            <w:vAlign w:val="center"/>
            <w:textDirection w:val="lrTb"/>
            <w:noWrap w:val="false"/>
          </w:tcPr>
          <w:p>
            <w:pPr>
              <w:pStyle w:val="1068"/>
              <w:jc w:val="center"/>
              <w:spacing w:line="560" w:lineRule="exact"/>
              <w:rPr>
                <w:rFonts w:hint="eastAsia" w:asciiTheme="minorEastAsia" w:hAnsiTheme="minorEastAsia" w:eastAsiaTheme="minorEastAsia" w:cstheme="minorEastAsia"/>
                <w:color w:val="000000" w:themeColor="text1"/>
                <w:sz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highlight w:val="none"/>
                <w14:textFill>
                  <w14:solidFill>
                    <w14:schemeClr w14:val="tx1"/>
                  </w14:solidFill>
                </w14:textFill>
              </w:rPr>
            </w:r>
            <w:r/>
          </w:p>
        </w:tc>
        <w:tc>
          <w:tcPr>
            <w:tcW w:w="2433" w:type="dxa"/>
            <w:vAlign w:val="center"/>
            <w:textDirection w:val="lrTb"/>
            <w:noWrap w:val="false"/>
          </w:tcPr>
          <w:p>
            <w:pPr>
              <w:pStyle w:val="1068"/>
              <w:jc w:val="center"/>
              <w:spacing w:line="560" w:lineRule="exact"/>
              <w:rPr>
                <w:rFonts w:hint="eastAsia" w:asciiTheme="minorEastAsia" w:hAnsiTheme="minorEastAsia" w:eastAsiaTheme="minorEastAsia" w:cstheme="minorEastAsia"/>
                <w:color w:val="000000" w:themeColor="text1"/>
                <w:sz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highlight w:val="none"/>
                <w14:textFill>
                  <w14:solidFill>
                    <w14:schemeClr w14:val="tx1"/>
                  </w14:solidFill>
                </w14:textFill>
              </w:rPr>
            </w:r>
            <w:r/>
          </w:p>
        </w:tc>
        <w:tc>
          <w:tcPr>
            <w:tcW w:w="1395" w:type="dxa"/>
            <w:vAlign w:val="center"/>
            <w:textDirection w:val="lrTb"/>
            <w:noWrap w:val="false"/>
          </w:tcPr>
          <w:p>
            <w:pPr>
              <w:pStyle w:val="1068"/>
              <w:jc w:val="center"/>
              <w:spacing w:line="560" w:lineRule="exact"/>
              <w:rPr>
                <w:rFonts w:hint="eastAsia" w:asciiTheme="minorEastAsia" w:hAnsiTheme="minorEastAsia" w:eastAsiaTheme="minorEastAsia" w:cstheme="minorEastAsia"/>
                <w:color w:val="000000" w:themeColor="text1"/>
                <w:sz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highlight w:val="none"/>
                <w14:textFill>
                  <w14:solidFill>
                    <w14:schemeClr w14:val="tx1"/>
                  </w14:solidFill>
                </w14:textFill>
              </w:rPr>
            </w:r>
            <w:r/>
          </w:p>
        </w:tc>
        <w:tc>
          <w:tcPr>
            <w:tcW w:w="1395" w:type="dxa"/>
            <w:vAlign w:val="center"/>
            <w:textDirection w:val="lrTb"/>
            <w:noWrap w:val="false"/>
          </w:tcPr>
          <w:p>
            <w:pPr>
              <w:pStyle w:val="1068"/>
              <w:jc w:val="center"/>
              <w:spacing w:line="560" w:lineRule="exact"/>
              <w:rPr>
                <w:rFonts w:hint="eastAsia" w:asciiTheme="minorEastAsia" w:hAnsiTheme="minorEastAsia" w:eastAsiaTheme="minorEastAsia" w:cstheme="minorEastAsia"/>
                <w:color w:val="000000" w:themeColor="text1"/>
                <w:sz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highlight w:val="none"/>
                <w14:textFill>
                  <w14:solidFill>
                    <w14:schemeClr w14:val="tx1"/>
                  </w14:solidFill>
                </w14:textFill>
              </w:rPr>
            </w:r>
            <w:r/>
          </w:p>
        </w:tc>
      </w:tr>
      <w:tr>
        <w:trPr>
          <w:jc w:val="center"/>
          <w:trHeight w:val="1525"/>
        </w:trPr>
        <w:tc>
          <w:tcPr>
            <w:tcW w:w="1229" w:type="dxa"/>
            <w:textDirection w:val="lrTb"/>
            <w:noWrap w:val="false"/>
          </w:tcPr>
          <w:p>
            <w:pPr>
              <w:pStyle w:val="1068"/>
              <w:jc w:val="center"/>
              <w:spacing w:line="560" w:lineRule="exact"/>
              <w:rPr>
                <w:rFonts w:hint="eastAsia" w:asciiTheme="minorEastAsia" w:hAnsiTheme="minorEastAsia" w:eastAsiaTheme="minorEastAsia" w:cstheme="minorEastAsia"/>
                <w:color w:val="000000" w:themeColor="text1"/>
                <w:sz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highlight w:val="none"/>
                <w14:textFill>
                  <w14:solidFill>
                    <w14:schemeClr w14:val="tx1"/>
                  </w14:solidFill>
                </w14:textFill>
              </w:rPr>
            </w:r>
            <w:r/>
          </w:p>
        </w:tc>
        <w:tc>
          <w:tcPr>
            <w:tcW w:w="3827" w:type="dxa"/>
            <w:vAlign w:val="center"/>
            <w:textDirection w:val="lrTb"/>
            <w:noWrap w:val="false"/>
          </w:tcPr>
          <w:p>
            <w:pPr>
              <w:pStyle w:val="1068"/>
              <w:jc w:val="center"/>
              <w:spacing w:line="560" w:lineRule="exact"/>
              <w:rPr>
                <w:rFonts w:hint="eastAsia" w:asciiTheme="minorEastAsia" w:hAnsiTheme="minorEastAsia" w:eastAsiaTheme="minorEastAsia" w:cstheme="minorEastAsia"/>
                <w:color w:val="000000" w:themeColor="text1"/>
                <w:sz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highlight w:val="none"/>
                <w14:textFill>
                  <w14:solidFill>
                    <w14:schemeClr w14:val="tx1"/>
                  </w14:solidFill>
                </w14:textFill>
              </w:rPr>
            </w:r>
            <w:r/>
          </w:p>
        </w:tc>
        <w:tc>
          <w:tcPr>
            <w:tcW w:w="2433" w:type="dxa"/>
            <w:vAlign w:val="center"/>
            <w:textDirection w:val="lrTb"/>
            <w:noWrap w:val="false"/>
          </w:tcPr>
          <w:p>
            <w:pPr>
              <w:pStyle w:val="1068"/>
              <w:jc w:val="center"/>
              <w:spacing w:line="560" w:lineRule="exact"/>
              <w:rPr>
                <w:rFonts w:hint="eastAsia" w:asciiTheme="minorEastAsia" w:hAnsiTheme="minorEastAsia" w:eastAsiaTheme="minorEastAsia" w:cstheme="minorEastAsia"/>
                <w:color w:val="000000" w:themeColor="text1"/>
                <w:sz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highlight w:val="none"/>
                <w14:textFill>
                  <w14:solidFill>
                    <w14:schemeClr w14:val="tx1"/>
                  </w14:solidFill>
                </w14:textFill>
              </w:rPr>
            </w:r>
            <w:r/>
          </w:p>
        </w:tc>
        <w:tc>
          <w:tcPr>
            <w:tcW w:w="1395" w:type="dxa"/>
            <w:vAlign w:val="center"/>
            <w:textDirection w:val="lrTb"/>
            <w:noWrap w:val="false"/>
          </w:tcPr>
          <w:p>
            <w:pPr>
              <w:pStyle w:val="1068"/>
              <w:jc w:val="center"/>
              <w:spacing w:line="560" w:lineRule="exact"/>
              <w:rPr>
                <w:rFonts w:hint="eastAsia" w:asciiTheme="minorEastAsia" w:hAnsiTheme="minorEastAsia" w:eastAsiaTheme="minorEastAsia" w:cstheme="minorEastAsia"/>
                <w:color w:val="000000" w:themeColor="text1"/>
                <w:sz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highlight w:val="none"/>
                <w14:textFill>
                  <w14:solidFill>
                    <w14:schemeClr w14:val="tx1"/>
                  </w14:solidFill>
                </w14:textFill>
              </w:rPr>
            </w:r>
            <w:r/>
          </w:p>
        </w:tc>
        <w:tc>
          <w:tcPr>
            <w:tcW w:w="1395" w:type="dxa"/>
            <w:vAlign w:val="center"/>
            <w:textDirection w:val="lrTb"/>
            <w:noWrap w:val="false"/>
          </w:tcPr>
          <w:p>
            <w:pPr>
              <w:pStyle w:val="1068"/>
              <w:jc w:val="center"/>
              <w:spacing w:line="560" w:lineRule="exact"/>
              <w:rPr>
                <w:rFonts w:hint="eastAsia" w:asciiTheme="minorEastAsia" w:hAnsiTheme="minorEastAsia" w:eastAsiaTheme="minorEastAsia" w:cstheme="minorEastAsia"/>
                <w:color w:val="000000" w:themeColor="text1"/>
                <w:sz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highlight w:val="none"/>
                <w14:textFill>
                  <w14:solidFill>
                    <w14:schemeClr w14:val="tx1"/>
                  </w14:solidFill>
                </w14:textFill>
              </w:rPr>
            </w:r>
            <w:r/>
          </w:p>
        </w:tc>
      </w:tr>
    </w:tbl>
    <w:p>
      <w:pPr>
        <w:pStyle w:val="1067"/>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highlight w:val="none"/>
          <w14:textFill>
            <w14:solidFill>
              <w14:schemeClr w14:val="tx1"/>
            </w14:solidFill>
          </w14:textFill>
        </w:rPr>
        <w:t xml:space="preserve">注：请填写此表，并按要求上传业绩资料电子件。</w:t>
      </w:r>
      <w:r/>
    </w:p>
    <w:p>
      <w:pPr>
        <w:pStyle w:val="1069"/>
        <w:rPr>
          <w:rFonts w:hint="eastAsia" w:asciiTheme="minorEastAsia" w:hAnsiTheme="minorEastAsia" w:eastAsiaTheme="minorEastAsia" w:cstheme="minorEastAsia"/>
          <w:color w:val="000000" w:themeColor="text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highlight w:val="none"/>
          <w14:textFill>
            <w14:solidFill>
              <w14:schemeClr w14:val="tx1"/>
            </w14:solidFill>
          </w14:textFill>
        </w:rPr>
      </w:r>
      <w:r/>
    </w:p>
    <w:p>
      <w:pPr>
        <w:pStyle w:val="1069"/>
        <w:rPr>
          <w:rFonts w:hint="eastAsia" w:asciiTheme="minorEastAsia" w:hAnsiTheme="minorEastAsia" w:eastAsiaTheme="minorEastAsia" w:cstheme="minorEastAsia"/>
          <w:color w:val="000000" w:themeColor="text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highlight w:val="none"/>
          <w14:textFill>
            <w14:solidFill>
              <w14:schemeClr w14:val="tx1"/>
            </w14:solidFill>
          </w14:textFill>
        </w:rPr>
      </w:r>
      <w:r/>
    </w:p>
    <w:p>
      <w:pPr>
        <w:pStyle w:val="1069"/>
        <w:rPr>
          <w:rFonts w:hint="eastAsia" w:asciiTheme="minorEastAsia" w:hAnsiTheme="minorEastAsia" w:eastAsiaTheme="minorEastAsia" w:cstheme="minorEastAsia"/>
          <w:color w:val="000000" w:themeColor="text1"/>
          <w:highlight w:val="none"/>
          <w14:textFill>
            <w14:solidFill>
              <w14:schemeClr w14:val="tx1"/>
            </w14:solidFill>
          </w14:textFill>
        </w:rPr>
        <w:outlineLvl w:val="9"/>
      </w:pPr>
      <w:r>
        <w:rPr>
          <w:rFonts w:hint="eastAsia" w:asciiTheme="minorEastAsia" w:hAnsiTheme="minorEastAsia" w:eastAsiaTheme="minorEastAsia" w:cstheme="minorEastAsia"/>
          <w:color w:val="000000" w:themeColor="text1"/>
          <w:highlight w:val="none"/>
          <w14:textFill>
            <w14:solidFill>
              <w14:schemeClr w14:val="tx1"/>
            </w14:solidFill>
          </w14:textFill>
        </w:rPr>
      </w:r>
      <w:r/>
    </w:p>
    <w:p>
      <w:pPr>
        <w:ind w:firstLine="211"/>
        <w:jc w:val="center"/>
        <w:spacing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r>
      <w:r/>
    </w:p>
    <w:p>
      <w:pPr>
        <w:ind w:firstLine="211"/>
        <w:jc w:val="center"/>
        <w:spacing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r>
      <w:r/>
    </w:p>
    <w:p>
      <w:pPr>
        <w:ind w:firstLine="211"/>
        <w:jc w:val="center"/>
        <w:spacing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r>
      <w:r/>
    </w:p>
    <w:p>
      <w:pPr>
        <w:ind w:firstLine="211"/>
        <w:jc w:val="center"/>
        <w:spacing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r>
      <w:r/>
    </w:p>
    <w:p>
      <w:pPr>
        <w:ind w:firstLine="211"/>
        <w:jc w:val="center"/>
        <w:spacing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r>
      <w:r/>
    </w:p>
    <w:p>
      <w:pPr>
        <w:ind w:firstLine="211"/>
        <w:jc w:val="center"/>
        <w:spacing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r>
      <w:r/>
    </w:p>
    <w:p>
      <w:pPr>
        <w:ind w:firstLine="211"/>
        <w:jc w:val="center"/>
        <w:spacing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r>
      <w:r/>
    </w:p>
    <w:p>
      <w:pPr>
        <w:ind w:firstLine="211"/>
        <w:jc w:val="center"/>
        <w:spacing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r>
      <w:r/>
    </w:p>
    <w:p>
      <w:pPr>
        <w:ind w:firstLine="211"/>
        <w:jc w:val="center"/>
        <w:spacing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r>
      <w:r/>
    </w:p>
    <w:p>
      <w:pPr>
        <w:ind w:firstLine="211"/>
        <w:jc w:val="center"/>
        <w:spacing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r>
      <w:r/>
    </w:p>
    <w:p>
      <w:pPr>
        <w:ind w:firstLine="211"/>
        <w:jc w:val="center"/>
        <w:spacing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r>
      <w:r/>
    </w:p>
    <w:p>
      <w:pPr>
        <w:jc w:val="left"/>
        <w:spacing w:line="560" w:lineRule="exact"/>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pPr>
      <w:r>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t xml:space="preserve">十一、项目总体实施方案</w:t>
      </w:r>
      <w:r/>
    </w:p>
    <w:p>
      <w:pPr>
        <w:jc w:val="both"/>
        <w:spacing w:line="360" w:lineRule="auto"/>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r>
      <w:r/>
    </w:p>
    <w:p>
      <w:pPr>
        <w:pStyle w:val="1070"/>
        <w:ind w:firstLine="560"/>
        <w:spacing w:line="360" w:lineRule="auto"/>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根据评分办法及采购需求相关内容，编制方案，格式自拟。</w:t>
      </w:r>
      <w:r/>
    </w:p>
    <w:p>
      <w:pPr>
        <w:rPr>
          <w:rFonts w:hint="eastAsia" w:asciiTheme="minorEastAsia" w:hAnsiTheme="minorEastAsia" w:eastAsiaTheme="minorEastAsia" w:cstheme="minorEastAsia"/>
          <w:b/>
          <w:highlight w:val="none"/>
        </w:rPr>
      </w:pPr>
      <w:r>
        <w:rPr>
          <w:rFonts w:hint="eastAsia" w:asciiTheme="minorEastAsia" w:hAnsiTheme="minorEastAsia" w:eastAsiaTheme="minorEastAsia" w:cstheme="minorEastAsia"/>
          <w:b/>
          <w:highlight w:val="none"/>
        </w:rPr>
        <w:br w:type="page" w:clear="all"/>
      </w:r>
      <w:r/>
    </w:p>
    <w:p>
      <w:pPr>
        <w:pStyle w:val="1069"/>
        <w:keepLines w:val="0"/>
        <w:keepNext w:val="0"/>
        <w:pageBreakBefore w:val="0"/>
        <w:spacing w:line="400" w:lineRule="exact"/>
        <w:rPr>
          <w:rFonts w:hint="eastAsia" w:asciiTheme="minorEastAsia" w:hAnsiTheme="minorEastAsia" w:eastAsiaTheme="minorEastAsia" w:cstheme="minorEastAsia"/>
          <w:color w:val="000000" w:themeColor="text1"/>
          <w:highlight w:val="none"/>
          <w14:textFill>
            <w14:solidFill>
              <w14:schemeClr w14:val="tx1"/>
            </w14:solidFill>
          </w14:textFill>
        </w:rPr>
        <w:outlineLvl w:val="9"/>
      </w:pPr>
      <w:r/>
      <w:bookmarkStart w:id="238" w:name="_Toc28140"/>
      <w:r>
        <w:rPr>
          <w:rFonts w:hint="eastAsia" w:asciiTheme="minorEastAsia" w:hAnsiTheme="minorEastAsia" w:eastAsiaTheme="minorEastAsia" w:cstheme="minorEastAsia"/>
          <w:b/>
          <w:bCs/>
          <w:color w:val="000000" w:themeColor="text1"/>
          <w:sz w:val="30"/>
          <w:szCs w:val="30"/>
          <w:highlight w:val="none"/>
          <w:lang w:val="en-US" w:eastAsia="zh-CN" w:bidi="ar-SA"/>
          <w14:textFill>
            <w14:solidFill>
              <w14:schemeClr w14:val="tx1"/>
            </w14:solidFill>
          </w14:textFill>
        </w:rPr>
        <w:t xml:space="preserve">十二、投标所需其他材料</w:t>
      </w:r>
      <w:bookmarkEnd w:id="238"/>
      <w:r/>
      <w:r/>
    </w:p>
    <w:p>
      <w:pPr>
        <w:pStyle w:val="1070"/>
        <w:ind w:firstLine="560"/>
        <w:spacing w:line="360" w:lineRule="auto"/>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r>
      <w:r/>
    </w:p>
    <w:p>
      <w:pPr>
        <w:pStyle w:val="1070"/>
        <w:ind w:firstLine="560"/>
        <w:spacing w:line="360" w:lineRule="auto"/>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pPr>
      <w:r>
        <w:rPr>
          <w:rFonts w:hint="eastAsia" w:asciiTheme="minorEastAsia" w:hAnsiTheme="minorEastAsia" w:eastAsiaTheme="minorEastAsia" w:cstheme="minorEastAsia"/>
          <w:color w:val="000000" w:themeColor="text1"/>
          <w:sz w:val="28"/>
          <w:szCs w:val="28"/>
          <w:highlight w:val="none"/>
          <w14:textFill>
            <w14:solidFill>
              <w14:schemeClr w14:val="tx1"/>
            </w14:solidFill>
          </w14:textFill>
        </w:rPr>
        <w:t xml:space="preserve">请在此文档中增加投标所需其他相关内容（包括资格要求、评分办法、采购需求中涉及的证件证明及其它投标人认为有必要提供的资料），如没有请将此空文档上传。</w:t>
      </w:r>
      <w:r/>
    </w:p>
    <w:p>
      <w:pPr>
        <w:rPr>
          <w:rFonts w:hint="eastAsia" w:asciiTheme="minorEastAsia" w:hAnsiTheme="minorEastAsia" w:eastAsiaTheme="minorEastAsia" w:cstheme="minorEastAsia"/>
          <w:color w:val="000000" w:themeColor="text1"/>
          <w:sz w:val="20"/>
          <w:highlight w:val="none"/>
          <w14:textFill>
            <w14:solidFill>
              <w14:schemeClr w14:val="tx1"/>
            </w14:solidFill>
          </w14:textFill>
        </w:rPr>
      </w:pPr>
      <w:r>
        <w:rPr>
          <w:rFonts w:hint="eastAsia" w:asciiTheme="minorEastAsia" w:hAnsiTheme="minorEastAsia" w:eastAsiaTheme="minorEastAsia" w:cstheme="minorEastAsia"/>
          <w:color w:val="000000" w:themeColor="text1"/>
          <w:sz w:val="20"/>
          <w:highlight w:val="none"/>
          <w14:textFill>
            <w14:solidFill>
              <w14:schemeClr w14:val="tx1"/>
            </w14:solidFill>
          </w14:textFill>
        </w:rPr>
      </w:r>
      <w:r/>
    </w:p>
    <w:p>
      <w:pPr>
        <w:rPr>
          <w:rFonts w:hint="eastAsia" w:asciiTheme="minorEastAsia" w:hAnsiTheme="minorEastAsia" w:eastAsiaTheme="minorEastAsia" w:cstheme="minorEastAsia"/>
          <w:color w:val="000000" w:themeColor="text1"/>
          <w:highlight w:val="none"/>
          <w14:textFill>
            <w14:solidFill>
              <w14:schemeClr w14:val="tx1"/>
            </w14:solidFill>
          </w14:textFill>
        </w:rPr>
      </w:pPr>
      <w:r>
        <w:rPr>
          <w:rFonts w:hint="eastAsia" w:asciiTheme="minorEastAsia" w:hAnsiTheme="minorEastAsia" w:eastAsiaTheme="minorEastAsia" w:cstheme="minorEastAsia"/>
          <w:color w:val="000000" w:themeColor="text1"/>
          <w:highlight w:val="none"/>
          <w14:textFill>
            <w14:solidFill>
              <w14:schemeClr w14:val="tx1"/>
            </w14:solidFill>
          </w14:textFill>
        </w:rPr>
      </w:r>
      <w:r/>
    </w:p>
    <w:p>
      <w:pPr>
        <w:rPr>
          <w:rFonts w:hint="eastAsia" w:asciiTheme="minorEastAsia" w:hAnsiTheme="minorEastAsia" w:eastAsiaTheme="minorEastAsia" w:cstheme="minorEastAsia"/>
          <w:color w:val="000000" w:themeColor="text1"/>
          <w:sz w:val="32"/>
          <w:highlight w:val="none"/>
          <w14:textFill>
            <w14:solidFill>
              <w14:schemeClr w14:val="tx1"/>
            </w14:solidFill>
          </w14:textFill>
        </w:rPr>
      </w:pPr>
      <w:r>
        <w:rPr>
          <w:rFonts w:hint="eastAsia" w:asciiTheme="minorEastAsia" w:hAnsiTheme="minorEastAsia" w:eastAsiaTheme="minorEastAsia" w:cstheme="minorEastAsia"/>
          <w:color w:val="000000" w:themeColor="text1"/>
          <w:sz w:val="32"/>
          <w:highlight w:val="none"/>
          <w14:textFill>
            <w14:solidFill>
              <w14:schemeClr w14:val="tx1"/>
            </w14:solidFill>
          </w14:textFill>
        </w:rPr>
      </w:r>
      <w:r/>
    </w:p>
    <w:p>
      <w:pPr>
        <w:rPr>
          <w:rFonts w:hint="eastAsia" w:asciiTheme="minorEastAsia" w:hAnsiTheme="minorEastAsia" w:eastAsiaTheme="minorEastAsia" w:cstheme="minorEastAsia"/>
          <w:color w:val="000000" w:themeColor="text1"/>
          <w:sz w:val="32"/>
          <w:highlight w:val="none"/>
          <w14:textFill>
            <w14:solidFill>
              <w14:schemeClr w14:val="tx1"/>
            </w14:solidFill>
          </w14:textFill>
        </w:rPr>
      </w:pPr>
      <w:r>
        <w:rPr>
          <w:rFonts w:hint="eastAsia" w:asciiTheme="minorEastAsia" w:hAnsiTheme="minorEastAsia" w:eastAsiaTheme="minorEastAsia" w:cstheme="minorEastAsia"/>
          <w:color w:val="000000" w:themeColor="text1"/>
          <w:sz w:val="32"/>
          <w:highlight w:val="none"/>
          <w14:textFill>
            <w14:solidFill>
              <w14:schemeClr w14:val="tx1"/>
            </w14:solidFill>
          </w14:textFill>
        </w:rPr>
      </w:r>
      <w:r/>
    </w:p>
    <w:p>
      <w:pPr>
        <w:rPr>
          <w:rFonts w:hint="eastAsia" w:asciiTheme="minorEastAsia" w:hAnsiTheme="minorEastAsia" w:eastAsiaTheme="minorEastAsia" w:cstheme="minorEastAsia"/>
          <w:color w:val="000000" w:themeColor="text1"/>
          <w:sz w:val="32"/>
          <w:highlight w:val="none"/>
          <w14:textFill>
            <w14:solidFill>
              <w14:schemeClr w14:val="tx1"/>
            </w14:solidFill>
          </w14:textFill>
        </w:rPr>
      </w:pPr>
      <w:r>
        <w:rPr>
          <w:rFonts w:hint="eastAsia" w:asciiTheme="minorEastAsia" w:hAnsiTheme="minorEastAsia" w:eastAsiaTheme="minorEastAsia" w:cstheme="minorEastAsia"/>
          <w:color w:val="000000" w:themeColor="text1"/>
          <w:sz w:val="32"/>
          <w:highlight w:val="none"/>
          <w14:textFill>
            <w14:solidFill>
              <w14:schemeClr w14:val="tx1"/>
            </w14:solidFill>
          </w14:textFill>
        </w:rPr>
      </w:r>
      <w:bookmarkEnd w:id="234"/>
      <w:r/>
    </w:p>
    <w:p>
      <w:pPr>
        <w:rPr>
          <w:rFonts w:hint="eastAsia" w:asciiTheme="minorEastAsia" w:hAnsiTheme="minorEastAsia" w:eastAsiaTheme="minorEastAsia" w:cstheme="minorEastAsia"/>
          <w:color w:val="000000" w:themeColor="text1"/>
          <w:sz w:val="32"/>
          <w:highlight w:val="none"/>
          <w14:textFill>
            <w14:solidFill>
              <w14:schemeClr w14:val="tx1"/>
            </w14:solidFill>
          </w14:textFill>
        </w:rPr>
      </w:pPr>
      <w:r>
        <w:rPr>
          <w:rFonts w:hint="eastAsia" w:asciiTheme="minorEastAsia" w:hAnsiTheme="minorEastAsia" w:eastAsiaTheme="minorEastAsia" w:cstheme="minorEastAsia"/>
          <w:color w:val="000000" w:themeColor="text1"/>
          <w:sz w:val="32"/>
          <w:highlight w:val="none"/>
          <w14:textFill>
            <w14:solidFill>
              <w14:schemeClr w14:val="tx1"/>
            </w14:solidFill>
          </w14:textFill>
        </w:rPr>
      </w:r>
      <w:r/>
    </w:p>
    <w:p>
      <w:pPr>
        <w:spacing w:line="480" w:lineRule="auto"/>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r>
      <w:r/>
    </w:p>
    <w:p>
      <w:pPr>
        <w:spacing w:line="480" w:lineRule="auto"/>
        <w:rPr>
          <w:rFonts w:hint="eastAsia" w:asciiTheme="minorEastAsia" w:hAnsiTheme="minorEastAsia" w:eastAsiaTheme="minorEastAsia" w:cstheme="minorEastAsia"/>
          <w:color w:val="000000" w:themeColor="text1"/>
          <w:sz w:val="30"/>
          <w:highlight w:val="none"/>
          <w14:textFill>
            <w14:solidFill>
              <w14:schemeClr w14:val="tx1"/>
            </w14:solidFill>
          </w14:textFill>
        </w:rPr>
      </w:pPr>
      <w:r>
        <w:rPr>
          <w:rFonts w:hint="eastAsia" w:asciiTheme="minorEastAsia" w:hAnsiTheme="minorEastAsia" w:eastAsiaTheme="minorEastAsia" w:cstheme="minorEastAsia"/>
          <w:color w:val="000000" w:themeColor="text1"/>
          <w:sz w:val="30"/>
          <w:highlight w:val="none"/>
          <w14:textFill>
            <w14:solidFill>
              <w14:schemeClr w14:val="tx1"/>
            </w14:solidFill>
          </w14:textFill>
        </w:rPr>
      </w:r>
      <w:r/>
    </w:p>
    <w:p>
      <w:pPr>
        <w:pStyle w:val="945"/>
        <w:ind w:firstLine="0"/>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bookmarkStart w:id="239" w:name="_Hlt26609389"/>
      <w:r/>
      <w:bookmarkEnd w:id="239"/>
      <w:r/>
      <w:bookmarkStart w:id="240" w:name="_Hlt26955066"/>
      <w:r/>
      <w:bookmarkEnd w:id="240"/>
      <w:r/>
      <w:bookmarkStart w:id="241" w:name="_Hlt26671374"/>
      <w:r/>
      <w:bookmarkEnd w:id="241"/>
      <w:r/>
      <w:bookmarkStart w:id="242" w:name="_Toc462564146"/>
      <w:r/>
      <w:r/>
    </w:p>
    <w:p>
      <w:pPr>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r>
      <w:r/>
    </w:p>
    <w:p>
      <w:pPr>
        <w:pStyle w:val="1017"/>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r>
      <w:r/>
    </w:p>
    <w:p>
      <w:pPr>
        <w:pStyle w:val="1017"/>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r>
      <w:r/>
    </w:p>
    <w:p>
      <w:pPr>
        <w:pStyle w:val="1017"/>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r>
      <w:r/>
    </w:p>
    <w:p>
      <w:pPr>
        <w:pStyle w:val="1017"/>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r>
      <w:r/>
    </w:p>
    <w:p>
      <w:pPr>
        <w:pStyle w:val="1017"/>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r>
      <w:bookmarkEnd w:id="209"/>
      <w:bookmarkEnd w:id="210"/>
      <w:bookmarkEnd w:id="242"/>
      <w:r/>
    </w:p>
    <w:p>
      <w:pPr>
        <w:pStyle w:val="1017"/>
        <w:rPr>
          <w:rFonts w:hint="eastAsia"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r>
      <w:r/>
    </w:p>
    <w:p>
      <w:pPr>
        <w:pStyle w:val="945"/>
        <w:ind w:left="0" w:firstLine="0"/>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bookmarkStart w:id="243" w:name="_格式2__法定代表人授权书"/>
      <w:r/>
      <w:bookmarkEnd w:id="243"/>
      <w:r/>
      <w:r/>
    </w:p>
    <w:sectPr>
      <w:footerReference w:type="default" r:id="rId15"/>
      <w:footnotePr/>
      <w:endnotePr/>
      <w:type w:val="nextPage"/>
      <w:pgSz w:w="11906" w:h="16838" w:orient="portrait"/>
      <w:pgMar w:top="1644" w:right="1474" w:bottom="1417" w:left="1474" w:header="851" w:footer="907"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仿宋">
    <w:panose1 w:val="02010609060101010101"/>
  </w:font>
  <w:font w:name="方正舒体">
    <w:panose1 w:val="02010601030101010101"/>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rPr>
        <w:rStyle w:val="1013"/>
      </w:rPr>
      <w:framePr w:wrap="around" w:vAnchor="text" w:hAnchor="margin" w:xAlign="center" w:y="1"/>
    </w:pPr>
    <w:r>
      <w:fldChar w:fldCharType="begin"/>
    </w:r>
    <w:r>
      <w:rPr>
        <w:rStyle w:val="1013"/>
      </w:rPr>
      <w:instrText xml:space="preserve">PAGE  </w:instrText>
    </w:r>
    <w:r>
      <w:fldChar w:fldCharType="separate"/>
    </w:r>
    <w:r>
      <w:rPr>
        <w:rStyle w:val="1013"/>
      </w:rPr>
      <w:t xml:space="preserve">1</w:t>
    </w:r>
    <w:r>
      <w:fldChar w:fldCharType="end"/>
    </w:r>
    <w:r/>
  </w:p>
  <w:p>
    <w:pPr>
      <w:pStyle w:val="98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rFonts w:eastAsia="方正仿宋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5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rPr>
        <w:b/>
        <w:i/>
      </w:rPr>
    </w:pPr>
    <w:r>
      <w:rPr>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88"/>
                            <w:rPr>
                              <w:rStyle w:val="1013"/>
                              <w:sz w:val="28"/>
                              <w:szCs w:val="28"/>
                            </w:rPr>
                          </w:pPr>
                          <w:r>
                            <w:rPr>
                              <w:rStyle w:val="1013"/>
                              <w:sz w:val="28"/>
                              <w:szCs w:val="28"/>
                            </w:rPr>
                            <w:t xml:space="preserve">— </w:t>
                          </w:r>
                          <w:r>
                            <w:rPr>
                              <w:rStyle w:val="1013"/>
                              <w:sz w:val="28"/>
                              <w:szCs w:val="28"/>
                            </w:rPr>
                            <w:fldChar w:fldCharType="begin"/>
                          </w:r>
                          <w:r>
                            <w:rPr>
                              <w:rStyle w:val="1013"/>
                              <w:sz w:val="28"/>
                              <w:szCs w:val="28"/>
                            </w:rPr>
                            <w:instrText xml:space="preserve"> PAGE  \* MERGEFORMAT </w:instrText>
                          </w:r>
                          <w:r>
                            <w:rPr>
                              <w:rStyle w:val="1013"/>
                              <w:sz w:val="28"/>
                              <w:szCs w:val="28"/>
                            </w:rPr>
                            <w:fldChar w:fldCharType="separate"/>
                          </w:r>
                          <w:r>
                            <w:rPr>
                              <w:rStyle w:val="1013"/>
                              <w:sz w:val="28"/>
                              <w:szCs w:val="28"/>
                            </w:rPr>
                            <w:t xml:space="preserve">24</w:t>
                          </w:r>
                          <w:r>
                            <w:rPr>
                              <w:rStyle w:val="1013"/>
                              <w:sz w:val="28"/>
                              <w:szCs w:val="28"/>
                            </w:rPr>
                            <w:fldChar w:fldCharType="end"/>
                          </w:r>
                          <w:r>
                            <w:rPr>
                              <w:rStyle w:val="1013"/>
                              <w:sz w:val="28"/>
                              <w:szCs w:val="28"/>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88"/>
                      <w:rPr>
                        <w:rStyle w:val="1013"/>
                        <w:sz w:val="28"/>
                        <w:szCs w:val="28"/>
                      </w:rPr>
                    </w:pPr>
                    <w:r>
                      <w:rPr>
                        <w:rStyle w:val="1013"/>
                        <w:sz w:val="28"/>
                        <w:szCs w:val="28"/>
                      </w:rPr>
                      <w:t xml:space="preserve">— </w:t>
                    </w:r>
                    <w:r>
                      <w:rPr>
                        <w:rStyle w:val="1013"/>
                        <w:sz w:val="28"/>
                        <w:szCs w:val="28"/>
                      </w:rPr>
                      <w:fldChar w:fldCharType="begin"/>
                    </w:r>
                    <w:r>
                      <w:rPr>
                        <w:rStyle w:val="1013"/>
                        <w:sz w:val="28"/>
                        <w:szCs w:val="28"/>
                      </w:rPr>
                      <w:instrText xml:space="preserve"> PAGE  \* MERGEFORMAT </w:instrText>
                    </w:r>
                    <w:r>
                      <w:rPr>
                        <w:rStyle w:val="1013"/>
                        <w:sz w:val="28"/>
                        <w:szCs w:val="28"/>
                      </w:rPr>
                      <w:fldChar w:fldCharType="separate"/>
                    </w:r>
                    <w:r>
                      <w:rPr>
                        <w:rStyle w:val="1013"/>
                        <w:sz w:val="28"/>
                        <w:szCs w:val="28"/>
                      </w:rPr>
                      <w:t xml:space="preserve">24</w:t>
                    </w:r>
                    <w:r>
                      <w:rPr>
                        <w:rStyle w:val="1013"/>
                        <w:sz w:val="28"/>
                        <w:szCs w:val="28"/>
                      </w:rPr>
                      <w:fldChar w:fldCharType="end"/>
                    </w:r>
                    <w:r>
                      <w:rPr>
                        <w:rStyle w:val="1013"/>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rPr>
        <w:rFonts w:eastAsia="方正仿宋_GBK"/>
      </w:rPr>
    </w:pPr>
    <w:r>
      <w:rPr>
        <w:rFonts w:eastAsia="方正仿宋_GBK"/>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3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8"/>
      <w:isLgl w:val="false"/>
      <w:suff w:val="nothing"/>
      <w:lvlText w:val=""/>
      <w:lvlJc w:val="left"/>
      <w:pPr>
        <w:ind w:left="0" w:firstLine="0"/>
      </w:pPr>
      <w:rPr>
        <w:rFonts w:hint="eastAsia"/>
      </w:rPr>
    </w:lvl>
    <w:lvl w:ilvl="6">
      <w:start w:val="1"/>
      <w:numFmt w:val="decimal"/>
      <w:pStyle w:val="949"/>
      <w:isLgl w:val="false"/>
      <w:suff w:val="nothing"/>
      <w:lvlText w:val=""/>
      <w:lvlJc w:val="left"/>
      <w:pPr>
        <w:ind w:left="0" w:firstLine="0"/>
      </w:pPr>
      <w:rPr>
        <w:rFonts w:hint="eastAsia"/>
      </w:rPr>
    </w:lvl>
    <w:lvl w:ilvl="7">
      <w:start w:val="1"/>
      <w:numFmt w:val="decimal"/>
      <w:pStyle w:val="950"/>
      <w:isLgl w:val="false"/>
      <w:suff w:val="nothing"/>
      <w:lvlText w:val=""/>
      <w:lvlJc w:val="left"/>
      <w:pPr>
        <w:ind w:left="0" w:firstLine="0"/>
      </w:pPr>
      <w:rPr>
        <w:rFonts w:hint="eastAsia"/>
      </w:rPr>
    </w:lvl>
    <w:lvl w:ilvl="8">
      <w:start w:val="1"/>
      <w:numFmt w:val="decimal"/>
      <w:pStyle w:val="951"/>
      <w:isLgl w:val="false"/>
      <w:suff w:val="nothing"/>
      <w:lvlText w:val=""/>
      <w:lvlJc w:val="left"/>
      <w:pPr>
        <w:ind w:left="0" w:firstLine="0"/>
      </w:pPr>
      <w:rPr>
        <w:rFonts w:hint="eastAsia"/>
      </w:rPr>
    </w:lvl>
  </w:abstractNum>
  <w:abstractNum w:abstractNumId="4">
    <w:multiLevelType w:val="hybridMultilevel"/>
    <w:lvl w:ilvl="0">
      <w:start w:val="1"/>
      <w:numFmt w:val="decimal"/>
      <w:pStyle w:val="103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7">
    <w:name w:val="Heading 1"/>
    <w:basedOn w:val="736"/>
    <w:next w:val="736"/>
    <w:link w:val="795"/>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link w:val="796"/>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link w:val="797"/>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link w:val="798"/>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link w:val="799"/>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link w:val="800"/>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link w:val="801"/>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link w:val="802"/>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link w:val="803"/>
    <w:uiPriority w:val="9"/>
    <w:unhideWhenUsed/>
    <w:qFormat/>
    <w:pPr>
      <w:keepLines/>
      <w:keepNext/>
      <w:spacing w:before="320" w:after="200"/>
      <w:outlineLvl w:val="8"/>
    </w:pPr>
    <w:rPr>
      <w:rFonts w:ascii="Arial" w:hAnsi="Arial" w:eastAsia="Arial" w:cs="Arial"/>
      <w:i/>
      <w:iCs/>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toc 7"/>
    <w:basedOn w:val="736"/>
    <w:next w:val="736"/>
    <w:uiPriority w:val="39"/>
    <w:unhideWhenUsed/>
    <w:qFormat/>
    <w:pPr>
      <w:ind w:left="1701"/>
      <w:spacing w:after="57"/>
    </w:pPr>
  </w:style>
  <w:style w:type="paragraph" w:styleId="749">
    <w:name w:val="Caption"/>
    <w:basedOn w:val="736"/>
    <w:next w:val="7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0">
    <w:name w:val="annotation text"/>
    <w:basedOn w:val="736"/>
    <w:uiPriority w:val="99"/>
    <w:semiHidden/>
    <w:unhideWhenUsed/>
    <w:qFormat/>
    <w:pPr>
      <w:jc w:val="left"/>
    </w:pPr>
  </w:style>
  <w:style w:type="paragraph" w:styleId="751">
    <w:name w:val="Body Text"/>
    <w:basedOn w:val="736"/>
    <w:next w:val="736"/>
    <w:uiPriority w:val="0"/>
    <w:qFormat/>
    <w:pPr>
      <w:spacing w:line="60" w:lineRule="auto"/>
    </w:pPr>
    <w:rPr>
      <w:rFonts w:ascii="Verdana" w:eastAsia="Verdana" w:cs="Times New Roman"/>
      <w:sz w:val="32"/>
    </w:rPr>
  </w:style>
  <w:style w:type="paragraph" w:styleId="752">
    <w:name w:val="toc 5"/>
    <w:basedOn w:val="736"/>
    <w:next w:val="736"/>
    <w:uiPriority w:val="39"/>
    <w:unhideWhenUsed/>
    <w:qFormat/>
    <w:pPr>
      <w:ind w:left="1134"/>
      <w:spacing w:after="57"/>
    </w:pPr>
  </w:style>
  <w:style w:type="paragraph" w:styleId="753">
    <w:name w:val="toc 3"/>
    <w:basedOn w:val="736"/>
    <w:next w:val="736"/>
    <w:uiPriority w:val="39"/>
    <w:unhideWhenUsed/>
    <w:qFormat/>
    <w:pPr>
      <w:ind w:left="567"/>
      <w:spacing w:after="57"/>
    </w:pPr>
  </w:style>
  <w:style w:type="paragraph" w:styleId="754">
    <w:name w:val="toc 8"/>
    <w:basedOn w:val="736"/>
    <w:next w:val="736"/>
    <w:uiPriority w:val="39"/>
    <w:unhideWhenUsed/>
    <w:qFormat/>
    <w:pPr>
      <w:ind w:left="1984"/>
      <w:spacing w:after="57"/>
    </w:pPr>
  </w:style>
  <w:style w:type="paragraph" w:styleId="755">
    <w:name w:val="Body Text Indent 2"/>
    <w:basedOn w:val="736"/>
    <w:uiPriority w:val="0"/>
    <w:qFormat/>
    <w:pPr>
      <w:ind w:left="420"/>
      <w:spacing w:after="120" w:line="480" w:lineRule="auto"/>
    </w:pPr>
  </w:style>
  <w:style w:type="paragraph" w:styleId="756">
    <w:name w:val="endnote text"/>
    <w:basedOn w:val="736"/>
    <w:link w:val="941"/>
    <w:uiPriority w:val="99"/>
    <w:semiHidden/>
    <w:unhideWhenUsed/>
    <w:qFormat/>
    <w:rPr>
      <w:sz w:val="20"/>
    </w:rPr>
  </w:style>
  <w:style w:type="paragraph" w:styleId="757">
    <w:name w:val="Footer"/>
    <w:basedOn w:val="736"/>
    <w:link w:val="814"/>
    <w:uiPriority w:val="99"/>
    <w:unhideWhenUsed/>
    <w:qFormat/>
    <w:pPr>
      <w:tabs>
        <w:tab w:val="center" w:pos="7143" w:leader="none"/>
        <w:tab w:val="right" w:pos="14287" w:leader="none"/>
      </w:tabs>
    </w:pPr>
  </w:style>
  <w:style w:type="paragraph" w:styleId="758">
    <w:name w:val="Header"/>
    <w:basedOn w:val="736"/>
    <w:link w:val="812"/>
    <w:uiPriority w:val="99"/>
    <w:unhideWhenUsed/>
    <w:qFormat/>
    <w:pPr>
      <w:tabs>
        <w:tab w:val="center" w:pos="7143" w:leader="none"/>
        <w:tab w:val="right" w:pos="14287" w:leader="none"/>
      </w:tabs>
    </w:pPr>
  </w:style>
  <w:style w:type="paragraph" w:styleId="759">
    <w:name w:val="toc 1"/>
    <w:basedOn w:val="736"/>
    <w:next w:val="736"/>
    <w:uiPriority w:val="39"/>
    <w:unhideWhenUsed/>
    <w:qFormat/>
    <w:pPr>
      <w:spacing w:after="57"/>
    </w:pPr>
  </w:style>
  <w:style w:type="paragraph" w:styleId="760">
    <w:name w:val="toc 4"/>
    <w:basedOn w:val="736"/>
    <w:next w:val="736"/>
    <w:uiPriority w:val="39"/>
    <w:unhideWhenUsed/>
    <w:qFormat/>
    <w:pPr>
      <w:ind w:left="850"/>
      <w:spacing w:after="57"/>
    </w:pPr>
  </w:style>
  <w:style w:type="paragraph" w:styleId="761">
    <w:name w:val="Subtitle"/>
    <w:basedOn w:val="736"/>
    <w:next w:val="736"/>
    <w:link w:val="807"/>
    <w:uiPriority w:val="11"/>
    <w:qFormat/>
    <w:pPr>
      <w:spacing w:before="200" w:after="200"/>
    </w:pPr>
    <w:rPr>
      <w:sz w:val="24"/>
      <w:szCs w:val="24"/>
    </w:rPr>
  </w:style>
  <w:style w:type="paragraph" w:styleId="762">
    <w:name w:val="footnote text"/>
    <w:basedOn w:val="736"/>
    <w:link w:val="940"/>
    <w:uiPriority w:val="99"/>
    <w:semiHidden/>
    <w:unhideWhenUsed/>
    <w:qFormat/>
    <w:pPr>
      <w:spacing w:after="40"/>
    </w:pPr>
    <w:rPr>
      <w:sz w:val="18"/>
    </w:rPr>
  </w:style>
  <w:style w:type="paragraph" w:styleId="763">
    <w:name w:val="toc 6"/>
    <w:basedOn w:val="736"/>
    <w:next w:val="736"/>
    <w:uiPriority w:val="39"/>
    <w:unhideWhenUsed/>
    <w:qFormat/>
    <w:pPr>
      <w:ind w:left="1417"/>
      <w:spacing w:after="57"/>
    </w:pPr>
  </w:style>
  <w:style w:type="paragraph" w:styleId="764">
    <w:name w:val="table of figures"/>
    <w:basedOn w:val="736"/>
    <w:next w:val="736"/>
    <w:uiPriority w:val="99"/>
    <w:unhideWhenUsed/>
    <w:qFormat/>
  </w:style>
  <w:style w:type="paragraph" w:styleId="765">
    <w:name w:val="toc 2"/>
    <w:basedOn w:val="736"/>
    <w:next w:val="736"/>
    <w:uiPriority w:val="39"/>
    <w:unhideWhenUsed/>
    <w:qFormat/>
    <w:pPr>
      <w:ind w:left="283"/>
      <w:spacing w:after="57"/>
    </w:pPr>
  </w:style>
  <w:style w:type="paragraph" w:styleId="766">
    <w:name w:val="toc 9"/>
    <w:basedOn w:val="736"/>
    <w:next w:val="736"/>
    <w:uiPriority w:val="39"/>
    <w:unhideWhenUsed/>
    <w:qFormat/>
    <w:pPr>
      <w:ind w:left="2268"/>
      <w:spacing w:after="57"/>
    </w:pPr>
  </w:style>
  <w:style w:type="paragraph" w:styleId="767">
    <w:name w:val="Title"/>
    <w:basedOn w:val="736"/>
    <w:next w:val="736"/>
    <w:link w:val="806"/>
    <w:uiPriority w:val="10"/>
    <w:qFormat/>
    <w:pPr>
      <w:contextualSpacing/>
      <w:spacing w:before="300" w:after="200"/>
    </w:pPr>
    <w:rPr>
      <w:sz w:val="48"/>
      <w:szCs w:val="48"/>
    </w:rPr>
  </w:style>
  <w:style w:type="paragraph" w:styleId="768">
    <w:name w:val="Body Text First Indent"/>
    <w:basedOn w:val="751"/>
    <w:uiPriority w:val="99"/>
    <w:qFormat/>
    <w:pPr>
      <w:ind w:firstLine="100"/>
      <w:spacing w:after="120" w:line="240" w:lineRule="auto"/>
    </w:pPr>
    <w:rPr>
      <w:rFonts w:ascii="方正舒体" w:hAnsi="方正舒体" w:eastAsia="Calibri"/>
      <w:sz w:val="21"/>
    </w:rPr>
  </w:style>
  <w:style w:type="table" w:styleId="76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endnote reference"/>
    <w:uiPriority w:val="99"/>
    <w:semiHidden/>
    <w:unhideWhenUsed/>
    <w:qFormat/>
    <w:rPr>
      <w:vertAlign w:val="superscript"/>
    </w:rPr>
  </w:style>
  <w:style w:type="character" w:styleId="771">
    <w:name w:val="FollowedHyperlink"/>
    <w:basedOn w:val="746"/>
    <w:uiPriority w:val="99"/>
    <w:semiHidden/>
    <w:unhideWhenUsed/>
    <w:qFormat/>
    <w:rPr>
      <w:color w:val="333333"/>
      <w:u w:val="none"/>
    </w:rPr>
  </w:style>
  <w:style w:type="character" w:styleId="772">
    <w:name w:val="Hyperlink"/>
    <w:uiPriority w:val="99"/>
    <w:unhideWhenUsed/>
    <w:qFormat/>
    <w:rPr>
      <w:color w:val="0000ff" w:themeColor="hyperlink"/>
      <w:u w:val="single"/>
      <w14:textFill>
        <w14:solidFill>
          <w14:schemeClr w14:val="hlink"/>
        </w14:solidFill>
      </w14:textFill>
    </w:rPr>
  </w:style>
  <w:style w:type="character" w:styleId="773">
    <w:name w:val="footnote reference"/>
    <w:uiPriority w:val="99"/>
    <w:unhideWhenUsed/>
    <w:qFormat/>
    <w:rPr>
      <w:vertAlign w:val="superscript"/>
    </w:rPr>
  </w:style>
  <w:style w:type="character" w:styleId="774" w:customStyle="1">
    <w:name w:val="标题 1 Char"/>
    <w:link w:val="775"/>
    <w:uiPriority w:val="0"/>
    <w:qFormat/>
    <w:rPr>
      <w:rFonts w:ascii="楷体_GB2312" w:hAnsi="Times New Roman" w:eastAsia="楷体_GB2312" w:cs="Times New Roman"/>
      <w:sz w:val="28"/>
      <w:szCs w:val="28"/>
    </w:rPr>
  </w:style>
  <w:style w:type="paragraph" w:styleId="775" w:customStyle="1">
    <w:name w:val="标题 11"/>
    <w:basedOn w:val="736"/>
    <w:next w:val="736"/>
    <w:link w:val="774"/>
    <w:uiPriority w:val="0"/>
    <w:qFormat/>
    <w:pPr>
      <w:jc w:val="center"/>
      <w:keepNext/>
      <w:outlineLvl w:val="0"/>
    </w:pPr>
    <w:rPr>
      <w:rFonts w:ascii="楷体_GB2312" w:eastAsia="楷体_GB2312"/>
      <w:sz w:val="28"/>
      <w:szCs w:val="28"/>
    </w:rPr>
  </w:style>
  <w:style w:type="character" w:styleId="776" w:customStyle="1">
    <w:name w:val="Heading 1 Char"/>
    <w:basedOn w:val="746"/>
    <w:uiPriority w:val="9"/>
    <w:qFormat/>
    <w:rPr>
      <w:rFonts w:ascii="Arial" w:hAnsi="Arial" w:eastAsia="Arial" w:cs="Arial"/>
      <w:sz w:val="40"/>
      <w:szCs w:val="40"/>
    </w:rPr>
  </w:style>
  <w:style w:type="character" w:styleId="777" w:customStyle="1">
    <w:name w:val="Heading 2 Char"/>
    <w:basedOn w:val="746"/>
    <w:uiPriority w:val="9"/>
    <w:qFormat/>
    <w:rPr>
      <w:rFonts w:ascii="Arial" w:hAnsi="Arial" w:eastAsia="Arial" w:cs="Arial"/>
      <w:sz w:val="34"/>
    </w:rPr>
  </w:style>
  <w:style w:type="character" w:styleId="778" w:customStyle="1">
    <w:name w:val="Heading 3 Char"/>
    <w:basedOn w:val="746"/>
    <w:uiPriority w:val="9"/>
    <w:qFormat/>
    <w:rPr>
      <w:rFonts w:ascii="Arial" w:hAnsi="Arial" w:eastAsia="Arial" w:cs="Arial"/>
      <w:sz w:val="30"/>
      <w:szCs w:val="30"/>
    </w:rPr>
  </w:style>
  <w:style w:type="character" w:styleId="779" w:customStyle="1">
    <w:name w:val="Heading 4 Char"/>
    <w:basedOn w:val="746"/>
    <w:uiPriority w:val="9"/>
    <w:qFormat/>
    <w:rPr>
      <w:rFonts w:ascii="Arial" w:hAnsi="Arial" w:eastAsia="Arial" w:cs="Arial"/>
      <w:b/>
      <w:bCs/>
      <w:sz w:val="26"/>
      <w:szCs w:val="26"/>
    </w:rPr>
  </w:style>
  <w:style w:type="character" w:styleId="780" w:customStyle="1">
    <w:name w:val="Heading 5 Char"/>
    <w:basedOn w:val="746"/>
    <w:uiPriority w:val="9"/>
    <w:qFormat/>
    <w:rPr>
      <w:rFonts w:ascii="Arial" w:hAnsi="Arial" w:eastAsia="Arial" w:cs="Arial"/>
      <w:b/>
      <w:bCs/>
      <w:sz w:val="24"/>
      <w:szCs w:val="24"/>
    </w:rPr>
  </w:style>
  <w:style w:type="character" w:styleId="781" w:customStyle="1">
    <w:name w:val="Heading 6 Char"/>
    <w:basedOn w:val="746"/>
    <w:uiPriority w:val="9"/>
    <w:qFormat/>
    <w:rPr>
      <w:rFonts w:ascii="Arial" w:hAnsi="Arial" w:eastAsia="Arial" w:cs="Arial"/>
      <w:b/>
      <w:bCs/>
      <w:sz w:val="22"/>
      <w:szCs w:val="22"/>
    </w:rPr>
  </w:style>
  <w:style w:type="character" w:styleId="782" w:customStyle="1">
    <w:name w:val="Heading 7 Char"/>
    <w:basedOn w:val="746"/>
    <w:uiPriority w:val="9"/>
    <w:qFormat/>
    <w:rPr>
      <w:rFonts w:ascii="Arial" w:hAnsi="Arial" w:eastAsia="Arial" w:cs="Arial"/>
      <w:b/>
      <w:bCs/>
      <w:i/>
      <w:iCs/>
      <w:sz w:val="22"/>
      <w:szCs w:val="22"/>
    </w:rPr>
  </w:style>
  <w:style w:type="character" w:styleId="783" w:customStyle="1">
    <w:name w:val="Heading 8 Char"/>
    <w:basedOn w:val="746"/>
    <w:uiPriority w:val="9"/>
    <w:qFormat/>
    <w:rPr>
      <w:rFonts w:ascii="Arial" w:hAnsi="Arial" w:eastAsia="Arial" w:cs="Arial"/>
      <w:i/>
      <w:iCs/>
      <w:sz w:val="22"/>
      <w:szCs w:val="22"/>
    </w:rPr>
  </w:style>
  <w:style w:type="character" w:styleId="784" w:customStyle="1">
    <w:name w:val="Heading 9 Char"/>
    <w:basedOn w:val="746"/>
    <w:uiPriority w:val="9"/>
    <w:qFormat/>
    <w:rPr>
      <w:rFonts w:ascii="Arial" w:hAnsi="Arial" w:eastAsia="Arial" w:cs="Arial"/>
      <w:i/>
      <w:iCs/>
      <w:sz w:val="21"/>
      <w:szCs w:val="21"/>
    </w:rPr>
  </w:style>
  <w:style w:type="character" w:styleId="785" w:customStyle="1">
    <w:name w:val="Title Char"/>
    <w:basedOn w:val="746"/>
    <w:uiPriority w:val="10"/>
    <w:qFormat/>
    <w:rPr>
      <w:sz w:val="48"/>
      <w:szCs w:val="48"/>
    </w:rPr>
  </w:style>
  <w:style w:type="character" w:styleId="786" w:customStyle="1">
    <w:name w:val="Subtitle Char"/>
    <w:basedOn w:val="746"/>
    <w:uiPriority w:val="11"/>
    <w:qFormat/>
    <w:rPr>
      <w:sz w:val="24"/>
      <w:szCs w:val="24"/>
    </w:rPr>
  </w:style>
  <w:style w:type="character" w:styleId="787" w:customStyle="1">
    <w:name w:val="Quote Char"/>
    <w:uiPriority w:val="29"/>
    <w:qFormat/>
    <w:rPr>
      <w:i/>
    </w:rPr>
  </w:style>
  <w:style w:type="character" w:styleId="788" w:customStyle="1">
    <w:name w:val="Intense Quote Char"/>
    <w:uiPriority w:val="30"/>
    <w:qFormat/>
    <w:rPr>
      <w:i/>
    </w:rPr>
  </w:style>
  <w:style w:type="character" w:styleId="789" w:customStyle="1">
    <w:name w:val="Header Char"/>
    <w:basedOn w:val="746"/>
    <w:uiPriority w:val="99"/>
    <w:qFormat/>
  </w:style>
  <w:style w:type="character" w:styleId="790" w:customStyle="1">
    <w:name w:val="Caption Char"/>
    <w:uiPriority w:val="99"/>
    <w:qFormat/>
  </w:style>
  <w:style w:type="character" w:styleId="791" w:customStyle="1">
    <w:name w:val="Footnote Text Char"/>
    <w:uiPriority w:val="99"/>
    <w:qFormat/>
    <w:rPr>
      <w:sz w:val="18"/>
    </w:rPr>
  </w:style>
  <w:style w:type="character" w:styleId="792" w:customStyle="1">
    <w:name w:val="Endnote Text Char"/>
    <w:uiPriority w:val="99"/>
    <w:qFormat/>
    <w:rPr>
      <w:sz w:val="20"/>
    </w:rPr>
  </w:style>
  <w:style w:type="paragraph" w:styleId="793" w:customStyle="1">
    <w:name w:val="TOC Heading"/>
    <w:uiPriority w:val="39"/>
    <w:unhideWhenUsed/>
    <w:qFormat/>
    <w:rPr>
      <w:rFonts w:hint="default" w:ascii="Times New Roman" w:hAnsi="Times New Roman" w:eastAsia="宋体" w:cs="Times New Roman"/>
    </w:rPr>
  </w:style>
  <w:style w:type="paragraph" w:styleId="794" w:customStyle="1">
    <w:name w:val="标题二、"/>
    <w:basedOn w:val="736"/>
    <w:uiPriority w:val="99"/>
    <w:qFormat/>
    <w:pPr>
      <w:ind w:firstLine="200"/>
      <w:spacing w:line="360" w:lineRule="auto"/>
      <w:outlineLvl w:val="2"/>
    </w:pPr>
    <w:rPr>
      <w:rFonts w:ascii="宋体" w:hAnsi="宋体"/>
      <w:b/>
    </w:rPr>
  </w:style>
  <w:style w:type="character" w:styleId="795" w:customStyle="1">
    <w:name w:val="标题 1 Char1"/>
    <w:link w:val="737"/>
    <w:uiPriority w:val="9"/>
    <w:qFormat/>
    <w:rPr>
      <w:rFonts w:ascii="Arial" w:hAnsi="Arial" w:eastAsia="Arial" w:cs="Arial"/>
      <w:sz w:val="40"/>
      <w:szCs w:val="40"/>
    </w:rPr>
  </w:style>
  <w:style w:type="character" w:styleId="796" w:customStyle="1">
    <w:name w:val="标题 2 Char1"/>
    <w:link w:val="738"/>
    <w:uiPriority w:val="9"/>
    <w:qFormat/>
    <w:rPr>
      <w:rFonts w:ascii="Arial" w:hAnsi="Arial" w:eastAsia="Arial" w:cs="Arial"/>
      <w:sz w:val="34"/>
    </w:rPr>
  </w:style>
  <w:style w:type="character" w:styleId="797" w:customStyle="1">
    <w:name w:val="标题 3 Char1"/>
    <w:link w:val="739"/>
    <w:uiPriority w:val="9"/>
    <w:qFormat/>
    <w:rPr>
      <w:rFonts w:ascii="Arial" w:hAnsi="Arial" w:eastAsia="Arial" w:cs="Arial"/>
      <w:sz w:val="30"/>
      <w:szCs w:val="30"/>
    </w:rPr>
  </w:style>
  <w:style w:type="character" w:styleId="798" w:customStyle="1">
    <w:name w:val="标题 4 Char1"/>
    <w:link w:val="740"/>
    <w:uiPriority w:val="9"/>
    <w:qFormat/>
    <w:rPr>
      <w:rFonts w:ascii="Arial" w:hAnsi="Arial" w:eastAsia="Arial" w:cs="Arial"/>
      <w:b/>
      <w:bCs/>
      <w:sz w:val="26"/>
      <w:szCs w:val="26"/>
    </w:rPr>
  </w:style>
  <w:style w:type="character" w:styleId="799" w:customStyle="1">
    <w:name w:val="标题 5 Char1"/>
    <w:link w:val="741"/>
    <w:uiPriority w:val="9"/>
    <w:qFormat/>
    <w:rPr>
      <w:rFonts w:ascii="Arial" w:hAnsi="Arial" w:eastAsia="Arial" w:cs="Arial"/>
      <w:b/>
      <w:bCs/>
      <w:sz w:val="24"/>
      <w:szCs w:val="24"/>
    </w:rPr>
  </w:style>
  <w:style w:type="character" w:styleId="800" w:customStyle="1">
    <w:name w:val="标题 6 Char1"/>
    <w:link w:val="742"/>
    <w:uiPriority w:val="9"/>
    <w:qFormat/>
    <w:rPr>
      <w:rFonts w:ascii="Arial" w:hAnsi="Arial" w:eastAsia="Arial" w:cs="Arial"/>
      <w:b/>
      <w:bCs/>
      <w:sz w:val="22"/>
      <w:szCs w:val="22"/>
    </w:rPr>
  </w:style>
  <w:style w:type="character" w:styleId="801" w:customStyle="1">
    <w:name w:val="标题 7 Char1"/>
    <w:link w:val="743"/>
    <w:uiPriority w:val="9"/>
    <w:qFormat/>
    <w:rPr>
      <w:rFonts w:ascii="Arial" w:hAnsi="Arial" w:eastAsia="Arial" w:cs="Arial"/>
      <w:b/>
      <w:bCs/>
      <w:i/>
      <w:iCs/>
      <w:sz w:val="22"/>
      <w:szCs w:val="22"/>
    </w:rPr>
  </w:style>
  <w:style w:type="character" w:styleId="802" w:customStyle="1">
    <w:name w:val="标题 8 Char1"/>
    <w:link w:val="744"/>
    <w:uiPriority w:val="9"/>
    <w:qFormat/>
    <w:rPr>
      <w:rFonts w:ascii="Arial" w:hAnsi="Arial" w:eastAsia="Arial" w:cs="Arial"/>
      <w:i/>
      <w:iCs/>
      <w:sz w:val="22"/>
      <w:szCs w:val="22"/>
    </w:rPr>
  </w:style>
  <w:style w:type="character" w:styleId="803" w:customStyle="1">
    <w:name w:val="标题 9 Char1"/>
    <w:link w:val="745"/>
    <w:uiPriority w:val="9"/>
    <w:qFormat/>
    <w:rPr>
      <w:rFonts w:ascii="Arial" w:hAnsi="Arial" w:eastAsia="Arial" w:cs="Arial"/>
      <w:i/>
      <w:iCs/>
      <w:sz w:val="21"/>
      <w:szCs w:val="21"/>
    </w:rPr>
  </w:style>
  <w:style w:type="paragraph" w:styleId="804">
    <w:name w:val="List Paragraph"/>
    <w:basedOn w:val="736"/>
    <w:uiPriority w:val="34"/>
    <w:qFormat/>
    <w:pPr>
      <w:contextualSpacing/>
      <w:ind w:left="720"/>
    </w:pPr>
  </w:style>
  <w:style w:type="paragraph" w:styleId="805">
    <w:name w:val="No Spacing"/>
    <w:uiPriority w:val="1"/>
    <w:qFormat/>
    <w:rPr>
      <w:rFonts w:hint="default" w:ascii="Times New Roman" w:hAnsi="Times New Roman" w:eastAsia="宋体" w:cs="Times New Roman"/>
      <w:lang w:val="en-US" w:eastAsia="zh-CN" w:bidi="ar-SA"/>
    </w:rPr>
  </w:style>
  <w:style w:type="character" w:styleId="806" w:customStyle="1">
    <w:name w:val="标题 Char"/>
    <w:link w:val="767"/>
    <w:uiPriority w:val="10"/>
    <w:qFormat/>
    <w:rPr>
      <w:sz w:val="48"/>
      <w:szCs w:val="48"/>
    </w:rPr>
  </w:style>
  <w:style w:type="character" w:styleId="807" w:customStyle="1">
    <w:name w:val="副标题 Char"/>
    <w:link w:val="761"/>
    <w:uiPriority w:val="11"/>
    <w:qFormat/>
    <w:rPr>
      <w:sz w:val="24"/>
      <w:szCs w:val="24"/>
    </w:rPr>
  </w:style>
  <w:style w:type="paragraph" w:styleId="808">
    <w:name w:val="Quote"/>
    <w:basedOn w:val="736"/>
    <w:next w:val="736"/>
    <w:link w:val="809"/>
    <w:uiPriority w:val="29"/>
    <w:qFormat/>
    <w:pPr>
      <w:ind w:left="720" w:right="720"/>
    </w:pPr>
    <w:rPr>
      <w:i/>
    </w:rPr>
  </w:style>
  <w:style w:type="character" w:styleId="809" w:customStyle="1">
    <w:name w:val="引用 Char"/>
    <w:link w:val="808"/>
    <w:uiPriority w:val="29"/>
    <w:qFormat/>
    <w:rPr>
      <w:i/>
    </w:rPr>
  </w:style>
  <w:style w:type="paragraph" w:styleId="810">
    <w:name w:val="Intense Quote"/>
    <w:basedOn w:val="736"/>
    <w:next w:val="736"/>
    <w:link w:val="8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customStyle="1">
    <w:name w:val="明显引用 Char"/>
    <w:link w:val="810"/>
    <w:uiPriority w:val="30"/>
    <w:qFormat/>
    <w:rPr>
      <w:i/>
    </w:rPr>
  </w:style>
  <w:style w:type="character" w:styleId="812" w:customStyle="1">
    <w:name w:val="页眉 Char1"/>
    <w:link w:val="758"/>
    <w:uiPriority w:val="99"/>
    <w:qFormat/>
  </w:style>
  <w:style w:type="character" w:styleId="813" w:customStyle="1">
    <w:name w:val="Footer Char"/>
    <w:link w:val="757"/>
    <w:uiPriority w:val="99"/>
    <w:qFormat/>
  </w:style>
  <w:style w:type="character" w:styleId="814" w:customStyle="1">
    <w:name w:val="页脚 Char1"/>
    <w:link w:val="757"/>
    <w:uiPriority w:val="99"/>
    <w:qFormat/>
  </w:style>
  <w:style w:type="table" w:styleId="81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6"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8"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9"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6"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3"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0"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4"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1"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8"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2"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0" w:customStyle="1">
    <w:name w:val="脚注文本 Char"/>
    <w:link w:val="762"/>
    <w:uiPriority w:val="99"/>
    <w:qFormat/>
    <w:rPr>
      <w:sz w:val="18"/>
    </w:rPr>
  </w:style>
  <w:style w:type="character" w:styleId="941" w:customStyle="1">
    <w:name w:val="尾注文本 Char"/>
    <w:link w:val="756"/>
    <w:uiPriority w:val="99"/>
    <w:qFormat/>
    <w:rPr>
      <w:sz w:val="20"/>
    </w:rPr>
  </w:style>
  <w:style w:type="paragraph" w:styleId="942" w:customStyle="1">
    <w:name w:val="TOC 标题1"/>
    <w:uiPriority w:val="39"/>
    <w:unhideWhenUsed/>
    <w:qFormat/>
    <w:rPr>
      <w:rFonts w:hint="default" w:ascii="Times New Roman" w:hAnsi="Times New Roman" w:eastAsia="宋体" w:cs="Times New Roman"/>
      <w:lang w:val="en-US" w:eastAsia="zh-CN" w:bidi="ar-SA"/>
    </w:rPr>
  </w:style>
  <w:style w:type="paragraph" w:styleId="943" w:customStyle="1">
    <w:name w:val="标题 21"/>
    <w:basedOn w:val="736"/>
    <w:next w:val="736"/>
    <w:link w:val="95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4" w:customStyle="1">
    <w:name w:val="标题 31"/>
    <w:basedOn w:val="736"/>
    <w:next w:val="945"/>
    <w:link w:val="955"/>
    <w:uiPriority w:val="0"/>
    <w:qFormat/>
    <w:pPr>
      <w:keepLines/>
      <w:keepNext/>
      <w:spacing w:before="260" w:after="260" w:line="416" w:lineRule="auto"/>
      <w:outlineLvl w:val="2"/>
    </w:pPr>
    <w:rPr>
      <w:b/>
      <w:bCs/>
      <w:sz w:val="32"/>
      <w:szCs w:val="32"/>
    </w:rPr>
  </w:style>
  <w:style w:type="paragraph" w:styleId="945" w:customStyle="1">
    <w:name w:val="正文缩进1"/>
    <w:basedOn w:val="736"/>
    <w:next w:val="736"/>
    <w:link w:val="956"/>
    <w:uiPriority w:val="0"/>
    <w:qFormat/>
    <w:pPr>
      <w:ind w:firstLine="420"/>
    </w:pPr>
  </w:style>
  <w:style w:type="paragraph" w:styleId="946" w:customStyle="1">
    <w:name w:val="标题 41"/>
    <w:basedOn w:val="736"/>
    <w:next w:val="736"/>
    <w:link w:val="957"/>
    <w:uiPriority w:val="0"/>
    <w:qFormat/>
    <w:pPr>
      <w:keepLines/>
      <w:keepNext/>
      <w:spacing w:before="280" w:after="290" w:line="376" w:lineRule="auto"/>
      <w:outlineLvl w:val="3"/>
    </w:pPr>
    <w:rPr>
      <w:rFonts w:ascii="Arial" w:hAnsi="Arial" w:eastAsia="黑体" w:cs="Arial"/>
      <w:b/>
      <w:bCs/>
      <w:sz w:val="28"/>
      <w:szCs w:val="28"/>
    </w:rPr>
  </w:style>
  <w:style w:type="paragraph" w:styleId="947" w:customStyle="1">
    <w:name w:val="标题 51"/>
    <w:basedOn w:val="736"/>
    <w:next w:val="945"/>
    <w:link w:val="958"/>
    <w:uiPriority w:val="0"/>
    <w:qFormat/>
    <w:pPr>
      <w:keepNext/>
      <w:outlineLvl w:val="4"/>
    </w:pPr>
    <w:rPr>
      <w:rFonts w:ascii="宋体"/>
      <w:color w:val="000000"/>
      <w:sz w:val="28"/>
      <w:szCs w:val="28"/>
    </w:rPr>
  </w:style>
  <w:style w:type="paragraph" w:styleId="948" w:customStyle="1">
    <w:name w:val="标题 61"/>
    <w:basedOn w:val="736"/>
    <w:next w:val="736"/>
    <w:link w:val="95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49" w:customStyle="1">
    <w:name w:val="标题 71"/>
    <w:basedOn w:val="736"/>
    <w:next w:val="736"/>
    <w:link w:val="960"/>
    <w:uiPriority w:val="0"/>
    <w:qFormat/>
    <w:pPr>
      <w:numPr>
        <w:ilvl w:val="6"/>
        <w:numId w:val="1"/>
      </w:numPr>
      <w:keepLines/>
      <w:keepNext/>
      <w:spacing w:before="240" w:after="64" w:line="320" w:lineRule="auto"/>
      <w:outlineLvl w:val="6"/>
    </w:pPr>
    <w:rPr>
      <w:b/>
      <w:bCs/>
      <w:sz w:val="24"/>
      <w:szCs w:val="24"/>
    </w:rPr>
  </w:style>
  <w:style w:type="paragraph" w:styleId="950" w:customStyle="1">
    <w:name w:val="标题 81"/>
    <w:basedOn w:val="736"/>
    <w:next w:val="736"/>
    <w:link w:val="96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51" w:customStyle="1">
    <w:name w:val="标题 91"/>
    <w:basedOn w:val="736"/>
    <w:next w:val="736"/>
    <w:link w:val="962"/>
    <w:uiPriority w:val="0"/>
    <w:qFormat/>
    <w:pPr>
      <w:numPr>
        <w:ilvl w:val="8"/>
        <w:numId w:val="1"/>
      </w:numPr>
      <w:keepLines/>
      <w:keepNext/>
      <w:spacing w:before="240" w:after="64" w:line="320" w:lineRule="auto"/>
      <w:outlineLvl w:val="8"/>
    </w:pPr>
    <w:rPr>
      <w:rFonts w:ascii="Arial" w:hAnsi="Arial" w:eastAsia="黑体"/>
    </w:rPr>
  </w:style>
  <w:style w:type="character" w:styleId="952" w:customStyle="1">
    <w:name w:val="默认段落字体1"/>
    <w:uiPriority w:val="1"/>
    <w:unhideWhenUsed/>
    <w:qFormat/>
  </w:style>
  <w:style w:type="table" w:styleId="953" w:customStyle="1">
    <w:name w:val="普通表格1"/>
    <w:uiPriority w:val="99"/>
    <w:unhideWhenUsed/>
    <w:qFormat/>
    <w:tblPr>
      <w:tblCellMar>
        <w:left w:w="0" w:type="dxa"/>
        <w:top w:w="0" w:type="dxa"/>
        <w:right w:w="0" w:type="dxa"/>
        <w:bottom w:w="0" w:type="dxa"/>
      </w:tblCellMar>
    </w:tblPr>
  </w:style>
  <w:style w:type="character" w:styleId="954" w:customStyle="1">
    <w:name w:val="标题 2 Char"/>
    <w:link w:val="943"/>
    <w:uiPriority w:val="0"/>
    <w:qFormat/>
    <w:rPr>
      <w:rFonts w:ascii="Arial" w:hAnsi="Arial" w:eastAsia="幼圆" w:cs="Arial"/>
      <w:b/>
      <w:bCs/>
      <w:sz w:val="44"/>
      <w:szCs w:val="44"/>
    </w:rPr>
  </w:style>
  <w:style w:type="character" w:styleId="955" w:customStyle="1">
    <w:name w:val="标题 3 Char"/>
    <w:link w:val="944"/>
    <w:uiPriority w:val="0"/>
    <w:qFormat/>
    <w:rPr>
      <w:rFonts w:ascii="Times New Roman" w:hAnsi="Times New Roman" w:eastAsia="宋体" w:cs="Times New Roman"/>
      <w:b/>
      <w:bCs/>
      <w:sz w:val="32"/>
      <w:szCs w:val="32"/>
    </w:rPr>
  </w:style>
  <w:style w:type="character" w:styleId="956" w:customStyle="1">
    <w:name w:val="正文缩进 Char"/>
    <w:link w:val="945"/>
    <w:uiPriority w:val="0"/>
    <w:qFormat/>
    <w:rPr>
      <w:rFonts w:ascii="Times New Roman" w:hAnsi="Times New Roman" w:eastAsia="宋体" w:cs="Times New Roman"/>
      <w:szCs w:val="21"/>
    </w:rPr>
  </w:style>
  <w:style w:type="character" w:styleId="957" w:customStyle="1">
    <w:name w:val="标题 4 Char"/>
    <w:link w:val="946"/>
    <w:uiPriority w:val="0"/>
    <w:qFormat/>
    <w:rPr>
      <w:rFonts w:ascii="Arial" w:hAnsi="Arial" w:eastAsia="黑体" w:cs="Arial"/>
      <w:b/>
      <w:bCs/>
      <w:sz w:val="28"/>
      <w:szCs w:val="28"/>
    </w:rPr>
  </w:style>
  <w:style w:type="character" w:styleId="958" w:customStyle="1">
    <w:name w:val="标题 5 Char"/>
    <w:link w:val="947"/>
    <w:uiPriority w:val="0"/>
    <w:qFormat/>
    <w:rPr>
      <w:rFonts w:ascii="宋体" w:hAnsi="Times New Roman" w:eastAsia="宋体" w:cs="Times New Roman"/>
      <w:color w:val="000000"/>
      <w:sz w:val="28"/>
      <w:szCs w:val="28"/>
    </w:rPr>
  </w:style>
  <w:style w:type="character" w:styleId="959" w:customStyle="1">
    <w:name w:val="标题 6 Char"/>
    <w:link w:val="948"/>
    <w:uiPriority w:val="0"/>
    <w:qFormat/>
    <w:rPr>
      <w:rFonts w:ascii="Arial" w:hAnsi="Arial" w:eastAsia="黑体" w:cs="Times New Roman"/>
      <w:b/>
      <w:bCs/>
      <w:sz w:val="24"/>
      <w:szCs w:val="24"/>
    </w:rPr>
  </w:style>
  <w:style w:type="character" w:styleId="960" w:customStyle="1">
    <w:name w:val="标题 7 Char"/>
    <w:link w:val="949"/>
    <w:uiPriority w:val="0"/>
    <w:qFormat/>
    <w:rPr>
      <w:rFonts w:ascii="Times New Roman" w:hAnsi="Times New Roman" w:eastAsia="宋体" w:cs="Times New Roman"/>
      <w:b/>
      <w:bCs/>
      <w:sz w:val="24"/>
      <w:szCs w:val="24"/>
    </w:rPr>
  </w:style>
  <w:style w:type="character" w:styleId="961" w:customStyle="1">
    <w:name w:val="标题 8 Char"/>
    <w:link w:val="950"/>
    <w:uiPriority w:val="0"/>
    <w:qFormat/>
    <w:rPr>
      <w:rFonts w:ascii="Arial" w:hAnsi="Arial" w:eastAsia="黑体" w:cs="Times New Roman"/>
      <w:sz w:val="24"/>
      <w:szCs w:val="24"/>
    </w:rPr>
  </w:style>
  <w:style w:type="character" w:styleId="962" w:customStyle="1">
    <w:name w:val="标题 9 Char"/>
    <w:link w:val="951"/>
    <w:uiPriority w:val="0"/>
    <w:qFormat/>
    <w:rPr>
      <w:rFonts w:ascii="Arial" w:hAnsi="Arial" w:eastAsia="黑体" w:cs="Times New Roman"/>
      <w:szCs w:val="21"/>
    </w:rPr>
  </w:style>
  <w:style w:type="paragraph" w:styleId="963" w:customStyle="1">
    <w:name w:val="列表 31"/>
    <w:basedOn w:val="736"/>
    <w:uiPriority w:val="0"/>
    <w:qFormat/>
    <w:pPr>
      <w:ind w:left="100" w:hanging="200"/>
    </w:pPr>
  </w:style>
  <w:style w:type="paragraph" w:styleId="964" w:customStyle="1">
    <w:name w:val="目录 71"/>
    <w:basedOn w:val="736"/>
    <w:next w:val="736"/>
    <w:uiPriority w:val="0"/>
    <w:semiHidden/>
    <w:qFormat/>
    <w:pPr>
      <w:ind w:left="1260"/>
      <w:jc w:val="left"/>
    </w:pPr>
  </w:style>
  <w:style w:type="paragraph" w:styleId="965" w:customStyle="1">
    <w:name w:val="文档结构图1"/>
    <w:basedOn w:val="736"/>
    <w:link w:val="966"/>
    <w:uiPriority w:val="0"/>
    <w:semiHidden/>
    <w:qFormat/>
    <w:pPr>
      <w:shd w:val="clear" w:color="auto" w:fill="000080"/>
    </w:pPr>
  </w:style>
  <w:style w:type="character" w:styleId="966" w:customStyle="1">
    <w:name w:val="文档结构图 Char"/>
    <w:link w:val="965"/>
    <w:uiPriority w:val="0"/>
    <w:semiHidden/>
    <w:qFormat/>
    <w:rPr>
      <w:rFonts w:ascii="Times New Roman" w:hAnsi="Times New Roman" w:eastAsia="宋体" w:cs="Times New Roman"/>
      <w:szCs w:val="21"/>
      <w:shd w:val="clear" w:color="auto" w:fill="000080"/>
    </w:rPr>
  </w:style>
  <w:style w:type="paragraph" w:styleId="967" w:customStyle="1">
    <w:name w:val="批注文字1"/>
    <w:basedOn w:val="736"/>
    <w:link w:val="968"/>
    <w:uiPriority w:val="0"/>
    <w:semiHidden/>
    <w:qFormat/>
    <w:pPr>
      <w:jc w:val="left"/>
    </w:pPr>
  </w:style>
  <w:style w:type="character" w:styleId="968" w:customStyle="1">
    <w:name w:val="批注文字 Char"/>
    <w:link w:val="967"/>
    <w:uiPriority w:val="0"/>
    <w:semiHidden/>
    <w:qFormat/>
    <w:rPr>
      <w:rFonts w:ascii="Times New Roman" w:hAnsi="Times New Roman" w:eastAsia="宋体" w:cs="Times New Roman"/>
      <w:szCs w:val="21"/>
    </w:rPr>
  </w:style>
  <w:style w:type="paragraph" w:styleId="969" w:customStyle="1">
    <w:name w:val="正文文本 31"/>
    <w:basedOn w:val="736"/>
    <w:link w:val="970"/>
    <w:uiPriority w:val="0"/>
    <w:qFormat/>
    <w:rPr>
      <w:rFonts w:ascii="仿宋_GB2312" w:hAnsi="Arial" w:eastAsia="仿宋_GB2312"/>
      <w:sz w:val="32"/>
      <w:szCs w:val="32"/>
    </w:rPr>
  </w:style>
  <w:style w:type="character" w:styleId="970" w:customStyle="1">
    <w:name w:val="正文文本 3 Char"/>
    <w:link w:val="969"/>
    <w:uiPriority w:val="0"/>
    <w:qFormat/>
    <w:rPr>
      <w:rFonts w:ascii="仿宋_GB2312" w:hAnsi="Arial" w:eastAsia="仿宋_GB2312" w:cs="Times New Roman"/>
      <w:sz w:val="32"/>
      <w:szCs w:val="32"/>
    </w:rPr>
  </w:style>
  <w:style w:type="paragraph" w:styleId="971" w:customStyle="1">
    <w:name w:val="正文文本11"/>
    <w:basedOn w:val="736"/>
    <w:next w:val="736"/>
    <w:link w:val="972"/>
    <w:uiPriority w:val="0"/>
    <w:qFormat/>
    <w:rPr>
      <w:rFonts w:ascii="楷体_GB2312" w:hAnsi="Arial" w:eastAsia="楷体_GB2312"/>
      <w:sz w:val="28"/>
      <w:szCs w:val="28"/>
    </w:rPr>
  </w:style>
  <w:style w:type="character" w:styleId="972" w:customStyle="1">
    <w:name w:val="正文文本 Char"/>
    <w:link w:val="971"/>
    <w:uiPriority w:val="0"/>
    <w:qFormat/>
    <w:rPr>
      <w:rFonts w:ascii="楷体_GB2312" w:hAnsi="Arial" w:eastAsia="楷体_GB2312" w:cs="Times New Roman"/>
      <w:sz w:val="28"/>
      <w:szCs w:val="28"/>
    </w:rPr>
  </w:style>
  <w:style w:type="paragraph" w:styleId="973" w:customStyle="1">
    <w:name w:val="正文文本缩进1"/>
    <w:basedOn w:val="736"/>
    <w:next w:val="974"/>
    <w:link w:val="975"/>
    <w:uiPriority w:val="0"/>
    <w:qFormat/>
    <w:pPr>
      <w:ind w:firstLine="645"/>
    </w:pPr>
    <w:rPr>
      <w:rFonts w:ascii="楷体_GB2312" w:eastAsia="楷体_GB2312"/>
      <w:sz w:val="32"/>
      <w:szCs w:val="32"/>
    </w:rPr>
  </w:style>
  <w:style w:type="paragraph" w:styleId="974" w:customStyle="1">
    <w:name w:val="寄信人地址1"/>
    <w:basedOn w:val="736"/>
    <w:uiPriority w:val="99"/>
    <w:unhideWhenUsed/>
    <w:qFormat/>
    <w:rPr>
      <w:rFonts w:ascii="Arial" w:hAnsi="Arial"/>
    </w:rPr>
  </w:style>
  <w:style w:type="character" w:styleId="975" w:customStyle="1">
    <w:name w:val="正文文本缩进 Char"/>
    <w:link w:val="973"/>
    <w:uiPriority w:val="0"/>
    <w:qFormat/>
    <w:rPr>
      <w:rFonts w:ascii="楷体_GB2312" w:hAnsi="Times New Roman" w:eastAsia="楷体_GB2312" w:cs="Times New Roman"/>
      <w:sz w:val="32"/>
      <w:szCs w:val="32"/>
    </w:rPr>
  </w:style>
  <w:style w:type="paragraph" w:styleId="976" w:customStyle="1">
    <w:name w:val="列表 21"/>
    <w:basedOn w:val="736"/>
    <w:uiPriority w:val="0"/>
    <w:qFormat/>
    <w:pPr>
      <w:ind w:left="100" w:hanging="200"/>
    </w:pPr>
  </w:style>
  <w:style w:type="paragraph" w:styleId="977" w:customStyle="1">
    <w:name w:val="目录 51"/>
    <w:basedOn w:val="736"/>
    <w:next w:val="736"/>
    <w:uiPriority w:val="0"/>
    <w:semiHidden/>
    <w:qFormat/>
    <w:pPr>
      <w:ind w:left="840"/>
      <w:jc w:val="left"/>
    </w:pPr>
  </w:style>
  <w:style w:type="paragraph" w:styleId="978" w:customStyle="1">
    <w:name w:val="目录 31"/>
    <w:basedOn w:val="736"/>
    <w:next w:val="736"/>
    <w:uiPriority w:val="0"/>
    <w:semiHidden/>
    <w:qFormat/>
    <w:pPr>
      <w:ind w:left="420"/>
      <w:jc w:val="left"/>
    </w:pPr>
    <w:rPr>
      <w:i/>
      <w:iCs/>
      <w:szCs w:val="24"/>
    </w:rPr>
  </w:style>
  <w:style w:type="paragraph" w:styleId="979" w:customStyle="1">
    <w:name w:val="纯文本1"/>
    <w:basedOn w:val="736"/>
    <w:link w:val="980"/>
    <w:uiPriority w:val="0"/>
    <w:qFormat/>
    <w:rPr>
      <w:rFonts w:ascii="宋体" w:hAnsi="Courier New" w:cs="Courier New"/>
    </w:rPr>
  </w:style>
  <w:style w:type="character" w:styleId="980" w:customStyle="1">
    <w:name w:val="纯文本 Char"/>
    <w:link w:val="979"/>
    <w:uiPriority w:val="0"/>
    <w:qFormat/>
    <w:rPr>
      <w:rFonts w:ascii="宋体" w:hAnsi="Courier New" w:eastAsia="宋体" w:cs="Courier New"/>
      <w:szCs w:val="21"/>
    </w:rPr>
  </w:style>
  <w:style w:type="paragraph" w:styleId="981" w:customStyle="1">
    <w:name w:val="目录 81"/>
    <w:basedOn w:val="736"/>
    <w:next w:val="736"/>
    <w:uiPriority w:val="0"/>
    <w:semiHidden/>
    <w:qFormat/>
    <w:pPr>
      <w:ind w:left="1470"/>
      <w:jc w:val="left"/>
    </w:pPr>
  </w:style>
  <w:style w:type="paragraph" w:styleId="982" w:customStyle="1">
    <w:name w:val="日期1"/>
    <w:basedOn w:val="736"/>
    <w:next w:val="736"/>
    <w:link w:val="983"/>
    <w:uiPriority w:val="0"/>
    <w:qFormat/>
    <w:rPr>
      <w:sz w:val="24"/>
      <w:szCs w:val="24"/>
    </w:rPr>
  </w:style>
  <w:style w:type="character" w:styleId="983" w:customStyle="1">
    <w:name w:val="日期 Char"/>
    <w:link w:val="982"/>
    <w:uiPriority w:val="0"/>
    <w:qFormat/>
    <w:rPr>
      <w:rFonts w:ascii="Times New Roman" w:hAnsi="Times New Roman" w:eastAsia="宋体" w:cs="Times New Roman"/>
      <w:sz w:val="24"/>
      <w:szCs w:val="24"/>
    </w:rPr>
  </w:style>
  <w:style w:type="paragraph" w:styleId="984" w:customStyle="1">
    <w:name w:val="正文文本缩进 21"/>
    <w:basedOn w:val="736"/>
    <w:link w:val="985"/>
    <w:uiPriority w:val="0"/>
    <w:qFormat/>
    <w:pPr>
      <w:ind w:left="630" w:firstLine="645"/>
    </w:pPr>
    <w:rPr>
      <w:rFonts w:ascii="Arial" w:hAnsi="Arial" w:eastAsia="仿宋_GB2312" w:cs="Arial"/>
      <w:sz w:val="32"/>
      <w:szCs w:val="32"/>
    </w:rPr>
  </w:style>
  <w:style w:type="character" w:styleId="985" w:customStyle="1">
    <w:name w:val="正文文本缩进 2 Char"/>
    <w:link w:val="984"/>
    <w:uiPriority w:val="0"/>
    <w:qFormat/>
    <w:rPr>
      <w:rFonts w:ascii="Arial" w:hAnsi="Arial" w:eastAsia="仿宋_GB2312" w:cs="Arial"/>
      <w:sz w:val="32"/>
      <w:szCs w:val="32"/>
    </w:rPr>
  </w:style>
  <w:style w:type="paragraph" w:styleId="986" w:customStyle="1">
    <w:name w:val="批注框文本1"/>
    <w:basedOn w:val="736"/>
    <w:link w:val="987"/>
    <w:uiPriority w:val="0"/>
    <w:semiHidden/>
    <w:qFormat/>
    <w:rPr>
      <w:sz w:val="18"/>
      <w:szCs w:val="18"/>
    </w:rPr>
  </w:style>
  <w:style w:type="character" w:styleId="987" w:customStyle="1">
    <w:name w:val="批注框文本 Char"/>
    <w:link w:val="986"/>
    <w:uiPriority w:val="0"/>
    <w:semiHidden/>
    <w:qFormat/>
    <w:rPr>
      <w:rFonts w:ascii="Times New Roman" w:hAnsi="Times New Roman" w:eastAsia="宋体" w:cs="Times New Roman"/>
      <w:sz w:val="18"/>
      <w:szCs w:val="18"/>
    </w:rPr>
  </w:style>
  <w:style w:type="paragraph" w:styleId="988" w:customStyle="1">
    <w:name w:val="页脚1"/>
    <w:basedOn w:val="736"/>
    <w:link w:val="989"/>
    <w:uiPriority w:val="0"/>
    <w:qFormat/>
    <w:pPr>
      <w:jc w:val="left"/>
      <w:tabs>
        <w:tab w:val="center" w:pos="4153" w:leader="none"/>
        <w:tab w:val="right" w:pos="8306" w:leader="none"/>
      </w:tabs>
    </w:pPr>
    <w:rPr>
      <w:sz w:val="18"/>
      <w:szCs w:val="18"/>
    </w:rPr>
  </w:style>
  <w:style w:type="character" w:styleId="989" w:customStyle="1">
    <w:name w:val="页脚 Char"/>
    <w:link w:val="988"/>
    <w:uiPriority w:val="0"/>
    <w:qFormat/>
    <w:rPr>
      <w:rFonts w:ascii="Times New Roman" w:hAnsi="Times New Roman" w:eastAsia="宋体" w:cs="Times New Roman"/>
      <w:sz w:val="18"/>
      <w:szCs w:val="18"/>
    </w:rPr>
  </w:style>
  <w:style w:type="paragraph" w:styleId="990" w:customStyle="1">
    <w:name w:val="页眉1"/>
    <w:basedOn w:val="736"/>
    <w:link w:val="991"/>
    <w:uiPriority w:val="0"/>
    <w:qFormat/>
    <w:pPr>
      <w:jc w:val="center"/>
      <w:tabs>
        <w:tab w:val="center" w:pos="4153" w:leader="none"/>
        <w:tab w:val="right" w:pos="8306" w:leader="none"/>
      </w:tabs>
      <w:pBdr>
        <w:bottom w:val="single" w:color="000000" w:sz="6" w:space="1"/>
      </w:pBdr>
    </w:pPr>
    <w:rPr>
      <w:sz w:val="18"/>
      <w:szCs w:val="18"/>
    </w:rPr>
  </w:style>
  <w:style w:type="character" w:styleId="991" w:customStyle="1">
    <w:name w:val="页眉 Char"/>
    <w:link w:val="990"/>
    <w:uiPriority w:val="0"/>
    <w:qFormat/>
    <w:rPr>
      <w:rFonts w:ascii="Times New Roman" w:hAnsi="Times New Roman" w:eastAsia="宋体" w:cs="Times New Roman"/>
      <w:sz w:val="18"/>
      <w:szCs w:val="18"/>
    </w:rPr>
  </w:style>
  <w:style w:type="paragraph" w:styleId="992" w:customStyle="1">
    <w:name w:val="目录 11"/>
    <w:basedOn w:val="736"/>
    <w:next w:val="736"/>
    <w:uiPriority w:val="0"/>
    <w:semiHidden/>
    <w:qFormat/>
    <w:pPr>
      <w:jc w:val="left"/>
      <w:spacing w:before="120" w:after="120" w:line="400" w:lineRule="exact"/>
      <w:tabs>
        <w:tab w:val="right" w:pos="8720" w:leader="dot"/>
      </w:tabs>
    </w:pPr>
    <w:rPr>
      <w:rFonts w:ascii="宋体" w:hAnsi="宋体"/>
      <w:caps/>
      <w:sz w:val="24"/>
      <w:szCs w:val="24"/>
    </w:rPr>
  </w:style>
  <w:style w:type="paragraph" w:styleId="993" w:customStyle="1">
    <w:name w:val="目录 41"/>
    <w:basedOn w:val="736"/>
    <w:next w:val="736"/>
    <w:uiPriority w:val="0"/>
    <w:semiHidden/>
    <w:qFormat/>
    <w:pPr>
      <w:ind w:left="630"/>
      <w:jc w:val="left"/>
    </w:pPr>
  </w:style>
  <w:style w:type="paragraph" w:styleId="994" w:customStyle="1">
    <w:name w:val="列表1"/>
    <w:basedOn w:val="736"/>
    <w:uiPriority w:val="0"/>
    <w:qFormat/>
    <w:pPr>
      <w:ind w:left="200" w:hanging="200"/>
    </w:pPr>
  </w:style>
  <w:style w:type="paragraph" w:styleId="995" w:customStyle="1">
    <w:name w:val="目录 61"/>
    <w:basedOn w:val="736"/>
    <w:next w:val="736"/>
    <w:uiPriority w:val="0"/>
    <w:semiHidden/>
    <w:qFormat/>
    <w:pPr>
      <w:ind w:left="1050"/>
      <w:jc w:val="left"/>
    </w:pPr>
  </w:style>
  <w:style w:type="paragraph" w:styleId="996" w:customStyle="1">
    <w:name w:val="正文文本缩进 31"/>
    <w:basedOn w:val="736"/>
    <w:link w:val="997"/>
    <w:uiPriority w:val="0"/>
    <w:qFormat/>
    <w:pPr>
      <w:ind w:left="645" w:firstLine="645"/>
    </w:pPr>
    <w:rPr>
      <w:rFonts w:ascii="Arial" w:hAnsi="Arial" w:eastAsia="仿宋_GB2312" w:cs="Arial"/>
      <w:color w:val="ffff00"/>
      <w:sz w:val="32"/>
      <w:szCs w:val="32"/>
    </w:rPr>
  </w:style>
  <w:style w:type="character" w:styleId="997" w:customStyle="1">
    <w:name w:val="正文文本缩进 3 Char"/>
    <w:link w:val="996"/>
    <w:uiPriority w:val="0"/>
    <w:qFormat/>
    <w:rPr>
      <w:rFonts w:ascii="Arial" w:hAnsi="Arial" w:eastAsia="仿宋_GB2312" w:cs="Arial"/>
      <w:color w:val="ffff00"/>
      <w:sz w:val="32"/>
      <w:szCs w:val="32"/>
    </w:rPr>
  </w:style>
  <w:style w:type="paragraph" w:styleId="998" w:customStyle="1">
    <w:name w:val="图表目录1"/>
    <w:basedOn w:val="736"/>
    <w:next w:val="736"/>
    <w:uiPriority w:val="0"/>
    <w:semiHidden/>
    <w:qFormat/>
    <w:pPr>
      <w:ind w:left="840" w:hanging="420"/>
    </w:pPr>
  </w:style>
  <w:style w:type="paragraph" w:styleId="999" w:customStyle="1">
    <w:name w:val="目录 21"/>
    <w:basedOn w:val="736"/>
    <w:next w:val="736"/>
    <w:uiPriority w:val="0"/>
    <w:semiHidden/>
    <w:qFormat/>
    <w:pPr>
      <w:ind w:left="210"/>
      <w:jc w:val="left"/>
    </w:pPr>
    <w:rPr>
      <w:smallCaps/>
      <w:szCs w:val="24"/>
    </w:rPr>
  </w:style>
  <w:style w:type="paragraph" w:styleId="1000" w:customStyle="1">
    <w:name w:val="目录 91"/>
    <w:basedOn w:val="736"/>
    <w:next w:val="736"/>
    <w:uiPriority w:val="0"/>
    <w:semiHidden/>
    <w:qFormat/>
    <w:pPr>
      <w:ind w:left="1680"/>
      <w:jc w:val="left"/>
    </w:pPr>
  </w:style>
  <w:style w:type="paragraph" w:styleId="1001" w:customStyle="1">
    <w:name w:val="正文文本 21"/>
    <w:basedOn w:val="736"/>
    <w:link w:val="1002"/>
    <w:uiPriority w:val="0"/>
    <w:qFormat/>
    <w:pPr>
      <w:jc w:val="center"/>
      <w:widowControl/>
    </w:pPr>
    <w:rPr>
      <w:rFonts w:ascii="楷体_GB2312" w:eastAsia="楷体_GB2312"/>
      <w:sz w:val="28"/>
      <w:szCs w:val="28"/>
    </w:rPr>
  </w:style>
  <w:style w:type="character" w:styleId="1002" w:customStyle="1">
    <w:name w:val="正文文本 2 Char"/>
    <w:link w:val="1001"/>
    <w:uiPriority w:val="0"/>
    <w:qFormat/>
    <w:rPr>
      <w:rFonts w:ascii="楷体_GB2312" w:hAnsi="Times New Roman" w:eastAsia="楷体_GB2312" w:cs="Times New Roman"/>
      <w:sz w:val="28"/>
      <w:szCs w:val="28"/>
    </w:rPr>
  </w:style>
  <w:style w:type="paragraph" w:styleId="1003" w:customStyle="1">
    <w:name w:val="普通(网站)1"/>
    <w:basedOn w:val="736"/>
    <w:uiPriority w:val="99"/>
    <w:qFormat/>
    <w:pPr>
      <w:jc w:val="left"/>
      <w:spacing w:before="100" w:beforeAutospacing="1" w:after="100" w:afterAutospacing="1"/>
      <w:widowControl/>
    </w:pPr>
    <w:rPr>
      <w:rFonts w:ascii="宋体" w:hAnsi="宋体" w:cs="宋体"/>
      <w:sz w:val="24"/>
      <w:szCs w:val="24"/>
    </w:rPr>
  </w:style>
  <w:style w:type="paragraph" w:styleId="1004" w:customStyle="1">
    <w:name w:val="索引 11"/>
    <w:basedOn w:val="736"/>
    <w:next w:val="736"/>
    <w:uiPriority w:val="0"/>
    <w:semiHidden/>
    <w:qFormat/>
    <w:pPr>
      <w:spacing w:line="240" w:lineRule="atLeast"/>
    </w:pPr>
    <w:rPr>
      <w:b/>
      <w:bCs/>
    </w:rPr>
  </w:style>
  <w:style w:type="paragraph" w:styleId="1005" w:customStyle="1">
    <w:name w:val="批注主题1"/>
    <w:basedOn w:val="967"/>
    <w:next w:val="967"/>
    <w:link w:val="1006"/>
    <w:uiPriority w:val="0"/>
    <w:semiHidden/>
    <w:qFormat/>
    <w:rPr>
      <w:b/>
      <w:bCs/>
    </w:rPr>
  </w:style>
  <w:style w:type="character" w:styleId="1006" w:customStyle="1">
    <w:name w:val="批注主题 Char"/>
    <w:link w:val="1005"/>
    <w:uiPriority w:val="0"/>
    <w:semiHidden/>
    <w:qFormat/>
    <w:rPr>
      <w:rFonts w:ascii="Times New Roman" w:hAnsi="Times New Roman" w:eastAsia="宋体" w:cs="Times New Roman"/>
      <w:b/>
      <w:bCs/>
      <w:szCs w:val="21"/>
    </w:rPr>
  </w:style>
  <w:style w:type="paragraph" w:styleId="1007" w:customStyle="1">
    <w:name w:val="正文首行缩进11"/>
    <w:basedOn w:val="736"/>
    <w:link w:val="1008"/>
    <w:uiPriority w:val="0"/>
    <w:qFormat/>
    <w:pPr>
      <w:ind w:firstLine="200"/>
      <w:spacing w:line="360" w:lineRule="auto"/>
    </w:pPr>
    <w:rPr>
      <w:rFonts w:ascii="仿宋_GB2312" w:eastAsia="仿宋_GB2312"/>
      <w:sz w:val="30"/>
      <w:szCs w:val="30"/>
    </w:rPr>
  </w:style>
  <w:style w:type="character" w:styleId="1008" w:customStyle="1">
    <w:name w:val="正文首行缩进 Char"/>
    <w:link w:val="1007"/>
    <w:uiPriority w:val="0"/>
    <w:qFormat/>
    <w:rPr>
      <w:rFonts w:ascii="仿宋_GB2312" w:hAnsi="Times New Roman" w:eastAsia="仿宋_GB2312" w:cs="Times New Roman"/>
      <w:sz w:val="30"/>
      <w:szCs w:val="30"/>
    </w:rPr>
  </w:style>
  <w:style w:type="paragraph" w:styleId="1009" w:customStyle="1">
    <w:name w:val="正文首行缩进 21"/>
    <w:basedOn w:val="973"/>
    <w:link w:val="1010"/>
    <w:uiPriority w:val="0"/>
    <w:qFormat/>
    <w:pPr>
      <w:ind w:firstLine="420"/>
      <w:spacing w:line="360" w:lineRule="auto"/>
    </w:pPr>
    <w:rPr>
      <w:rFonts w:ascii="宋体" w:hAnsi="宋体" w:eastAsia="宋体"/>
      <w:sz w:val="21"/>
      <w:szCs w:val="20"/>
    </w:rPr>
  </w:style>
  <w:style w:type="character" w:styleId="1010" w:customStyle="1">
    <w:name w:val="正文首行缩进 2 Char"/>
    <w:link w:val="1009"/>
    <w:uiPriority w:val="0"/>
    <w:qFormat/>
    <w:rPr>
      <w:rFonts w:ascii="宋体" w:hAnsi="宋体" w:eastAsia="宋体" w:cs="Times New Roman"/>
      <w:sz w:val="32"/>
      <w:szCs w:val="20"/>
    </w:rPr>
  </w:style>
  <w:style w:type="table" w:styleId="1011" w:customStyle="1">
    <w:name w:val="网格型1"/>
    <w:basedOn w:val="953"/>
    <w:uiPriority w:val="0"/>
    <w:qFormat/>
    <w:pPr>
      <w:jc w:val="both"/>
      <w:widowControl w:val="off"/>
    </w:pPr>
    <w:tblPr>
      <w:tblCellMar>
        <w:left w:w="0" w:type="dxa"/>
        <w:top w:w="0" w:type="dxa"/>
        <w:right w:w="0" w:type="dxa"/>
        <w:bottom w:w="0" w:type="dxa"/>
      </w:tblCellMar>
    </w:tblPr>
  </w:style>
  <w:style w:type="character" w:styleId="1012" w:customStyle="1">
    <w:name w:val="要点1"/>
    <w:uiPriority w:val="0"/>
    <w:qFormat/>
    <w:rPr>
      <w:b/>
      <w:bCs/>
    </w:rPr>
  </w:style>
  <w:style w:type="character" w:styleId="1013" w:customStyle="1">
    <w:name w:val="页码1"/>
    <w:uiPriority w:val="0"/>
    <w:qFormat/>
  </w:style>
  <w:style w:type="character" w:styleId="1014" w:customStyle="1">
    <w:name w:val="已访问的超链接1"/>
    <w:uiPriority w:val="0"/>
    <w:qFormat/>
    <w:rPr>
      <w:color w:val="800080"/>
      <w:u w:val="single"/>
    </w:rPr>
  </w:style>
  <w:style w:type="character" w:styleId="1015" w:customStyle="1">
    <w:name w:val="超链接1"/>
    <w:uiPriority w:val="0"/>
    <w:qFormat/>
    <w:rPr>
      <w:color w:val="0000ff"/>
      <w:u w:val="single"/>
    </w:rPr>
  </w:style>
  <w:style w:type="character" w:styleId="1016" w:customStyle="1">
    <w:name w:val="批注引用1"/>
    <w:uiPriority w:val="0"/>
    <w:semiHidden/>
    <w:qFormat/>
    <w:rPr>
      <w:sz w:val="21"/>
      <w:szCs w:val="21"/>
    </w:rPr>
  </w:style>
  <w:style w:type="paragraph" w:styleId="1017" w:customStyle="1">
    <w:name w:val="正文空2字"/>
    <w:basedOn w:val="1018"/>
    <w:uiPriority w:val="99"/>
    <w:qFormat/>
    <w:pPr>
      <w:ind w:firstLine="640"/>
      <w:spacing w:line="560" w:lineRule="exact"/>
      <w:widowControl w:val="off"/>
    </w:pPr>
    <w:rPr>
      <w:rFonts w:ascii="仿宋_GB2312" w:hAnsi="仿宋_GB2312" w:cs="仿宋_GB2312"/>
      <w:lang w:val="zh-TW"/>
    </w:rPr>
  </w:style>
  <w:style w:type="paragraph" w:styleId="1018" w:customStyle="1">
    <w:name w:val="左对齐正文"/>
    <w:uiPriority w:val="99"/>
    <w:qFormat/>
    <w:rPr>
      <w:rFonts w:hint="default" w:ascii="Calibri" w:hAnsi="Calibri" w:eastAsia="仿宋_GB2312" w:cs="Calibri"/>
      <w:sz w:val="32"/>
      <w:szCs w:val="32"/>
      <w:lang w:val="en-US" w:eastAsia="zh-CN" w:bidi="ar-SA"/>
    </w:rPr>
  </w:style>
  <w:style w:type="paragraph" w:styleId="1019" w:customStyle="1">
    <w:name w:val="索引 41"/>
    <w:basedOn w:val="736"/>
    <w:next w:val="736"/>
    <w:uiPriority w:val="0"/>
    <w:semiHidden/>
    <w:qFormat/>
    <w:pPr>
      <w:ind w:left="1260"/>
    </w:pPr>
    <w:rPr>
      <w:rFonts w:ascii="Calibri" w:hAnsi="Calibri" w:eastAsia="Calibri" w:cs="宋体"/>
      <w:sz w:val="20"/>
      <w:lang w:val="zh-CN"/>
    </w:rPr>
  </w:style>
  <w:style w:type="character" w:styleId="1020" w:customStyle="1">
    <w:name w:val="font5 Char"/>
    <w:uiPriority w:val="0"/>
    <w:qFormat/>
    <w:rPr>
      <w:rFonts w:ascii="宋体" w:hAnsi="宋体" w:eastAsia="宋体"/>
      <w:sz w:val="28"/>
      <w:szCs w:val="28"/>
      <w:lang w:val="en-US" w:eastAsia="zh-CN" w:bidi="ar-SA"/>
    </w:rPr>
  </w:style>
  <w:style w:type="character" w:styleId="1021" w:customStyle="1">
    <w:name w:val="二级目录 Char"/>
    <w:link w:val="1022"/>
    <w:uiPriority w:val="0"/>
    <w:qFormat/>
    <w:rPr>
      <w:b/>
      <w:sz w:val="30"/>
      <w:szCs w:val="28"/>
    </w:rPr>
  </w:style>
  <w:style w:type="paragraph" w:styleId="1022" w:customStyle="1">
    <w:name w:val="二级目录"/>
    <w:next w:val="736"/>
    <w:link w:val="1021"/>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23" w:customStyle="1">
    <w:name w:val="列出段落 Char"/>
    <w:link w:val="1024"/>
    <w:uiPriority w:val="0"/>
    <w:qFormat/>
    <w:rPr>
      <w:rFonts w:ascii="Calibri" w:hAnsi="Calibri"/>
      <w:sz w:val="24"/>
      <w:szCs w:val="24"/>
      <w:lang w:eastAsia="en-US" w:bidi="en-US"/>
    </w:rPr>
  </w:style>
  <w:style w:type="paragraph" w:styleId="1024" w:customStyle="1">
    <w:name w:val="列出段落1"/>
    <w:basedOn w:val="736"/>
    <w:link w:val="1023"/>
    <w:uiPriority w:val="0"/>
    <w:qFormat/>
    <w:pPr>
      <w:contextualSpacing/>
      <w:ind w:left="720"/>
      <w:jc w:val="left"/>
      <w:widowControl/>
    </w:pPr>
    <w:rPr>
      <w:rFonts w:ascii="Calibri" w:hAnsi="Calibri"/>
      <w:sz w:val="24"/>
      <w:szCs w:val="24"/>
      <w:lang w:eastAsia="en-US" w:bidi="en-US"/>
    </w:rPr>
  </w:style>
  <w:style w:type="paragraph" w:styleId="1025" w:customStyle="1">
    <w:name w:val="Body Text(ch)"/>
    <w:basedOn w:val="736"/>
    <w:next w:val="971"/>
    <w:uiPriority w:val="0"/>
    <w:qFormat/>
    <w:pPr>
      <w:spacing w:after="120"/>
    </w:pPr>
    <w:rPr>
      <w:rFonts w:ascii="宋体" w:hAnsi="Arial"/>
      <w:bCs/>
      <w:iCs/>
      <w:szCs w:val="24"/>
    </w:rPr>
  </w:style>
  <w:style w:type="paragraph" w:styleId="1026" w:customStyle="1">
    <w:name w:val="xl27"/>
    <w:basedOn w:val="7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7" w:customStyle="1">
    <w:name w:val="xl2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8" w:customStyle="1">
    <w:name w:val="Char"/>
    <w:basedOn w:val="736"/>
    <w:uiPriority w:val="0"/>
    <w:qFormat/>
    <w:pPr>
      <w:ind w:firstLine="200"/>
      <w:tabs>
        <w:tab w:val="left" w:pos="360" w:leader="none"/>
      </w:tabs>
    </w:pPr>
    <w:rPr>
      <w:sz w:val="28"/>
      <w:szCs w:val="30"/>
    </w:rPr>
  </w:style>
  <w:style w:type="paragraph" w:styleId="1029" w:customStyle="1">
    <w:name w:val="Char1"/>
    <w:basedOn w:val="965"/>
    <w:uiPriority w:val="0"/>
    <w:qFormat/>
    <w:rPr>
      <w:rFonts w:ascii="Tahoma" w:hAnsi="Tahoma"/>
      <w:sz w:val="24"/>
      <w:szCs w:val="24"/>
    </w:rPr>
  </w:style>
  <w:style w:type="paragraph" w:styleId="1030" w:customStyle="1">
    <w:name w:val="普通正文"/>
    <w:basedOn w:val="736"/>
    <w:uiPriority w:val="0"/>
    <w:qFormat/>
    <w:pPr>
      <w:ind w:firstLine="480"/>
      <w:jc w:val="left"/>
      <w:spacing w:before="120" w:after="120" w:line="360" w:lineRule="auto"/>
    </w:pPr>
    <w:rPr>
      <w:rFonts w:ascii="Arial" w:hAnsi="Arial"/>
      <w:sz w:val="24"/>
      <w:szCs w:val="24"/>
    </w:rPr>
  </w:style>
  <w:style w:type="paragraph" w:styleId="1031" w:customStyle="1">
    <w:name w:val="table_lines"/>
    <w:basedOn w:val="736"/>
    <w:uiPriority w:val="0"/>
    <w:qFormat/>
    <w:pPr>
      <w:jc w:val="left"/>
      <w:widowControl/>
    </w:pPr>
    <w:rPr>
      <w:sz w:val="20"/>
      <w:szCs w:val="20"/>
      <w:lang w:val="de-DE" w:eastAsia="de-DE"/>
    </w:rPr>
  </w:style>
  <w:style w:type="paragraph" w:styleId="103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33" w:customStyle="1">
    <w:name w:val="font7"/>
    <w:basedOn w:val="736"/>
    <w:uiPriority w:val="0"/>
    <w:qFormat/>
    <w:pPr>
      <w:jc w:val="left"/>
      <w:spacing w:before="100" w:beforeAutospacing="1" w:after="100" w:afterAutospacing="1"/>
      <w:widowControl/>
    </w:pPr>
    <w:rPr>
      <w:rFonts w:hint="eastAsia" w:ascii="宋体" w:hAnsi="宋体"/>
      <w:sz w:val="18"/>
      <w:szCs w:val="18"/>
    </w:rPr>
  </w:style>
  <w:style w:type="paragraph" w:styleId="1034" w:customStyle="1">
    <w:name w:val="Char Char Char Char"/>
    <w:basedOn w:val="965"/>
    <w:uiPriority w:val="0"/>
    <w:qFormat/>
    <w:pPr>
      <w:spacing w:line="360" w:lineRule="auto"/>
    </w:pPr>
    <w:rPr>
      <w:rFonts w:ascii="Tahoma" w:hAnsi="Tahoma"/>
      <w:sz w:val="24"/>
      <w:szCs w:val="24"/>
    </w:rPr>
  </w:style>
  <w:style w:type="paragraph" w:styleId="1035" w:customStyle="1">
    <w:name w:val="列出段落2"/>
    <w:basedOn w:val="736"/>
    <w:uiPriority w:val="0"/>
    <w:qFormat/>
    <w:pPr>
      <w:contextualSpacing/>
      <w:ind w:left="720"/>
      <w:jc w:val="left"/>
      <w:widowControl/>
    </w:pPr>
    <w:rPr>
      <w:rFonts w:ascii="Calibri" w:hAnsi="Calibri"/>
      <w:sz w:val="24"/>
      <w:szCs w:val="24"/>
      <w:lang w:eastAsia="en-US" w:bidi="en-US"/>
    </w:rPr>
  </w:style>
  <w:style w:type="paragraph" w:styleId="1036" w:customStyle="1">
    <w:name w:val="4"/>
    <w:basedOn w:val="736"/>
    <w:next w:val="996"/>
    <w:uiPriority w:val="0"/>
    <w:qFormat/>
    <w:pPr>
      <w:ind w:firstLine="420"/>
      <w:spacing w:line="360" w:lineRule="auto"/>
    </w:pPr>
    <w:rPr>
      <w:color w:val="ff0000"/>
      <w:sz w:val="24"/>
      <w:szCs w:val="24"/>
    </w:rPr>
  </w:style>
  <w:style w:type="paragraph" w:styleId="1037" w:customStyle="1">
    <w:name w:val="普通 (Web)"/>
    <w:basedOn w:val="736"/>
    <w:uiPriority w:val="0"/>
    <w:qFormat/>
    <w:pPr>
      <w:jc w:val="left"/>
      <w:spacing w:before="100" w:beforeAutospacing="1" w:after="100" w:afterAutospacing="1"/>
      <w:widowControl/>
    </w:pPr>
    <w:rPr>
      <w:rFonts w:ascii="宋体" w:hAnsi="宋体"/>
      <w:sz w:val="24"/>
      <w:szCs w:val="24"/>
    </w:rPr>
  </w:style>
  <w:style w:type="paragraph" w:styleId="1038" w:customStyle="1">
    <w:name w:val="Char Char Char Char Char Char Char Char Char Char"/>
    <w:basedOn w:val="736"/>
    <w:uiPriority w:val="0"/>
    <w:qFormat/>
    <w:pPr>
      <w:spacing w:line="360" w:lineRule="auto"/>
    </w:pPr>
    <w:rPr>
      <w:sz w:val="24"/>
      <w:szCs w:val="20"/>
    </w:rPr>
  </w:style>
  <w:style w:type="paragraph" w:styleId="1039" w:customStyle="1">
    <w:name w:val="样式1"/>
    <w:basedOn w:val="736"/>
    <w:uiPriority w:val="0"/>
    <w:qFormat/>
    <w:pPr>
      <w:numPr>
        <w:ilvl w:val="0"/>
        <w:numId w:val="3"/>
      </w:numPr>
    </w:pPr>
    <w:rPr>
      <w:rFonts w:ascii="宋体" w:hAnsi="宋体"/>
    </w:rPr>
  </w:style>
  <w:style w:type="paragraph" w:styleId="1040" w:customStyle="1">
    <w:name w:val="font6"/>
    <w:basedOn w:val="736"/>
    <w:uiPriority w:val="0"/>
    <w:qFormat/>
    <w:pPr>
      <w:jc w:val="left"/>
      <w:spacing w:before="100" w:beforeAutospacing="1" w:after="100" w:afterAutospacing="1"/>
      <w:widowControl/>
    </w:pPr>
    <w:rPr>
      <w:rFonts w:hint="eastAsia" w:ascii="宋体" w:hAnsi="宋体"/>
      <w:sz w:val="28"/>
      <w:szCs w:val="28"/>
      <w:u w:val="single"/>
    </w:rPr>
  </w:style>
  <w:style w:type="paragraph" w:styleId="1041" w:customStyle="1">
    <w:name w:val="xl25"/>
    <w:basedOn w:val="73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2" w:customStyle="1">
    <w:name w:val="图标"/>
    <w:basedOn w:val="736"/>
    <w:next w:val="73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3" w:customStyle="1">
    <w:name w:val="标题3"/>
    <w:basedOn w:val="736"/>
    <w:next w:val="736"/>
    <w:uiPriority w:val="0"/>
    <w:qFormat/>
    <w:pPr>
      <w:ind w:firstLine="624"/>
      <w:spacing w:line="590" w:lineRule="atLeast"/>
    </w:pPr>
    <w:rPr>
      <w:rFonts w:ascii="方正黑体_GBK" w:eastAsia="方正黑体_GBK"/>
      <w:sz w:val="32"/>
      <w:szCs w:val="32"/>
    </w:rPr>
  </w:style>
  <w:style w:type="paragraph" w:styleId="1044" w:customStyle="1">
    <w:name w:val="xl24"/>
    <w:basedOn w:val="7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5" w:customStyle="1">
    <w:name w:val="xl29"/>
    <w:basedOn w:val="73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6" w:customStyle="1">
    <w:name w:val="Char Char Char Char Char Char Char Char"/>
    <w:basedOn w:val="736"/>
    <w:uiPriority w:val="0"/>
    <w:qFormat/>
    <w:pPr>
      <w:jc w:val="left"/>
      <w:spacing w:after="160" w:line="240" w:lineRule="exact"/>
      <w:widowControl/>
    </w:pPr>
    <w:rPr>
      <w:rFonts w:ascii="Verdana" w:hAnsi="Verdana"/>
      <w:sz w:val="20"/>
      <w:szCs w:val="20"/>
      <w:lang w:eastAsia="en-US"/>
    </w:rPr>
  </w:style>
  <w:style w:type="paragraph" w:styleId="1047" w:customStyle="1">
    <w:name w:val="xl28"/>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8" w:customStyle="1">
    <w:name w:val="Char Char Char Char Char Char Char Char1"/>
    <w:basedOn w:val="736"/>
    <w:uiPriority w:val="0"/>
    <w:qFormat/>
    <w:pPr>
      <w:jc w:val="left"/>
      <w:spacing w:after="160" w:line="240" w:lineRule="exact"/>
      <w:widowControl/>
    </w:pPr>
    <w:rPr>
      <w:rFonts w:ascii="Verdana" w:hAnsi="Verdana"/>
      <w:sz w:val="20"/>
      <w:szCs w:val="20"/>
      <w:lang w:eastAsia="en-US"/>
    </w:rPr>
  </w:style>
  <w:style w:type="paragraph" w:styleId="1049" w:customStyle="1">
    <w:name w:val="xl30"/>
    <w:basedOn w:val="736"/>
    <w:uiPriority w:val="0"/>
    <w:qFormat/>
    <w:pPr>
      <w:jc w:val="center"/>
      <w:spacing w:before="100" w:beforeAutospacing="1" w:after="100" w:afterAutospacing="1"/>
      <w:widowControl/>
    </w:pPr>
    <w:rPr>
      <w:rFonts w:ascii="宋体" w:hAnsi="宋体"/>
      <w:b/>
      <w:bCs/>
      <w:sz w:val="36"/>
      <w:szCs w:val="36"/>
    </w:rPr>
  </w:style>
  <w:style w:type="paragraph" w:styleId="1050" w:customStyle="1">
    <w:name w:val="Char Char Char Char1"/>
    <w:basedOn w:val="965"/>
    <w:uiPriority w:val="0"/>
    <w:qFormat/>
    <w:pPr>
      <w:spacing w:line="360" w:lineRule="auto"/>
    </w:pPr>
    <w:rPr>
      <w:rFonts w:ascii="Tahoma" w:hAnsi="Tahoma"/>
      <w:sz w:val="24"/>
      <w:szCs w:val="24"/>
    </w:rPr>
  </w:style>
  <w:style w:type="paragraph" w:styleId="1051" w:customStyle="1">
    <w:name w:val="table_1stline"/>
    <w:basedOn w:val="736"/>
    <w:uiPriority w:val="0"/>
    <w:qFormat/>
    <w:pPr>
      <w:jc w:val="left"/>
      <w:spacing w:before="120"/>
      <w:widowControl/>
    </w:pPr>
    <w:rPr>
      <w:bCs/>
      <w:sz w:val="20"/>
      <w:szCs w:val="20"/>
      <w:lang w:val="de-DE" w:eastAsia="de-DE"/>
    </w:rPr>
  </w:style>
  <w:style w:type="paragraph" w:styleId="1052" w:customStyle="1">
    <w:name w:val="font5"/>
    <w:basedOn w:val="736"/>
    <w:uiPriority w:val="0"/>
    <w:qFormat/>
    <w:pPr>
      <w:jc w:val="left"/>
      <w:spacing w:before="100" w:beforeAutospacing="1" w:after="100" w:afterAutospacing="1"/>
      <w:widowControl/>
    </w:pPr>
    <w:rPr>
      <w:rFonts w:hint="eastAsia" w:ascii="宋体" w:hAnsi="宋体"/>
      <w:sz w:val="28"/>
      <w:szCs w:val="28"/>
    </w:rPr>
  </w:style>
  <w:style w:type="paragraph" w:styleId="1053" w:customStyle="1">
    <w:name w:val="标题1"/>
    <w:basedOn w:val="736"/>
    <w:next w:val="73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4"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55"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56" w:customStyle="1">
    <w:name w:val="Table Normal"/>
    <w:uiPriority w:val="0"/>
    <w:qFormat/>
    <w:tblPr>
      <w:tblCellMar>
        <w:left w:w="0" w:type="dxa"/>
        <w:top w:w="0" w:type="dxa"/>
        <w:right w:w="0" w:type="dxa"/>
        <w:bottom w:w="0" w:type="dxa"/>
      </w:tblCellMar>
    </w:tblPr>
  </w:style>
  <w:style w:type="paragraph" w:styleId="1057"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58" w:customStyle="1">
    <w:name w:val="Normal_6_0"/>
    <w:uiPriority w:val="0"/>
    <w:qFormat/>
    <w:rPr>
      <w:rFonts w:hint="default" w:ascii="黑体" w:hAnsi="黑体" w:eastAsia="黑体" w:cs="黑体"/>
      <w:b/>
      <w:sz w:val="32"/>
      <w:szCs w:val="24"/>
      <w:lang w:val="en-US" w:eastAsia="zh-CN" w:bidi="ar-SA"/>
    </w:rPr>
  </w:style>
  <w:style w:type="paragraph" w:styleId="1059"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60"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61" w:customStyle="1">
    <w:name w:val="正文文本12"/>
    <w:basedOn w:val="736"/>
    <w:uiPriority w:val="1"/>
    <w:qFormat/>
    <w:pPr>
      <w:ind w:left="120"/>
    </w:pPr>
    <w:rPr>
      <w:rFonts w:ascii="宋体" w:hAnsi="宋体" w:cs="宋体"/>
      <w:lang w:val="zh-CN" w:bidi="zh-CN"/>
    </w:rPr>
  </w:style>
  <w:style w:type="paragraph" w:styleId="1062" w:customStyle="1">
    <w:name w:val="正文2"/>
    <w:basedOn w:val="736"/>
    <w:uiPriority w:val="0"/>
    <w:qFormat/>
    <w:pPr>
      <w:ind w:firstLine="510"/>
      <w:spacing w:before="156" w:line="360" w:lineRule="auto"/>
    </w:pPr>
    <w:rPr>
      <w:sz w:val="24"/>
      <w:szCs w:val="20"/>
    </w:rPr>
  </w:style>
  <w:style w:type="paragraph" w:styleId="1063" w:customStyle="1">
    <w:name w:val="首行缩进"/>
    <w:basedOn w:val="736"/>
    <w:uiPriority w:val="0"/>
    <w:qFormat/>
    <w:pPr>
      <w:ind w:firstLine="480"/>
    </w:pPr>
    <w:rPr>
      <w:lang w:val="zh-CN"/>
    </w:rPr>
  </w:style>
  <w:style w:type="paragraph" w:styleId="1064" w:customStyle="1">
    <w:name w:val="Normal_18_0"/>
    <w:uiPriority w:val="0"/>
    <w:qFormat/>
    <w:rPr>
      <w:rFonts w:hint="default" w:ascii="黑体" w:hAnsi="黑体" w:eastAsia="黑体" w:cs="黑体"/>
      <w:b/>
      <w:sz w:val="32"/>
      <w:szCs w:val="24"/>
      <w:lang w:val="en-US" w:eastAsia="zh-CN" w:bidi="ar-SA"/>
    </w:rPr>
  </w:style>
  <w:style w:type="paragraph" w:styleId="1065" w:customStyle="1">
    <w:name w:val="正文_12_0_0_0_0"/>
    <w:basedOn w:val="736"/>
    <w:uiPriority w:val="0"/>
    <w:qFormat/>
    <w:rPr>
      <w:szCs w:val="24"/>
    </w:rPr>
  </w:style>
  <w:style w:type="paragraph" w:styleId="1066"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68"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9" w:customStyle="1">
    <w:name w:val="Normal_20"/>
    <w:uiPriority w:val="0"/>
    <w:qFormat/>
    <w:rPr>
      <w:rFonts w:hint="default" w:ascii="黑体" w:hAnsi="黑体" w:eastAsia="黑体" w:cs="黑体"/>
      <w:b/>
      <w:sz w:val="32"/>
      <w:szCs w:val="24"/>
      <w:lang w:val="en-US" w:eastAsia="zh-CN" w:bidi="ar-SA"/>
    </w:rPr>
  </w:style>
  <w:style w:type="paragraph" w:styleId="107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71" w:customStyle="1">
    <w:name w:val="Normal_0"/>
    <w:uiPriority w:val="0"/>
    <w:qFormat/>
    <w:rPr>
      <w:rFonts w:hint="default" w:ascii="黑体" w:hAnsi="黑体" w:eastAsia="黑体" w:cs="Times New Roman"/>
      <w:b/>
      <w:sz w:val="32"/>
      <w:szCs w:val="24"/>
      <w:lang w:val="en-US" w:eastAsia="zh-CN" w:bidi="ar-SA"/>
    </w:rPr>
  </w:style>
  <w:style w:type="paragraph" w:styleId="1072" w:customStyle="1">
    <w:name w:val="部分1"/>
    <w:basedOn w:val="736"/>
    <w:uiPriority w:val="0"/>
    <w:qFormat/>
    <w:pPr>
      <w:jc w:val="center"/>
      <w:keepNext/>
      <w:pageBreakBefore/>
      <w:spacing w:line="360" w:lineRule="auto"/>
      <w:tabs>
        <w:tab w:val="left" w:pos="720" w:leader="none"/>
      </w:tabs>
      <w:outlineLvl w:val="0"/>
    </w:pPr>
    <w:rPr>
      <w:rFonts w:eastAsia="黑体"/>
      <w:b/>
      <w:sz w:val="36"/>
      <w:szCs w:val="20"/>
    </w:rPr>
  </w:style>
  <w:style w:type="paragraph" w:styleId="1073"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74"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75"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76"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77" w:customStyle="1">
    <w:name w:val="列出段落_2"/>
    <w:basedOn w:val="1075"/>
    <w:uiPriority w:val="34"/>
    <w:qFormat/>
    <w:pPr>
      <w:ind w:firstLine="420"/>
    </w:pPr>
  </w:style>
  <w:style w:type="paragraph" w:styleId="1078" w:customStyle="1">
    <w:name w:val="Normal_13_0"/>
    <w:uiPriority w:val="0"/>
    <w:qFormat/>
    <w:rPr>
      <w:rFonts w:hint="default" w:ascii="黑体" w:hAnsi="黑体" w:eastAsia="黑体" w:cs="黑体"/>
      <w:b/>
      <w:sz w:val="32"/>
      <w:szCs w:val="24"/>
      <w:lang w:val="en-US" w:eastAsia="zh-CN" w:bidi="ar-SA"/>
    </w:rPr>
  </w:style>
  <w:style w:type="paragraph" w:styleId="1079" w:customStyle="1">
    <w:name w:val="正文_16_0_0"/>
    <w:next w:val="1080"/>
    <w:uiPriority w:val="0"/>
    <w:qFormat/>
    <w:pPr>
      <w:jc w:val="both"/>
      <w:widowControl w:val="off"/>
    </w:pPr>
    <w:rPr>
      <w:rFonts w:hint="default" w:ascii="Calibri" w:hAnsi="Calibri" w:eastAsia="宋体" w:cs="Times New Roman"/>
      <w:sz w:val="21"/>
      <w:szCs w:val="22"/>
      <w:lang w:val="en-US" w:eastAsia="zh-CN" w:bidi="ar-SA"/>
    </w:rPr>
  </w:style>
  <w:style w:type="paragraph" w:styleId="1080"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081" w:customStyle="1">
    <w:name w:val="正文首行缩进1"/>
    <w:basedOn w:val="1082"/>
    <w:uiPriority w:val="0"/>
    <w:qFormat/>
    <w:pPr>
      <w:ind w:firstLine="100"/>
      <w:spacing w:after="120" w:line="240" w:lineRule="auto"/>
    </w:pPr>
    <w:rPr>
      <w:rFonts w:ascii="Times New Roman" w:eastAsia="宋体"/>
      <w:sz w:val="21"/>
    </w:rPr>
  </w:style>
  <w:style w:type="paragraph" w:styleId="1082" w:customStyle="1">
    <w:name w:val="正文文本1"/>
    <w:basedOn w:val="736"/>
    <w:next w:val="1081"/>
    <w:uiPriority w:val="0"/>
    <w:qFormat/>
    <w:pPr>
      <w:spacing w:line="60" w:lineRule="auto"/>
    </w:pPr>
    <w:rPr>
      <w:rFonts w:ascii="仿宋_GB2312" w:eastAsia="仿宋_GB2312"/>
      <w:sz w:val="32"/>
    </w:rPr>
  </w:style>
  <w:style w:type="paragraph" w:styleId="1083" w:customStyle="1">
    <w:name w:val="DAS正文"/>
    <w:basedOn w:val="736"/>
    <w:uiPriority w:val="0"/>
    <w:qFormat/>
    <w:pPr>
      <w:ind w:right="181" w:firstLine="480"/>
      <w:spacing w:line="360" w:lineRule="auto"/>
    </w:pPr>
    <w:rPr>
      <w:rFonts w:ascii="Verdana" w:hAnsi="Verdana"/>
    </w:rPr>
  </w:style>
  <w:style w:type="paragraph" w:styleId="108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85"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6" w:customStyle="1">
    <w:name w:val="正文_16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7"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088" w:customStyle="1">
    <w:name w:val="交科标题2"/>
    <w:basedOn w:val="736"/>
    <w:next w:val="736"/>
    <w:uiPriority w:val="0"/>
    <w:qFormat/>
    <w:pPr>
      <w:jc w:val="left"/>
      <w:spacing w:line="360" w:lineRule="auto"/>
      <w:outlineLvl w:val="1"/>
    </w:pPr>
    <w:rPr>
      <w:b/>
      <w:sz w:val="28"/>
    </w:rPr>
  </w:style>
  <w:style w:type="character" w:styleId="1089" w:customStyle="1">
    <w:name w:val="first-child"/>
    <w:basedOn w:val="746"/>
    <w:uiPriority w:val="0"/>
    <w:qFormat/>
  </w:style>
  <w:style w:type="character" w:styleId="1090" w:customStyle="1">
    <w:name w:val="layui-layer-tabnow"/>
    <w:basedOn w:val="746"/>
    <w:uiPriority w:val="0"/>
    <w:qFormat/>
    <w:rPr>
      <w:shd w:val="clear" w:color="auto" w:fill="ffffff"/>
    </w:rPr>
  </w:style>
  <w:style w:type="paragraph" w:styleId="1091" w:customStyle="1">
    <w:name w:val="Normal_0_1_0"/>
    <w:uiPriority w:val="0"/>
    <w:qFormat/>
    <w:pPr>
      <w:spacing w:after="160" w:line="259" w:lineRule="auto"/>
    </w:pPr>
    <w:rPr>
      <w:rFonts w:hint="default" w:ascii="黑体" w:hAnsi="黑体" w:eastAsia="黑体" w:cs="Times New Roman"/>
      <w:b/>
      <w:sz w:val="32"/>
      <w:szCs w:val="24"/>
      <w:lang w:val="en-US" w:eastAsia="zh-CN" w:bidi="ar-SA"/>
    </w:rPr>
  </w:style>
  <w:style w:type="paragraph" w:styleId="1092" w:customStyle="1">
    <w:name w:val="Table Text"/>
    <w:basedOn w:val="736"/>
    <w:uiPriority w:val="0"/>
    <w:semiHidden/>
    <w:qFormat/>
    <w:rPr>
      <w:rFonts w:ascii="宋体" w:hAnsi="宋体" w:cs="宋体"/>
      <w:sz w:val="18"/>
      <w:szCs w:val="18"/>
      <w:lang w:eastAsia="en-US"/>
    </w:rPr>
  </w:style>
  <w:style w:type="paragraph" w:styleId="1093" w:customStyle="1">
    <w:name w:val="Normal_17_0"/>
    <w:uiPriority w:val="0"/>
    <w:qFormat/>
    <w:rPr>
      <w:rFonts w:hint="default" w:ascii="Helvetica-Light" w:hAnsi="Helvetica-Light" w:eastAsia="Helvetica-Light" w:cs="方正舒体"/>
      <w:b/>
      <w:sz w:val="32"/>
      <w:szCs w:val="24"/>
      <w:lang w:bidi="ar-SA"/>
    </w:rPr>
  </w:style>
  <w:style w:type="paragraph" w:styleId="1094"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95" w:customStyle="1">
    <w:name w:val="正文文本_0"/>
    <w:basedOn w:val="1060"/>
    <w:uiPriority w:val="0"/>
    <w:qFormat/>
    <w:rPr>
      <w:rFonts w:ascii="仿宋" w:eastAsia="仿宋" w:cs="仿宋"/>
      <w:sz w:val="24"/>
      <w:szCs w:val="24"/>
      <w:lang w:val="zh-CN" w:bidi="zh-CN"/>
    </w:rPr>
  </w:style>
  <w:style w:type="character" w:styleId="1096" w:customStyle="1">
    <w:name w:val="font51"/>
    <w:basedOn w:val="746"/>
    <w:uiPriority w:val="0"/>
    <w:qFormat/>
    <w:rPr>
      <w:rFonts w:hint="eastAsia" w:ascii="宋体" w:hAnsi="宋体" w:eastAsia="宋体" w:cs="宋体"/>
      <w:color w:val="000000"/>
      <w:sz w:val="22"/>
      <w:szCs w:val="22"/>
      <w:u w:val="none"/>
    </w:rPr>
  </w:style>
  <w:style w:type="character" w:styleId="1097" w:customStyle="1">
    <w:name w:val="font81"/>
    <w:basedOn w:val="746"/>
    <w:uiPriority w:val="0"/>
    <w:qFormat/>
    <w:rPr>
      <w:rFonts w:hint="default" w:ascii="Times New Roman" w:hAnsi="Times New Roman" w:cs="Times New Roman"/>
      <w:color w:val="000000"/>
      <w:sz w:val="21"/>
      <w:szCs w:val="21"/>
      <w:u w:val="none"/>
    </w:rPr>
  </w:style>
  <w:style w:type="character" w:styleId="1098" w:customStyle="1">
    <w:name w:val="font01"/>
    <w:basedOn w:val="746"/>
    <w:uiPriority w:val="0"/>
    <w:qFormat/>
    <w:rPr>
      <w:rFonts w:hint="eastAsia" w:ascii="宋体" w:hAnsi="宋体" w:eastAsia="宋体" w:cs="宋体"/>
      <w:color w:val="000000"/>
      <w:sz w:val="20"/>
      <w:szCs w:val="20"/>
      <w:u w:val="none"/>
    </w:rPr>
  </w:style>
  <w:style w:type="paragraph" w:styleId="1099" w:customStyle="1">
    <w:name w:val="Normal_19_0"/>
    <w:next w:val="1100"/>
    <w:uiPriority w:val="99"/>
    <w:qFormat/>
    <w:rPr>
      <w:rFonts w:ascii="黑体" w:hAnsi="黑体" w:eastAsia="黑体" w:cs="Times New Roman"/>
      <w:b/>
      <w:sz w:val="32"/>
      <w:szCs w:val="24"/>
      <w:lang w:val="en-US" w:eastAsia="zh-CN" w:bidi="ar-SA"/>
    </w:rPr>
  </w:style>
  <w:style w:type="paragraph" w:styleId="1100" w:customStyle="1">
    <w:name w:val="Heading 4_0_0"/>
    <w:basedOn w:val="1099"/>
    <w:next w:val="1101"/>
    <w:uiPriority w:val="0"/>
    <w:qFormat/>
    <w:pPr>
      <w:keepLines/>
      <w:keepNext/>
      <w:spacing w:line="360" w:lineRule="auto"/>
      <w:tabs>
        <w:tab w:val="left" w:pos="1134" w:leader="none"/>
        <w:tab w:val="right" w:pos="7371" w:leader="none"/>
      </w:tabs>
      <w:outlineLvl w:val="3"/>
    </w:pPr>
    <w:rPr>
      <w:rFonts w:ascii="宋体"/>
      <w:color w:val="800000"/>
      <w:sz w:val="28"/>
    </w:rPr>
  </w:style>
  <w:style w:type="paragraph" w:styleId="1101" w:customStyle="1">
    <w:name w:val="Normal Indent_1"/>
    <w:basedOn w:val="1099"/>
    <w:uiPriority w:val="0"/>
    <w:qFormat/>
    <w:pPr>
      <w:ind w:firstLine="420"/>
    </w:pPr>
    <w:rPr>
      <w:rFonts w:ascii="宋体"/>
      <w:color w:val="000000"/>
      <w:sz w:val="24"/>
    </w:rPr>
  </w:style>
  <w:style w:type="paragraph" w:styleId="1102" w:customStyle="1">
    <w:name w:val="WPSOffice手动目录 1"/>
    <w:uiPriority w:val="0"/>
    <w:qFormat/>
    <w:rPr>
      <w:rFonts w:ascii="Times New Roman" w:hAnsi="Times New Roman" w:eastAsia="宋体" w:cs="Times New Roman"/>
      <w:sz w:val="20"/>
      <w:szCs w:val="20"/>
    </w:rPr>
  </w:style>
  <w:style w:type="numbering" w:styleId="158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罗明</cp:lastModifiedBy>
  <cp:revision>21</cp:revision>
  <dcterms:created xsi:type="dcterms:W3CDTF">2023-03-16T02:16:00Z</dcterms:created>
  <dcterms:modified xsi:type="dcterms:W3CDTF">2025-03-31T08:12:28Z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B67337FD0C164D11B2DD34D9E972C6AB_13</vt:lpwstr>
  </property>
  <property fmtid="{D5CDD505-2E9C-101B-9397-08002B2CF9AE}" pid="4" name="KSOTemplateDocerSaveRecord">
    <vt:lpwstr>eyJoZGlkIjoiMWU5N2JkNzQ5MDIyNWFmYzYwNmVlMTc3NjZlMzY0NmMiLCJ1c2VySWQiOiIxMDI3MjI1ODgyIn0=</vt:lpwstr>
  </property>
</Properties>
</file>