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63"/>
        <w:ind w:left="3840" w:hanging="1606"/>
        <w:jc w:val="left"/>
        <w:spacing w:before="120" w:after="120" w:line="360" w:lineRule="auto"/>
        <w:rPr>
          <w:rFonts w:ascii="Arial" w:hAnsi="Arial" w:eastAsia="宋体"/>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u w:val="none"/>
          <w:lang w:val="en-US" w:eastAsia="zh-CN"/>
        </w:rPr>
        <w:t xml:space="preserve">南通市第一人民医院临床技能模拟训练中心信息化采购项目</w:t>
      </w:r>
      <w:r>
        <w:rPr>
          <w:rFonts w:ascii="Arial" w:hAnsi="Arial" w:eastAsia="宋体"/>
          <w:b/>
          <w:bCs/>
          <w:color w:val="000000"/>
          <w:sz w:val="32"/>
          <w:szCs w:val="24"/>
          <w:lang w:val="en-US" w:eastAsia="zh-CN"/>
        </w:rPr>
      </w:r>
      <w:r/>
    </w:p>
    <w:p>
      <w:pPr>
        <w:pStyle w:val="963"/>
        <w:ind w:left="3840" w:hanging="1606"/>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项目编号：JSZC-320600-JZCG-G2024-0084</w:t>
      </w:r>
      <w:r>
        <w:rPr>
          <w:rFonts w:hint="eastAsia" w:ascii="Arial" w:hAnsi="Arial" w:eastAsia="宋体" w:cs="Times New Roman"/>
          <w:b/>
          <w:bCs/>
          <w:color w:val="000000"/>
          <w:sz w:val="32"/>
          <w:szCs w:val="24"/>
        </w:rPr>
      </w:r>
      <w:r/>
    </w:p>
    <w:p>
      <w:pPr>
        <w:pStyle w:val="963"/>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rPr>
          <w:rFonts w:hint="eastAsia" w:ascii="Times New Roman" w:hAnsi="Times New Roman"/>
          <w:b/>
          <w:color w:val="ff0000"/>
          <w:sz w:val="30"/>
          <w:szCs w:val="30"/>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1920"/>
        <w:spacing w:line="360" w:lineRule="auto"/>
        <w:rPr>
          <w:rFonts w:hint="eastAsia" w:ascii="宋体" w:hAnsi="宋体"/>
          <w:color w:val="000000"/>
          <w:sz w:val="32"/>
          <w:szCs w:val="20"/>
        </w:rPr>
      </w:pPr>
      <w:r>
        <w:rPr>
          <w:rFonts w:hint="eastAsia" w:ascii="Arial" w:hAnsi="Arial"/>
          <w:color w:val="000000"/>
          <w:sz w:val="24"/>
          <w:szCs w:val="24"/>
        </w:rPr>
        <w:t xml:space="preserve">     </w:t>
      </w: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63"/>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6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6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96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6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20396"/>
      <w:r/>
      <w:bookmarkStart w:id="1" w:name="_Toc32411"/>
      <w:r/>
      <w:bookmarkStart w:id="2" w:name="_Toc2816"/>
      <w:r/>
      <w:bookmarkStart w:id="3" w:name="_Toc27688"/>
      <w:r/>
      <w:bookmarkStart w:id="4" w:name="_Toc120614210"/>
      <w:r/>
      <w:bookmarkStart w:id="5" w:name="_Toc513029200"/>
      <w:r/>
      <w:bookmarkStart w:id="6" w:name="_Toc479757206"/>
      <w:r/>
      <w:bookmarkStart w:id="7" w:name="_Toc523127445"/>
      <w:r/>
      <w:bookmarkStart w:id="8" w:name="_Toc16938516"/>
      <w:r/>
      <w:bookmarkStart w:id="9" w:name="_Toc20823272"/>
      <w:r>
        <w:rPr>
          <w:rFonts w:hint="eastAsia" w:ascii="黑体" w:hAnsi="Arial" w:eastAsia="黑体"/>
          <w:b/>
          <w:color w:val="000000"/>
          <w:sz w:val="44"/>
          <w:szCs w:val="21"/>
        </w:rPr>
        <w:t xml:space="preserve">总  目  录</w:t>
      </w:r>
      <w:bookmarkEnd w:id="0"/>
      <w:r/>
      <w:bookmarkEnd w:id="1"/>
      <w:r/>
      <w:bookmarkEnd w:id="2"/>
      <w:r/>
      <w:bookmarkEnd w:id="3"/>
      <w:r>
        <w:rPr>
          <w:rFonts w:hint="eastAsia" w:ascii="黑体" w:hAnsi="Arial" w:eastAsia="黑体"/>
          <w:b/>
          <w:color w:val="000000"/>
          <w:sz w:val="44"/>
          <w:szCs w:val="21"/>
        </w:rPr>
      </w:r>
      <w:r/>
    </w:p>
    <w:p>
      <w:pPr>
        <w:pStyle w:val="1016"/>
        <w:ind w:firstLine="281"/>
        <w:tabs>
          <w:tab w:val="right" w:pos="8953" w:leader="dot"/>
        </w:tabs>
        <w:rPr>
          <w:rFonts w:hint="eastAsia" w:ascii="宋体" w:hAnsi="宋体" w:eastAsia="宋体" w:cs="宋体"/>
          <w:b/>
          <w:bCs/>
          <w:sz w:val="28"/>
          <w:szCs w:val="28"/>
        </w:rPr>
      </w:pPr>
      <w:r>
        <w:rPr>
          <w:rFonts w:hint="eastAsia" w:ascii="仿宋_GB2312" w:hAnsi="Arial" w:eastAsia="仿宋_GB2312"/>
          <w:b/>
          <w:color w:val="000000"/>
          <w:sz w:val="28"/>
          <w:szCs w:val="21"/>
        </w:rPr>
        <w:fldChar w:fldCharType="begin"/>
      </w:r>
      <w:r>
        <w:rPr>
          <w:rFonts w:hint="eastAsia" w:ascii="仿宋_GB2312" w:hAnsi="Arial" w:eastAsia="仿宋_GB2312"/>
          <w:b/>
          <w:color w:val="000000"/>
          <w:sz w:val="28"/>
          <w:szCs w:val="21"/>
        </w:rPr>
        <w:instrText xml:space="preserve">TOC \o "1-3" \h \u </w:instrText>
      </w:r>
      <w:r>
        <w:rPr>
          <w:rFonts w:hint="eastAsia" w:ascii="仿宋_GB2312" w:hAnsi="Arial" w:eastAsia="仿宋_GB2312"/>
          <w:b/>
          <w:color w:val="000000"/>
          <w:sz w:val="28"/>
          <w:szCs w:val="21"/>
        </w:rPr>
        <w:fldChar w:fldCharType="separate"/>
      </w:r>
      <w:r>
        <w:rPr>
          <w:rFonts w:hint="eastAsia" w:ascii="宋体" w:hAnsi="宋体" w:eastAsia="宋体" w:cs="宋体"/>
          <w:b/>
          <w:bCs/>
          <w:sz w:val="28"/>
          <w:szCs w:val="28"/>
        </w:rPr>
      </w:r>
      <w:r/>
    </w:p>
    <w:p>
      <w:pPr>
        <w:pStyle w:val="1023"/>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_Toc21745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_Toc21745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２</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1023"/>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_Toc803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6</w:t>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1023"/>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_Toc21447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合同文本</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9</w:t>
      </w:r>
      <w:r>
        <w:rPr>
          <w:rFonts w:hint="eastAsia" w:ascii="宋体" w:hAnsi="宋体" w:eastAsia="宋体" w:cs="宋体"/>
          <w:b/>
          <w:bCs/>
          <w:sz w:val="28"/>
          <w:szCs w:val="28"/>
          <w:lang w:val="en-US" w:eastAsia="zh-CN"/>
        </w:rPr>
      </w:r>
      <w:r/>
    </w:p>
    <w:p>
      <w:pPr>
        <w:pStyle w:val="1023"/>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_Toc23209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采购需求</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2</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8</w:t>
      </w:r>
      <w:r>
        <w:rPr>
          <w:rFonts w:hint="eastAsia" w:ascii="宋体" w:hAnsi="宋体" w:eastAsia="宋体" w:cs="宋体"/>
          <w:b/>
          <w:bCs/>
          <w:sz w:val="28"/>
          <w:szCs w:val="28"/>
          <w:lang w:val="en-US" w:eastAsia="zh-CN"/>
        </w:rPr>
      </w:r>
      <w:r/>
    </w:p>
    <w:p>
      <w:pPr>
        <w:pStyle w:val="1023"/>
        <w:tabs>
          <w:tab w:val="right" w:pos="8953" w:leader="dot"/>
        </w:tabs>
        <w:rPr>
          <w:rFonts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_Toc16219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评标方法与评标标准</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31</w:t>
      </w:r>
      <w:r>
        <w:rPr>
          <w:rFonts w:ascii="宋体" w:hAnsi="宋体" w:eastAsia="宋体" w:cs="宋体"/>
          <w:b/>
          <w:bCs/>
          <w:sz w:val="28"/>
          <w:szCs w:val="28"/>
          <w:lang w:val="en-US" w:eastAsia="zh-CN"/>
        </w:rPr>
      </w:r>
      <w:r/>
    </w:p>
    <w:p>
      <w:pPr>
        <w:pStyle w:val="1023"/>
        <w:tabs>
          <w:tab w:val="right" w:pos="8953" w:leader="dot"/>
        </w:tabs>
        <w:rPr>
          <w:rFonts w:ascii="宋体" w:hAnsi="宋体" w:eastAsia="宋体" w:cs="宋体"/>
          <w:b/>
          <w:bCs/>
          <w:sz w:val="13"/>
          <w:szCs w:val="13"/>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_Toc21150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投标文件格式</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38</w:t>
      </w:r>
      <w:r>
        <w:rPr>
          <w:rFonts w:ascii="宋体" w:hAnsi="宋体" w:eastAsia="宋体" w:cs="宋体"/>
          <w:b/>
          <w:bCs/>
          <w:sz w:val="13"/>
          <w:szCs w:val="13"/>
          <w:lang w:val="en-US" w:eastAsia="zh-CN"/>
        </w:rPr>
      </w:r>
      <w:r/>
    </w:p>
    <w:p>
      <w:pPr>
        <w:pStyle w:val="1016"/>
        <w:tabs>
          <w:tab w:val="right" w:pos="8953" w:leader="dot"/>
        </w:tabs>
      </w:pPr>
      <w:r/>
      <w:r/>
    </w:p>
    <w:p>
      <w:pPr>
        <w:pStyle w:val="963"/>
        <w:spacing w:line="480" w:lineRule="auto"/>
        <w:rPr>
          <w:rFonts w:hint="eastAsia" w:ascii="仿宋_GB2312" w:hAnsi="Arial" w:eastAsia="仿宋_GB2312"/>
          <w:b/>
          <w:color w:val="000000"/>
          <w:sz w:val="28"/>
          <w:szCs w:val="21"/>
        </w:rPr>
        <w:outlineLvl w:val="0"/>
      </w:pPr>
      <w:r>
        <w:rPr>
          <w:rFonts w:hint="eastAsia" w:ascii="仿宋_GB2312" w:hAnsi="Arial" w:eastAsia="仿宋_GB2312"/>
          <w:color w:val="000000"/>
          <w:szCs w:val="21"/>
        </w:rPr>
        <w:fldChar w:fldCharType="end"/>
      </w:r>
      <w:r>
        <w:rPr>
          <w:rFonts w:hint="eastAsia" w:ascii="仿宋_GB2312" w:hAnsi="Arial" w:eastAsia="仿宋_GB2312"/>
          <w:b/>
          <w:color w:val="000000"/>
          <w:sz w:val="28"/>
          <w:szCs w:val="21"/>
        </w:rPr>
      </w:r>
      <w:r/>
    </w:p>
    <w:p>
      <w:pPr>
        <w:pStyle w:val="963"/>
        <w:rPr>
          <w:rFonts w:hint="eastAsia" w:ascii="Times New Roman" w:hAnsi="Times New Roman"/>
          <w:color w:val="000000"/>
          <w:szCs w:val="21"/>
        </w:rPr>
        <w:outlineLvl w:val="0"/>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5"/>
        <w:numPr>
          <w:ilvl w:val="0"/>
          <w:numId w:val="0"/>
        </w:numPr>
        <w:jc w:val="center"/>
        <w:keepLines/>
        <w:keepNext/>
        <w:pageBreakBefore/>
        <w:spacing w:line="416" w:lineRule="auto"/>
        <w:widowControl w:val="off"/>
        <w:rPr>
          <w:rFonts w:hint="eastAsia"/>
        </w:rPr>
        <w:outlineLvl w:val="0"/>
      </w:pPr>
      <w:r/>
      <w:bookmarkStart w:id="10" w:name="_Toc24286"/>
      <w:r/>
      <w:bookmarkStart w:id="11" w:name="_Toc18169"/>
      <w:r/>
      <w:bookmarkStart w:id="12" w:name="_Toc27546"/>
      <w:r/>
      <w:bookmarkStart w:id="13" w:name="_Toc21745"/>
      <w:r>
        <w:rPr>
          <w:rFonts w:hint="eastAsia"/>
        </w:rPr>
        <w:t xml:space="preserve">第一章  </w:t>
      </w:r>
      <w:bookmarkEnd w:id="4"/>
      <w:r>
        <w:rPr>
          <w:rFonts w:hint="eastAsia"/>
        </w:rPr>
        <w:t xml:space="preserve">投标邀请</w:t>
      </w:r>
      <w:bookmarkEnd w:id="10"/>
      <w:r/>
      <w:bookmarkEnd w:id="11"/>
      <w:r/>
      <w:bookmarkEnd w:id="12"/>
      <w:r/>
      <w:bookmarkEnd w:id="13"/>
      <w:r>
        <w:rPr>
          <w:rFonts w:hint="eastAsia"/>
        </w:rPr>
      </w:r>
      <w:r/>
    </w:p>
    <w:p>
      <w:pPr>
        <w:pStyle w:val="963"/>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受[</w:t>
      </w:r>
      <w:r>
        <w:rPr>
          <w:rFonts w:hint="eastAsia" w:ascii="仿宋" w:hAnsi="仿宋" w:eastAsia="仿宋" w:cs="Times New Roman"/>
          <w:color w:val="000000"/>
          <w:sz w:val="28"/>
          <w:szCs w:val="28"/>
          <w:lang w:val="en-US" w:eastAsia="zh-CN"/>
        </w:rPr>
        <w:t xml:space="preserve">南通市第一人民医院</w:t>
      </w:r>
      <w:r>
        <w:rPr>
          <w:rFonts w:hint="eastAsia" w:ascii="仿宋" w:hAnsi="仿宋" w:eastAsia="仿宋" w:cs="Times New Roman"/>
          <w:color w:val="000000"/>
          <w:sz w:val="28"/>
          <w:szCs w:val="28"/>
        </w:rPr>
        <w:t xml:space="preserve">]的委托，南通市政府采购中心就[</w:t>
      </w:r>
      <w:r>
        <w:rPr>
          <w:rFonts w:hint="eastAsia" w:ascii="仿宋" w:hAnsi="仿宋" w:eastAsia="仿宋" w:cs="Times New Roman"/>
          <w:color w:val="000000"/>
          <w:sz w:val="28"/>
          <w:szCs w:val="28"/>
          <w:lang w:val="en-US" w:eastAsia="zh-CN"/>
        </w:rPr>
        <w:t xml:space="preserve">南通市第一人民医院临床技能模拟训练中心信息化采购项目</w:t>
      </w:r>
      <w:r>
        <w:rPr>
          <w:rFonts w:hint="eastAsia" w:ascii="仿宋" w:hAnsi="仿宋" w:eastAsia="仿宋" w:cs="Times New Roman"/>
          <w:color w:val="000000"/>
          <w:sz w:val="28"/>
          <w:szCs w:val="28"/>
        </w:rPr>
        <w:t xml:space="preserve">]([JSZC-320600-JZCG-G2024-0084])项目进行公开招标采购，欢迎符合条件的供应商投标。</w:t>
      </w:r>
      <w:r>
        <w:rPr>
          <w:rFonts w:hint="eastAsia" w:ascii="仿宋" w:hAnsi="仿宋" w:eastAsia="仿宋" w:cs="Times New Roman"/>
          <w:color w:val="000000"/>
          <w:sz w:val="28"/>
          <w:szCs w:val="28"/>
        </w:rPr>
      </w:r>
      <w:r/>
    </w:p>
    <w:p>
      <w:pPr>
        <w:pStyle w:val="963"/>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color w:val="000000"/>
          <w:sz w:val="28"/>
          <w:szCs w:val="28"/>
          <w:u w:val="single"/>
          <w:lang w:val="en-US" w:eastAsia="zh-CN"/>
        </w:rPr>
        <w:t xml:space="preserve">南通市第一人民医院临床技能模拟训练中心信息化采购项目</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7</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24</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14" w:name="_Toc28359079"/>
      <w:r/>
      <w:bookmarkStart w:id="15" w:name="_Toc38985263"/>
      <w:r/>
      <w:bookmarkStart w:id="16" w:name="_Toc35393621"/>
      <w:r/>
      <w:bookmarkStart w:id="17" w:name="_Toc28359002"/>
      <w:r/>
      <w:bookmarkStart w:id="18" w:name="_Toc14878"/>
      <w:r/>
      <w:bookmarkStart w:id="19" w:name="_Toc35393790"/>
      <w:r/>
      <w:bookmarkStart w:id="20"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bookmarkEnd w:id="19"/>
      <w:r>
        <w:rPr>
          <w:rFonts w:ascii="仿宋" w:hAnsi="仿宋" w:eastAsia="仿宋"/>
          <w:b/>
          <w:bCs/>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w:t>
      </w:r>
      <w:r>
        <w:rPr>
          <w:rFonts w:hint="eastAsia" w:ascii="仿宋" w:hAnsi="仿宋" w:eastAsia="仿宋" w:cs="Times New Roman"/>
          <w:color w:val="000000"/>
          <w:sz w:val="28"/>
          <w:szCs w:val="28"/>
        </w:rPr>
        <w:t xml:space="preserve">：JSZC-320600-JZCG-G2024-0084</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南通市第一人民医院临床技能模拟训练中心信息化采购项目</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lang w:val="en-US" w:eastAsia="zh-CN"/>
        </w:rPr>
      </w:pPr>
      <w:r/>
      <w:bookmarkEnd w:id="20"/>
      <w:r>
        <w:rPr>
          <w:rFonts w:hint="eastAsia" w:ascii="仿宋" w:hAnsi="仿宋" w:eastAsia="仿宋"/>
          <w:color w:val="000000"/>
          <w:sz w:val="28"/>
          <w:szCs w:val="28"/>
        </w:rPr>
        <w:t xml:space="preserve">3.预算金额：</w:t>
      </w:r>
      <w:r>
        <w:rPr>
          <w:rFonts w:hint="eastAsia" w:ascii="仿宋" w:hAnsi="仿宋" w:eastAsia="仿宋"/>
          <w:color w:val="000000"/>
          <w:sz w:val="28"/>
          <w:szCs w:val="28"/>
          <w:lang w:val="en-US" w:eastAsia="zh-CN"/>
        </w:rPr>
        <w:t xml:space="preserve">192万元</w:t>
      </w:r>
      <w:r>
        <w:rPr>
          <w:rFonts w:ascii="仿宋" w:hAnsi="仿宋" w:eastAsia="仿宋"/>
          <w:color w:val="000000"/>
          <w:sz w:val="28"/>
          <w:szCs w:val="28"/>
          <w:lang w:val="en-US" w:eastAsia="zh-CN"/>
        </w:rPr>
      </w:r>
      <w:r/>
    </w:p>
    <w:p>
      <w:pPr>
        <w:pStyle w:val="963"/>
        <w:ind w:firstLine="560"/>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4.最高限价：</w:t>
      </w:r>
      <w:r>
        <w:rPr>
          <w:rFonts w:hint="eastAsia" w:ascii="仿宋" w:hAnsi="仿宋" w:eastAsia="仿宋"/>
          <w:color w:val="000000"/>
          <w:sz w:val="28"/>
          <w:szCs w:val="28"/>
          <w:lang w:val="en-US" w:eastAsia="zh-CN"/>
        </w:rPr>
        <w:t xml:space="preserve">170万元</w:t>
      </w:r>
      <w:r>
        <w:rPr>
          <w:rFonts w:ascii="仿宋" w:hAnsi="仿宋" w:eastAsia="仿宋"/>
          <w:color w:val="000000"/>
          <w:sz w:val="28"/>
          <w:szCs w:val="28"/>
          <w:lang w:val="en-US" w:eastAsia="zh-CN"/>
        </w:rPr>
      </w:r>
      <w:r/>
    </w:p>
    <w:p>
      <w:pPr>
        <w:pStyle w:val="963"/>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963"/>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r>
        <w:rPr>
          <w:rFonts w:hint="eastAsia" w:ascii="仿宋" w:hAnsi="仿宋" w:eastAsia="仿宋" w:cs="宋体"/>
          <w:color w:val="000000"/>
          <w:sz w:val="28"/>
          <w:szCs w:val="28"/>
        </w:rPr>
        <w:t xml:space="preserve">自合同签订之日起6个月内完成设备供货、安装及调试。</w:t>
      </w:r>
      <w:r>
        <w:rPr>
          <w:rFonts w:ascii="仿宋" w:hAnsi="仿宋" w:eastAsia="仿宋"/>
          <w:color w:val="000000"/>
          <w:sz w:val="28"/>
          <w:szCs w:val="28"/>
          <w:u w:val="single"/>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21" w:name="_Toc35393791"/>
      <w:r/>
      <w:bookmarkStart w:id="22" w:name="_Toc28359003"/>
      <w:r/>
      <w:bookmarkStart w:id="23" w:name="_Toc38985264"/>
      <w:r/>
      <w:bookmarkStart w:id="24" w:name="_Toc32172"/>
      <w:r/>
      <w:bookmarkStart w:id="25" w:name="_Toc35393622"/>
      <w:r/>
      <w:bookmarkStart w:id="26" w:name="_Toc28359080"/>
      <w:r>
        <w:rPr>
          <w:rFonts w:hint="eastAsia" w:ascii="仿宋" w:hAnsi="仿宋" w:eastAsia="仿宋"/>
          <w:b/>
          <w:bCs/>
          <w:color w:val="000000"/>
          <w:sz w:val="28"/>
          <w:szCs w:val="28"/>
        </w:rPr>
        <w:t xml:space="preserve">二、申请人的资格要求：</w:t>
      </w:r>
      <w:bookmarkEnd w:id="21"/>
      <w:r/>
      <w:bookmarkEnd w:id="22"/>
      <w:r/>
      <w:bookmarkEnd w:id="23"/>
      <w:r/>
      <w:bookmarkEnd w:id="24"/>
      <w:r/>
      <w:bookmarkEnd w:id="25"/>
      <w:r/>
      <w:bookmarkEnd w:id="26"/>
      <w:r>
        <w:rPr>
          <w:rFonts w:ascii="仿宋" w:hAnsi="仿宋" w:eastAsia="仿宋"/>
          <w:b/>
          <w:bCs/>
          <w:color w:val="000000"/>
          <w:sz w:val="28"/>
          <w:szCs w:val="28"/>
        </w:rPr>
      </w:r>
      <w:r/>
    </w:p>
    <w:p>
      <w:pPr>
        <w:pStyle w:val="963"/>
        <w:ind w:firstLine="560"/>
        <w:spacing w:line="480" w:lineRule="exact"/>
        <w:rPr>
          <w:rFonts w:hint="eastAsia" w:ascii="仿宋" w:hAnsi="仿宋" w:eastAsia="仿宋"/>
          <w:color w:val="000000"/>
          <w:sz w:val="28"/>
          <w:szCs w:val="28"/>
        </w:rPr>
      </w:pPr>
      <w:r/>
      <w:bookmarkStart w:id="27" w:name="_Toc28359004"/>
      <w:r/>
      <w:bookmarkStart w:id="28" w:name="_Toc28359081"/>
      <w:r/>
      <w:bookmarkStart w:id="29" w:name="_Toc35393792"/>
      <w:r/>
      <w:bookmarkStart w:id="30" w:name="_Toc38985265"/>
      <w:r/>
      <w:bookmarkStart w:id="31" w:name="_Toc35393623"/>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highlight w:val="none"/>
        </w:rPr>
        <w:t xml:space="preserve">无</w:t>
      </w:r>
      <w:r>
        <w:rPr>
          <w:rFonts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en-US" w:eastAsia="zh-CN"/>
        </w:rPr>
        <w:t xml:space="preserve">本项目不接受</w:t>
      </w:r>
      <w:r>
        <w:rPr>
          <w:rFonts w:hint="eastAsia" w:ascii="仿宋" w:hAnsi="仿宋" w:eastAsia="仿宋"/>
          <w:color w:val="000000"/>
          <w:sz w:val="28"/>
          <w:szCs w:val="28"/>
        </w:rPr>
        <w:t xml:space="preserve">联合体投标。</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 本项目不接受分包。</w:t>
      </w:r>
      <w:r>
        <w:rPr>
          <w:rFonts w:hint="eastAsia" w:ascii="仿宋" w:hAnsi="仿宋" w:eastAsia="仿宋" w:cs="Times New Roman"/>
          <w:color w:val="000000"/>
          <w:sz w:val="28"/>
          <w:szCs w:val="28"/>
          <w:lang w:val="en-US" w:eastAsia="zh-CN"/>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rPr>
      </w:r>
      <w:r/>
    </w:p>
    <w:p>
      <w:pPr>
        <w:pStyle w:val="963"/>
        <w:ind w:firstLine="560"/>
        <w:spacing w:line="480" w:lineRule="exact"/>
        <w:rPr>
          <w:rFonts w:ascii="仿宋" w:hAnsi="仿宋" w:eastAsia="仿宋" w:cs="宋体"/>
          <w:color w:val="000000"/>
          <w:sz w:val="28"/>
          <w:szCs w:val="28"/>
        </w:rPr>
      </w:pPr>
      <w:r>
        <w:rPr>
          <w:rFonts w:hint="eastAsia" w:ascii="仿宋" w:hAnsi="仿宋" w:eastAsia="仿宋"/>
          <w:color w:val="000000"/>
          <w:sz w:val="28"/>
          <w:szCs w:val="28"/>
        </w:rPr>
        <w:t xml:space="preserve">无</w:t>
      </w:r>
      <w:r>
        <w:rPr>
          <w:rFonts w:ascii="仿宋" w:hAnsi="仿宋" w:eastAsia="仿宋" w:cs="宋体"/>
          <w:color w:val="000000"/>
          <w:sz w:val="28"/>
          <w:szCs w:val="28"/>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32" w:name="_Toc9393"/>
      <w:r>
        <w:rPr>
          <w:rFonts w:hint="eastAsia" w:ascii="仿宋" w:hAnsi="仿宋" w:eastAsia="仿宋"/>
          <w:b/>
          <w:bCs/>
          <w:color w:val="000000"/>
          <w:sz w:val="28"/>
          <w:szCs w:val="28"/>
        </w:rPr>
        <w:t xml:space="preserve">三、获取招标文件</w:t>
      </w:r>
      <w:bookmarkEnd w:id="27"/>
      <w:r/>
      <w:bookmarkEnd w:id="28"/>
      <w:r/>
      <w:bookmarkEnd w:id="29"/>
      <w:r/>
      <w:bookmarkEnd w:id="30"/>
      <w:r/>
      <w:bookmarkEnd w:id="31"/>
      <w:r/>
      <w:bookmarkEnd w:id="32"/>
      <w:r>
        <w:rPr>
          <w:rFonts w:ascii="仿宋" w:hAnsi="仿宋" w:eastAsia="仿宋"/>
          <w:b/>
          <w:bCs/>
          <w:color w:val="000000"/>
          <w:sz w:val="28"/>
          <w:szCs w:val="28"/>
        </w:rPr>
      </w:r>
      <w:r/>
    </w:p>
    <w:p>
      <w:pPr>
        <w:pStyle w:val="963"/>
        <w:ind w:firstLine="540"/>
        <w:spacing w:line="480" w:lineRule="exact"/>
        <w:rPr>
          <w:rFonts w:ascii="仿宋" w:hAnsi="仿宋" w:eastAsia="仿宋" w:cs="宋体"/>
          <w:color w:val="000000"/>
          <w:sz w:val="28"/>
          <w:szCs w:val="28"/>
        </w:rPr>
      </w:pPr>
      <w:r/>
      <w:bookmarkStart w:id="33" w:name="_Toc38985266"/>
      <w:r/>
      <w:bookmarkStart w:id="34" w:name="_Toc28359005"/>
      <w:r/>
      <w:bookmarkStart w:id="35" w:name="_Toc28359082"/>
      <w:r/>
      <w:bookmarkStart w:id="36" w:name="_Toc35393624"/>
      <w:r/>
      <w:bookmarkStart w:id="37" w:name="_Toc35393793"/>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963"/>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2.方式：在“江苏政府采购网”自行免费下载招标文件。</w:t>
      </w:r>
      <w:r>
        <w:rPr>
          <w:rFonts w:ascii="仿宋" w:hAnsi="仿宋" w:eastAsia="仿宋" w:cs="宋体"/>
          <w:color w:val="000000"/>
          <w:sz w:val="28"/>
          <w:szCs w:val="28"/>
          <w:u w:val="single"/>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38" w:name="_Toc14791"/>
      <w:r>
        <w:rPr>
          <w:rFonts w:hint="eastAsia" w:ascii="仿宋" w:hAnsi="仿宋" w:eastAsia="仿宋"/>
          <w:b/>
          <w:bCs/>
          <w:color w:val="000000"/>
          <w:sz w:val="28"/>
          <w:szCs w:val="28"/>
        </w:rPr>
        <w:t xml:space="preserve">四、提交投标文件</w:t>
      </w:r>
      <w:bookmarkEnd w:id="34"/>
      <w:r/>
      <w:bookmarkEnd w:id="35"/>
      <w:r>
        <w:rPr>
          <w:rFonts w:hint="eastAsia" w:ascii="仿宋" w:hAnsi="仿宋" w:eastAsia="仿宋"/>
          <w:b/>
          <w:bCs/>
          <w:color w:val="000000"/>
          <w:sz w:val="28"/>
          <w:szCs w:val="28"/>
        </w:rPr>
        <w:t xml:space="preserve">截止时间、开标时间和地点</w:t>
      </w:r>
      <w:bookmarkEnd w:id="33"/>
      <w:r/>
      <w:bookmarkEnd w:id="36"/>
      <w:r/>
      <w:bookmarkEnd w:id="37"/>
      <w:r/>
      <w:bookmarkEnd w:id="38"/>
      <w:r>
        <w:rPr>
          <w:rFonts w:ascii="仿宋" w:hAnsi="仿宋" w:eastAsia="仿宋"/>
          <w:b/>
          <w:bCs/>
          <w:color w:val="000000"/>
          <w:sz w:val="28"/>
          <w:szCs w:val="28"/>
        </w:rPr>
      </w:r>
      <w:r/>
    </w:p>
    <w:p>
      <w:pPr>
        <w:pStyle w:val="963"/>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u w:val="single"/>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7</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24</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w:t>
      </w:r>
      <w:r>
        <w:rPr>
          <w:rFonts w:hint="eastAsia" w:ascii="仿宋" w:hAnsi="仿宋" w:eastAsia="仿宋" w:cs="宋体"/>
          <w:i/>
          <w:color w:val="000000"/>
          <w:sz w:val="28"/>
          <w:szCs w:val="28"/>
        </w:rPr>
      </w:r>
      <w:r/>
    </w:p>
    <w:p>
      <w:pPr>
        <w:pStyle w:val="963"/>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39" w:name="_Toc28359007"/>
      <w:r/>
      <w:bookmarkStart w:id="40" w:name="_Toc32387"/>
      <w:r/>
      <w:bookmarkStart w:id="41" w:name="_Toc28359084"/>
      <w:r/>
      <w:bookmarkStart w:id="42" w:name="_Toc35393625"/>
      <w:r/>
      <w:bookmarkStart w:id="43" w:name="_Toc35393794"/>
      <w:r/>
      <w:bookmarkStart w:id="44" w:name="_Toc38985267"/>
      <w:r>
        <w:rPr>
          <w:rFonts w:hint="eastAsia" w:ascii="仿宋" w:hAnsi="仿宋" w:eastAsia="仿宋"/>
          <w:b/>
          <w:bCs/>
          <w:color w:val="000000"/>
          <w:sz w:val="28"/>
          <w:szCs w:val="28"/>
        </w:rPr>
        <w:t xml:space="preserve">五、公告期限</w:t>
      </w:r>
      <w:bookmarkEnd w:id="39"/>
      <w:r/>
      <w:bookmarkEnd w:id="40"/>
      <w:r/>
      <w:bookmarkEnd w:id="41"/>
      <w:r/>
      <w:bookmarkEnd w:id="42"/>
      <w:r/>
      <w:bookmarkEnd w:id="43"/>
      <w:r/>
      <w:bookmarkEnd w:id="44"/>
      <w:r>
        <w:rPr>
          <w:rFonts w:ascii="仿宋" w:hAnsi="仿宋" w:eastAsia="仿宋"/>
          <w:b/>
          <w:bCs/>
          <w:color w:val="000000"/>
          <w:sz w:val="28"/>
          <w:szCs w:val="28"/>
        </w:rPr>
      </w:r>
      <w:r/>
    </w:p>
    <w:p>
      <w:pPr>
        <w:pStyle w:val="963"/>
        <w:ind w:firstLine="560"/>
        <w:spacing w:line="480" w:lineRule="exact"/>
        <w:rPr>
          <w:rFonts w:ascii="仿宋" w:hAnsi="仿宋" w:eastAsia="仿宋" w:cs="宋体"/>
          <w:color w:val="000000"/>
          <w:sz w:val="28"/>
          <w:szCs w:val="28"/>
        </w:rPr>
      </w:pPr>
      <w:r/>
      <w:bookmarkStart w:id="45" w:name="_Toc38985268"/>
      <w:r/>
      <w:bookmarkStart w:id="46" w:name="_Toc35393626"/>
      <w:r/>
      <w:bookmarkStart w:id="47" w:name="_Toc35393795"/>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48" w:name="_Toc32004"/>
      <w:r>
        <w:rPr>
          <w:rFonts w:hint="eastAsia" w:ascii="仿宋" w:hAnsi="仿宋" w:eastAsia="仿宋"/>
          <w:b/>
          <w:bCs/>
          <w:color w:val="000000"/>
          <w:sz w:val="28"/>
          <w:szCs w:val="28"/>
        </w:rPr>
        <w:t xml:space="preserve">六、其他补充事宜</w:t>
      </w:r>
      <w:bookmarkEnd w:id="45"/>
      <w:r/>
      <w:bookmarkEnd w:id="46"/>
      <w:r/>
      <w:bookmarkEnd w:id="47"/>
      <w:r/>
      <w:bookmarkEnd w:id="48"/>
      <w:r>
        <w:rPr>
          <w:rFonts w:ascii="仿宋" w:hAnsi="仿宋" w:eastAsia="仿宋"/>
          <w:b/>
          <w:bCs/>
          <w:color w:val="000000"/>
          <w:sz w:val="28"/>
          <w:szCs w:val="28"/>
        </w:rPr>
      </w:r>
      <w:r/>
    </w:p>
    <w:p>
      <w:pPr>
        <w:pStyle w:val="963"/>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963"/>
        <w:ind w:firstLine="560"/>
        <w:spacing w:line="480" w:lineRule="exact"/>
        <w:rPr>
          <w:rFonts w:ascii="仿宋" w:hAnsi="仿宋" w:eastAsia="仿宋"/>
          <w:sz w:val="28"/>
          <w:szCs w:val="28"/>
          <w:highlight w:val="green"/>
          <w:lang w:val="en-US" w:eastAsia="zh-CN"/>
        </w:rPr>
      </w:pPr>
      <w:r>
        <w:rPr>
          <w:rFonts w:hint="eastAsia" w:ascii="仿宋" w:hAnsi="仿宋" w:eastAsia="仿宋"/>
          <w:sz w:val="28"/>
          <w:szCs w:val="28"/>
        </w:rPr>
        <w:t xml:space="preserve">2.</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green"/>
          <w:lang w:val="en-US" w:eastAsia="zh-CN"/>
        </w:rPr>
      </w:r>
      <w:r/>
    </w:p>
    <w:p>
      <w:pPr>
        <w:pStyle w:val="963"/>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w:t>
      </w:r>
      <w:r>
        <w:rPr>
          <w:rFonts w:hint="eastAsia" w:ascii="仿宋" w:hAnsi="仿宋" w:eastAsia="仿宋" w:cs="仿宋"/>
          <w:color w:val="000000"/>
          <w:sz w:val="28"/>
          <w:szCs w:val="28"/>
          <w:highlight w:val="none"/>
        </w:rPr>
        <w:t xml:space="preserve">商（含潜在供应商）对</w:t>
      </w:r>
      <w:r>
        <w:rPr>
          <w:rFonts w:hint="eastAsia" w:ascii="仿宋" w:hAnsi="仿宋" w:eastAsia="仿宋" w:cs="仿宋"/>
          <w:color w:val="000000"/>
          <w:sz w:val="28"/>
          <w:szCs w:val="28"/>
          <w:highlight w:val="none"/>
        </w:rPr>
        <w:t xml:space="preserve">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8"/>
          <w:szCs w:val="28"/>
          <w:highlight w:val="none"/>
        </w:rPr>
      </w:r>
      <w:r/>
    </w:p>
    <w:p>
      <w:pPr>
        <w:pStyle w:val="963"/>
        <w:ind w:firstLine="560"/>
        <w:spacing w:line="480" w:lineRule="exact"/>
        <w:rPr>
          <w:rFonts w:hint="eastAsia" w:ascii="仿宋" w:hAnsi="仿宋" w:eastAsia="仿宋" w:cs="仿宋"/>
          <w:sz w:val="28"/>
          <w:szCs w:val="28"/>
          <w:highlight w:val="red"/>
          <w:lang w:val="en-US" w:eastAsia="zh-CN"/>
        </w:rPr>
      </w:pPr>
      <w:r>
        <w:rPr>
          <w:rFonts w:hint="eastAsia" w:ascii="仿宋" w:hAnsi="仿宋" w:eastAsia="仿宋" w:cs="仿宋"/>
          <w:sz w:val="28"/>
          <w:szCs w:val="28"/>
        </w:rPr>
        <w:t xml:space="preserve">系统操作过程中如遇问题，请致电“苏采云”客服0519-86722801。</w:t>
      </w:r>
      <w:r>
        <w:rPr>
          <w:rFonts w:hint="eastAsia" w:ascii="仿宋" w:hAnsi="仿宋" w:eastAsia="仿宋" w:cs="仿宋"/>
          <w:sz w:val="28"/>
          <w:szCs w:val="28"/>
          <w:highlight w:val="red"/>
          <w:lang w:val="en-US" w:eastAsia="zh-CN"/>
        </w:rPr>
      </w:r>
      <w:r/>
    </w:p>
    <w:p>
      <w:pPr>
        <w:pStyle w:val="963"/>
        <w:numPr>
          <w:ilvl w:val="0"/>
          <w:numId w:val="5"/>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963"/>
        <w:numPr>
          <w:ilvl w:val="0"/>
          <w:numId w:val="5"/>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963"/>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963"/>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963"/>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963"/>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963"/>
        <w:ind w:firstLine="436"/>
        <w:keepLines/>
        <w:keepNext/>
        <w:spacing w:before="145" w:after="145" w:line="480" w:lineRule="exact"/>
        <w:rPr>
          <w:rFonts w:ascii="仿宋" w:hAnsi="仿宋" w:eastAsia="仿宋"/>
          <w:b/>
          <w:bCs/>
          <w:color w:val="000000"/>
          <w:sz w:val="28"/>
          <w:szCs w:val="28"/>
        </w:rPr>
        <w:outlineLvl w:val="2"/>
      </w:pPr>
      <w:r/>
      <w:bookmarkStart w:id="49" w:name="_Toc38985269"/>
      <w:r/>
      <w:bookmarkStart w:id="50" w:name="_Toc28359085"/>
      <w:r/>
      <w:bookmarkStart w:id="51" w:name="_Toc35393627"/>
      <w:r/>
      <w:bookmarkStart w:id="52" w:name="_Toc28359008"/>
      <w:r/>
      <w:bookmarkStart w:id="53" w:name="_Toc35393796"/>
      <w:r/>
      <w:bookmarkStart w:id="54" w:name="_Toc20818"/>
      <w:r>
        <w:rPr>
          <w:rFonts w:hint="eastAsia" w:ascii="仿宋" w:hAnsi="仿宋" w:eastAsia="仿宋"/>
          <w:b/>
          <w:bCs/>
          <w:color w:val="000000"/>
          <w:sz w:val="28"/>
          <w:szCs w:val="28"/>
        </w:rPr>
        <w:t xml:space="preserve">七、本次招标联系方式</w:t>
      </w:r>
      <w:bookmarkEnd w:id="49"/>
      <w:r/>
      <w:bookmarkEnd w:id="50"/>
      <w:r/>
      <w:bookmarkEnd w:id="51"/>
      <w:r/>
      <w:bookmarkEnd w:id="52"/>
      <w:r/>
      <w:bookmarkEnd w:id="53"/>
      <w:r/>
      <w:bookmarkEnd w:id="54"/>
      <w:r>
        <w:rPr>
          <w:rFonts w:ascii="仿宋" w:hAnsi="仿宋" w:eastAsia="仿宋"/>
          <w:b/>
          <w:bCs/>
          <w:color w:val="000000"/>
          <w:sz w:val="28"/>
          <w:szCs w:val="28"/>
        </w:rPr>
      </w:r>
      <w:r/>
    </w:p>
    <w:p>
      <w:pPr>
        <w:pStyle w:val="963"/>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963"/>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南通市第一人民医院　　　　</w:t>
      </w:r>
      <w:r>
        <w:rPr>
          <w:rFonts w:ascii="仿宋" w:hAnsi="仿宋" w:eastAsia="仿宋"/>
          <w:color w:val="000000"/>
          <w:sz w:val="28"/>
          <w:szCs w:val="28"/>
        </w:rPr>
      </w:r>
      <w:r/>
    </w:p>
    <w:p>
      <w:pPr>
        <w:pStyle w:val="963"/>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南通市崇川区胜利路666号</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963"/>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缪璟榕</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963"/>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0513-8111107</w:t>
      </w:r>
      <w:r>
        <w:rPr>
          <w:rFonts w:hint="eastAsia" w:ascii="仿宋" w:hAnsi="仿宋" w:eastAsia="仿宋"/>
          <w:color w:val="000000"/>
          <w:sz w:val="28"/>
          <w:szCs w:val="28"/>
          <w:u w:val="single"/>
          <w:lang w:val="en-US" w:eastAsia="zh-CN"/>
        </w:rPr>
        <w:t xml:space="preserve">5</w:t>
      </w:r>
      <w:r>
        <w:rPr>
          <w:rFonts w:hint="eastAsia" w:ascii="仿宋" w:hAnsi="仿宋" w:eastAsia="仿宋"/>
          <w:color w:val="000000"/>
          <w:sz w:val="28"/>
          <w:szCs w:val="28"/>
          <w:u w:val="single"/>
        </w:rPr>
        <w:t xml:space="preserve">　　　　　　</w:t>
      </w:r>
      <w:bookmarkStart w:id="55" w:name="_Toc28359086"/>
      <w:r/>
      <w:bookmarkStart w:id="56" w:name="_Toc28359009"/>
      <w:r>
        <w:rPr>
          <w:rFonts w:ascii="仿宋" w:hAnsi="仿宋" w:eastAsia="仿宋"/>
          <w:color w:val="000000"/>
          <w:sz w:val="28"/>
          <w:szCs w:val="28"/>
          <w:u w:val="single"/>
        </w:rPr>
      </w:r>
      <w:r/>
    </w:p>
    <w:p>
      <w:pPr>
        <w:pStyle w:val="963"/>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55"/>
      <w:r/>
      <w:bookmarkEnd w:id="56"/>
      <w:r>
        <w:rPr>
          <w:rFonts w:ascii="仿宋" w:hAnsi="仿宋" w:eastAsia="仿宋"/>
          <w:color w:val="000000"/>
          <w:sz w:val="28"/>
          <w:szCs w:val="28"/>
        </w:rPr>
      </w:r>
      <w:r/>
    </w:p>
    <w:p>
      <w:pPr>
        <w:pStyle w:val="963"/>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u w:val="single"/>
        </w:rPr>
        <w:t xml:space="preserve">南通市工农南路150号</w:t>
      </w:r>
      <w:r>
        <w:rPr>
          <w:rFonts w:ascii="仿宋" w:hAnsi="仿宋" w:eastAsia="仿宋"/>
          <w:color w:val="000000"/>
          <w:sz w:val="28"/>
          <w:szCs w:val="28"/>
        </w:rPr>
      </w:r>
      <w:r/>
    </w:p>
    <w:p>
      <w:pPr>
        <w:pStyle w:val="963"/>
        <w:ind w:firstLine="840"/>
        <w:spacing w:line="48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lang w:val="en-US" w:eastAsia="zh-CN"/>
        </w:rPr>
        <w:t xml:space="preserve">  沈女士           </w:t>
      </w:r>
      <w:r>
        <w:rPr>
          <w:rFonts w:ascii="仿宋" w:hAnsi="仿宋" w:eastAsia="仿宋"/>
          <w:color w:val="000000"/>
          <w:sz w:val="28"/>
          <w:szCs w:val="28"/>
          <w:u w:val="single"/>
          <w:lang w:val="en-US" w:eastAsia="zh-CN"/>
        </w:rPr>
      </w:r>
      <w:r/>
    </w:p>
    <w:p>
      <w:pPr>
        <w:pStyle w:val="963"/>
        <w:ind w:firstLine="840"/>
        <w:spacing w:line="48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57" w:name="_Toc28359087"/>
      <w:r/>
      <w:bookmarkStart w:id="58" w:name="_Toc28359010"/>
      <w:r>
        <w:rPr>
          <w:rFonts w:hint="eastAsia" w:ascii="仿宋" w:hAnsi="仿宋" w:eastAsia="仿宋"/>
          <w:color w:val="000000"/>
          <w:sz w:val="28"/>
          <w:szCs w:val="28"/>
          <w:u w:val="single"/>
          <w:lang w:val="en-US" w:eastAsia="zh-CN"/>
        </w:rPr>
        <w:t xml:space="preserve">  0513-59001963   </w:t>
      </w:r>
      <w:r>
        <w:rPr>
          <w:rFonts w:hint="eastAsia" w:ascii="仿宋" w:hAnsi="仿宋" w:eastAsia="仿宋"/>
          <w:color w:val="000000"/>
          <w:sz w:val="28"/>
          <w:szCs w:val="28"/>
          <w:u w:val="single"/>
          <w:lang w:val="en-US" w:eastAsia="zh-CN"/>
        </w:rPr>
      </w:r>
      <w:r/>
    </w:p>
    <w:p>
      <w:pPr>
        <w:pStyle w:val="1031"/>
        <w:rPr>
          <w:lang w:val="en-US" w:eastAsia="zh-CN"/>
        </w:rPr>
      </w:pPr>
      <w:r>
        <w:rPr>
          <w:lang w:val="en-US" w:eastAsia="zh-CN"/>
        </w:rPr>
      </w:r>
      <w:r/>
    </w:p>
    <w:p>
      <w:pPr>
        <w:pStyle w:val="963"/>
        <w:ind w:firstLine="560"/>
        <w:spacing w:line="480" w:lineRule="exact"/>
        <w:rPr>
          <w:rFonts w:ascii="仿宋" w:hAnsi="仿宋" w:eastAsia="仿宋"/>
          <w:b/>
          <w:bCs/>
          <w:color w:val="000000"/>
          <w:sz w:val="32"/>
          <w:szCs w:val="32"/>
        </w:rPr>
      </w:pPr>
      <w:r>
        <w:rPr>
          <w:rFonts w:hint="eastAsia" w:ascii="宋体" w:hAnsi="宋体" w:eastAsia="仿宋"/>
          <w:sz w:val="28"/>
          <w:szCs w:val="28"/>
        </w:rPr>
        <w:t xml:space="preserve"> </w:t>
      </w:r>
      <w:r>
        <w:rPr>
          <w:rFonts w:hint="eastAsia" w:ascii="仿宋" w:hAnsi="仿宋" w:eastAsia="仿宋"/>
          <w:b/>
          <w:bCs/>
          <w:sz w:val="32"/>
          <w:szCs w:val="32"/>
        </w:rPr>
        <w:t xml:space="preserve">3.软件技术支持：0519-86722801</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那</w:t>
      </w:r>
      <w:r>
        <w:rPr>
          <w:rFonts w:hint="eastAsia" w:ascii="仿宋" w:hAnsi="仿宋" w:eastAsia="仿宋"/>
          <w:b/>
          <w:bCs/>
          <w:sz w:val="32"/>
          <w:szCs w:val="32"/>
          <w:lang w:val="en-US" w:eastAsia="zh-CN"/>
        </w:rPr>
        <w:t xml:space="preserve">工：0513-59001950</w:t>
      </w:r>
      <w:r>
        <w:rPr>
          <w:rFonts w:ascii="仿宋" w:hAnsi="仿宋" w:eastAsia="仿宋"/>
          <w:b/>
          <w:bCs/>
          <w:color w:val="000000"/>
          <w:sz w:val="32"/>
          <w:szCs w:val="32"/>
        </w:rPr>
      </w:r>
      <w:r/>
    </w:p>
    <w:p>
      <w:pPr>
        <w:pStyle w:val="963"/>
        <w:ind w:firstLine="840"/>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ind w:firstLine="480"/>
        <w:spacing w:line="560" w:lineRule="exact"/>
        <w:tabs>
          <w:tab w:val="left" w:pos="900" w:leader="none"/>
        </w:tabs>
        <w:rPr>
          <w:rFonts w:hint="eastAsia" w:ascii="宋体" w:hAnsi="宋体"/>
          <w:bCs/>
          <w:sz w:val="24"/>
          <w:szCs w:val="24"/>
        </w:rPr>
      </w:pPr>
      <w:r/>
      <w:bookmarkEnd w:id="57"/>
      <w:r/>
      <w:bookmarkEnd w:id="58"/>
      <w:r>
        <w:rPr>
          <w:rFonts w:hint="eastAsia" w:ascii="宋体" w:hAnsi="宋体"/>
          <w:bCs/>
          <w:sz w:val="24"/>
          <w:szCs w:val="24"/>
        </w:rPr>
      </w:r>
      <w:r/>
    </w:p>
    <w:p>
      <w:pPr>
        <w:pStyle w:val="963"/>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63"/>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65"/>
        <w:rPr>
          <w:rFonts w:hint="eastAsia" w:ascii="黑体" w:hAnsi="Arial" w:eastAsia="黑体" w:cs="Arial"/>
          <w:color w:val="000000"/>
          <w:sz w:val="44"/>
          <w:szCs w:val="44"/>
        </w:rPr>
        <w:outlineLvl w:val="0"/>
      </w:pPr>
      <w:r>
        <w:rPr>
          <w:rFonts w:ascii="宋体" w:hAnsi="宋体"/>
          <w:color w:val="000000"/>
          <w:sz w:val="24"/>
          <w:szCs w:val="24"/>
        </w:rPr>
        <w:br w:type="page" w:clear="all"/>
      </w:r>
      <w:bookmarkStart w:id="59" w:name="_Toc120614211"/>
      <w:r/>
      <w:bookmarkStart w:id="60" w:name="_Toc803"/>
      <w:r/>
      <w:bookmarkStart w:id="61" w:name="_Toc3003"/>
      <w:r/>
      <w:bookmarkStart w:id="62" w:name="_Toc22117"/>
      <w:r/>
      <w:bookmarkStart w:id="63" w:name="_Toc2099"/>
      <w:r>
        <w:rPr>
          <w:rFonts w:hint="eastAsia" w:ascii="黑体" w:hAnsi="Arial" w:eastAsia="黑体" w:cs="Arial"/>
          <w:b w:val="0"/>
          <w:bCs w:val="0"/>
          <w:color w:val="000000"/>
          <w:sz w:val="44"/>
          <w:szCs w:val="44"/>
        </w:rPr>
        <w:t xml:space="preserve">第二章  </w:t>
      </w:r>
      <w:bookmarkEnd w:id="5"/>
      <w:r/>
      <w:bookmarkEnd w:id="6"/>
      <w:r/>
      <w:bookmarkEnd w:id="7"/>
      <w:r/>
      <w:bookmarkEnd w:id="8"/>
      <w:r/>
      <w:bookmarkEnd w:id="9"/>
      <w:r/>
      <w:bookmarkEnd w:id="59"/>
      <w:r/>
      <w:bookmarkStart w:id="64" w:name="_Toc513029202"/>
      <w:r/>
      <w:bookmarkStart w:id="65" w:name="_Toc20823274"/>
      <w:r/>
      <w:bookmarkStart w:id="66" w:name="_Toc120614213"/>
      <w:r/>
      <w:bookmarkStart w:id="67" w:name="_Toc16938518"/>
      <w:r>
        <w:rPr>
          <w:rFonts w:hint="eastAsia" w:ascii="黑体" w:hAnsi="Arial" w:eastAsia="黑体" w:cs="Arial"/>
          <w:b w:val="0"/>
          <w:bCs w:val="0"/>
          <w:color w:val="000000"/>
          <w:sz w:val="44"/>
          <w:szCs w:val="44"/>
        </w:rPr>
        <w:t xml:space="preserve">投标人须知</w:t>
      </w:r>
      <w:bookmarkEnd w:id="60"/>
      <w:r/>
      <w:bookmarkEnd w:id="61"/>
      <w:r/>
      <w:bookmarkEnd w:id="62"/>
      <w:r/>
      <w:bookmarkEnd w:id="63"/>
      <w:r/>
      <w:bookmarkEnd w:id="64"/>
      <w:r/>
      <w:bookmarkEnd w:id="65"/>
      <w:r/>
      <w:bookmarkEnd w:id="66"/>
      <w:r/>
      <w:bookmarkEnd w:id="67"/>
      <w:r>
        <w:rPr>
          <w:rFonts w:hint="eastAsia" w:ascii="黑体" w:hAnsi="Arial" w:eastAsia="黑体" w:cs="Arial"/>
          <w:color w:val="000000"/>
          <w:sz w:val="44"/>
          <w:szCs w:val="44"/>
        </w:rPr>
      </w:r>
      <w:r/>
    </w:p>
    <w:p>
      <w:pPr>
        <w:pStyle w:val="963"/>
        <w:keepLines/>
        <w:keepNext/>
        <w:spacing w:line="480" w:lineRule="exact"/>
        <w:rPr>
          <w:rFonts w:ascii="仿宋" w:hAnsi="仿宋" w:eastAsia="仿宋"/>
          <w:b/>
          <w:bCs/>
          <w:sz w:val="28"/>
          <w:szCs w:val="28"/>
        </w:rPr>
        <w:outlineLvl w:val="2"/>
      </w:pPr>
      <w:r/>
      <w:bookmarkStart w:id="68" w:name="_Toc513029203"/>
      <w:r/>
      <w:bookmarkStart w:id="69" w:name="_Toc20823275"/>
      <w:r/>
      <w:bookmarkStart w:id="70" w:name="_Toc16938519"/>
      <w:r/>
      <w:bookmarkStart w:id="71" w:name="_Toc120614214"/>
      <w:r/>
      <w:bookmarkStart w:id="72" w:name="_Toc18160"/>
      <w:r>
        <w:rPr>
          <w:rFonts w:ascii="仿宋" w:hAnsi="仿宋" w:eastAsia="仿宋"/>
          <w:b/>
          <w:bCs/>
          <w:sz w:val="28"/>
          <w:szCs w:val="28"/>
        </w:rPr>
        <w:t xml:space="preserve">（一）总则</w:t>
      </w:r>
      <w:bookmarkEnd w:id="68"/>
      <w:r/>
      <w:bookmarkEnd w:id="69"/>
      <w:r/>
      <w:bookmarkEnd w:id="70"/>
      <w:r/>
      <w:bookmarkEnd w:id="71"/>
      <w:r/>
      <w:bookmarkEnd w:id="72"/>
      <w:r>
        <w:rPr>
          <w:rFonts w:ascii="仿宋" w:hAnsi="仿宋" w:eastAsia="仿宋"/>
          <w:b/>
          <w:bCs/>
          <w:sz w:val="28"/>
          <w:szCs w:val="28"/>
        </w:rPr>
      </w:r>
      <w:r/>
    </w:p>
    <w:p>
      <w:pPr>
        <w:pStyle w:val="963"/>
        <w:keepNext/>
        <w:spacing w:line="480" w:lineRule="exact"/>
        <w:rPr>
          <w:rFonts w:ascii="仿宋" w:hAnsi="仿宋" w:eastAsia="仿宋"/>
          <w:b/>
          <w:bCs/>
          <w:sz w:val="28"/>
          <w:szCs w:val="28"/>
        </w:rPr>
        <w:outlineLvl w:val="3"/>
      </w:pPr>
      <w:r/>
      <w:bookmarkStart w:id="73" w:name="_Hlt16619475"/>
      <w:r/>
      <w:bookmarkEnd w:id="73"/>
      <w:r/>
      <w:bookmarkStart w:id="74" w:name="_Toc458694821"/>
      <w:r/>
      <w:bookmarkStart w:id="75" w:name="_Toc20823276"/>
      <w:r/>
      <w:bookmarkStart w:id="76" w:name="_Toc16938520"/>
      <w:r/>
      <w:bookmarkStart w:id="77" w:name="_Toc513029204"/>
      <w:r>
        <w:rPr>
          <w:rFonts w:ascii="仿宋" w:hAnsi="仿宋" w:eastAsia="仿宋"/>
          <w:sz w:val="28"/>
          <w:szCs w:val="28"/>
        </w:rPr>
        <w:t xml:space="preserve">1</w:t>
      </w:r>
      <w:bookmarkEnd w:id="74"/>
      <w:r>
        <w:rPr>
          <w:rFonts w:ascii="仿宋" w:hAnsi="仿宋" w:eastAsia="仿宋"/>
          <w:sz w:val="28"/>
          <w:szCs w:val="28"/>
        </w:rPr>
        <w:t xml:space="preserve">.招标方式</w:t>
      </w:r>
      <w:bookmarkEnd w:id="75"/>
      <w:r/>
      <w:bookmarkEnd w:id="76"/>
      <w:r/>
      <w:bookmarkEnd w:id="77"/>
      <w:r>
        <w:rPr>
          <w:rFonts w:ascii="仿宋" w:hAnsi="仿宋" w:eastAsia="仿宋"/>
          <w:b/>
          <w:bCs/>
          <w:sz w:val="28"/>
          <w:szCs w:val="28"/>
        </w:rPr>
      </w:r>
      <w:r/>
    </w:p>
    <w:p>
      <w:pPr>
        <w:pStyle w:val="963"/>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63"/>
        <w:keepNext/>
        <w:spacing w:line="480" w:lineRule="exact"/>
        <w:rPr>
          <w:rFonts w:ascii="仿宋" w:hAnsi="仿宋" w:eastAsia="仿宋"/>
          <w:b/>
          <w:bCs/>
          <w:sz w:val="28"/>
          <w:szCs w:val="28"/>
        </w:rPr>
        <w:outlineLvl w:val="3"/>
      </w:pPr>
      <w:r/>
      <w:bookmarkStart w:id="78" w:name="_Toc513029205"/>
      <w:r/>
      <w:bookmarkStart w:id="79" w:name="_Toc16938521"/>
      <w:r/>
      <w:bookmarkStart w:id="80" w:name="_Toc20823277"/>
      <w:r>
        <w:rPr>
          <w:rFonts w:ascii="仿宋" w:hAnsi="仿宋" w:eastAsia="仿宋"/>
          <w:sz w:val="28"/>
          <w:szCs w:val="28"/>
        </w:rPr>
        <w:t xml:space="preserve">2.合格的投标人</w:t>
      </w:r>
      <w:bookmarkEnd w:id="78"/>
      <w:r/>
      <w:bookmarkEnd w:id="79"/>
      <w:r/>
      <w:bookmarkEnd w:id="80"/>
      <w:r>
        <w:rPr>
          <w:rFonts w:ascii="仿宋" w:hAnsi="仿宋" w:eastAsia="仿宋"/>
          <w:b/>
          <w:bCs/>
          <w:sz w:val="28"/>
          <w:szCs w:val="28"/>
        </w:rPr>
      </w:r>
      <w:r/>
    </w:p>
    <w:p>
      <w:pPr>
        <w:pStyle w:val="963"/>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963"/>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63"/>
        <w:keepNext/>
        <w:spacing w:line="480" w:lineRule="exact"/>
        <w:rPr>
          <w:rFonts w:ascii="仿宋" w:hAnsi="仿宋" w:eastAsia="仿宋"/>
          <w:b/>
          <w:bCs/>
          <w:sz w:val="28"/>
          <w:szCs w:val="28"/>
        </w:rPr>
        <w:outlineLvl w:val="3"/>
      </w:pPr>
      <w:r/>
      <w:bookmarkStart w:id="81" w:name="_Toc20823278"/>
      <w:r/>
      <w:bookmarkStart w:id="82" w:name="_Toc16938522"/>
      <w:r/>
      <w:bookmarkStart w:id="83" w:name="_Toc513029206"/>
      <w:r>
        <w:rPr>
          <w:rFonts w:ascii="仿宋" w:hAnsi="仿宋" w:eastAsia="仿宋"/>
          <w:sz w:val="28"/>
          <w:szCs w:val="28"/>
        </w:rPr>
        <w:t xml:space="preserve">3.适用法律</w:t>
      </w:r>
      <w:bookmarkEnd w:id="81"/>
      <w:r/>
      <w:bookmarkEnd w:id="82"/>
      <w:r/>
      <w:bookmarkEnd w:id="83"/>
      <w:r>
        <w:rPr>
          <w:rFonts w:ascii="仿宋" w:hAnsi="仿宋" w:eastAsia="仿宋"/>
          <w:b/>
          <w:bCs/>
          <w:sz w:val="28"/>
          <w:szCs w:val="28"/>
        </w:rPr>
      </w:r>
      <w:r/>
    </w:p>
    <w:p>
      <w:pPr>
        <w:pStyle w:val="963"/>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963"/>
        <w:keepNext/>
        <w:spacing w:line="480" w:lineRule="exact"/>
        <w:rPr>
          <w:rFonts w:ascii="仿宋" w:hAnsi="仿宋" w:eastAsia="仿宋"/>
          <w:b/>
          <w:bCs/>
          <w:sz w:val="28"/>
          <w:szCs w:val="28"/>
        </w:rPr>
        <w:outlineLvl w:val="3"/>
      </w:pPr>
      <w:r/>
      <w:bookmarkStart w:id="84" w:name="_Toc16938523"/>
      <w:r/>
      <w:bookmarkStart w:id="85" w:name="_Toc513029207"/>
      <w:r/>
      <w:bookmarkStart w:id="86" w:name="_Toc462564067"/>
      <w:r/>
      <w:bookmarkStart w:id="87" w:name="_Toc20823279"/>
      <w:r>
        <w:rPr>
          <w:rFonts w:ascii="仿宋" w:hAnsi="仿宋" w:eastAsia="仿宋"/>
          <w:sz w:val="28"/>
          <w:szCs w:val="28"/>
        </w:rPr>
        <w:t xml:space="preserve">4.投标费用</w:t>
      </w:r>
      <w:bookmarkEnd w:id="84"/>
      <w:r/>
      <w:bookmarkEnd w:id="85"/>
      <w:r/>
      <w:bookmarkEnd w:id="86"/>
      <w:r/>
      <w:bookmarkEnd w:id="87"/>
      <w:r>
        <w:rPr>
          <w:rFonts w:ascii="仿宋" w:hAnsi="仿宋" w:eastAsia="仿宋"/>
          <w:b/>
          <w:bCs/>
          <w:sz w:val="28"/>
          <w:szCs w:val="28"/>
        </w:rPr>
      </w:r>
      <w:r/>
    </w:p>
    <w:p>
      <w:pPr>
        <w:pStyle w:val="963"/>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963"/>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963"/>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963"/>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63"/>
        <w:ind w:firstLine="281"/>
        <w:keepLines/>
        <w:keepNext/>
        <w:spacing w:before="145" w:after="145" w:line="480" w:lineRule="exact"/>
        <w:rPr>
          <w:rFonts w:hint="eastAsia" w:ascii="仿宋" w:hAnsi="仿宋" w:eastAsia="仿宋"/>
          <w:b/>
          <w:bCs/>
          <w:color w:val="000000"/>
          <w:sz w:val="28"/>
          <w:szCs w:val="28"/>
        </w:rPr>
        <w:outlineLvl w:val="2"/>
      </w:pPr>
      <w:r/>
      <w:bookmarkStart w:id="88" w:name="_Toc16938525"/>
      <w:r/>
      <w:bookmarkStart w:id="89" w:name="_Toc513029209"/>
      <w:r/>
      <w:bookmarkStart w:id="90" w:name="_Toc120614215"/>
      <w:r/>
      <w:bookmarkStart w:id="91" w:name="_Toc32633"/>
      <w:r/>
      <w:bookmarkStart w:id="92" w:name="_Toc20823281"/>
      <w:r>
        <w:rPr>
          <w:rFonts w:hint="eastAsia" w:ascii="仿宋" w:hAnsi="仿宋" w:eastAsia="仿宋"/>
          <w:b/>
          <w:bCs/>
          <w:color w:val="000000"/>
          <w:sz w:val="28"/>
          <w:szCs w:val="28"/>
        </w:rPr>
        <w:t xml:space="preserve">二、招标文件</w:t>
      </w:r>
      <w:bookmarkEnd w:id="88"/>
      <w:r/>
      <w:bookmarkEnd w:id="89"/>
      <w:r/>
      <w:bookmarkEnd w:id="90"/>
      <w:r/>
      <w:bookmarkEnd w:id="91"/>
      <w:r/>
      <w:bookmarkEnd w:id="92"/>
      <w:r>
        <w:rPr>
          <w:rFonts w:hint="eastAsia" w:ascii="仿宋" w:hAnsi="仿宋" w:eastAsia="仿宋"/>
          <w:b/>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93" w:name="_Toc20823282"/>
      <w:r/>
      <w:bookmarkStart w:id="94" w:name="_Toc513029210"/>
      <w:r/>
      <w:bookmarkStart w:id="95" w:name="_Toc16938526"/>
      <w:r>
        <w:rPr>
          <w:rFonts w:hint="eastAsia" w:ascii="仿宋" w:hAnsi="仿宋" w:eastAsia="仿宋" w:cs="Arial"/>
          <w:color w:val="000000"/>
          <w:sz w:val="28"/>
          <w:szCs w:val="28"/>
        </w:rPr>
        <w:t xml:space="preserve">6、招标文件构成</w:t>
      </w:r>
      <w:bookmarkEnd w:id="93"/>
      <w:r/>
      <w:bookmarkEnd w:id="94"/>
      <w:r/>
      <w:bookmarkEnd w:id="95"/>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63"/>
        <w:ind w:firstLine="560"/>
        <w:keepLines/>
        <w:keepNext/>
        <w:spacing w:line="480" w:lineRule="exact"/>
        <w:rPr>
          <w:rFonts w:hint="eastAsia" w:ascii="仿宋" w:hAnsi="仿宋" w:eastAsia="仿宋" w:cs="Arial"/>
          <w:color w:val="000000"/>
          <w:sz w:val="28"/>
          <w:szCs w:val="28"/>
        </w:rPr>
        <w:outlineLvl w:val="3"/>
      </w:pPr>
      <w:r/>
      <w:bookmarkStart w:id="96" w:name="_Toc462564070"/>
      <w:r/>
      <w:bookmarkStart w:id="97" w:name="_Toc16938527"/>
      <w:r/>
      <w:bookmarkStart w:id="98" w:name="_Toc513029211"/>
      <w:r/>
      <w:bookmarkStart w:id="99" w:name="_Toc20823283"/>
      <w:r>
        <w:rPr>
          <w:rFonts w:hint="eastAsia" w:ascii="仿宋" w:hAnsi="仿宋" w:eastAsia="仿宋" w:cs="Arial"/>
          <w:color w:val="000000"/>
          <w:sz w:val="28"/>
          <w:szCs w:val="28"/>
        </w:rPr>
        <w:t xml:space="preserve">7、招标文件的澄清</w:t>
      </w:r>
      <w:bookmarkEnd w:id="96"/>
      <w:r/>
      <w:bookmarkEnd w:id="97"/>
      <w:r/>
      <w:bookmarkEnd w:id="98"/>
      <w:r/>
      <w:bookmarkEnd w:id="99"/>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63"/>
        <w:ind w:firstLine="560"/>
        <w:keepLines/>
        <w:keepNext/>
        <w:spacing w:line="480" w:lineRule="exact"/>
        <w:rPr>
          <w:rFonts w:hint="eastAsia" w:ascii="仿宋" w:hAnsi="仿宋" w:eastAsia="仿宋" w:cs="Arial"/>
          <w:color w:val="000000"/>
          <w:sz w:val="28"/>
          <w:szCs w:val="28"/>
        </w:rPr>
        <w:outlineLvl w:val="3"/>
      </w:pPr>
      <w:r/>
      <w:bookmarkStart w:id="100" w:name="_Toc462564071"/>
      <w:r/>
      <w:bookmarkStart w:id="101" w:name="_Toc16938528"/>
      <w:r/>
      <w:bookmarkStart w:id="102" w:name="_Toc20823284"/>
      <w:r/>
      <w:bookmarkStart w:id="103" w:name="_Toc513029212"/>
      <w:r>
        <w:rPr>
          <w:rFonts w:hint="eastAsia" w:ascii="仿宋" w:hAnsi="仿宋" w:eastAsia="仿宋" w:cs="Arial"/>
          <w:color w:val="000000"/>
          <w:sz w:val="28"/>
          <w:szCs w:val="28"/>
        </w:rPr>
        <w:t xml:space="preserve">8、招标文件的修改</w:t>
      </w:r>
      <w:bookmarkEnd w:id="100"/>
      <w:r/>
      <w:bookmarkEnd w:id="101"/>
      <w:r/>
      <w:bookmarkEnd w:id="102"/>
      <w:r/>
      <w:bookmarkEnd w:id="103"/>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63"/>
        <w:ind w:firstLine="422"/>
        <w:keepLines/>
        <w:keepNext/>
        <w:spacing w:before="145" w:after="145" w:line="480" w:lineRule="exact"/>
        <w:rPr>
          <w:rFonts w:hint="eastAsia" w:ascii="仿宋" w:hAnsi="仿宋" w:eastAsia="仿宋"/>
          <w:b/>
          <w:bCs/>
          <w:color w:val="000000"/>
          <w:sz w:val="28"/>
          <w:szCs w:val="28"/>
        </w:rPr>
        <w:outlineLvl w:val="2"/>
      </w:pPr>
      <w:r/>
      <w:bookmarkStart w:id="104" w:name="_Toc16938529"/>
      <w:r/>
      <w:bookmarkStart w:id="105" w:name="_Toc513029213"/>
      <w:r/>
      <w:bookmarkStart w:id="106" w:name="_Toc462564072"/>
      <w:r/>
      <w:bookmarkStart w:id="107" w:name="_Toc120614216"/>
      <w:r/>
      <w:bookmarkStart w:id="108" w:name="_Toc23296"/>
      <w:r/>
      <w:bookmarkStart w:id="109" w:name="_Toc20823285"/>
      <w:r>
        <w:rPr>
          <w:rFonts w:hint="eastAsia" w:ascii="仿宋" w:hAnsi="仿宋" w:eastAsia="仿宋"/>
          <w:b/>
          <w:bCs/>
          <w:color w:val="000000"/>
          <w:sz w:val="28"/>
          <w:szCs w:val="28"/>
        </w:rPr>
        <w:t xml:space="preserve">三、投标文件的编制</w:t>
      </w:r>
      <w:bookmarkEnd w:id="104"/>
      <w:r/>
      <w:bookmarkEnd w:id="105"/>
      <w:r/>
      <w:bookmarkEnd w:id="106"/>
      <w:r/>
      <w:bookmarkEnd w:id="107"/>
      <w:r/>
      <w:bookmarkEnd w:id="108"/>
      <w:r/>
      <w:bookmarkEnd w:id="109"/>
      <w:r>
        <w:rPr>
          <w:rFonts w:hint="eastAsia" w:ascii="仿宋" w:hAnsi="仿宋" w:eastAsia="仿宋"/>
          <w:b/>
          <w:bCs/>
          <w:color w:val="000000"/>
          <w:sz w:val="28"/>
          <w:szCs w:val="28"/>
        </w:rPr>
      </w:r>
      <w:r/>
    </w:p>
    <w:p>
      <w:pPr>
        <w:pStyle w:val="963"/>
        <w:ind w:firstLine="560"/>
        <w:keepLines/>
        <w:keepNext/>
        <w:spacing w:line="480" w:lineRule="exact"/>
        <w:rPr>
          <w:rFonts w:hint="eastAsia" w:ascii="仿宋" w:hAnsi="仿宋" w:eastAsia="仿宋" w:cs="Arial"/>
          <w:b/>
          <w:color w:val="000000"/>
          <w:sz w:val="28"/>
          <w:szCs w:val="28"/>
        </w:rPr>
        <w:outlineLvl w:val="3"/>
      </w:pPr>
      <w:r/>
      <w:bookmarkStart w:id="110" w:name="_Toc462564073"/>
      <w:r/>
      <w:bookmarkStart w:id="111" w:name="_Toc20823286"/>
      <w:r/>
      <w:bookmarkStart w:id="112" w:name="_Toc513029214"/>
      <w:r/>
      <w:bookmarkStart w:id="113" w:name="_Toc16938530"/>
      <w:r>
        <w:rPr>
          <w:rFonts w:hint="eastAsia" w:ascii="仿宋" w:hAnsi="仿宋" w:eastAsia="仿宋" w:cs="Arial"/>
          <w:color w:val="000000"/>
          <w:sz w:val="28"/>
          <w:szCs w:val="28"/>
        </w:rPr>
        <w:t xml:space="preserve">9、投标文件的语言及度量衡单位</w:t>
      </w:r>
      <w:bookmarkEnd w:id="110"/>
      <w:r/>
      <w:bookmarkEnd w:id="111"/>
      <w:r/>
      <w:bookmarkEnd w:id="112"/>
      <w:r/>
      <w:bookmarkEnd w:id="113"/>
      <w:r>
        <w:rPr>
          <w:rFonts w:hint="eastAsia" w:ascii="仿宋" w:hAnsi="仿宋" w:eastAsia="仿宋" w:cs="Arial"/>
          <w:b/>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14" w:name="_Toc16938531"/>
      <w:r/>
      <w:bookmarkStart w:id="115" w:name="_Toc513029215"/>
      <w:r/>
      <w:bookmarkStart w:id="116" w:name="_Toc20823287"/>
      <w:r/>
      <w:bookmarkStart w:id="117" w:name="_Toc462564074"/>
      <w:r>
        <w:rPr>
          <w:rFonts w:hint="eastAsia" w:ascii="仿宋" w:hAnsi="仿宋" w:eastAsia="仿宋" w:cs="Arial"/>
          <w:color w:val="000000"/>
          <w:sz w:val="28"/>
          <w:szCs w:val="28"/>
        </w:rPr>
        <w:t xml:space="preserve">10、投标文件构成</w:t>
      </w:r>
      <w:bookmarkEnd w:id="114"/>
      <w:r/>
      <w:bookmarkEnd w:id="115"/>
      <w:r/>
      <w:bookmarkEnd w:id="116"/>
      <w:r/>
      <w:bookmarkEnd w:id="117"/>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w:t>
      </w:r>
      <w:r>
        <w:rPr>
          <w:rFonts w:hint="eastAsia" w:ascii="仿宋" w:hAnsi="仿宋" w:eastAsia="仿宋"/>
          <w:color w:val="000000"/>
          <w:sz w:val="28"/>
          <w:szCs w:val="28"/>
        </w:rPr>
        <w:t xml:space="preserve">证明文件、实质性要求响应及偏离表、投标分项报价表、技术要求响应及偏离表、商务要求响应及偏离表、其他证明文件、投标函、开标一览表等部分。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18" w:name="_Hlt26668975"/>
      <w:r/>
      <w:bookmarkEnd w:id="118"/>
      <w:r/>
      <w:bookmarkStart w:id="119" w:name="_Hlt26670360"/>
      <w:r/>
      <w:bookmarkEnd w:id="119"/>
      <w:r/>
      <w:bookmarkStart w:id="120" w:name="_Hlt26954838"/>
      <w:r/>
      <w:bookmarkEnd w:id="120"/>
      <w:r/>
      <w:bookmarkStart w:id="121" w:name="_Toc14577357"/>
      <w:r/>
      <w:bookmarkStart w:id="122" w:name="_Toc513029219"/>
      <w:r/>
      <w:bookmarkStart w:id="123" w:name="_Toc49090509"/>
      <w:r/>
      <w:bookmarkStart w:id="124" w:name="_Toc14577354"/>
      <w:r/>
      <w:bookmarkStart w:id="125" w:name="_Toc49090507"/>
      <w:r/>
      <w:bookmarkStart w:id="126" w:name="_Toc513029216"/>
      <w:r/>
      <w:bookmarkStart w:id="127" w:name="_Toc49090508"/>
      <w:r/>
      <w:bookmarkStart w:id="128" w:name="_Toc14577355"/>
      <w:r>
        <w:rPr>
          <w:rFonts w:hint="eastAsia" w:ascii="仿宋" w:hAnsi="仿宋" w:eastAsia="仿宋" w:cs="Arial"/>
          <w:color w:val="000000"/>
          <w:sz w:val="28"/>
          <w:szCs w:val="28"/>
        </w:rPr>
        <w:t xml:space="preserve">11、证明投标人及投标标的符合招标文件规定的文件</w:t>
      </w:r>
      <w:bookmarkEnd w:id="121"/>
      <w:r/>
      <w:bookmarkEnd w:id="122"/>
      <w:r/>
      <w:bookmarkEnd w:id="123"/>
      <w:r>
        <w:rPr>
          <w:rFonts w:hint="eastAsia" w:ascii="仿宋" w:hAnsi="仿宋" w:eastAsia="仿宋" w:cs="Arial"/>
          <w:color w:val="000000"/>
          <w:sz w:val="28"/>
          <w:szCs w:val="28"/>
        </w:rPr>
      </w:r>
      <w:r/>
    </w:p>
    <w:p>
      <w:pPr>
        <w:pStyle w:val="963"/>
        <w:spacing w:line="480" w:lineRule="exact"/>
        <w:rPr>
          <w:rFonts w:hint="eastAsia" w:ascii="仿宋" w:hAnsi="仿宋" w:eastAsia="仿宋"/>
          <w:color w:val="000000"/>
          <w:sz w:val="28"/>
          <w:szCs w:val="28"/>
        </w:rPr>
      </w:pPr>
      <w:r/>
      <w:bookmarkEnd w:id="124"/>
      <w:r/>
      <w:bookmarkEnd w:id="125"/>
      <w:r/>
      <w:bookmarkEnd w:id="126"/>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End w:id="127"/>
      <w:r/>
      <w:bookmarkEnd w:id="128"/>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ff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w:t>
      </w:r>
      <w:r>
        <w:rPr>
          <w:rFonts w:hint="eastAsia" w:ascii="仿宋" w:hAnsi="仿宋" w:eastAsia="仿宋"/>
          <w:color w:val="000000"/>
          <w:sz w:val="28"/>
          <w:szCs w:val="28"/>
          <w:lang w:val="en-US" w:eastAsia="zh-CN"/>
        </w:rPr>
        <w:t xml:space="preserve">招标</w:t>
      </w:r>
      <w:r>
        <w:rPr>
          <w:rFonts w:hint="eastAsia" w:ascii="仿宋" w:hAnsi="仿宋" w:eastAsia="仿宋"/>
          <w:color w:val="000000"/>
          <w:sz w:val="28"/>
          <w:szCs w:val="28"/>
        </w:rPr>
        <w:t xml:space="preserve">文件规定格式填报投标分项报价表。</w:t>
      </w:r>
      <w:r>
        <w:rPr>
          <w:rFonts w:hint="eastAsia" w:ascii="仿宋" w:hAnsi="仿宋" w:eastAsia="仿宋"/>
          <w:bCs/>
          <w:color w:val="ff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29" w:name="_Hlt26670486"/>
      <w:r/>
      <w:bookmarkEnd w:id="129"/>
      <w:r/>
      <w:bookmarkStart w:id="130" w:name="_Hlt26954731"/>
      <w:r/>
      <w:bookmarkEnd w:id="130"/>
      <w:r/>
      <w:bookmarkStart w:id="131" w:name="_Hlt26670482"/>
      <w:r/>
      <w:bookmarkEnd w:id="131"/>
      <w:r/>
      <w:bookmarkStart w:id="132" w:name="_Hlt26954848"/>
      <w:r/>
      <w:bookmarkEnd w:id="132"/>
      <w:r/>
      <w:bookmarkStart w:id="133" w:name="_Hlt26954846"/>
      <w:r/>
      <w:bookmarkEnd w:id="133"/>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963"/>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63"/>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w:t>
      </w:r>
      <w:r>
        <w:rPr>
          <w:rFonts w:hint="eastAsia" w:ascii="仿宋" w:hAnsi="仿宋" w:eastAsia="仿宋" w:cs="宋体"/>
          <w:color w:val="000000"/>
          <w:sz w:val="28"/>
          <w:szCs w:val="28"/>
          <w:lang w:val="zh-CN"/>
        </w:rPr>
        <w:t xml:space="preserve">2投标人需按照</w:t>
      </w:r>
      <w:r>
        <w:rPr>
          <w:rFonts w:hint="eastAsia" w:ascii="仿宋" w:hAnsi="仿宋" w:eastAsia="仿宋" w:cs="宋体"/>
          <w:color w:val="000000"/>
          <w:sz w:val="28"/>
          <w:szCs w:val="28"/>
          <w:lang w:val="en-US" w:eastAsia="zh-CN"/>
        </w:rPr>
        <w:t xml:space="preserve">招标</w:t>
      </w:r>
      <w:r>
        <w:rPr>
          <w:rFonts w:hint="eastAsia" w:ascii="仿宋" w:hAnsi="仿宋" w:eastAsia="仿宋" w:cs="宋体"/>
          <w:color w:val="000000"/>
          <w:sz w:val="28"/>
          <w:szCs w:val="28"/>
          <w:lang w:val="zh-CN"/>
        </w:rPr>
        <w:t xml:space="preserve">文件要求，在投标文件中提供与技术要求和商务要求相关的证明材料。</w:t>
      </w:r>
      <w:r>
        <w:rPr>
          <w:rFonts w:hint="eastAsia" w:ascii="仿宋" w:hAnsi="仿宋" w:eastAsia="仿宋" w:cs="宋体"/>
          <w:color w:val="000000"/>
          <w:sz w:val="28"/>
          <w:szCs w:val="28"/>
          <w:lang w:val="zh-CN"/>
        </w:rPr>
      </w:r>
      <w:r/>
    </w:p>
    <w:p>
      <w:pPr>
        <w:pStyle w:val="963"/>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rPr>
          <w:rFonts w:hint="eastAsia" w:ascii="仿宋" w:hAnsi="仿宋" w:eastAsia="仿宋" w:cs="Arial"/>
          <w:b/>
          <w:bCs/>
          <w:color w:val="000000"/>
          <w:sz w:val="28"/>
          <w:szCs w:val="28"/>
          <w:lang w:eastAsia="zh-CN"/>
        </w:rPr>
        <w:t xml:space="preserve">（</w:t>
      </w:r>
      <w:r>
        <w:rPr>
          <w:rFonts w:hint="eastAsia" w:ascii="仿宋" w:hAnsi="仿宋" w:eastAsia="仿宋" w:cs="Arial"/>
          <w:b/>
          <w:bCs/>
          <w:color w:val="000000"/>
          <w:sz w:val="28"/>
          <w:szCs w:val="28"/>
          <w:lang w:val="en-US" w:eastAsia="zh-CN"/>
        </w:rPr>
        <w:t xml:space="preserve">根据项目需求的实际要求进行填写</w:t>
      </w:r>
      <w:r>
        <w:rPr>
          <w:rFonts w:hint="eastAsia" w:ascii="仿宋" w:hAnsi="仿宋" w:eastAsia="仿宋" w:cs="Arial"/>
          <w:b/>
          <w:bCs/>
          <w:color w:val="000000"/>
          <w:sz w:val="28"/>
          <w:szCs w:val="28"/>
          <w:lang w:eastAsia="zh-CN"/>
        </w:rPr>
        <w:t xml:space="preserve">）</w:t>
      </w:r>
      <w:r>
        <w:rPr>
          <w:rFonts w:hint="eastAsia" w:ascii="仿宋" w:hAnsi="仿宋" w:eastAsia="仿宋" w:cs="Arial"/>
          <w:color w:val="000000"/>
          <w:sz w:val="28"/>
          <w:szCs w:val="28"/>
        </w:rPr>
      </w:r>
      <w:r/>
    </w:p>
    <w:p>
      <w:pPr>
        <w:pStyle w:val="963"/>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63"/>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63"/>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34" w:name="_Toc14577359"/>
      <w:r/>
      <w:bookmarkStart w:id="135" w:name="_Toc49090510"/>
      <w:r>
        <w:rPr>
          <w:rFonts w:hint="eastAsia" w:ascii="仿宋" w:hAnsi="仿宋" w:eastAsia="仿宋" w:cs="Arial"/>
          <w:color w:val="000000"/>
          <w:sz w:val="28"/>
          <w:szCs w:val="28"/>
        </w:rPr>
        <w:t xml:space="preserve">15、投标函和开标一览表</w:t>
      </w:r>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End w:id="134"/>
      <w:r/>
      <w:bookmarkEnd w:id="135"/>
      <w:r/>
      <w:bookmarkStart w:id="136" w:name="_Toc49090511"/>
      <w:r/>
      <w:bookmarkStart w:id="137" w:name="_Toc14577360"/>
      <w:r>
        <w:rPr>
          <w:rFonts w:hint="eastAsia" w:ascii="仿宋" w:hAnsi="仿宋" w:eastAsia="仿宋" w:cs="Arial"/>
          <w:color w:val="000000"/>
          <w:sz w:val="28"/>
          <w:szCs w:val="28"/>
        </w:rPr>
        <w:t xml:space="preserve">16、投标有效期</w:t>
      </w:r>
      <w:bookmarkEnd w:id="136"/>
      <w:r/>
      <w:bookmarkEnd w:id="137"/>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rPr>
        <w:t xml:space="preserve">。投标有效期比规定短的将被视为未实质性响应招标文件而予以拒绝。</w:t>
      </w:r>
      <w:r>
        <w:rPr>
          <w:rFonts w:hint="eastAsia" w:ascii="仿宋" w:hAnsi="仿宋" w:eastAsia="仿宋"/>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63"/>
        <w:keepLines/>
        <w:keepNext/>
        <w:spacing w:before="145" w:after="145" w:line="480" w:lineRule="exact"/>
        <w:rPr>
          <w:rFonts w:hint="eastAsia" w:ascii="仿宋" w:hAnsi="仿宋" w:eastAsia="仿宋"/>
          <w:b/>
          <w:bCs/>
          <w:color w:val="000000"/>
          <w:sz w:val="28"/>
          <w:szCs w:val="28"/>
        </w:rPr>
        <w:outlineLvl w:val="2"/>
      </w:pPr>
      <w:r/>
      <w:bookmarkStart w:id="138" w:name="_Hlt26954739"/>
      <w:r/>
      <w:bookmarkEnd w:id="138"/>
      <w:r/>
      <w:bookmarkStart w:id="139" w:name="_Hlt26954852"/>
      <w:r/>
      <w:bookmarkEnd w:id="139"/>
      <w:r/>
      <w:bookmarkStart w:id="140" w:name="_Toc120614217"/>
      <w:r/>
      <w:bookmarkStart w:id="141" w:name="_Toc17975"/>
      <w:r/>
      <w:bookmarkStart w:id="142" w:name="_Toc20823296"/>
      <w:r/>
      <w:bookmarkStart w:id="143" w:name="_Toc16938540"/>
      <w:r/>
      <w:bookmarkStart w:id="144" w:name="_Toc513029224"/>
      <w:r>
        <w:rPr>
          <w:rFonts w:hint="eastAsia" w:ascii="仿宋" w:hAnsi="仿宋" w:eastAsia="仿宋"/>
          <w:b/>
          <w:bCs/>
          <w:color w:val="000000"/>
          <w:sz w:val="28"/>
          <w:szCs w:val="28"/>
        </w:rPr>
        <w:t xml:space="preserve">四、投标文件的递交</w:t>
      </w:r>
      <w:bookmarkEnd w:id="140"/>
      <w:r/>
      <w:bookmarkEnd w:id="141"/>
      <w:r/>
      <w:bookmarkEnd w:id="142"/>
      <w:r/>
      <w:bookmarkEnd w:id="143"/>
      <w:r/>
      <w:bookmarkEnd w:id="144"/>
      <w:r>
        <w:rPr>
          <w:rFonts w:hint="eastAsia" w:ascii="仿宋" w:hAnsi="仿宋" w:eastAsia="仿宋"/>
          <w:b/>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45" w:name="_Toc462564084"/>
      <w:r/>
      <w:bookmarkStart w:id="146" w:name="_Toc20823297"/>
      <w:r/>
      <w:bookmarkStart w:id="147" w:name="_Toc513029225"/>
      <w:r/>
      <w:bookmarkStart w:id="148" w:name="_Toc16938541"/>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8</w:t>
      </w:r>
      <w:r>
        <w:rPr>
          <w:rFonts w:hint="eastAsia" w:ascii="仿宋" w:hAnsi="仿宋" w:eastAsia="仿宋" w:cs="Arial"/>
          <w:color w:val="000000"/>
          <w:sz w:val="28"/>
          <w:szCs w:val="28"/>
        </w:rPr>
        <w:t xml:space="preserve">、电子投标文件</w:t>
      </w:r>
      <w:bookmarkEnd w:id="145"/>
      <w:r/>
      <w:bookmarkEnd w:id="146"/>
      <w:r/>
      <w:bookmarkEnd w:id="147"/>
      <w:r/>
      <w:bookmarkEnd w:id="148"/>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963"/>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49" w:name="_Toc513029226"/>
      <w:r/>
      <w:bookmarkStart w:id="150" w:name="_Toc16938542"/>
      <w:r/>
      <w:bookmarkStart w:id="151" w:name="_Toc20823298"/>
      <w:r>
        <w:rPr>
          <w:rFonts w:ascii="仿宋" w:hAnsi="仿宋" w:eastAsia="仿宋"/>
          <w:bCs/>
          <w:color w:val="000000"/>
          <w:sz w:val="28"/>
          <w:szCs w:val="28"/>
        </w:rPr>
      </w:r>
      <w:r/>
    </w:p>
    <w:p>
      <w:pPr>
        <w:pStyle w:val="963"/>
        <w:ind w:firstLine="420"/>
        <w:keepLines/>
        <w:keepNext/>
        <w:spacing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19</w:t>
      </w:r>
      <w:r>
        <w:rPr>
          <w:rFonts w:hint="eastAsia" w:ascii="仿宋" w:hAnsi="仿宋" w:eastAsia="仿宋" w:cs="Arial"/>
          <w:color w:val="000000"/>
          <w:sz w:val="28"/>
          <w:szCs w:val="28"/>
        </w:rPr>
        <w:t xml:space="preserve">、</w:t>
      </w:r>
      <w:bookmarkEnd w:id="149"/>
      <w:r/>
      <w:bookmarkEnd w:id="150"/>
      <w:r/>
      <w:bookmarkEnd w:id="151"/>
      <w:r>
        <w:rPr>
          <w:rFonts w:hint="eastAsia" w:ascii="仿宋" w:hAnsi="仿宋" w:eastAsia="仿宋" w:cs="Arial"/>
          <w:color w:val="000000"/>
          <w:sz w:val="28"/>
          <w:szCs w:val="28"/>
        </w:rPr>
        <w:t xml:space="preserve">提交响应文件截止时间</w:t>
      </w:r>
      <w:r>
        <w:rPr>
          <w:rFonts w:hint="eastAsia" w:ascii="仿宋" w:hAnsi="仿宋" w:eastAsia="仿宋" w:cs="Arial"/>
          <w:bCs/>
          <w:color w:val="000000"/>
          <w:sz w:val="28"/>
          <w:szCs w:val="28"/>
        </w:rPr>
      </w:r>
      <w:r/>
    </w:p>
    <w:p>
      <w:pPr>
        <w:pStyle w:val="963"/>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w:t>
      </w:r>
      <w:r>
        <w:rPr>
          <w:rFonts w:hint="eastAsia" w:ascii="仿宋" w:hAnsi="仿宋" w:eastAsia="仿宋"/>
          <w:b/>
          <w:bCs/>
          <w:color w:val="000000"/>
          <w:sz w:val="28"/>
          <w:szCs w:val="28"/>
          <w:u w:val="single"/>
          <w:lang w:val="en-US" w:eastAsia="zh-CN"/>
        </w:rPr>
        <w:t xml:space="preserve">招标</w:t>
      </w:r>
      <w:r>
        <w:rPr>
          <w:rFonts w:hint="eastAsia" w:ascii="仿宋" w:hAnsi="仿宋" w:eastAsia="仿宋"/>
          <w:b/>
          <w:bCs/>
          <w:color w:val="000000"/>
          <w:sz w:val="28"/>
          <w:szCs w:val="28"/>
          <w:u w:val="single"/>
        </w:rPr>
        <w:t xml:space="preserve">公告中规定的投标截止时间。</w:t>
      </w:r>
      <w:r>
        <w:rPr>
          <w:rFonts w:hint="eastAsia" w:ascii="仿宋" w:hAnsi="仿宋" w:eastAsia="仿宋"/>
          <w:b/>
          <w:bCs/>
          <w:color w:val="000000"/>
          <w:sz w:val="28"/>
          <w:szCs w:val="28"/>
          <w:u w:val="single"/>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52" w:name="_Toc16938543"/>
      <w:r/>
      <w:bookmarkStart w:id="153" w:name="_Toc20823299"/>
      <w:r/>
      <w:bookmarkStart w:id="154" w:name="_Toc513029227"/>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52"/>
      <w:r/>
      <w:bookmarkEnd w:id="153"/>
      <w:r/>
      <w:bookmarkEnd w:id="154"/>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55" w:name="_Toc20823300"/>
      <w:r/>
      <w:bookmarkStart w:id="156" w:name="_Toc16938544"/>
      <w:r/>
      <w:bookmarkStart w:id="157" w:name="_Toc51302922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55"/>
      <w:r/>
      <w:bookmarkEnd w:id="156"/>
      <w:r/>
      <w:bookmarkEnd w:id="157"/>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w:t>
      </w:r>
      <w:r>
        <w:rPr>
          <w:rFonts w:hint="eastAsia" w:ascii="仿宋" w:hAnsi="仿宋" w:eastAsia="仿宋"/>
          <w:bCs/>
          <w:color w:val="000000"/>
          <w:sz w:val="28"/>
          <w:szCs w:val="28"/>
          <w:lang w:val="en-US" w:eastAsia="zh-CN"/>
        </w:rPr>
        <w:t xml:space="preserve">磋商</w:t>
      </w:r>
      <w:r>
        <w:rPr>
          <w:rFonts w:hint="eastAsia" w:ascii="仿宋" w:hAnsi="仿宋" w:eastAsia="仿宋"/>
          <w:bCs/>
          <w:color w:val="000000"/>
          <w:sz w:val="28"/>
          <w:szCs w:val="28"/>
        </w:rPr>
        <w:t xml:space="preserve">文件中规定的投标有效期满之间的这段时间内，投标人不得撤回</w:t>
      </w:r>
      <w:r>
        <w:rPr>
          <w:rFonts w:hint="eastAsia" w:ascii="仿宋" w:hAnsi="仿宋" w:eastAsia="仿宋" w:cs="Times New Roman"/>
          <w:bCs/>
          <w:color w:val="000000"/>
          <w:sz w:val="28"/>
          <w:szCs w:val="28"/>
        </w:rPr>
        <w:t xml:space="preserve">其响应文件</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63"/>
        <w:ind w:firstLine="560"/>
        <w:keepLines/>
        <w:keepNext/>
        <w:spacing w:line="480" w:lineRule="exact"/>
        <w:rPr>
          <w:rFonts w:hint="eastAsia" w:ascii="仿宋" w:hAnsi="仿宋" w:eastAsia="仿宋"/>
          <w:bCs/>
          <w:color w:val="000000"/>
          <w:sz w:val="28"/>
          <w:szCs w:val="28"/>
        </w:rPr>
        <w:outlineLvl w:val="0"/>
      </w:pPr>
      <w:r/>
      <w:bookmarkStart w:id="158" w:name="_Toc9120"/>
      <w:r/>
      <w:bookmarkStart w:id="159" w:name="_Toc16938545"/>
      <w:r/>
      <w:bookmarkStart w:id="160" w:name="_Toc120614218"/>
      <w:r/>
      <w:bookmarkStart w:id="161" w:name="_Toc20823301"/>
      <w:r/>
      <w:bookmarkStart w:id="162" w:name="_Toc513029229"/>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bookmarkEnd w:id="158"/>
      <w:r>
        <w:rPr>
          <w:rFonts w:hint="eastAsia" w:ascii="仿宋" w:hAnsi="仿宋" w:eastAsia="仿宋"/>
          <w:bCs/>
          <w:color w:val="000000"/>
          <w:sz w:val="28"/>
          <w:szCs w:val="28"/>
        </w:rPr>
      </w:r>
      <w:r/>
    </w:p>
    <w:p>
      <w:pPr>
        <w:pStyle w:val="963"/>
        <w:ind w:firstLine="700"/>
        <w:spacing w:line="480" w:lineRule="exact"/>
        <w:rPr>
          <w:rFonts w:hint="eastAsia" w:ascii="仿宋" w:hAnsi="仿宋" w:eastAsia="仿宋"/>
          <w:color w:val="000000"/>
          <w:sz w:val="28"/>
          <w:szCs w:val="28"/>
        </w:rPr>
        <w:outlineLvl w:val="0"/>
      </w:pPr>
      <w:r/>
      <w:bookmarkStart w:id="163" w:name="_Toc9449"/>
      <w:r>
        <w:rPr>
          <w:rFonts w:ascii="仿宋" w:hAnsi="仿宋" w:eastAsia="仿宋"/>
          <w:color w:val="000000"/>
          <w:sz w:val="28"/>
          <w:szCs w:val="28"/>
        </w:rPr>
        <w:t xml:space="preserve">30</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w:t>
      </w:r>
      <w:r>
        <w:rPr>
          <w:rFonts w:hint="eastAsia" w:ascii="仿宋" w:hAnsi="仿宋" w:eastAsia="仿宋"/>
          <w:color w:val="000000"/>
          <w:sz w:val="28"/>
          <w:szCs w:val="28"/>
        </w:rPr>
        <w:t xml:space="preserve">日起30日内,使用CA数字证书登录苏采云系统及时下载中标通知书。因系统存储空间有限，自中标结果公告届满之日起30日后，苏采云系统不</w:t>
      </w:r>
      <w:r>
        <w:rPr>
          <w:rFonts w:hint="eastAsia" w:ascii="仿宋" w:hAnsi="仿宋" w:eastAsia="仿宋"/>
          <w:color w:val="000000"/>
          <w:sz w:val="28"/>
          <w:szCs w:val="28"/>
        </w:rPr>
        <w:t xml:space="preserve">再保证提供下载中标通知书服务,因未及时下载而造成的不利后果由中标人自行承担。</w:t>
      </w:r>
      <w:bookmarkEnd w:id="163"/>
      <w:r>
        <w:rPr>
          <w:rFonts w:hint="eastAsia" w:ascii="仿宋" w:hAnsi="仿宋" w:eastAsia="仿宋"/>
          <w:color w:val="000000"/>
          <w:sz w:val="28"/>
          <w:szCs w:val="28"/>
        </w:rPr>
      </w:r>
      <w:r/>
    </w:p>
    <w:p>
      <w:pPr>
        <w:pStyle w:val="963"/>
        <w:ind w:firstLine="700"/>
        <w:spacing w:line="480" w:lineRule="exact"/>
        <w:rPr>
          <w:rFonts w:hint="eastAsia" w:ascii="仿宋" w:hAnsi="仿宋" w:eastAsia="仿宋"/>
          <w:color w:val="000000"/>
          <w:sz w:val="28"/>
          <w:szCs w:val="28"/>
        </w:rPr>
        <w:outlineLvl w:val="0"/>
      </w:pPr>
      <w:r/>
      <w:bookmarkStart w:id="164" w:name="_Toc12396"/>
      <w:r>
        <w:rPr>
          <w:rFonts w:hint="eastAsia" w:ascii="仿宋" w:hAnsi="仿宋" w:eastAsia="仿宋"/>
          <w:color w:val="000000"/>
          <w:sz w:val="28"/>
          <w:szCs w:val="28"/>
        </w:rPr>
        <w:t xml:space="preserve">3</w:t>
      </w:r>
      <w:r>
        <w:rPr>
          <w:rFonts w:ascii="仿宋" w:hAnsi="仿宋" w:eastAsia="仿宋"/>
          <w:color w:val="000000"/>
          <w:sz w:val="28"/>
          <w:szCs w:val="28"/>
        </w:rPr>
        <w:t xml:space="preserve">0</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bookmarkEnd w:id="164"/>
      <w:r>
        <w:rPr>
          <w:rFonts w:hint="eastAsia" w:ascii="仿宋" w:hAnsi="仿宋" w:eastAsia="仿宋"/>
          <w:color w:val="000000"/>
          <w:sz w:val="28"/>
          <w:szCs w:val="28"/>
        </w:rPr>
      </w:r>
      <w:r/>
    </w:p>
    <w:p>
      <w:pPr>
        <w:pStyle w:val="963"/>
        <w:ind w:firstLine="422"/>
        <w:keepLines/>
        <w:keepNext/>
        <w:spacing w:before="145" w:after="145" w:line="480" w:lineRule="exact"/>
        <w:rPr>
          <w:rFonts w:hint="eastAsia" w:ascii="仿宋" w:hAnsi="仿宋" w:eastAsia="仿宋"/>
          <w:b/>
          <w:bCs/>
          <w:color w:val="000000"/>
          <w:sz w:val="28"/>
          <w:szCs w:val="28"/>
        </w:rPr>
        <w:outlineLvl w:val="2"/>
      </w:pPr>
      <w:r/>
      <w:bookmarkStart w:id="165" w:name="_Toc3067"/>
      <w:r>
        <w:rPr>
          <w:rFonts w:hint="eastAsia" w:ascii="仿宋" w:hAnsi="仿宋" w:eastAsia="仿宋"/>
          <w:b/>
          <w:bCs/>
          <w:color w:val="000000"/>
          <w:sz w:val="28"/>
          <w:szCs w:val="28"/>
        </w:rPr>
        <w:t xml:space="preserve">五、开标与评标</w:t>
      </w:r>
      <w:bookmarkEnd w:id="159"/>
      <w:r/>
      <w:bookmarkEnd w:id="160"/>
      <w:r/>
      <w:bookmarkEnd w:id="161"/>
      <w:r/>
      <w:bookmarkEnd w:id="162"/>
      <w:r/>
      <w:bookmarkEnd w:id="165"/>
      <w:r>
        <w:rPr>
          <w:rFonts w:hint="eastAsia" w:ascii="仿宋" w:hAnsi="仿宋" w:eastAsia="仿宋"/>
          <w:b/>
          <w:bCs/>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66" w:name="_Toc20823302"/>
      <w:r/>
      <w:bookmarkStart w:id="167" w:name="_Toc513029230"/>
      <w:r/>
      <w:bookmarkStart w:id="168" w:name="_Toc16938546"/>
      <w:r>
        <w:rPr>
          <w:rFonts w:hint="eastAsia" w:ascii="仿宋" w:hAnsi="仿宋" w:eastAsia="仿宋" w:cs="Arial"/>
          <w:color w:val="000000"/>
          <w:sz w:val="28"/>
          <w:szCs w:val="28"/>
        </w:rPr>
        <w:t xml:space="preserve">22、开标</w:t>
      </w:r>
      <w:bookmarkEnd w:id="166"/>
      <w:r/>
      <w:bookmarkEnd w:id="167"/>
      <w:r/>
      <w:bookmarkEnd w:id="168"/>
      <w:r>
        <w:rPr>
          <w:rFonts w:hint="eastAsia" w:ascii="仿宋" w:hAnsi="仿宋" w:eastAsia="仿宋" w:cs="Arial"/>
          <w:color w:val="000000"/>
          <w:sz w:val="28"/>
          <w:szCs w:val="28"/>
        </w:rPr>
      </w:r>
      <w:r/>
    </w:p>
    <w:p>
      <w:pPr>
        <w:pStyle w:val="963"/>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63"/>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63"/>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63"/>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69" w:name="_Toc513029231"/>
      <w:r/>
      <w:bookmarkStart w:id="170" w:name="_Toc16938547"/>
      <w:r/>
      <w:bookmarkStart w:id="171" w:name="_Toc2082330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963"/>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000000"/>
          <w:sz w:val="28"/>
          <w:szCs w:val="28"/>
        </w:rPr>
      </w:pPr>
      <w:r/>
      <w:bookmarkEnd w:id="169"/>
      <w:r/>
      <w:bookmarkEnd w:id="170"/>
      <w:r/>
      <w:bookmarkEnd w:id="171"/>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963"/>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63"/>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963"/>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bookmarkStart w:id="172" w:name="_Toc20823304"/>
      <w:r/>
      <w:bookmarkStart w:id="173" w:name="_Toc16938548"/>
      <w:r/>
      <w:bookmarkStart w:id="174" w:name="_Toc513029232"/>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72"/>
      <w:r/>
      <w:bookmarkEnd w:id="173"/>
      <w:r/>
      <w:bookmarkEnd w:id="174"/>
      <w:r>
        <w:rPr>
          <w:rFonts w:hint="eastAsia" w:ascii="仿宋" w:hAnsi="仿宋" w:eastAsia="仿宋" w:cs="Arial"/>
          <w:color w:val="000000"/>
          <w:sz w:val="28"/>
          <w:szCs w:val="28"/>
        </w:rPr>
      </w:r>
      <w:r/>
    </w:p>
    <w:p>
      <w:pPr>
        <w:pStyle w:val="963"/>
        <w:ind w:firstLine="560"/>
        <w:spacing w:line="480" w:lineRule="exact"/>
        <w:rPr>
          <w:rFonts w:ascii="仿宋" w:hAnsi="仿宋" w:eastAsia="仿宋"/>
          <w:color w:val="000000"/>
          <w:sz w:val="28"/>
          <w:szCs w:val="28"/>
        </w:rPr>
      </w:pPr>
      <w:r/>
      <w:bookmarkStart w:id="175" w:name="_Toc16938549"/>
      <w:r/>
      <w:bookmarkStart w:id="176" w:name="_Toc513029233"/>
      <w:r/>
      <w:bookmarkStart w:id="177" w:name="_Toc20823305"/>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63"/>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75"/>
      <w:r/>
      <w:bookmarkEnd w:id="176"/>
      <w:r/>
      <w:bookmarkEnd w:id="177"/>
      <w:r>
        <w:rPr>
          <w:rFonts w:hint="eastAsia" w:ascii="仿宋" w:hAnsi="仿宋" w:eastAsia="仿宋" w:cs="Arial"/>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63"/>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63"/>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63"/>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63"/>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63"/>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63"/>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63"/>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63"/>
        <w:ind w:firstLine="560"/>
        <w:spacing w:line="480" w:lineRule="exact"/>
        <w:rPr>
          <w:rFonts w:ascii="仿宋" w:hAnsi="仿宋" w:eastAsia="仿宋"/>
          <w:color w:val="000000"/>
          <w:sz w:val="28"/>
          <w:szCs w:val="28"/>
        </w:rPr>
      </w:pPr>
      <w:r/>
      <w:bookmarkStart w:id="178" w:name="_Toc16938550"/>
      <w:r/>
      <w:bookmarkStart w:id="179" w:name="_Toc513029234"/>
      <w:r/>
      <w:bookmarkStart w:id="180"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63"/>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78"/>
      <w:r/>
      <w:bookmarkEnd w:id="179"/>
      <w:r/>
      <w:bookmarkEnd w:id="180"/>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963"/>
        <w:ind w:left="479"/>
        <w:spacing w:line="480" w:lineRule="exact"/>
        <w:rPr>
          <w:rFonts w:hint="eastAsia" w:ascii="仿宋" w:hAnsi="仿宋" w:eastAsia="仿宋"/>
          <w:bCs/>
          <w:color w:val="000000"/>
          <w:sz w:val="28"/>
          <w:szCs w:val="28"/>
        </w:rPr>
      </w:pPr>
      <w:r/>
      <w:bookmarkStart w:id="181" w:name="_Toc20823307"/>
      <w:r/>
      <w:bookmarkStart w:id="182" w:name="_Toc513029235"/>
      <w:r/>
      <w:bookmarkStart w:id="183" w:name="_Toc16938551"/>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投标人</w:t>
      </w:r>
      <w:r>
        <w:rPr>
          <w:rFonts w:hint="eastAsia" w:ascii="仿宋" w:hAnsi="仿宋" w:eastAsia="仿宋"/>
          <w:bCs/>
          <w:color w:val="000000"/>
          <w:sz w:val="28"/>
          <w:szCs w:val="28"/>
        </w:rPr>
        <w:t xml:space="preserve">在</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规定的时间内未成功解密电子投标文件的。</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投标人未按照招标文件要求上传电子投标文件的。</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投标人同一</w:t>
      </w:r>
      <w:r>
        <w:rPr>
          <w:rFonts w:ascii="仿宋" w:hAnsi="仿宋" w:eastAsia="仿宋"/>
          <w:bCs/>
          <w:color w:val="000000"/>
          <w:sz w:val="28"/>
          <w:szCs w:val="28"/>
        </w:rPr>
        <w:t xml:space="preserve">分包</w:t>
      </w:r>
      <w:r>
        <w:rPr>
          <w:rFonts w:hint="eastAsia" w:ascii="仿宋" w:hAnsi="仿宋" w:eastAsia="仿宋"/>
          <w:bCs/>
          <w:color w:val="000000"/>
          <w:sz w:val="28"/>
          <w:szCs w:val="28"/>
        </w:rPr>
        <w:t xml:space="preserve">提交两个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投标人不具备招标文件中规定资格要求的。</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963"/>
        <w:ind w:firstLine="420"/>
        <w:spacing w:line="480" w:lineRule="exact"/>
        <w:rPr>
          <w:rFonts w:hint="eastAsia" w:ascii="仿宋" w:hAnsi="仿宋" w:eastAsia="仿宋"/>
          <w:b/>
          <w:bCs/>
          <w:sz w:val="28"/>
          <w:szCs w:val="28"/>
          <w:highlight w:val="none"/>
          <w:u w:val="single"/>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不符合招标文件中规定的实质性要求的</w:t>
      </w:r>
      <w:r>
        <w:rPr>
          <w:rFonts w:hint="eastAsia" w:ascii="仿宋" w:hAnsi="仿宋" w:eastAsia="仿宋"/>
          <w:b/>
          <w:bCs/>
          <w:color w:val="000000"/>
          <w:sz w:val="28"/>
          <w:szCs w:val="28"/>
          <w:highlight w:val="none"/>
        </w:rPr>
        <w:t xml:space="preserve">（</w:t>
      </w:r>
      <w:r>
        <w:rPr>
          <w:rFonts w:hint="eastAsia" w:ascii="仿宋" w:hAnsi="仿宋" w:eastAsia="仿宋"/>
          <w:b/>
          <w:bCs/>
          <w:sz w:val="28"/>
          <w:szCs w:val="28"/>
          <w:highlight w:val="none"/>
        </w:rPr>
        <w:t xml:space="preserve">详见</w:t>
      </w:r>
      <w:r>
        <w:rPr>
          <w:rFonts w:hint="eastAsia" w:ascii="仿宋" w:hAnsi="仿宋" w:eastAsia="仿宋"/>
          <w:b/>
          <w:bCs/>
          <w:sz w:val="28"/>
          <w:szCs w:val="28"/>
          <w:highlight w:val="none"/>
          <w:u w:val="single"/>
        </w:rPr>
        <w:t xml:space="preserve">本招标文件第四章采购需求中</w:t>
      </w:r>
      <w:r>
        <w:rPr>
          <w:rFonts w:hint="eastAsia" w:ascii="仿宋" w:hAnsi="仿宋" w:eastAsia="仿宋"/>
          <w:b/>
          <w:color w:val="000000"/>
          <w:sz w:val="28"/>
          <w:szCs w:val="28"/>
          <w:highlight w:val="none"/>
          <w:u w:val="single"/>
        </w:rPr>
        <w:t xml:space="preserve">斜体且有</w:t>
      </w:r>
      <w:r>
        <w:rPr>
          <w:rFonts w:ascii="仿宋" w:hAnsi="仿宋" w:eastAsia="仿宋"/>
          <w:b/>
          <w:color w:val="000000"/>
          <w:sz w:val="28"/>
          <w:szCs w:val="28"/>
          <w:highlight w:val="none"/>
          <w:u w:val="single"/>
        </w:rPr>
        <w:t xml:space="preserve">下划线</w:t>
      </w:r>
      <w:r>
        <w:rPr>
          <w:rFonts w:hint="eastAsia" w:ascii="仿宋" w:hAnsi="仿宋" w:eastAsia="仿宋"/>
          <w:b/>
          <w:color w:val="000000"/>
          <w:sz w:val="28"/>
          <w:szCs w:val="28"/>
          <w:highlight w:val="none"/>
          <w:u w:val="single"/>
        </w:rPr>
        <w:t xml:space="preserve">部分</w:t>
      </w:r>
      <w:r>
        <w:rPr>
          <w:rFonts w:hint="eastAsia" w:ascii="仿宋" w:hAnsi="仿宋" w:eastAsia="仿宋"/>
          <w:b/>
          <w:bCs/>
          <w:sz w:val="28"/>
          <w:szCs w:val="28"/>
          <w:highlight w:val="none"/>
          <w:u w:val="single"/>
        </w:rPr>
        <w:t xml:space="preserve">）。</w:t>
      </w:r>
      <w:r>
        <w:rPr>
          <w:rFonts w:hint="eastAsia" w:ascii="仿宋" w:hAnsi="仿宋" w:eastAsia="仿宋"/>
          <w:b/>
          <w:bCs/>
          <w:sz w:val="28"/>
          <w:szCs w:val="28"/>
          <w:highlight w:val="none"/>
          <w:u w:val="single"/>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w:t>
      </w:r>
      <w:r>
        <w:rPr>
          <w:rFonts w:hint="eastAsia" w:ascii="仿宋" w:hAnsi="仿宋" w:eastAsia="仿宋"/>
          <w:bCs/>
          <w:color w:val="000000"/>
          <w:sz w:val="28"/>
          <w:szCs w:val="28"/>
        </w:rPr>
        <w:t xml:space="preserve">件的。</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w:t>
      </w:r>
      <w:r>
        <w:rPr>
          <w:rFonts w:hint="eastAsia" w:ascii="仿宋" w:hAnsi="仿宋" w:eastAsia="仿宋"/>
          <w:bCs/>
          <w:color w:val="000000"/>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7</w:t>
      </w:r>
      <w:r>
        <w:rPr>
          <w:rFonts w:hint="eastAsia" w:ascii="仿宋" w:hAnsi="仿宋" w:eastAsia="仿宋"/>
          <w:bCs/>
          <w:color w:val="000000"/>
          <w:sz w:val="28"/>
          <w:szCs w:val="28"/>
          <w:highlight w:val="none"/>
        </w:rPr>
        <w:t xml:space="preserve">.1.1</w:t>
      </w: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其他法律、法规及本招标文件规定的属无效投标的情形。</w:t>
      </w:r>
      <w:r>
        <w:rPr>
          <w:rFonts w:hint="eastAsia" w:ascii="仿宋" w:hAnsi="仿宋" w:eastAsia="仿宋"/>
          <w:bCs/>
          <w:color w:val="000000"/>
          <w:sz w:val="28"/>
          <w:szCs w:val="28"/>
          <w:highlight w:val="none"/>
          <w:lang w:val="en-US" w:eastAsia="zh-CN"/>
        </w:rPr>
      </w:r>
      <w:r/>
    </w:p>
    <w:p>
      <w:pPr>
        <w:pStyle w:val="963"/>
        <w:ind w:firstLine="560"/>
        <w:spacing w:line="48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27.1.14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ascii="仿宋" w:hAnsi="仿宋" w:eastAsia="仿宋"/>
          <w:bCs/>
          <w:color w:val="000000"/>
          <w:sz w:val="28"/>
          <w:szCs w:val="28"/>
          <w:highlight w:val="none"/>
          <w:lang w:val="en-US" w:eastAsia="zh-CN"/>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63"/>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w:t>
      </w:r>
      <w:r>
        <w:rPr>
          <w:rFonts w:ascii="仿宋" w:hAnsi="仿宋" w:eastAsia="仿宋"/>
          <w:bCs/>
          <w:color w:val="000000"/>
          <w:sz w:val="28"/>
          <w:szCs w:val="28"/>
        </w:rPr>
        <w:t xml:space="preserve">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63"/>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63"/>
        <w:ind w:firstLine="422"/>
        <w:keepLines/>
        <w:keepNext/>
        <w:spacing w:before="145" w:after="145" w:line="480" w:lineRule="exact"/>
        <w:rPr>
          <w:rFonts w:hint="eastAsia" w:ascii="仿宋" w:hAnsi="仿宋" w:eastAsia="仿宋"/>
          <w:b/>
          <w:bCs/>
          <w:color w:val="000000"/>
          <w:sz w:val="28"/>
          <w:szCs w:val="28"/>
        </w:rPr>
        <w:outlineLvl w:val="2"/>
      </w:pPr>
      <w:r/>
      <w:bookmarkStart w:id="184" w:name="_Toc120614219"/>
      <w:r/>
      <w:bookmarkStart w:id="185" w:name="_Toc31038"/>
      <w:r>
        <w:rPr>
          <w:rFonts w:hint="eastAsia" w:ascii="仿宋" w:hAnsi="仿宋" w:eastAsia="仿宋"/>
          <w:b/>
          <w:bCs/>
          <w:color w:val="000000"/>
          <w:sz w:val="28"/>
          <w:szCs w:val="28"/>
        </w:rPr>
        <w:t xml:space="preserve">六、</w:t>
      </w:r>
      <w:bookmarkEnd w:id="181"/>
      <w:r/>
      <w:bookmarkEnd w:id="182"/>
      <w:r/>
      <w:bookmarkEnd w:id="183"/>
      <w:r>
        <w:rPr>
          <w:rFonts w:hint="eastAsia" w:ascii="仿宋" w:hAnsi="仿宋" w:eastAsia="仿宋"/>
          <w:b/>
          <w:bCs/>
          <w:color w:val="000000"/>
          <w:sz w:val="28"/>
          <w:szCs w:val="28"/>
        </w:rPr>
        <w:t xml:space="preserve">定标</w:t>
      </w:r>
      <w:bookmarkEnd w:id="184"/>
      <w:r/>
      <w:bookmarkEnd w:id="185"/>
      <w:r>
        <w:rPr>
          <w:rFonts w:hint="eastAsia" w:ascii="仿宋" w:hAnsi="仿宋" w:eastAsia="仿宋"/>
          <w:b/>
          <w:bCs/>
          <w:color w:val="000000"/>
          <w:sz w:val="28"/>
          <w:szCs w:val="28"/>
        </w:rPr>
      </w:r>
      <w:r/>
    </w:p>
    <w:p>
      <w:pPr>
        <w:pStyle w:val="963"/>
        <w:ind w:firstLine="560"/>
        <w:keepLines/>
        <w:keepNext/>
        <w:spacing w:line="480" w:lineRule="exact"/>
        <w:rPr>
          <w:rFonts w:hint="eastAsia" w:ascii="仿宋" w:hAnsi="仿宋" w:eastAsia="仿宋"/>
          <w:bCs/>
          <w:color w:val="000000"/>
          <w:sz w:val="28"/>
          <w:szCs w:val="28"/>
        </w:rPr>
        <w:outlineLvl w:val="3"/>
      </w:pPr>
      <w:r/>
      <w:bookmarkStart w:id="186" w:name="_Toc513029238"/>
      <w:r/>
      <w:bookmarkStart w:id="187" w:name="_Toc20823310"/>
      <w:r/>
      <w:bookmarkStart w:id="188" w:name="_Toc16938554"/>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86"/>
      <w:r>
        <w:rPr>
          <w:rFonts w:hint="eastAsia" w:ascii="仿宋" w:hAnsi="仿宋" w:eastAsia="仿宋"/>
          <w:bCs/>
          <w:color w:val="000000"/>
          <w:sz w:val="28"/>
          <w:szCs w:val="28"/>
        </w:rPr>
        <w:t xml:space="preserve">确定</w:t>
      </w:r>
      <w:bookmarkEnd w:id="187"/>
      <w:r/>
      <w:bookmarkEnd w:id="188"/>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bookmarkStart w:id="189"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63"/>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89"/>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63"/>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、质疑请向采购中心提出，由采购中心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63"/>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63"/>
        <w:keepLines/>
        <w:keepNext/>
        <w:spacing w:before="145" w:after="145" w:line="480" w:lineRule="exact"/>
        <w:rPr>
          <w:rFonts w:hint="eastAsia" w:ascii="仿宋" w:hAnsi="仿宋" w:eastAsia="仿宋"/>
          <w:b/>
          <w:bCs/>
          <w:color w:val="000000"/>
          <w:sz w:val="28"/>
          <w:szCs w:val="28"/>
        </w:rPr>
        <w:outlineLvl w:val="2"/>
      </w:pPr>
      <w:r/>
      <w:bookmarkStart w:id="190" w:name="_Toc29994"/>
      <w:r/>
      <w:bookmarkStart w:id="191" w:name="_Toc120614220"/>
      <w:r/>
      <w:bookmarkStart w:id="192" w:name="_Toc20823308"/>
      <w:r/>
      <w:bookmarkStart w:id="193" w:name="_Toc513029236"/>
      <w:r/>
      <w:bookmarkStart w:id="194" w:name="_Toc16938552"/>
      <w:r>
        <w:rPr>
          <w:rFonts w:hint="eastAsia" w:ascii="仿宋" w:hAnsi="仿宋" w:eastAsia="仿宋"/>
          <w:b/>
          <w:bCs/>
          <w:color w:val="000000"/>
          <w:sz w:val="28"/>
          <w:szCs w:val="28"/>
        </w:rPr>
        <w:t xml:space="preserve">七、授予合同</w:t>
      </w:r>
      <w:bookmarkEnd w:id="190"/>
      <w:r/>
      <w:bookmarkEnd w:id="191"/>
      <w:r>
        <w:rPr>
          <w:rFonts w:hint="eastAsia" w:ascii="仿宋" w:hAnsi="仿宋" w:eastAsia="仿宋"/>
          <w:b/>
          <w:bCs/>
          <w:color w:val="000000"/>
          <w:sz w:val="28"/>
          <w:szCs w:val="28"/>
        </w:rPr>
      </w:r>
      <w:r/>
    </w:p>
    <w:p>
      <w:pPr>
        <w:pStyle w:val="963"/>
        <w:ind w:firstLine="560"/>
        <w:keepLines/>
        <w:keepNext/>
        <w:spacing w:line="480" w:lineRule="exact"/>
        <w:rPr>
          <w:rFonts w:hint="eastAsia" w:ascii="仿宋" w:hAnsi="仿宋" w:eastAsia="仿宋"/>
          <w:bCs/>
          <w:color w:val="000000"/>
          <w:sz w:val="28"/>
          <w:szCs w:val="28"/>
        </w:rPr>
        <w:outlineLvl w:val="3"/>
      </w:pPr>
      <w:r/>
      <w:bookmarkEnd w:id="192"/>
      <w:r/>
      <w:bookmarkEnd w:id="193"/>
      <w:r/>
      <w:bookmarkEnd w:id="194"/>
      <w:r/>
      <w:bookmarkStart w:id="195" w:name="_Toc513029237"/>
      <w:r/>
      <w:bookmarkStart w:id="196" w:name="_Toc20823309"/>
      <w:r/>
      <w:bookmarkStart w:id="197" w:name="_Toc16938553"/>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963"/>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63"/>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63"/>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63"/>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63"/>
        <w:ind w:firstLine="560"/>
        <w:keepLines/>
        <w:keepNext/>
        <w:spacing w:line="480" w:lineRule="exact"/>
        <w:rPr>
          <w:rFonts w:ascii="仿宋" w:hAnsi="仿宋" w:eastAsia="仿宋"/>
          <w:bCs/>
          <w:color w:val="000000"/>
          <w:sz w:val="28"/>
          <w:szCs w:val="28"/>
        </w:rPr>
        <w:outlineLvl w:val="3"/>
      </w:pPr>
      <w:r/>
      <w:bookmarkEnd w:id="195"/>
      <w:r/>
      <w:bookmarkEnd w:id="196"/>
      <w:r/>
      <w:bookmarkEnd w:id="197"/>
      <w:r/>
      <w:bookmarkStart w:id="198" w:name="_Toc20823314"/>
      <w:r/>
      <w:bookmarkStart w:id="199" w:name="_Toc120614221"/>
      <w:r/>
      <w:bookmarkStart w:id="200" w:name="_Toc16938558"/>
      <w:r/>
      <w:bookmarkStart w:id="201" w:name="_Toc513029242"/>
      <w:r/>
      <w:bookmarkStart w:id="202" w:name="_Toc479757207"/>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963"/>
        <w:ind w:firstLine="420"/>
        <w:rPr>
          <w:rFonts w:hint="eastAsia" w:ascii="Times New Roman" w:hAnsi="Times New Roman" w:eastAsia="仿宋"/>
          <w:color w:val="000000"/>
          <w:szCs w:val="21"/>
          <w:lang w:eastAsia="zh-CN"/>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Times New Roman" w:hAnsi="Times New Roman" w:eastAsia="仿宋"/>
          <w:color w:val="000000"/>
          <w:szCs w:val="21"/>
          <w:lang w:eastAsia="zh-CN"/>
        </w:rPr>
      </w:r>
      <w:r/>
    </w:p>
    <w:p>
      <w:pPr>
        <w:pStyle w:val="975"/>
        <w:rPr>
          <w:sz w:val="28"/>
          <w:szCs w:val="28"/>
        </w:rPr>
      </w:pPr>
      <w:r>
        <w:rPr>
          <w:sz w:val="28"/>
          <w:szCs w:val="28"/>
        </w:rPr>
      </w:r>
      <w:r>
        <w:rPr>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sz w:val="28"/>
          <w:szCs w:val="28"/>
        </w:rPr>
      </w:r>
      <w:r>
        <w:rPr>
          <w:sz w:val="28"/>
          <w:szCs w:val="28"/>
        </w:rPr>
      </w:r>
    </w:p>
    <w:p>
      <w:pPr>
        <w:pStyle w:val="96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63"/>
        <w:spacing w:line="500" w:lineRule="exact"/>
        <w:rPr>
          <w:rFonts w:ascii="宋体" w:hAnsi="宋体"/>
          <w:bCs/>
          <w:color w:val="000000"/>
          <w:sz w:val="24"/>
          <w:szCs w:val="24"/>
        </w:rPr>
      </w:pPr>
      <w:r>
        <w:rPr>
          <w:rFonts w:ascii="宋体" w:hAnsi="宋体"/>
          <w:bCs/>
          <w:color w:val="000000"/>
          <w:sz w:val="24"/>
          <w:szCs w:val="24"/>
        </w:rPr>
      </w:r>
      <w:r/>
    </w:p>
    <w:p>
      <w:pPr>
        <w:pStyle w:val="963"/>
        <w:spacing w:line="500" w:lineRule="exact"/>
        <w:rPr>
          <w:rFonts w:ascii="宋体" w:hAnsi="宋体"/>
          <w:bCs/>
          <w:color w:val="000000"/>
          <w:sz w:val="24"/>
          <w:szCs w:val="24"/>
        </w:rPr>
      </w:pPr>
      <w:r>
        <w:rPr>
          <w:rFonts w:ascii="宋体" w:hAnsi="宋体"/>
          <w:bCs/>
          <w:color w:val="000000"/>
          <w:sz w:val="24"/>
          <w:szCs w:val="24"/>
        </w:rPr>
      </w:r>
      <w:r/>
    </w:p>
    <w:p>
      <w:pPr>
        <w:pStyle w:val="963"/>
        <w:spacing w:line="500" w:lineRule="exact"/>
        <w:rPr>
          <w:rFonts w:ascii="宋体" w:hAnsi="宋体"/>
          <w:bCs/>
          <w:color w:val="000000"/>
          <w:sz w:val="24"/>
          <w:szCs w:val="24"/>
        </w:rPr>
      </w:pPr>
      <w:r>
        <w:rPr>
          <w:rFonts w:ascii="宋体" w:hAnsi="宋体"/>
          <w:bCs/>
          <w:color w:val="000000"/>
          <w:sz w:val="24"/>
          <w:szCs w:val="24"/>
        </w:rPr>
      </w:r>
      <w:r/>
    </w:p>
    <w:p>
      <w:pPr>
        <w:pStyle w:val="965"/>
        <w:jc w:val="both"/>
        <w:rPr>
          <w:rFonts w:hint="eastAsia"/>
        </w:rPr>
        <w:outlineLvl w:val="0"/>
      </w:pPr>
      <w:r/>
      <w:bookmarkStart w:id="203" w:name="_Toc270"/>
      <w:r/>
      <w:bookmarkStart w:id="204" w:name="_Toc14966"/>
      <w:r/>
      <w:bookmarkStart w:id="205" w:name="_Toc21447"/>
      <w:r/>
      <w:bookmarkStart w:id="206" w:name="_Toc30994"/>
      <w:r>
        <w:rPr>
          <w:rFonts w:hint="eastAsia"/>
        </w:rPr>
      </w:r>
      <w:r/>
    </w:p>
    <w:p>
      <w:pPr>
        <w:pStyle w:val="979"/>
        <w:rPr>
          <w:rFonts w:hint="eastAsia"/>
        </w:rPr>
      </w:pPr>
      <w:r>
        <w:rPr>
          <w:rFonts w:hint="eastAsia"/>
        </w:rPr>
      </w:r>
      <w:r/>
    </w:p>
    <w:p>
      <w:pPr>
        <w:pStyle w:val="979"/>
        <w:rPr>
          <w:rFonts w:hint="eastAsia"/>
        </w:rPr>
      </w:pPr>
      <w:r>
        <w:rPr>
          <w:rFonts w:hint="eastAsia"/>
        </w:rPr>
      </w:r>
      <w:r/>
    </w:p>
    <w:p>
      <w:pPr>
        <w:pStyle w:val="979"/>
        <w:rPr>
          <w:rFonts w:hint="eastAsia"/>
        </w:rPr>
      </w:pPr>
      <w:r>
        <w:rPr>
          <w:rFonts w:hint="eastAsia"/>
        </w:rPr>
      </w:r>
      <w:r/>
    </w:p>
    <w:p>
      <w:pPr>
        <w:pStyle w:val="979"/>
        <w:rPr>
          <w:rFonts w:hint="eastAsia"/>
        </w:rPr>
      </w:pPr>
      <w:r>
        <w:rPr>
          <w:rFonts w:hint="eastAsia"/>
        </w:rPr>
      </w:r>
      <w:r/>
    </w:p>
    <w:p>
      <w:pPr>
        <w:pStyle w:val="965"/>
        <w:jc w:val="both"/>
        <w:rPr>
          <w:rFonts w:hint="eastAsia"/>
        </w:rPr>
        <w:outlineLvl w:val="0"/>
      </w:pPr>
      <w:r>
        <w:rPr>
          <w:rFonts w:hint="eastAsia"/>
        </w:rPr>
      </w:r>
      <w:r/>
    </w:p>
    <w:p>
      <w:pPr>
        <w:pStyle w:val="979"/>
        <w:rPr>
          <w:rFonts w:hint="eastAsia"/>
        </w:rPr>
      </w:pPr>
      <w:r>
        <w:rPr>
          <w:rFonts w:hint="eastAsia"/>
        </w:rPr>
      </w:r>
      <w:r/>
    </w:p>
    <w:p>
      <w:pPr>
        <w:pStyle w:val="965"/>
        <w:jc w:val="center"/>
        <w:rPr>
          <w:rFonts w:hint="eastAsia"/>
          <w:color w:val="000000"/>
          <w:highlight w:val="none"/>
        </w:rPr>
        <w:outlineLvl w:val="0"/>
      </w:pPr>
      <w:r>
        <w:rPr>
          <w:rFonts w:hint="eastAsia"/>
          <w:color w:val="000000"/>
          <w:highlight w:val="none"/>
        </w:rPr>
      </w:r>
      <w:r/>
    </w:p>
    <w:p>
      <w:pPr>
        <w:pStyle w:val="965"/>
        <w:jc w:val="center"/>
        <w:rPr>
          <w:rFonts w:hint="eastAsia"/>
          <w:color w:val="000000"/>
          <w:highlight w:val="none"/>
        </w:rPr>
        <w:outlineLvl w:val="0"/>
      </w:pPr>
      <w:r>
        <w:rPr>
          <w:rFonts w:hint="eastAsia"/>
          <w:color w:val="000000"/>
          <w:highlight w:val="none"/>
        </w:rPr>
        <w:t xml:space="preserve">第三章  合同</w:t>
      </w:r>
      <w:bookmarkEnd w:id="198"/>
      <w:r/>
      <w:bookmarkEnd w:id="199"/>
      <w:r/>
      <w:bookmarkEnd w:id="200"/>
      <w:r/>
      <w:bookmarkEnd w:id="201"/>
      <w:r/>
      <w:bookmarkEnd w:id="202"/>
      <w:r>
        <w:rPr>
          <w:rFonts w:hint="eastAsia"/>
          <w:color w:val="000000"/>
          <w:highlight w:val="none"/>
        </w:rPr>
        <w:t xml:space="preserve">文本</w:t>
      </w:r>
      <w:bookmarkEnd w:id="203"/>
      <w:r/>
      <w:bookmarkEnd w:id="204"/>
      <w:r/>
      <w:bookmarkEnd w:id="205"/>
      <w:r/>
      <w:bookmarkEnd w:id="206"/>
      <w:r>
        <w:rPr>
          <w:rFonts w:hint="eastAsia"/>
          <w:color w:val="000000"/>
          <w:highlight w:val="none"/>
        </w:rPr>
      </w:r>
      <w:r/>
    </w:p>
    <w:p>
      <w:pPr>
        <w:pStyle w:val="963"/>
        <w:ind w:firstLine="560"/>
        <w:spacing w:line="480" w:lineRule="exact"/>
        <w:rPr>
          <w:rFonts w:hint="eastAsia" w:ascii="仿宋" w:hAnsi="仿宋" w:eastAsia="仿宋"/>
          <w:bCs/>
          <w:color w:val="000000"/>
          <w:sz w:val="28"/>
          <w:szCs w:val="28"/>
          <w:highlight w:val="none"/>
        </w:rPr>
      </w:pPr>
      <w:r/>
      <w:bookmarkStart w:id="207" w:name="_Toc20823315"/>
      <w:r/>
      <w:bookmarkStart w:id="208" w:name="_Toc513029243"/>
      <w:r/>
      <w:bookmarkStart w:id="209" w:name="_Toc16938559"/>
      <w:r>
        <w:rPr>
          <w:rFonts w:hint="eastAsia" w:ascii="仿宋" w:hAnsi="仿宋" w:eastAsia="仿宋"/>
          <w:bCs/>
          <w:color w:val="000000"/>
          <w:sz w:val="28"/>
          <w:szCs w:val="28"/>
          <w:highlight w:val="none"/>
        </w:rPr>
        <w:t xml:space="preserve">以下为中标后签定本项目合同的通用条款，中标人不得提出实质性的修改。</w:t>
      </w:r>
      <w:r>
        <w:rPr>
          <w:rFonts w:hint="eastAsia" w:ascii="仿宋" w:hAnsi="仿宋" w:eastAsia="仿宋"/>
          <w:bCs/>
          <w:color w:val="000000"/>
          <w:sz w:val="28"/>
          <w:szCs w:val="28"/>
          <w:highlight w:val="none"/>
        </w:rPr>
      </w:r>
      <w:r/>
    </w:p>
    <w:p>
      <w:pPr>
        <w:pStyle w:val="963"/>
        <w:jc w:val="center"/>
        <w:spacing w:before="145" w:after="145" w:line="480" w:lineRule="exact"/>
        <w:rPr>
          <w:rFonts w:ascii="仿宋" w:hAnsi="仿宋" w:eastAsia="仿宋"/>
          <w:b/>
          <w:bCs/>
          <w:color w:val="000000"/>
          <w:sz w:val="28"/>
          <w:szCs w:val="28"/>
          <w:highlight w:val="none"/>
        </w:rPr>
      </w:pPr>
      <w:r/>
      <w:bookmarkEnd w:id="207"/>
      <w:r/>
      <w:bookmarkEnd w:id="208"/>
      <w:r/>
      <w:bookmarkEnd w:id="209"/>
      <w:r/>
      <w:bookmarkStart w:id="210" w:name="_Toc20823346"/>
      <w:r/>
      <w:bookmarkStart w:id="211" w:name="_Hlt16619350"/>
      <w:r/>
      <w:bookmarkStart w:id="212" w:name="_Toc23209"/>
      <w:r/>
      <w:bookmarkStart w:id="213" w:name="_Toc16938590"/>
      <w:r/>
      <w:bookmarkStart w:id="214" w:name="_Toc120614244"/>
      <w:r/>
      <w:bookmarkStart w:id="215" w:name="_Toc462564139"/>
      <w:r/>
      <w:bookmarkStart w:id="216" w:name="_Toc479757211"/>
      <w:r>
        <w:rPr>
          <w:rFonts w:hint="eastAsia" w:ascii="仿宋" w:hAnsi="仿宋" w:eastAsia="仿宋"/>
          <w:b/>
          <w:color w:val="000000"/>
          <w:sz w:val="28"/>
          <w:szCs w:val="28"/>
          <w:highlight w:val="none"/>
        </w:rPr>
        <w:t xml:space="preserve">江苏省政府采购合同（货物）（合同编号）</w:t>
      </w:r>
      <w:r>
        <w:rPr>
          <w:rFonts w:ascii="仿宋" w:hAnsi="仿宋" w:eastAsia="仿宋"/>
          <w:b/>
          <w:bCs/>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项目名称：                                       项目编号：</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甲方：（买方）_________</w:t>
      </w:r>
      <w:r>
        <w:rPr>
          <w:rFonts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乙方：（卖方）_________</w:t>
      </w:r>
      <w:r>
        <w:rPr>
          <w:rFonts w:hint="eastAsia"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   </w:t>
      </w:r>
      <w:r>
        <w:rPr>
          <w:rFonts w:ascii="仿宋" w:hAnsi="仿宋" w:eastAsia="仿宋" w:cs="Courier New"/>
          <w:color w:val="000000"/>
          <w:sz w:val="28"/>
          <w:szCs w:val="28"/>
          <w:highlight w:val="none"/>
        </w:rPr>
        <w:t xml:space="preserve">甲、乙双方根据</w:t>
      </w:r>
      <w:r>
        <w:rPr>
          <w:rFonts w:hint="eastAsia" w:ascii="仿宋" w:hAnsi="仿宋" w:eastAsia="仿宋"/>
          <w:color w:val="000000"/>
          <w:sz w:val="28"/>
          <w:szCs w:val="28"/>
          <w:highlight w:val="none"/>
        </w:rPr>
        <w:t xml:space="preserve">南通市政府采购中心</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项目</w:t>
      </w:r>
      <w:r>
        <w:rPr>
          <w:rFonts w:hint="eastAsia" w:ascii="仿宋" w:hAnsi="仿宋" w:eastAsia="仿宋" w:cs="Courier New"/>
          <w:color w:val="000000"/>
          <w:sz w:val="28"/>
          <w:szCs w:val="28"/>
          <w:highlight w:val="none"/>
        </w:rPr>
        <w:t xml:space="preserve">（项目编号：JSZC-320000-***）</w:t>
      </w:r>
      <w:r>
        <w:rPr>
          <w:rFonts w:ascii="仿宋" w:hAnsi="仿宋" w:eastAsia="仿宋" w:cs="Courier New"/>
          <w:color w:val="000000"/>
          <w:sz w:val="28"/>
          <w:szCs w:val="28"/>
          <w:highlight w:val="none"/>
        </w:rPr>
        <w:t xml:space="preserve">公开招标的结果，签署本合同。</w:t>
      </w:r>
      <w:r>
        <w:rPr>
          <w:rFonts w:ascii="仿宋" w:hAnsi="仿宋" w:eastAsia="仿宋" w:cs="Courier New"/>
          <w:b/>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一、</w:t>
      </w:r>
      <w:r>
        <w:rPr>
          <w:rFonts w:hint="eastAsia" w:ascii="仿宋" w:hAnsi="仿宋" w:eastAsia="仿宋" w:cs="Courier New"/>
          <w:b/>
          <w:color w:val="000000"/>
          <w:sz w:val="28"/>
          <w:szCs w:val="28"/>
          <w:highlight w:val="none"/>
        </w:rPr>
        <w:t xml:space="preserve">合同</w:t>
      </w:r>
      <w:r>
        <w:rPr>
          <w:rFonts w:ascii="仿宋" w:hAnsi="仿宋" w:eastAsia="仿宋" w:cs="Courier New"/>
          <w:b/>
          <w:color w:val="000000"/>
          <w:sz w:val="28"/>
          <w:szCs w:val="28"/>
          <w:highlight w:val="none"/>
        </w:rPr>
        <w:t xml:space="preserve">内容</w:t>
      </w:r>
      <w:r>
        <w:rPr>
          <w:rFonts w:ascii="仿宋" w:hAnsi="仿宋" w:eastAsia="仿宋" w:cs="Courier New"/>
          <w:b/>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1.1 </w:t>
      </w:r>
      <w:r>
        <w:rPr>
          <w:rFonts w:hint="eastAsia" w:ascii="仿宋" w:hAnsi="仿宋" w:eastAsia="仿宋" w:cs="Courier New"/>
          <w:color w:val="000000"/>
          <w:sz w:val="28"/>
          <w:szCs w:val="28"/>
          <w:highlight w:val="none"/>
        </w:rPr>
        <w:t xml:space="preserve">标的名称：</w:t>
      </w:r>
      <w:r>
        <w:rPr>
          <w:rFonts w:hint="eastAsia" w:ascii="仿宋" w:hAnsi="仿宋" w:eastAsia="仿宋"/>
          <w:color w:val="000000"/>
          <w:sz w:val="28"/>
          <w:szCs w:val="28"/>
          <w:highlight w:val="none"/>
        </w:rPr>
        <w:t xml:space="preserve">临床技能模拟训练中心信息化</w:t>
      </w:r>
      <w:r>
        <w:rPr>
          <w:rFonts w:ascii="仿宋" w:hAnsi="仿宋" w:eastAsia="仿宋" w:cs="Courier New"/>
          <w:color w:val="000000"/>
          <w:sz w:val="28"/>
          <w:szCs w:val="28"/>
          <w:highlight w:val="none"/>
        </w:rPr>
      </w:r>
      <w:r/>
    </w:p>
    <w:p>
      <w:pPr>
        <w:pStyle w:val="1051"/>
        <w:ind w:firstLine="0"/>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1.2</w:t>
      </w:r>
      <w:r>
        <w:rPr>
          <w:rFonts w:hint="eastAsia" w:ascii="仿宋" w:hAnsi="仿宋" w:eastAsia="仿宋" w:cs="Courier New"/>
          <w:color w:val="000000"/>
          <w:sz w:val="28"/>
          <w:szCs w:val="28"/>
          <w:highlight w:val="none"/>
        </w:rPr>
        <w:t xml:space="preserve"> 标的质量：</w:t>
      </w:r>
      <w:r>
        <w:rPr>
          <w:rFonts w:hint="eastAsia" w:ascii="仿宋" w:hAnsi="仿宋" w:eastAsia="仿宋" w:cs="Courier New"/>
          <w:color w:val="000000"/>
          <w:sz w:val="28"/>
          <w:szCs w:val="28"/>
          <w:highlight w:val="none"/>
        </w:rPr>
      </w:r>
      <w:r/>
    </w:p>
    <w:p>
      <w:pPr>
        <w:pStyle w:val="1051"/>
        <w:ind w:firstLine="280"/>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1.2.1乙方必须有针对本项目的质量保证体系和组织，并制订质量保证计划，列出项目开工过程中质量监督和保证执行的措施，要记录质量保证活动，并保存和维护这些记录。</w:t>
      </w:r>
      <w:r>
        <w:rPr>
          <w:rFonts w:hint="eastAsia" w:ascii="仿宋" w:hAnsi="仿宋" w:eastAsia="仿宋" w:cs="Courier New"/>
          <w:color w:val="000000"/>
          <w:sz w:val="28"/>
          <w:szCs w:val="28"/>
          <w:highlight w:val="none"/>
        </w:rPr>
      </w:r>
      <w:r/>
    </w:p>
    <w:p>
      <w:pPr>
        <w:pStyle w:val="1051"/>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1.2.2乙方提供的货物必须达到或优于招标文件“采购清单”技术需求中各项指标参数。</w:t>
      </w:r>
      <w:r>
        <w:rPr>
          <w:rFonts w:hint="eastAsia" w:ascii="仿宋" w:hAnsi="仿宋" w:eastAsia="仿宋" w:cs="Courier New"/>
          <w:color w:val="000000"/>
          <w:sz w:val="28"/>
          <w:szCs w:val="28"/>
          <w:highlight w:val="none"/>
        </w:rPr>
      </w:r>
      <w:r/>
    </w:p>
    <w:p>
      <w:pPr>
        <w:pStyle w:val="1051"/>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1.2.3乙方保证本合同中所供应的产品质量标准按照国家标准、行业标准或制造厂家企业标准确定，上述标准不一致的，以高等级的标准为准。没有国家标准、行业标准和企业标准的，按照通常标准、合同目的的特定标准或者甲方提供的标准。</w:t>
      </w:r>
      <w:r>
        <w:rPr>
          <w:rFonts w:hint="eastAsia" w:ascii="仿宋" w:hAnsi="仿宋" w:eastAsia="仿宋" w:cs="Courier New"/>
          <w:color w:val="000000"/>
          <w:sz w:val="28"/>
          <w:szCs w:val="28"/>
          <w:highlight w:val="none"/>
        </w:rPr>
      </w:r>
      <w:r/>
    </w:p>
    <w:p>
      <w:pPr>
        <w:pStyle w:val="1051"/>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1.2.4乙方提供的货物必须是正规渠道生产的全新正品原装(包括零部件)，完全符合国家技术标准和国家质量检测标准，符合国家有关安全、环保节能规定，具有中国商检部门合格证明，所有货物必须标识清晰，相关质保、合格证书齐全。</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1.3 标的数量（规模）：1套</w:t>
      </w:r>
      <w:r>
        <w:rPr>
          <w:rFonts w:hint="eastAsia" w:ascii="仿宋" w:hAnsi="仿宋" w:eastAsia="仿宋" w:cs="Courier New"/>
          <w:color w:val="000000"/>
          <w:sz w:val="28"/>
          <w:szCs w:val="28"/>
          <w:highlight w:val="none"/>
        </w:rPr>
      </w:r>
      <w:r/>
    </w:p>
    <w:p>
      <w:pPr>
        <w:pStyle w:val="1079"/>
        <w:rPr>
          <w:rFonts w:hint="eastAsia" w:ascii="仿宋" w:hAnsi="仿宋" w:eastAsia="仿宋"/>
          <w:color w:val="000000"/>
          <w:sz w:val="28"/>
          <w:szCs w:val="28"/>
          <w:highlight w:val="none"/>
        </w:rPr>
      </w:pPr>
      <w:r>
        <w:rPr>
          <w:rFonts w:hint="eastAsia" w:ascii="仿宋" w:hAnsi="仿宋" w:eastAsia="仿宋" w:cs="Courier New"/>
          <w:color w:val="000000"/>
          <w:sz w:val="28"/>
          <w:szCs w:val="28"/>
          <w:highlight w:val="none"/>
        </w:rPr>
        <w:t xml:space="preserve">1.4 履行时间（期限）：</w:t>
      </w:r>
      <w:r>
        <w:rPr>
          <w:rFonts w:hint="eastAsia" w:ascii="仿宋" w:hAnsi="仿宋" w:eastAsia="仿宋" w:cs="宋体"/>
          <w:color w:val="000000"/>
          <w:sz w:val="28"/>
          <w:szCs w:val="28"/>
          <w:highlight w:val="none"/>
        </w:rPr>
        <w:t xml:space="preserve">自合同签订之日起6个月内完成设备供货、安装及调试。</w:t>
      </w:r>
      <w:r>
        <w:rPr>
          <w:rFonts w:hint="eastAsia" w:ascii="仿宋" w:hAnsi="仿宋" w:eastAsia="仿宋"/>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1.5 履行地点：崇川区胜利路666号，具体按甲方指定地点送货。</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1.6包装方式：</w:t>
      </w:r>
      <w:r>
        <w:rPr>
          <w:rFonts w:hint="eastAsia"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商品包装和快递包装要求执行财办库【2020】123号，具体如下：</w:t>
      </w:r>
      <w:r>
        <w:rPr>
          <w:rFonts w:ascii="仿宋" w:hAnsi="仿宋" w:eastAsia="仿宋" w:cs="Courier New"/>
          <w:color w:val="000000"/>
          <w:sz w:val="28"/>
          <w:szCs w:val="28"/>
          <w:highlight w:val="none"/>
        </w:rPr>
      </w:r>
      <w:r/>
    </w:p>
    <w:p>
      <w:pPr>
        <w:pStyle w:val="963"/>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1.6.1商品包装环保要求</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1.6.1.1.商品包装层数不得超过 3 层，空隙率不大于 40%；</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1.6.1.2.商品包装尽可能使用单一材质的包装材料，如因功能需求必需使用不同材质，不同材质间应便于分离；</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1.6.1.3商品包装中铅、汞、镉、六价铬的总含量应不大于100mg/kg；</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1.6.4商品包装印刷使用的油墨中挥发性有机化合物(VOCs)含量应不大于 5%（以重量计）；</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1.6.1.5塑料材质商品包装上呈现的印刷颜色不得超过 6 色；</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1.6.1.6纸质商品包装应使用 75%以上的可再生纤维原料生产；</w:t>
      </w:r>
      <w:r>
        <w:rPr>
          <w:rFonts w:ascii="仿宋" w:hAnsi="仿宋" w:eastAsia="仿宋" w:cs="Courier New"/>
          <w:color w:val="000000"/>
          <w:sz w:val="28"/>
          <w:szCs w:val="28"/>
          <w:highlight w:val="none"/>
        </w:rPr>
      </w:r>
      <w:r/>
    </w:p>
    <w:p>
      <w:pPr>
        <w:pStyle w:val="963"/>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1.6.1.7木质商品包装的原料应来源于可持续性森林。</w:t>
      </w:r>
      <w:r>
        <w:rPr>
          <w:rFonts w:ascii="仿宋" w:hAnsi="仿宋" w:eastAsia="仿宋" w:cs="Courier New"/>
          <w:color w:val="000000"/>
          <w:sz w:val="28"/>
          <w:szCs w:val="28"/>
          <w:highlight w:val="none"/>
        </w:rPr>
      </w:r>
      <w:r/>
    </w:p>
    <w:p>
      <w:pPr>
        <w:pStyle w:val="963"/>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1.6.2快递包装环保要求</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1.6.2.1.快递包装中重金属（铅、汞、镉、六价铬）总量应不大于 100mg/kg；</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1.6.2.2快递包装印刷使用的油墨中不应添加邻苯二甲酸酯，其挥发性有机化合物(VOCs)含量应不大于5%（以重量计）；</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1.6.2.3快递包装中使用纸基材的包装材料，纸基材中的有机氯的含量应不大于 150 mg/kg；</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1.6.2.4快递包装中使用塑料基材的包装材料不得使用邻苯二甲酸二异壬酯、邻苯二甲酸二正辛酯、邻苯二甲酸二(2-乙基)己酯、邻苯二甲酸二异癸酯、邻苯二甲酸丁基苄基酯、邻苯二甲酸二丁酯等作为增塑剂；</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1.6.2.5快递中使用的塑料包装袋不得使用聚氯乙烯作为原料，且原料应为单一材质制成，生物分解率大于60%；</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1.6.2.6快递中使用的充气类填充物不得使用聚氯乙烯作为 原料，且原料为单一材质制成，生物分解率大于60%；</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1.6.2.7快递中使用的集装袋应为单一材质制成，其重复使用次数应不小于 80 次；</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1.6.2.8快递中应使用幅宽不大于45mm 的生物降解胶带；</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1.6.2.9快递包装中不得使用溶剂型胶粘剂；</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1.6.2.10快递应使用电子面单；</w:t>
      </w:r>
      <w:r>
        <w:rPr>
          <w:rFonts w:ascii="仿宋" w:hAnsi="仿宋" w:eastAsia="仿宋" w:cs="Courier New"/>
          <w:color w:val="000000"/>
          <w:sz w:val="28"/>
          <w:szCs w:val="28"/>
          <w:highlight w:val="none"/>
        </w:rPr>
      </w:r>
      <w:r/>
    </w:p>
    <w:p>
      <w:pPr>
        <w:pStyle w:val="963"/>
        <w:ind w:firstLine="480"/>
        <w:jc w:val="left"/>
        <w:spacing w:line="360" w:lineRule="auto"/>
        <w:widowControl/>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1.6.2.11直接使用商品包装作为快递包装的商品，其商品包装满足《商品包装政府采购需求标准（试行）》即可；</w:t>
      </w:r>
      <w:r>
        <w:rPr>
          <w:rFonts w:ascii="仿宋" w:hAnsi="仿宋" w:eastAsia="仿宋" w:cs="Courier New"/>
          <w:color w:val="000000"/>
          <w:sz w:val="28"/>
          <w:szCs w:val="28"/>
          <w:highlight w:val="none"/>
        </w:rPr>
      </w:r>
      <w:r/>
    </w:p>
    <w:p>
      <w:pPr>
        <w:pStyle w:val="963"/>
        <w:ind w:firstLine="48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1.6.2.12快递包装产品质量和封装方式应符合相关国家或行业标准技术指标要求。</w:t>
      </w:r>
      <w:r>
        <w:rPr>
          <w:rFonts w:ascii="仿宋" w:hAnsi="仿宋" w:eastAsia="仿宋" w:cs="Courier New"/>
          <w:color w:val="000000"/>
          <w:sz w:val="28"/>
          <w:szCs w:val="28"/>
          <w:highlight w:val="none"/>
        </w:rPr>
      </w:r>
      <w:r/>
    </w:p>
    <w:p>
      <w:pPr>
        <w:pStyle w:val="963"/>
        <w:ind w:firstLine="480"/>
        <w:spacing w:line="42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1.6.2.13考虑对环境的保护，如甲方提出要求，乙方应负责包装物的回收。</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二、合同金额</w:t>
      </w:r>
      <w:r>
        <w:rPr>
          <w:rFonts w:ascii="仿宋" w:hAnsi="仿宋" w:eastAsia="仿宋" w:cs="Courier New"/>
          <w:b/>
          <w:color w:val="000000"/>
          <w:sz w:val="28"/>
          <w:szCs w:val="28"/>
          <w:highlight w:val="none"/>
        </w:rPr>
      </w:r>
      <w:r/>
    </w:p>
    <w:p>
      <w:pPr>
        <w:pStyle w:val="1079"/>
        <w:rPr>
          <w:rFonts w:hint="eastAsia"/>
          <w:color w:val="000000"/>
          <w:highlight w:val="none"/>
        </w:rPr>
      </w:pPr>
      <w:r>
        <w:rPr>
          <w:rFonts w:ascii="仿宋" w:hAnsi="仿宋" w:eastAsia="仿宋" w:cs="Courier New"/>
          <w:color w:val="000000"/>
          <w:sz w:val="28"/>
          <w:szCs w:val="28"/>
          <w:highlight w:val="none"/>
        </w:rPr>
        <w:t xml:space="preserve">2.1 本合同金额为（大写）：_______</w:t>
      </w:r>
      <w:r>
        <w:rPr>
          <w:rFonts w:hint="eastAsia" w:ascii="仿宋" w:hAnsi="仿宋" w:eastAsia="仿宋" w:cs="Courier New"/>
          <w:color w:val="000000"/>
          <w:sz w:val="28"/>
          <w:szCs w:val="28"/>
          <w:highlight w:val="none"/>
        </w:rPr>
        <w:t xml:space="preserve">圆</w:t>
      </w:r>
      <w:r>
        <w:rPr>
          <w:rFonts w:ascii="仿宋" w:hAnsi="仿宋" w:eastAsia="仿宋" w:cs="Courier New"/>
          <w:color w:val="000000"/>
          <w:sz w:val="28"/>
          <w:szCs w:val="28"/>
          <w:highlight w:val="none"/>
        </w:rPr>
        <w:t xml:space="preserve">（___元）人民币。</w:t>
      </w:r>
      <w:r>
        <w:rPr>
          <w:rFonts w:hint="eastAsia"/>
          <w:color w:val="000000"/>
          <w:highlight w:val="none"/>
        </w:rPr>
      </w:r>
      <w:r/>
    </w:p>
    <w:p>
      <w:pPr>
        <w:pStyle w:val="1079"/>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2.2本项目为固定总价合同，合同价包括</w:t>
      </w:r>
      <w:r>
        <w:rPr>
          <w:rFonts w:hint="eastAsia" w:ascii="仿宋" w:hAnsi="仿宋" w:eastAsia="仿宋" w:cs="Courier New"/>
          <w:color w:val="000000"/>
          <w:sz w:val="28"/>
          <w:szCs w:val="28"/>
          <w:highlight w:val="none"/>
        </w:rPr>
        <w:t xml:space="preserve">不限于</w:t>
      </w:r>
      <w:r>
        <w:rPr>
          <w:rFonts w:ascii="仿宋" w:hAnsi="仿宋" w:eastAsia="仿宋" w:cs="Courier New"/>
          <w:color w:val="000000"/>
          <w:sz w:val="28"/>
          <w:szCs w:val="28"/>
          <w:highlight w:val="none"/>
        </w:rPr>
        <w:t xml:space="preserve">项目设备购置费、保管费、工程施工费、辅助材料费、安装调试费、设备接入费、老院可二次利用的硬件设备的拆除、搬迁及安装费、保修费、使用培训费、售后服务费、不可预见费、税金等及为完成本项目需求而超出招标文件清单所列清单的全部一切费用。清单中未列项目价格乙方应在报价时一并考虑，后续不再另行增加任何费用。</w:t>
      </w:r>
      <w:r>
        <w:rPr>
          <w:rFonts w:ascii="仿宋" w:hAnsi="仿宋" w:eastAsia="仿宋" w:cs="Courier New"/>
          <w:color w:val="000000"/>
          <w:sz w:val="28"/>
          <w:szCs w:val="28"/>
          <w:highlight w:val="none"/>
        </w:rPr>
      </w:r>
      <w:r/>
    </w:p>
    <w:p>
      <w:pPr>
        <w:pStyle w:val="1079"/>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2.3由于乙方的原因所造成的额外费用，由乙方自行承担。如果甲方要求删除或增加功能，乙方应适当调整，但是投标文件中的各项优惠条件保持不变。乙方如果有其他优惠条件，必须作专门说明。</w:t>
      </w:r>
      <w:r>
        <w:rPr>
          <w:rFonts w:ascii="仿宋" w:hAnsi="仿宋" w:eastAsia="仿宋" w:cs="Courier New"/>
          <w:color w:val="000000"/>
          <w:sz w:val="28"/>
          <w:szCs w:val="28"/>
          <w:highlight w:val="none"/>
        </w:rPr>
      </w:r>
      <w:r/>
    </w:p>
    <w:p>
      <w:pPr>
        <w:pStyle w:val="1079"/>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2.4乙方在签订本合同前对本项目的全部技术要求及说明、质量标准、招标文件、合同条件、现场条件及周围环境、交通道路、现场管理要求等已详细研究并完全明确，在合同价款中已予以充分考虑。</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三、技术资料</w:t>
      </w:r>
      <w:r>
        <w:rPr>
          <w:rFonts w:ascii="仿宋" w:hAnsi="仿宋" w:eastAsia="仿宋" w:cs="Courier New"/>
          <w:b/>
          <w:color w:val="000000"/>
          <w:sz w:val="28"/>
          <w:szCs w:val="28"/>
          <w:highlight w:val="none"/>
        </w:rPr>
      </w:r>
      <w:r/>
    </w:p>
    <w:p>
      <w:pPr>
        <w:pStyle w:val="963"/>
        <w:ind w:left="479" w:hanging="478"/>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3.1乙方应按招标文件规定的时间向甲方提供使用货物</w:t>
      </w:r>
      <w:r>
        <w:rPr>
          <w:rFonts w:hint="eastAsia" w:ascii="仿宋" w:hAnsi="仿宋" w:eastAsia="仿宋" w:cs="Courier New"/>
          <w:color w:val="000000"/>
          <w:sz w:val="28"/>
          <w:szCs w:val="28"/>
          <w:highlight w:val="none"/>
        </w:rPr>
        <w:t xml:space="preserve">(包含与货物相关的服务)</w:t>
      </w:r>
      <w:r>
        <w:rPr>
          <w:rFonts w:ascii="仿宋" w:hAnsi="仿宋" w:eastAsia="仿宋" w:cs="Courier New"/>
          <w:color w:val="000000"/>
          <w:sz w:val="28"/>
          <w:szCs w:val="28"/>
          <w:highlight w:val="none"/>
        </w:rPr>
        <w:t xml:space="preserve">的有关技术资料。</w:t>
      </w:r>
      <w:r>
        <w:rPr>
          <w:rFonts w:hint="eastAsia" w:ascii="仿宋" w:hAnsi="仿宋" w:eastAsia="仿宋" w:cs="Courier New"/>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Courier New"/>
          <w:color w:val="000000"/>
          <w:sz w:val="28"/>
          <w:szCs w:val="28"/>
          <w:highlight w:val="none"/>
        </w:rPr>
      </w:r>
      <w:r/>
    </w:p>
    <w:p>
      <w:pPr>
        <w:pStyle w:val="963"/>
        <w:ind w:left="481" w:hanging="481"/>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四、知识产权</w:t>
      </w:r>
      <w:r>
        <w:rPr>
          <w:rFonts w:ascii="仿宋" w:hAnsi="仿宋" w:eastAsia="仿宋" w:cs="Courier New"/>
          <w:b/>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4.1乙方应保证所提供的产品或其任何一部分均不会侵犯任何第三方的知识产权，否则由乙方承担由此对甲方造成的所有损失。包括但不限于甲方因第三方权利主张产生的差旅费用、鉴定费用、诉讼费用、律师费用及赔偿金。</w:t>
      </w:r>
      <w:r>
        <w:rPr>
          <w:rFonts w:ascii="仿宋" w:hAnsi="仿宋" w:eastAsia="仿宋" w:cs="Courier New"/>
          <w:color w:val="000000"/>
          <w:sz w:val="28"/>
          <w:szCs w:val="28"/>
          <w:highlight w:val="none"/>
        </w:rPr>
      </w:r>
      <w:r/>
    </w:p>
    <w:p>
      <w:pPr>
        <w:pStyle w:val="963"/>
        <w:ind w:left="481" w:hanging="481"/>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b/>
          <w:bCs/>
          <w:color w:val="000000"/>
          <w:sz w:val="28"/>
          <w:szCs w:val="28"/>
          <w:highlight w:val="none"/>
        </w:rPr>
        <w:t xml:space="preserve">五、产权担保</w:t>
      </w:r>
      <w:r>
        <w:rPr>
          <w:rFonts w:hint="eastAsia" w:ascii="仿宋" w:hAnsi="仿宋" w:eastAsia="仿宋" w:cs="Courier New"/>
          <w:color w:val="000000"/>
          <w:sz w:val="28"/>
          <w:szCs w:val="28"/>
          <w:highlight w:val="none"/>
        </w:rPr>
      </w:r>
      <w:r/>
    </w:p>
    <w:p>
      <w:pPr>
        <w:pStyle w:val="963"/>
        <w:ind w:left="479" w:hanging="478"/>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5.1</w:t>
      </w:r>
      <w:r>
        <w:rPr>
          <w:rFonts w:ascii="仿宋" w:hAnsi="仿宋" w:eastAsia="仿宋" w:cs="Courier New"/>
          <w:color w:val="000000"/>
          <w:sz w:val="28"/>
          <w:szCs w:val="28"/>
          <w:highlight w:val="none"/>
        </w:rPr>
        <w:t xml:space="preserve">乙方保证所交付的产品的所有权完全属于乙方且无任何抵押、查封等产权瑕疵，否则由乙方承担由此对甲方造成的所有损失。</w:t>
      </w:r>
      <w:r>
        <w:rPr>
          <w:rFonts w:hint="eastAsia" w:ascii="仿宋" w:hAnsi="仿宋" w:eastAsia="仿宋" w:cs="Courier New"/>
          <w:color w:val="000000"/>
          <w:sz w:val="28"/>
          <w:szCs w:val="28"/>
          <w:highlight w:val="none"/>
        </w:rPr>
      </w:r>
      <w:r/>
    </w:p>
    <w:p>
      <w:pPr>
        <w:pStyle w:val="963"/>
        <w:ind w:left="478" w:hanging="478"/>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六、履约保证金</w:t>
      </w:r>
      <w:r>
        <w:rPr>
          <w:rFonts w:ascii="仿宋" w:hAnsi="仿宋" w:eastAsia="仿宋" w:cs="Courier New"/>
          <w:b/>
          <w:color w:val="000000"/>
          <w:sz w:val="28"/>
          <w:szCs w:val="28"/>
          <w:highlight w:val="none"/>
        </w:rPr>
      </w:r>
      <w:r/>
    </w:p>
    <w:p>
      <w:pPr>
        <w:pStyle w:val="1080"/>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6.1履约保证金为合同价款的10%，即      元，乙方的履约保证金须在中标通知书发出之日起至合同签订前汇入甲方账户（应当以支票、汇票或者金融机构、担保机构出具的保函等非现金形式提交），乙方凭中标通知书与甲方签订合同。超期或未有协商，则视为自动放弃成交资格；</w:t>
      </w:r>
      <w:r>
        <w:rPr>
          <w:rFonts w:hint="eastAsia" w:ascii="仿宋" w:hAnsi="仿宋" w:eastAsia="仿宋" w:cs="Courier New"/>
          <w:color w:val="000000"/>
          <w:sz w:val="28"/>
          <w:szCs w:val="28"/>
          <w:highlight w:val="none"/>
        </w:rPr>
      </w:r>
      <w:r/>
    </w:p>
    <w:p>
      <w:pPr>
        <w:pStyle w:val="1080"/>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6.2经甲方验收合格无质量、进度等问题的，履约保证金将在安装调试验收合格后20个工作日内全额（无息）退回或撤销履约保函；</w:t>
      </w:r>
      <w:r>
        <w:rPr>
          <w:rFonts w:hint="eastAsia" w:ascii="仿宋" w:hAnsi="仿宋" w:eastAsia="仿宋" w:cs="Courier New"/>
          <w:color w:val="000000"/>
          <w:sz w:val="28"/>
          <w:szCs w:val="28"/>
          <w:highlight w:val="none"/>
        </w:rPr>
      </w:r>
      <w:r/>
    </w:p>
    <w:p>
      <w:pPr>
        <w:pStyle w:val="1080"/>
        <w:jc w:val="both"/>
        <w:spacing w:before="78" w:beforeAutospacing="0" w:after="78" w:afterAutospacing="0"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6.3发生以下情况的，履约保证金不予退还或部分退还：a.签订合同后，乙方不履行合同义务的，甲方有权全额扣除履约保证金，全额不予退还，同时甲方亦有权终止合同，乙方还须承担相应的法律赔偿责任。b. 乙方在履约过程中发生违约行为，给甲方造成损失的，甲方有权在中标供应商缴纳的履约保证金中</w:t>
      </w:r>
      <w:r>
        <w:rPr>
          <w:rFonts w:hint="eastAsia" w:ascii="仿宋" w:hAnsi="仿宋" w:eastAsia="仿宋" w:cs="Courier New"/>
          <w:color w:val="000000"/>
          <w:sz w:val="28"/>
          <w:szCs w:val="28"/>
          <w:highlight w:val="none"/>
        </w:rPr>
        <w:t xml:space="preserve">予以扣除，以弥补甲方经济损失，不足的部分乙方另外补齐。                                                                                                                                                                                                                                     </w:t>
      </w:r>
      <w:r>
        <w:rPr>
          <w:rFonts w:hint="eastAsia" w:ascii="仿宋" w:hAnsi="仿宋" w:eastAsia="仿宋" w:cs="Courier New"/>
          <w:color w:val="000000"/>
          <w:sz w:val="28"/>
          <w:szCs w:val="28"/>
          <w:highlight w:val="none"/>
        </w:rPr>
      </w:r>
      <w:r/>
    </w:p>
    <w:p>
      <w:pPr>
        <w:pStyle w:val="963"/>
        <w:spacing w:before="145" w:after="145"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七、合同转包或分包</w:t>
      </w:r>
      <w:r>
        <w:rPr>
          <w:rFonts w:ascii="仿宋" w:hAnsi="仿宋" w:eastAsia="仿宋"/>
          <w:b/>
          <w:color w:val="000000"/>
          <w:sz w:val="28"/>
          <w:szCs w:val="28"/>
          <w:highlight w:val="none"/>
        </w:rPr>
      </w:r>
      <w:r/>
    </w:p>
    <w:p>
      <w:pPr>
        <w:pStyle w:val="963"/>
        <w:spacing w:before="145" w:after="145"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7.1乙方不得将合同标的转包给他人履行。</w:t>
      </w:r>
      <w:r>
        <w:rPr>
          <w:rFonts w:hint="eastAsia" w:ascii="仿宋" w:hAnsi="仿宋" w:eastAsia="仿宋"/>
          <w:color w:val="000000"/>
          <w:sz w:val="28"/>
          <w:szCs w:val="28"/>
          <w:highlight w:val="none"/>
        </w:rPr>
      </w:r>
      <w:r/>
    </w:p>
    <w:p>
      <w:pPr>
        <w:pStyle w:val="963"/>
        <w:spacing w:before="145" w:after="145"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7.2乙方不得将合同标的分包给他人履行。</w:t>
      </w:r>
      <w:r>
        <w:rPr>
          <w:rFonts w:hint="eastAsia" w:ascii="仿宋" w:hAnsi="仿宋" w:eastAsia="仿宋"/>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hint="eastAsia" w:ascii="仿宋" w:hAnsi="仿宋" w:eastAsia="仿宋" w:cs="Courier New"/>
          <w:b/>
          <w:color w:val="000000"/>
          <w:sz w:val="28"/>
          <w:szCs w:val="28"/>
          <w:highlight w:val="none"/>
        </w:rPr>
        <w:t xml:space="preserve">八</w:t>
      </w:r>
      <w:r>
        <w:rPr>
          <w:rFonts w:ascii="仿宋" w:hAnsi="仿宋" w:eastAsia="仿宋" w:cs="Courier New"/>
          <w:b/>
          <w:color w:val="000000"/>
          <w:sz w:val="28"/>
          <w:szCs w:val="28"/>
          <w:highlight w:val="none"/>
        </w:rPr>
        <w:t xml:space="preserve">、</w:t>
      </w:r>
      <w:r>
        <w:rPr>
          <w:rFonts w:hint="eastAsia" w:ascii="仿宋" w:hAnsi="仿宋" w:eastAsia="仿宋" w:cs="Courier New"/>
          <w:b/>
          <w:color w:val="000000"/>
          <w:sz w:val="28"/>
          <w:szCs w:val="28"/>
          <w:highlight w:val="none"/>
        </w:rPr>
        <w:t xml:space="preserve">合同款项</w:t>
      </w:r>
      <w:r>
        <w:rPr>
          <w:rFonts w:ascii="仿宋" w:hAnsi="仿宋" w:eastAsia="仿宋" w:cs="Courier New"/>
          <w:b/>
          <w:color w:val="000000"/>
          <w:sz w:val="28"/>
          <w:szCs w:val="28"/>
          <w:highlight w:val="none"/>
        </w:rPr>
        <w:t xml:space="preserve">支付</w:t>
      </w:r>
      <w:r>
        <w:rPr>
          <w:rFonts w:ascii="仿宋" w:hAnsi="仿宋" w:eastAsia="仿宋" w:cs="Courier New"/>
          <w:b/>
          <w:color w:val="000000"/>
          <w:sz w:val="28"/>
          <w:szCs w:val="28"/>
          <w:highlight w:val="none"/>
        </w:rPr>
      </w:r>
      <w:r/>
    </w:p>
    <w:p>
      <w:pPr>
        <w:pStyle w:val="1079"/>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8.1合同签订后甲方预付合同总价的30%作预付款；验收合格后3个月内甲方支付至合同总价的90%；免费服务期满后一次性不计息付清余款。</w:t>
      </w:r>
      <w:r>
        <w:rPr>
          <w:rFonts w:hint="eastAsia" w:ascii="仿宋" w:hAnsi="仿宋" w:eastAsia="仿宋"/>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u w:val="single"/>
        </w:rPr>
      </w:pPr>
      <w:r>
        <w:rPr>
          <w:rFonts w:hint="eastAsia" w:ascii="仿宋" w:hAnsi="仿宋" w:eastAsia="仿宋"/>
          <w:color w:val="000000"/>
          <w:sz w:val="28"/>
          <w:szCs w:val="28"/>
          <w:highlight w:val="none"/>
        </w:rPr>
        <w:t xml:space="preserve">8.2因乙方发票错误、迟延等问题而导致甲方无法付款的，甲方不承担责任。</w:t>
      </w:r>
      <w:r>
        <w:rPr>
          <w:rFonts w:hint="eastAsia" w:ascii="仿宋" w:hAnsi="仿宋" w:eastAsia="仿宋" w:cs="Courier New"/>
          <w:color w:val="000000"/>
          <w:sz w:val="28"/>
          <w:szCs w:val="28"/>
          <w:highlight w:val="none"/>
          <w:u w:val="single"/>
        </w:rPr>
      </w:r>
      <w:r/>
    </w:p>
    <w:p>
      <w:pPr>
        <w:pStyle w:val="963"/>
        <w:ind w:left="481" w:hanging="481"/>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b/>
          <w:color w:val="000000"/>
          <w:sz w:val="28"/>
          <w:szCs w:val="28"/>
          <w:highlight w:val="none"/>
        </w:rPr>
        <w:t xml:space="preserve">九</w:t>
      </w:r>
      <w:r>
        <w:rPr>
          <w:rFonts w:ascii="仿宋" w:hAnsi="仿宋" w:eastAsia="仿宋" w:cs="Courier New"/>
          <w:b/>
          <w:color w:val="000000"/>
          <w:sz w:val="28"/>
          <w:szCs w:val="28"/>
          <w:highlight w:val="none"/>
        </w:rPr>
        <w:t xml:space="preserve">、质量</w:t>
      </w:r>
      <w:r>
        <w:rPr>
          <w:rFonts w:hint="eastAsia" w:ascii="仿宋" w:hAnsi="仿宋" w:eastAsia="仿宋" w:cs="Courier New"/>
          <w:b/>
          <w:color w:val="000000"/>
          <w:sz w:val="28"/>
          <w:szCs w:val="28"/>
          <w:highlight w:val="none"/>
        </w:rPr>
        <w:t xml:space="preserve">保修范围和保修期</w:t>
      </w:r>
      <w:r>
        <w:rPr>
          <w:rFonts w:ascii="仿宋" w:hAnsi="仿宋" w:eastAsia="仿宋" w:cs="Courier New"/>
          <w:b/>
          <w:color w:val="000000"/>
          <w:sz w:val="28"/>
          <w:szCs w:val="28"/>
          <w:highlight w:val="none"/>
        </w:rPr>
        <w:t xml:space="preserve">及售后服务</w:t>
      </w:r>
      <w:r>
        <w:rPr>
          <w:rFonts w:ascii="仿宋" w:hAnsi="仿宋" w:eastAsia="仿宋" w:cs="Courier New"/>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.1 乙方应按招标文件规定的货物性能、技术要求、质量标准向甲方提供未经使用的全新产品。</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.2 乙方提供的货物在质量期内因货物本身的质量问题发生故障，乙方应负责免费更换。对达不到技术要求者，根据实际情况，经双方协商，可按以下办法处理：</w:t>
      </w:r>
      <w:r>
        <w:rPr>
          <w:rFonts w:ascii="仿宋" w:hAnsi="仿宋" w:eastAsia="仿宋" w:cs="Courier New"/>
          <w:color w:val="000000"/>
          <w:sz w:val="28"/>
          <w:szCs w:val="28"/>
          <w:highlight w:val="none"/>
        </w:rPr>
      </w:r>
      <w:r/>
    </w:p>
    <w:p>
      <w:pPr>
        <w:pStyle w:val="963"/>
        <w:ind w:firstLine="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⑴更换：由乙方承担所发生的全部费用。</w:t>
      </w:r>
      <w:r>
        <w:rPr>
          <w:rFonts w:ascii="仿宋" w:hAnsi="仿宋" w:eastAsia="仿宋" w:cs="Courier New"/>
          <w:color w:val="000000"/>
          <w:sz w:val="28"/>
          <w:szCs w:val="28"/>
          <w:highlight w:val="none"/>
        </w:rPr>
      </w:r>
      <w:r/>
    </w:p>
    <w:p>
      <w:pPr>
        <w:pStyle w:val="963"/>
        <w:ind w:firstLine="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⑵贬值处理：由甲乙双方合议定价。</w:t>
      </w:r>
      <w:r>
        <w:rPr>
          <w:rFonts w:ascii="仿宋" w:hAnsi="仿宋" w:eastAsia="仿宋" w:cs="Courier New"/>
          <w:color w:val="000000"/>
          <w:sz w:val="28"/>
          <w:szCs w:val="28"/>
          <w:highlight w:val="none"/>
        </w:rPr>
      </w:r>
      <w:r/>
    </w:p>
    <w:p>
      <w:pPr>
        <w:pStyle w:val="963"/>
        <w:ind w:left="42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⑶退货处理：乙方应退还甲方支付的合同款，同时应承担该货物的直接费用（运输、保险、检验、货款利息及银行手续费等）。</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.3 如在使用过程中发生质量问题，乙方在接到甲方通知后在</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小时内到达甲方现场。</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.4 在质保期内，乙方应对货物出现的质量及安全问题负责处理解决并承担一切费用。</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9</w:t>
      </w:r>
      <w:r>
        <w:rPr>
          <w:rFonts w:ascii="仿宋" w:hAnsi="仿宋" w:eastAsia="仿宋" w:cs="Courier New"/>
          <w:color w:val="000000"/>
          <w:sz w:val="28"/>
          <w:szCs w:val="28"/>
          <w:highlight w:val="none"/>
        </w:rPr>
        <w:t xml:space="preserve">.5上述的货物免费保修期为</w:t>
      </w:r>
      <w:r>
        <w:rPr>
          <w:rFonts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年（自交货验收合格之日起计），因人为因素出现的故障不在免费保修范围内。超过保修期的机器设备，终生维修，维修时只收部件成本费。</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项目</w:t>
      </w:r>
      <w:r>
        <w:rPr>
          <w:rFonts w:ascii="仿宋" w:hAnsi="仿宋" w:eastAsia="仿宋" w:cs="Courier New"/>
          <w:b/>
          <w:color w:val="000000"/>
          <w:sz w:val="28"/>
          <w:szCs w:val="28"/>
          <w:highlight w:val="none"/>
        </w:rPr>
        <w:t xml:space="preserve">验收</w:t>
      </w:r>
      <w:r>
        <w:rPr>
          <w:rFonts w:ascii="仿宋" w:hAnsi="仿宋" w:eastAsia="仿宋" w:cs="Courier New"/>
          <w:b/>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10.1 甲方依法组织履约验收工作。</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10.2采购方组织现场验收，采购方根据招标文件及项目合同的要求，对中标单位交付的软硬件产品逐项确认，验收合格后签署验收报告。</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10.3 对于实际使用人和甲方分离的项目，甲方邀请实际使用人参与验收。</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10.4 如有必要，甲方邀请参加本项目的其他供应商或第三方专业机构及专家参与验收，相关意见将作为验收书的参考资料。</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Courier New"/>
          <w:color w:val="000000"/>
          <w:sz w:val="28"/>
          <w:szCs w:val="28"/>
          <w:highlight w:val="none"/>
        </w:rPr>
      </w:r>
      <w:r/>
    </w:p>
    <w:p>
      <w:pPr>
        <w:pStyle w:val="963"/>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一</w:t>
      </w:r>
      <w:r>
        <w:rPr>
          <w:rFonts w:ascii="仿宋" w:hAnsi="仿宋" w:eastAsia="仿宋" w:cs="Courier New"/>
          <w:b/>
          <w:color w:val="000000"/>
          <w:sz w:val="28"/>
          <w:szCs w:val="28"/>
          <w:highlight w:val="none"/>
        </w:rPr>
        <w:t xml:space="preserve">、货物</w:t>
      </w:r>
      <w:r>
        <w:rPr>
          <w:rFonts w:hint="eastAsia" w:ascii="仿宋" w:hAnsi="仿宋" w:eastAsia="仿宋" w:cs="Courier New"/>
          <w:b/>
          <w:color w:val="000000"/>
          <w:sz w:val="28"/>
          <w:szCs w:val="28"/>
          <w:highlight w:val="none"/>
        </w:rPr>
        <w:t xml:space="preserve">的</w:t>
      </w:r>
      <w:r>
        <w:rPr>
          <w:rFonts w:ascii="仿宋" w:hAnsi="仿宋" w:eastAsia="仿宋" w:cs="Courier New"/>
          <w:b/>
          <w:color w:val="000000"/>
          <w:sz w:val="28"/>
          <w:szCs w:val="28"/>
          <w:highlight w:val="none"/>
        </w:rPr>
        <w:t xml:space="preserve">包装、发运及运输</w:t>
      </w:r>
      <w:r>
        <w:rPr>
          <w:rFonts w:ascii="仿宋" w:hAnsi="仿宋" w:eastAsia="仿宋" w:cs="Courier New"/>
          <w:b/>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.1 乙方应在货物发运前对其进行满足运输距离、防潮、防震、防锈和防破损装卸等要求包装，以保证货物安全运达甲方指定地点。</w:t>
      </w:r>
      <w:r>
        <w:rPr>
          <w:rFonts w:hint="eastAsia" w:ascii="仿宋" w:hAnsi="仿宋" w:eastAsia="仿宋"/>
          <w:color w:val="000000"/>
          <w:sz w:val="28"/>
          <w:szCs w:val="28"/>
          <w:highlight w:val="none"/>
        </w:rPr>
        <w:t xml:space="preserve">乙方对货物的包装应符合《商品包装政府采购需求标准（试行）》、《快递包装政府采购需求标准（试行）》的规定。</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.2 使用说明书、质量检验证明书、随配附件和工具以及清单一并附于货物内。</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.3 乙方在货物发运手续办理完毕后24小时内或货到甲方48小时前通知甲方，以准备接货。</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.4 货物在交付甲方前发生的风险均由乙方负责。</w:t>
      </w:r>
      <w:r>
        <w:rPr>
          <w:rFonts w:ascii="仿宋" w:hAnsi="仿宋" w:eastAsia="仿宋" w:cs="Courier New"/>
          <w:color w:val="000000"/>
          <w:sz w:val="28"/>
          <w:szCs w:val="28"/>
          <w:highlight w:val="none"/>
        </w:rPr>
      </w:r>
      <w:r/>
    </w:p>
    <w:p>
      <w:pPr>
        <w:pStyle w:val="963"/>
        <w:ind w:left="560" w:right="26" w:hanging="560"/>
        <w:spacing w:before="156" w:after="156"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1</w:t>
      </w:r>
      <w:r>
        <w:rPr>
          <w:rFonts w:ascii="仿宋" w:hAnsi="仿宋" w:eastAsia="仿宋" w:cs="Courier New"/>
          <w:color w:val="000000"/>
          <w:sz w:val="28"/>
          <w:szCs w:val="28"/>
          <w:highlight w:val="none"/>
        </w:rPr>
        <w:t xml:space="preserve">.5 货物在规定的交付期限内由乙方送达甲方指定的地点视为交付，乙方同时需通知甲方货物已送达。</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二</w:t>
      </w:r>
      <w:r>
        <w:rPr>
          <w:rFonts w:ascii="仿宋" w:hAnsi="仿宋" w:eastAsia="仿宋" w:cs="Courier New"/>
          <w:b/>
          <w:color w:val="000000"/>
          <w:sz w:val="28"/>
          <w:szCs w:val="28"/>
          <w:highlight w:val="none"/>
        </w:rPr>
        <w:t xml:space="preserve">、违约责任</w:t>
      </w:r>
      <w:r>
        <w:rPr>
          <w:rFonts w:ascii="仿宋" w:hAnsi="仿宋" w:eastAsia="仿宋" w:cs="Courier New"/>
          <w:b/>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.1 甲方无正当理由拒收货物的，甲方向乙方偿付拒收货款总值</w:t>
      </w:r>
      <w:r>
        <w:rPr>
          <w:rFonts w:hint="eastAsia" w:ascii="仿宋" w:hAnsi="仿宋" w:eastAsia="仿宋" w:cs="Courier New"/>
          <w:color w:val="000000"/>
          <w:sz w:val="28"/>
          <w:szCs w:val="28"/>
          <w:highlight w:val="none"/>
          <w:u w:val="single"/>
        </w:rPr>
        <w:t xml:space="preserve"> 5% </w:t>
      </w:r>
      <w:r>
        <w:rPr>
          <w:rFonts w:ascii="仿宋" w:hAnsi="仿宋" w:eastAsia="仿宋" w:cs="Courier New"/>
          <w:color w:val="000000"/>
          <w:sz w:val="28"/>
          <w:szCs w:val="28"/>
          <w:highlight w:val="none"/>
        </w:rPr>
        <w:t xml:space="preserve">的违约金。</w:t>
      </w:r>
      <w:r>
        <w:rPr>
          <w:rFonts w:ascii="仿宋" w:hAnsi="仿宋" w:eastAsia="仿宋" w:cs="Courier New"/>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.2 甲方无故逾期验收和办理货款支付手续的,甲方应按逾期付款总额每日</w:t>
      </w:r>
      <w:r>
        <w:rPr>
          <w:rFonts w:hint="eastAsia" w:ascii="仿宋" w:hAnsi="仿宋" w:eastAsia="仿宋" w:cs="Courier New"/>
          <w:color w:val="000000"/>
          <w:sz w:val="28"/>
          <w:szCs w:val="28"/>
          <w:highlight w:val="none"/>
          <w:u w:val="single"/>
        </w:rPr>
        <w:t xml:space="preserve"> 6</w:t>
      </w:r>
      <w:r>
        <w:rPr>
          <w:rFonts w:ascii="Arial" w:hAnsi="Arial" w:eastAsia="仿宋" w:cs="Arial"/>
          <w:color w:val="000000"/>
          <w:sz w:val="28"/>
          <w:szCs w:val="28"/>
          <w:highlight w:val="none"/>
          <w:u w:val="single"/>
        </w:rPr>
        <w:t xml:space="preserve">‰</w:t>
      </w:r>
      <w:r>
        <w:rPr>
          <w:rFonts w:hint="eastAsia" w:ascii="仿宋" w:hAnsi="仿宋" w:eastAsia="仿宋" w:cs="Courier New"/>
          <w:color w:val="000000"/>
          <w:sz w:val="28"/>
          <w:szCs w:val="28"/>
          <w:highlight w:val="none"/>
          <w:u w:val="single"/>
        </w:rPr>
        <w:t xml:space="preserve"> </w:t>
      </w:r>
      <w:r>
        <w:rPr>
          <w:rFonts w:ascii="仿宋" w:hAnsi="仿宋" w:eastAsia="仿宋" w:cs="Courier New"/>
          <w:color w:val="000000"/>
          <w:sz w:val="28"/>
          <w:szCs w:val="28"/>
          <w:highlight w:val="none"/>
        </w:rPr>
        <w:t xml:space="preserve">向乙方支付违约金。</w:t>
      </w:r>
      <w:r>
        <w:rPr>
          <w:rFonts w:ascii="仿宋" w:hAnsi="仿宋" w:eastAsia="仿宋" w:cs="Courier New"/>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.3 乙方逾期交付货物的，乙方应按逾期交货总额每日</w:t>
      </w:r>
      <w:r>
        <w:rPr>
          <w:rFonts w:hint="eastAsia" w:ascii="仿宋" w:hAnsi="仿宋" w:eastAsia="仿宋" w:cs="Courier New"/>
          <w:color w:val="000000"/>
          <w:sz w:val="28"/>
          <w:szCs w:val="28"/>
          <w:highlight w:val="none"/>
          <w:u w:val="single"/>
        </w:rPr>
        <w:t xml:space="preserve">6</w:t>
      </w:r>
      <w:r>
        <w:rPr>
          <w:rFonts w:ascii="Arial" w:hAnsi="Arial" w:eastAsia="仿宋" w:cs="Arial"/>
          <w:color w:val="000000"/>
          <w:sz w:val="28"/>
          <w:szCs w:val="28"/>
          <w:highlight w:val="none"/>
          <w:u w:val="single"/>
        </w:rPr>
        <w:t xml:space="preserve">‰</w:t>
      </w:r>
      <w:r>
        <w:rPr>
          <w:rFonts w:ascii="仿宋" w:hAnsi="仿宋" w:eastAsia="仿宋" w:cs="Courier New"/>
          <w:color w:val="000000"/>
          <w:sz w:val="28"/>
          <w:szCs w:val="28"/>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Courier New"/>
          <w:color w:val="000000"/>
          <w:sz w:val="28"/>
          <w:szCs w:val="28"/>
          <w:highlight w:val="none"/>
          <w:u w:val="single"/>
        </w:rPr>
        <w:t xml:space="preserve"> 5% </w:t>
      </w:r>
      <w:r>
        <w:rPr>
          <w:rFonts w:ascii="仿宋" w:hAnsi="仿宋" w:eastAsia="仿宋" w:cs="Courier New"/>
          <w:color w:val="000000"/>
          <w:sz w:val="28"/>
          <w:szCs w:val="28"/>
          <w:highlight w:val="none"/>
        </w:rPr>
        <w:t xml:space="preserve">的违约金，如造成甲方损失超过违约金的，超出部分由乙方继续承担赔偿责任。 </w:t>
      </w:r>
      <w:r>
        <w:rPr>
          <w:rFonts w:ascii="仿宋" w:hAnsi="仿宋" w:eastAsia="仿宋" w:cs="Courier New"/>
          <w:color w:val="000000"/>
          <w:sz w:val="28"/>
          <w:szCs w:val="28"/>
          <w:highlight w:val="none"/>
        </w:rPr>
      </w:r>
      <w:r/>
    </w:p>
    <w:p>
      <w:pPr>
        <w:pStyle w:val="963"/>
        <w:ind w:left="479" w:hanging="478"/>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2</w:t>
      </w:r>
      <w:r>
        <w:rPr>
          <w:rFonts w:ascii="仿宋" w:hAnsi="仿宋" w:eastAsia="仿宋" w:cs="Courier New"/>
          <w:color w:val="000000"/>
          <w:sz w:val="28"/>
          <w:szCs w:val="28"/>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三</w:t>
      </w:r>
      <w:r>
        <w:rPr>
          <w:rFonts w:ascii="仿宋" w:hAnsi="仿宋" w:eastAsia="仿宋" w:cs="Courier New"/>
          <w:b/>
          <w:color w:val="000000"/>
          <w:sz w:val="28"/>
          <w:szCs w:val="28"/>
          <w:highlight w:val="none"/>
        </w:rPr>
        <w:t xml:space="preserve">、不可抗力事件处理</w:t>
      </w:r>
      <w:r>
        <w:rPr>
          <w:rFonts w:ascii="仿宋" w:hAnsi="仿宋" w:eastAsia="仿宋" w:cs="Courier New"/>
          <w:b/>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.1 在合同有效期内，任何一方因不可抗力事件导致不能履行合同，则合同履行期可延长，其延长期与不可抗力影响期相同。</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.2 不可抗力事件发生后，应立即通知对方，并寄送有关权威机构出具的证明。</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.3 不可抗力事件延续120天以上，双方应通过友好协商，确定是否继续履行合同。</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四</w:t>
      </w:r>
      <w:r>
        <w:rPr>
          <w:rFonts w:ascii="仿宋" w:hAnsi="仿宋" w:eastAsia="仿宋" w:cs="Courier New"/>
          <w:b/>
          <w:color w:val="000000"/>
          <w:sz w:val="28"/>
          <w:szCs w:val="28"/>
          <w:highlight w:val="none"/>
        </w:rPr>
        <w:t xml:space="preserve">、</w:t>
      </w:r>
      <w:r>
        <w:rPr>
          <w:rFonts w:hint="eastAsia" w:ascii="仿宋" w:hAnsi="仿宋" w:eastAsia="仿宋" w:cs="Courier New"/>
          <w:b/>
          <w:color w:val="000000"/>
          <w:sz w:val="28"/>
          <w:szCs w:val="28"/>
          <w:highlight w:val="none"/>
        </w:rPr>
        <w:t xml:space="preserve">解决争议的方法</w:t>
      </w:r>
      <w:r>
        <w:rPr>
          <w:rFonts w:ascii="仿宋" w:hAnsi="仿宋" w:eastAsia="仿宋" w:cs="Courier New"/>
          <w:b/>
          <w:color w:val="000000"/>
          <w:sz w:val="28"/>
          <w:szCs w:val="28"/>
          <w:highlight w:val="none"/>
        </w:rPr>
      </w:r>
      <w:r/>
    </w:p>
    <w:p>
      <w:pPr>
        <w:pStyle w:val="963"/>
        <w:ind w:left="560" w:hanging="560"/>
        <w:spacing w:before="120" w:after="120" w:line="480" w:lineRule="exact"/>
        <w:rPr>
          <w:rFonts w:hint="eastAsia"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4</w:t>
      </w: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甲乙</w:t>
      </w:r>
      <w:r>
        <w:rPr>
          <w:rFonts w:ascii="仿宋" w:hAnsi="仿宋" w:eastAsia="仿宋" w:cs="Courier New"/>
          <w:color w:val="000000"/>
          <w:sz w:val="28"/>
          <w:szCs w:val="28"/>
          <w:highlight w:val="none"/>
        </w:rPr>
        <w:t xml:space="preserve">双方</w:t>
      </w:r>
      <w:r>
        <w:rPr>
          <w:rFonts w:hint="eastAsia" w:ascii="仿宋" w:hAnsi="仿宋" w:eastAsia="仿宋" w:cs="Courier New"/>
          <w:color w:val="000000"/>
          <w:sz w:val="28"/>
          <w:szCs w:val="28"/>
          <w:highlight w:val="none"/>
        </w:rPr>
        <w:t xml:space="preserve">因</w:t>
      </w:r>
      <w:r>
        <w:rPr>
          <w:rFonts w:ascii="仿宋" w:hAnsi="仿宋" w:eastAsia="仿宋" w:cs="Courier New"/>
          <w:color w:val="000000"/>
          <w:sz w:val="28"/>
          <w:szCs w:val="28"/>
          <w:highlight w:val="none"/>
        </w:rPr>
        <w:t xml:space="preserve">合同</w:t>
      </w:r>
      <w:r>
        <w:rPr>
          <w:rFonts w:hint="eastAsia" w:ascii="仿宋" w:hAnsi="仿宋" w:eastAsia="仿宋" w:cs="Courier New"/>
          <w:color w:val="000000"/>
          <w:sz w:val="28"/>
          <w:szCs w:val="28"/>
          <w:highlight w:val="none"/>
        </w:rPr>
        <w:t xml:space="preserve">签订、履行而</w:t>
      </w:r>
      <w:r>
        <w:rPr>
          <w:rFonts w:ascii="仿宋" w:hAnsi="仿宋" w:eastAsia="仿宋" w:cs="Courier New"/>
          <w:color w:val="000000"/>
          <w:sz w:val="28"/>
          <w:szCs w:val="28"/>
          <w:highlight w:val="none"/>
        </w:rPr>
        <w:t xml:space="preserve">发生的一切争议，应通过</w:t>
      </w:r>
      <w:r>
        <w:rPr>
          <w:rFonts w:hint="eastAsia" w:ascii="仿宋" w:hAnsi="仿宋" w:eastAsia="仿宋" w:cs="Courier New"/>
          <w:color w:val="000000"/>
          <w:sz w:val="28"/>
          <w:szCs w:val="28"/>
          <w:highlight w:val="none"/>
        </w:rPr>
        <w:t xml:space="preserve">友好</w:t>
      </w:r>
      <w:r>
        <w:rPr>
          <w:rFonts w:ascii="仿宋" w:hAnsi="仿宋" w:eastAsia="仿宋" w:cs="Courier New"/>
          <w:color w:val="000000"/>
          <w:sz w:val="28"/>
          <w:szCs w:val="28"/>
          <w:highlight w:val="none"/>
        </w:rPr>
        <w:t xml:space="preserve">协商解决。如协商不成</w:t>
      </w:r>
      <w:r>
        <w:rPr>
          <w:rFonts w:hint="eastAsia" w:ascii="仿宋" w:hAnsi="仿宋" w:eastAsia="仿宋" w:cs="Courier New"/>
          <w:color w:val="000000"/>
          <w:sz w:val="28"/>
          <w:szCs w:val="28"/>
          <w:highlight w:val="none"/>
        </w:rPr>
        <w:t xml:space="preserve">由甲方住所地人民</w:t>
      </w:r>
      <w:r>
        <w:rPr>
          <w:rFonts w:ascii="仿宋" w:hAnsi="仿宋" w:eastAsia="仿宋" w:cs="Courier New"/>
          <w:color w:val="000000"/>
          <w:sz w:val="28"/>
          <w:szCs w:val="28"/>
          <w:highlight w:val="none"/>
        </w:rPr>
        <w:t xml:space="preserve">法院</w:t>
      </w:r>
      <w:r>
        <w:rPr>
          <w:rFonts w:hint="eastAsia" w:ascii="仿宋" w:hAnsi="仿宋" w:eastAsia="仿宋" w:cs="Courier New"/>
          <w:color w:val="000000"/>
          <w:sz w:val="28"/>
          <w:szCs w:val="28"/>
          <w:highlight w:val="none"/>
        </w:rPr>
        <w:t xml:space="preserve">管辖。</w:t>
      </w:r>
      <w:r>
        <w:rPr>
          <w:rFonts w:hint="eastAsia"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b/>
          <w:color w:val="000000"/>
          <w:sz w:val="28"/>
          <w:szCs w:val="28"/>
          <w:highlight w:val="none"/>
        </w:rPr>
      </w:pPr>
      <w:r>
        <w:rPr>
          <w:rFonts w:ascii="仿宋" w:hAnsi="仿宋" w:eastAsia="仿宋" w:cs="Courier New"/>
          <w:b/>
          <w:color w:val="000000"/>
          <w:sz w:val="28"/>
          <w:szCs w:val="28"/>
          <w:highlight w:val="none"/>
        </w:rPr>
        <w:t xml:space="preserve">十</w:t>
      </w:r>
      <w:r>
        <w:rPr>
          <w:rFonts w:hint="eastAsia" w:ascii="仿宋" w:hAnsi="仿宋" w:eastAsia="仿宋" w:cs="Courier New"/>
          <w:b/>
          <w:color w:val="000000"/>
          <w:sz w:val="28"/>
          <w:szCs w:val="28"/>
          <w:highlight w:val="none"/>
        </w:rPr>
        <w:t xml:space="preserve">五</w:t>
      </w:r>
      <w:r>
        <w:rPr>
          <w:rFonts w:ascii="仿宋" w:hAnsi="仿宋" w:eastAsia="仿宋" w:cs="Courier New"/>
          <w:b/>
          <w:color w:val="000000"/>
          <w:sz w:val="28"/>
          <w:szCs w:val="28"/>
          <w:highlight w:val="none"/>
        </w:rPr>
        <w:t xml:space="preserve">、合同生效及其它</w:t>
      </w:r>
      <w:r>
        <w:rPr>
          <w:rFonts w:ascii="仿宋" w:hAnsi="仿宋" w:eastAsia="仿宋" w:cs="Courier New"/>
          <w:b/>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.1 合同经双方法定代表人或授权委托代</w:t>
      </w:r>
      <w:r>
        <w:rPr>
          <w:rFonts w:hint="eastAsia" w:ascii="仿宋" w:hAnsi="仿宋" w:eastAsia="仿宋" w:cs="Courier New"/>
          <w:color w:val="000000"/>
          <w:sz w:val="28"/>
          <w:szCs w:val="28"/>
          <w:highlight w:val="none"/>
        </w:rPr>
        <w:t xml:space="preserve">表</w:t>
      </w:r>
      <w:r>
        <w:rPr>
          <w:rFonts w:ascii="仿宋" w:hAnsi="仿宋" w:eastAsia="仿宋" w:cs="Courier New"/>
          <w:color w:val="000000"/>
          <w:sz w:val="28"/>
          <w:szCs w:val="28"/>
          <w:highlight w:val="none"/>
        </w:rPr>
        <w:t xml:space="preserve">人签字并加盖单位公章后生效。</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.2本合同未尽事宜，遵照</w:t>
      </w:r>
      <w:r>
        <w:rPr>
          <w:rFonts w:hint="eastAsia" w:ascii="仿宋" w:hAnsi="仿宋" w:eastAsia="仿宋" w:cs="Courier New"/>
          <w:color w:val="000000"/>
          <w:sz w:val="28"/>
          <w:szCs w:val="28"/>
          <w:highlight w:val="none"/>
        </w:rPr>
        <w:t xml:space="preserve">中华人民共和国现行法律法规</w:t>
      </w:r>
      <w:r>
        <w:rPr>
          <w:rFonts w:ascii="仿宋" w:hAnsi="仿宋" w:eastAsia="仿宋" w:cs="Courier New"/>
          <w:color w:val="000000"/>
          <w:sz w:val="28"/>
          <w:szCs w:val="28"/>
          <w:highlight w:val="none"/>
        </w:rPr>
        <w:t xml:space="preserve">有关条文执行。</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1</w:t>
      </w:r>
      <w:r>
        <w:rPr>
          <w:rFonts w:hint="eastAsia" w:ascii="仿宋" w:hAnsi="仿宋" w:eastAsia="仿宋" w:cs="Courier New"/>
          <w:color w:val="000000"/>
          <w:sz w:val="28"/>
          <w:szCs w:val="28"/>
          <w:highlight w:val="none"/>
        </w:rPr>
        <w:t xml:space="preserve">5</w:t>
      </w:r>
      <w:r>
        <w:rPr>
          <w:rFonts w:ascii="仿宋" w:hAnsi="仿宋" w:eastAsia="仿宋" w:cs="Courier New"/>
          <w:color w:val="000000"/>
          <w:sz w:val="28"/>
          <w:szCs w:val="28"/>
          <w:highlight w:val="none"/>
        </w:rPr>
        <w:t xml:space="preserve">.</w:t>
      </w:r>
      <w:r>
        <w:rPr>
          <w:rFonts w:hint="eastAsia" w:ascii="仿宋" w:hAnsi="仿宋" w:eastAsia="仿宋" w:cs="Courier New"/>
          <w:color w:val="000000"/>
          <w:sz w:val="28"/>
          <w:szCs w:val="28"/>
          <w:highlight w:val="none"/>
        </w:rPr>
        <w:t xml:space="preserve">3</w:t>
      </w:r>
      <w:r>
        <w:rPr>
          <w:rFonts w:ascii="仿宋" w:hAnsi="仿宋" w:eastAsia="仿宋" w:cs="Courier New"/>
          <w:color w:val="000000"/>
          <w:sz w:val="28"/>
          <w:szCs w:val="28"/>
          <w:highlight w:val="none"/>
        </w:rPr>
        <w:t xml:space="preserve"> 本合同正本一式</w:t>
      </w:r>
      <w:r>
        <w:rPr>
          <w:rFonts w:hint="eastAsia" w:ascii="仿宋" w:hAnsi="仿宋" w:eastAsia="仿宋" w:cs="Courier New"/>
          <w:color w:val="000000"/>
          <w:sz w:val="28"/>
          <w:szCs w:val="28"/>
          <w:highlight w:val="none"/>
        </w:rPr>
        <w:t xml:space="preserve">两</w:t>
      </w:r>
      <w:r>
        <w:rPr>
          <w:rFonts w:ascii="仿宋" w:hAnsi="仿宋" w:eastAsia="仿宋" w:cs="Courier New"/>
          <w:color w:val="000000"/>
          <w:sz w:val="28"/>
          <w:szCs w:val="28"/>
          <w:highlight w:val="none"/>
        </w:rPr>
        <w:t xml:space="preserve">份，具有同等法律效力，甲</w:t>
      </w:r>
      <w:r>
        <w:rPr>
          <w:rFonts w:hint="eastAsia" w:ascii="仿宋" w:hAnsi="仿宋" w:eastAsia="仿宋" w:cs="Courier New"/>
          <w:color w:val="000000"/>
          <w:sz w:val="28"/>
          <w:szCs w:val="28"/>
          <w:highlight w:val="none"/>
        </w:rPr>
        <w:t xml:space="preserve">方、</w:t>
      </w:r>
      <w:r>
        <w:rPr>
          <w:rFonts w:ascii="仿宋" w:hAnsi="仿宋" w:eastAsia="仿宋" w:cs="Courier New"/>
          <w:color w:val="000000"/>
          <w:sz w:val="28"/>
          <w:szCs w:val="28"/>
          <w:highlight w:val="none"/>
        </w:rPr>
        <w:t xml:space="preserve">乙方各执一份。</w:t>
      </w:r>
      <w:r>
        <w:rPr>
          <w:rFonts w:ascii="仿宋" w:hAnsi="仿宋" w:eastAsia="仿宋" w:cs="Courier New"/>
          <w:color w:val="000000"/>
          <w:sz w:val="28"/>
          <w:szCs w:val="28"/>
          <w:highlight w:val="none"/>
        </w:rPr>
      </w:r>
      <w:r/>
    </w:p>
    <w:p>
      <w:pPr>
        <w:pStyle w:val="963"/>
        <w:ind w:left="560" w:hanging="560"/>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甲方：                        乙方： </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地址：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地址： </w:t>
      </w:r>
      <w:r>
        <w:rPr>
          <w:rFonts w:ascii="仿宋" w:hAnsi="仿宋" w:eastAsia="仿宋" w:cs="Courier New"/>
          <w:color w:val="000000"/>
          <w:sz w:val="28"/>
          <w:szCs w:val="28"/>
          <w:highlight w:val="none"/>
        </w:rPr>
      </w:r>
      <w:r/>
    </w:p>
    <w:p>
      <w:pPr>
        <w:pStyle w:val="963"/>
        <w:spacing w:before="120" w:after="120" w:line="480" w:lineRule="exact"/>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t xml:space="preserve">  法定代表人</w:t>
      </w:r>
      <w:r>
        <w:rPr>
          <w:rFonts w:hint="eastAsia" w:ascii="仿宋" w:hAnsi="仿宋" w:eastAsia="仿宋" w:cs="Courier New"/>
          <w:color w:val="000000"/>
          <w:sz w:val="28"/>
          <w:szCs w:val="28"/>
          <w:highlight w:val="none"/>
        </w:rPr>
        <w:t xml:space="preserve">或授权代表</w:t>
      </w:r>
      <w:r>
        <w:rPr>
          <w:rFonts w:ascii="仿宋" w:hAnsi="仿宋" w:eastAsia="仿宋" w:cs="Courier New"/>
          <w:color w:val="000000"/>
          <w:sz w:val="28"/>
          <w:szCs w:val="28"/>
          <w:highlight w:val="none"/>
        </w:rPr>
        <w:t xml:space="preserve">：        法定代表人</w:t>
      </w:r>
      <w:r>
        <w:rPr>
          <w:rFonts w:hint="eastAsia" w:ascii="仿宋" w:hAnsi="仿宋" w:eastAsia="仿宋" w:cs="Courier New"/>
          <w:color w:val="000000"/>
          <w:sz w:val="28"/>
          <w:szCs w:val="28"/>
          <w:highlight w:val="none"/>
        </w:rPr>
        <w:t xml:space="preserve">或授权代表</w:t>
      </w:r>
      <w:r>
        <w:rPr>
          <w:rFonts w:ascii="仿宋" w:hAnsi="仿宋" w:eastAsia="仿宋" w:cs="Courier New"/>
          <w:color w:val="000000"/>
          <w:sz w:val="28"/>
          <w:szCs w:val="28"/>
          <w:highlight w:val="none"/>
        </w:rPr>
        <w:t xml:space="preserve">：</w:t>
      </w:r>
      <w:r>
        <w:rPr>
          <w:rFonts w:ascii="仿宋" w:hAnsi="仿宋" w:eastAsia="仿宋" w:cs="Courier New"/>
          <w:color w:val="000000"/>
          <w:sz w:val="28"/>
          <w:szCs w:val="28"/>
          <w:highlight w:val="none"/>
        </w:rPr>
      </w:r>
      <w:r/>
    </w:p>
    <w:p>
      <w:pPr>
        <w:pStyle w:val="963"/>
        <w:ind w:firstLine="280"/>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联系电话：                    联系电话：</w:t>
      </w:r>
      <w:r>
        <w:rPr>
          <w:rFonts w:hint="eastAsia" w:ascii="仿宋" w:hAnsi="仿宋" w:eastAsia="仿宋" w:cs="Courier New"/>
          <w:color w:val="000000"/>
          <w:sz w:val="28"/>
          <w:szCs w:val="28"/>
          <w:highlight w:val="none"/>
        </w:rPr>
      </w:r>
      <w:r/>
    </w:p>
    <w:p>
      <w:pPr>
        <w:pStyle w:val="963"/>
        <w:ind w:firstLine="280"/>
        <w:spacing w:before="120" w:after="120" w:line="480" w:lineRule="exact"/>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                              开户行：</w:t>
      </w:r>
      <w:r>
        <w:rPr>
          <w:rFonts w:ascii="仿宋" w:hAnsi="仿宋" w:eastAsia="仿宋" w:cs="Courier New"/>
          <w:color w:val="000000"/>
          <w:sz w:val="28"/>
          <w:szCs w:val="28"/>
          <w:highlight w:val="none"/>
        </w:rPr>
      </w:r>
      <w:r/>
    </w:p>
    <w:p>
      <w:pPr>
        <w:pStyle w:val="963"/>
        <w:ind w:firstLine="280"/>
        <w:spacing w:before="120" w:after="120" w:line="480" w:lineRule="exac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                              账号：                     </w:t>
      </w:r>
      <w:r>
        <w:rPr>
          <w:rFonts w:hint="eastAsia" w:ascii="仿宋" w:hAnsi="仿宋" w:eastAsia="仿宋" w:cs="Courier New"/>
          <w:color w:val="000000"/>
          <w:sz w:val="28"/>
          <w:szCs w:val="28"/>
          <w:highlight w:val="none"/>
        </w:rPr>
      </w:r>
      <w:r/>
    </w:p>
    <w:p>
      <w:pPr>
        <w:pStyle w:val="963"/>
        <w:keepNext/>
        <w:rPr>
          <w:rFonts w:ascii="黑体" w:hAnsi="Courier New" w:eastAsia="黑体" w:cs="Courier New"/>
          <w:bCs/>
          <w:color w:val="000000"/>
          <w:sz w:val="44"/>
          <w:szCs w:val="21"/>
          <w:highlight w:val="none"/>
        </w:rPr>
      </w:pPr>
      <w:r>
        <w:rPr>
          <w:rFonts w:ascii="仿宋" w:hAnsi="仿宋" w:eastAsia="仿宋" w:cs="Courier New"/>
          <w:color w:val="000000"/>
          <w:sz w:val="28"/>
          <w:szCs w:val="28"/>
          <w:highlight w:val="none"/>
        </w:rPr>
        <w:t xml:space="preserve">签订日期：    年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月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日</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签订日期：      年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月  </w:t>
      </w:r>
      <w:r>
        <w:rPr>
          <w:rFonts w:hint="eastAsia" w:ascii="仿宋" w:hAnsi="仿宋" w:eastAsia="仿宋" w:cs="Courier New"/>
          <w:color w:val="000000"/>
          <w:sz w:val="28"/>
          <w:szCs w:val="28"/>
          <w:highlight w:val="none"/>
        </w:rPr>
        <w:t xml:space="preserve"> </w:t>
      </w:r>
      <w:r>
        <w:rPr>
          <w:rFonts w:ascii="仿宋" w:hAnsi="仿宋" w:eastAsia="仿宋" w:cs="Courier New"/>
          <w:color w:val="000000"/>
          <w:sz w:val="28"/>
          <w:szCs w:val="28"/>
          <w:highlight w:val="none"/>
        </w:rPr>
        <w:t xml:space="preserve">日</w:t>
      </w:r>
      <w:r>
        <w:rPr>
          <w:rFonts w:ascii="黑体" w:hAnsi="Courier New" w:eastAsia="黑体" w:cs="Courier New"/>
          <w:bCs/>
          <w:color w:val="000000"/>
          <w:sz w:val="44"/>
          <w:szCs w:val="21"/>
          <w:highlight w:val="none"/>
        </w:rPr>
      </w:r>
      <w:r/>
    </w:p>
    <w:p>
      <w:pPr>
        <w:pStyle w:val="965"/>
        <w:rPr>
          <w:rFonts w:hint="eastAsia" w:ascii="宋体" w:hAnsi="宋体" w:cs="Courier New"/>
          <w:color w:val="000000"/>
          <w:sz w:val="24"/>
          <w:szCs w:val="24"/>
        </w:rPr>
      </w:pPr>
      <w:r/>
      <w:bookmarkStart w:id="217" w:name="_Hlt16619369"/>
      <w:r/>
      <w:bookmarkEnd w:id="217"/>
      <w:r>
        <w:rPr>
          <w:rFonts w:hint="eastAsia" w:ascii="黑体" w:hAnsi="Courier New" w:eastAsia="黑体" w:cs="Courier New"/>
          <w:bCs/>
          <w:color w:val="000000"/>
          <w:sz w:val="44"/>
          <w:szCs w:val="21"/>
          <w:highlight w:val="none"/>
        </w:rPr>
        <w:br w:type="page" w:clear="all"/>
      </w:r>
      <w:r>
        <w:rPr>
          <w:rFonts w:hint="eastAsia" w:ascii="Arial" w:hAnsi="Arial" w:cs="Times New Roman"/>
          <w:b/>
          <w:bCs/>
        </w:rPr>
        <w:t xml:space="preserve">第</w:t>
      </w:r>
      <w:bookmarkEnd w:id="211"/>
      <w:r>
        <w:rPr>
          <w:rFonts w:hint="eastAsia" w:ascii="Arial" w:hAnsi="Arial" w:cs="Times New Roman"/>
          <w:b/>
          <w:bCs/>
        </w:rPr>
        <w:t xml:space="preserve">四章 采购需求</w:t>
      </w:r>
      <w:bookmarkEnd w:id="210"/>
      <w:r/>
      <w:bookmarkEnd w:id="212"/>
      <w:r/>
      <w:bookmarkEnd w:id="213"/>
      <w:r/>
      <w:bookmarkEnd w:id="214"/>
      <w:r>
        <w:rPr>
          <w:rFonts w:hint="eastAsia" w:ascii="宋体" w:hAnsi="宋体" w:cs="Courier New"/>
          <w:color w:val="000000"/>
          <w:sz w:val="24"/>
          <w:szCs w:val="24"/>
        </w:rPr>
      </w:r>
      <w:r/>
    </w:p>
    <w:p>
      <w:pPr>
        <w:pStyle w:val="963"/>
        <w:spacing w:line="480" w:lineRule="exact"/>
        <w:rPr>
          <w:rFonts w:hint="eastAsia" w:ascii="Times New Roman" w:hAnsi="Times New Roman" w:eastAsia="宋体" w:cs="Times New Roman"/>
          <w:b/>
          <w:bCs/>
          <w:color w:val="000000"/>
          <w:sz w:val="28"/>
          <w:szCs w:val="28"/>
        </w:rPr>
      </w:pPr>
      <w:r/>
      <w:bookmarkStart w:id="218" w:name="_Toc49090575"/>
      <w:r/>
      <w:bookmarkStart w:id="219" w:name="_Toc26554093"/>
      <w:r>
        <w:rPr>
          <w:rFonts w:hint="eastAsia" w:ascii="Times New Roman" w:hAnsi="Times New Roman" w:eastAsia="宋体" w:cs="Times New Roman"/>
          <w:b/>
          <w:bCs/>
          <w:color w:val="000000"/>
          <w:sz w:val="28"/>
          <w:szCs w:val="28"/>
        </w:rPr>
        <w:t xml:space="preserve">项目属性:货物类项目。</w:t>
      </w:r>
      <w:r>
        <w:rPr>
          <w:rFonts w:hint="eastAsia" w:ascii="Times New Roman" w:hAnsi="Times New Roman" w:eastAsia="宋体" w:cs="Times New Roman"/>
          <w:b/>
          <w:bCs/>
          <w:color w:val="000000"/>
          <w:sz w:val="28"/>
          <w:szCs w:val="28"/>
        </w:rPr>
      </w:r>
      <w:r/>
    </w:p>
    <w:p>
      <w:pPr>
        <w:pStyle w:val="963"/>
        <w:spacing w:line="480" w:lineRule="exact"/>
        <w:rPr>
          <w:rFonts w:hint="eastAsia" w:ascii="Times New Roman" w:hAnsi="Times New Roman" w:eastAsia="宋体" w:cs="Times New Roman"/>
          <w:b/>
          <w:bCs/>
          <w:color w:val="000000"/>
          <w:sz w:val="28"/>
          <w:szCs w:val="28"/>
        </w:rPr>
      </w:pPr>
      <w:r>
        <w:rPr>
          <w:rFonts w:hint="eastAsia" w:ascii="Times New Roman" w:hAnsi="Times New Roman" w:eastAsia="宋体" w:cs="Times New Roman"/>
          <w:b/>
          <w:bCs/>
          <w:color w:val="000000"/>
          <w:sz w:val="28"/>
          <w:szCs w:val="28"/>
        </w:rPr>
        <w:t xml:space="preserve">一、项目概况</w:t>
      </w:r>
      <w:r>
        <w:rPr>
          <w:rFonts w:hint="eastAsia" w:ascii="Times New Roman" w:hAnsi="Times New Roman" w:eastAsia="宋体" w:cs="Times New Roman"/>
          <w:b/>
          <w:bCs/>
          <w:color w:val="000000"/>
          <w:sz w:val="28"/>
          <w:szCs w:val="28"/>
        </w:rPr>
      </w:r>
      <w:r/>
    </w:p>
    <w:p>
      <w:pPr>
        <w:pStyle w:val="963"/>
        <w:spacing w:line="480" w:lineRule="exact"/>
        <w:rPr>
          <w:rFonts w:hint="eastAsia"/>
          <w:b/>
          <w:bCs/>
          <w:color w:val="000000"/>
          <w:sz w:val="28"/>
          <w:szCs w:val="28"/>
        </w:rPr>
      </w:pPr>
      <w:r>
        <w:rPr>
          <w:rFonts w:hint="eastAsia" w:ascii="Times New Roman" w:hAnsi="Times New Roman" w:eastAsia="宋体" w:cs="Times New Roman"/>
          <w:b/>
          <w:bCs/>
          <w:color w:val="000000"/>
          <w:sz w:val="28"/>
          <w:szCs w:val="28"/>
        </w:rPr>
        <w:t xml:space="preserve">1、采</w:t>
      </w:r>
      <w:r>
        <w:rPr>
          <w:rFonts w:hint="eastAsia"/>
          <w:b/>
          <w:bCs/>
          <w:color w:val="000000"/>
          <w:sz w:val="28"/>
          <w:szCs w:val="28"/>
        </w:rPr>
        <w:t xml:space="preserve">购标的需实现的功能或者目标, 以及为落实政府采购政策需满足的要求</w:t>
      </w:r>
      <w:r>
        <w:rPr>
          <w:rFonts w:hint="eastAsia"/>
          <w:b/>
          <w:bCs/>
          <w:color w:val="000000"/>
          <w:sz w:val="28"/>
          <w:szCs w:val="28"/>
        </w:rPr>
      </w:r>
      <w:r/>
    </w:p>
    <w:p>
      <w:pPr>
        <w:pStyle w:val="963"/>
        <w:ind w:firstLine="420"/>
        <w:spacing w:line="360" w:lineRule="auto"/>
        <w:rPr>
          <w:rFonts w:hint="eastAsia" w:ascii="宋体" w:hAnsi="宋体"/>
          <w:bCs/>
          <w:sz w:val="28"/>
          <w:szCs w:val="28"/>
        </w:rPr>
      </w:pPr>
      <w:r>
        <w:rPr>
          <w:rFonts w:hint="eastAsia" w:ascii="宋体" w:hAnsi="宋体"/>
          <w:bCs/>
          <w:sz w:val="28"/>
          <w:szCs w:val="28"/>
        </w:rPr>
        <w:t xml:space="preserve">南通市第一人民医院临床技能模拟中心信息化项目预计建设成一个可以覆盖我院主要教学日常工作的信息化平台，项目建设内容由一个大平台多个子系统组成，包括住院医师规范化培训管理系统、本科生管理系统、进修生管理系统、模拟教学中心教学管理平台及配套硬件设备。平台建成后可实现我院教学工作信息化、智慧化升级，各项工作可做到规范化管理、精细化管理。教学相关的数据可及时上报、及时汇总分析、所有数据均可回溯。帮助教学管理部门提升教学工作的效率和质量。</w:t>
      </w:r>
      <w:r>
        <w:rPr>
          <w:rFonts w:hint="eastAsia"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1.1标准化和开放性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系统的标准化和开放性必须遵循的，要实现信息通信与共享，须规范信息技术标准。采用业务内标准的技术体系和设计方法，使系统具备与各种层次的平台的相关性和兼容性。在使用新技术的同时，充分考虑技术的国际标准化，严格按照国际国内相关标准设计实施。</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1.2先进性和超前性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在实用可靠的前提下还要具备扩展性。技术上立足于长远发展，坚持选用开放性系统，使系统和将来的新技术能平滑过渡。采用先进的体系结构和技术发展的主流产品，确保整个系统高效运行。</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1.3实用性和方便性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系统建设要以满足需求为首要目标，采用稳定可靠的成熟技术，保证系统长期安全运行。确保系统应用后能为各级业务和管理节点提供智能化的网络信息环境，以提高管理水平和工作的效率。</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1.4安全性和保密性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遵循有关信息安全标准，具有切实可行的安全保护和保密措施，确保数据永久安全。系统应提供多方式、多层次、多渠道的安全保密措施，防止各种形式与途径的非法侵入和机密信息的泄露，保证系统中数据的安全。</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1.5稳定性和可靠性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系统建成并投入使用后，将成为支撑系统平稳运转的运行平台。因此系统必须在成本可以接受的条件下，从系统结构、设计方案、设备选型、厂商的技术服务、维护响应能力以及备件供应能力等方面考虑，使系统故障发生的可能性尽可能少，对各种可能出现的紧急情况有可行的应急预案。</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1.6可维护性和可扩展性</w:t>
      </w:r>
      <w:r>
        <w:rPr>
          <w:rFonts w:ascii="宋体" w:hAnsi="宋体"/>
          <w:bCs/>
          <w:sz w:val="28"/>
          <w:szCs w:val="28"/>
        </w:rPr>
      </w:r>
      <w:r/>
    </w:p>
    <w:p>
      <w:pPr>
        <w:pStyle w:val="963"/>
        <w:ind w:firstLine="420"/>
        <w:spacing w:line="360" w:lineRule="auto"/>
        <w:rPr>
          <w:rFonts w:ascii="宋体" w:hAnsi="宋体"/>
          <w:bCs/>
          <w:sz w:val="28"/>
          <w:szCs w:val="28"/>
        </w:rPr>
      </w:pPr>
      <w:r>
        <w:rPr>
          <w:rFonts w:hint="eastAsia" w:ascii="宋体" w:hAnsi="宋体"/>
          <w:bCs/>
          <w:sz w:val="28"/>
          <w:szCs w:val="28"/>
        </w:rPr>
        <w:t xml:space="preserve">要保证系统能在各种操作系统和不同的平台上移植。实现信息标准统一，以便日后的系统维护。在设计过程中，充分考虑在未来若干年内的发展趋势，具有一定的前瞻性，并充分考虑了系统升级、扩容、扩充和维护的可行性。</w:t>
      </w:r>
      <w:r>
        <w:rPr>
          <w:rFonts w:ascii="宋体" w:hAnsi="宋体"/>
          <w:bCs/>
          <w:sz w:val="28"/>
          <w:szCs w:val="28"/>
        </w:rPr>
      </w:r>
      <w:r/>
    </w:p>
    <w:p>
      <w:pPr>
        <w:pStyle w:val="963"/>
        <w:spacing w:line="360" w:lineRule="auto"/>
        <w:rPr>
          <w:rFonts w:ascii="宋体" w:hAnsi="宋体"/>
          <w:b/>
          <w:bCs/>
          <w:color w:val="000000"/>
          <w:sz w:val="28"/>
          <w:szCs w:val="28"/>
        </w:rPr>
      </w:pPr>
      <w:r>
        <w:rPr>
          <w:rFonts w:hint="eastAsia" w:ascii="宋体" w:hAnsi="宋体"/>
          <w:b/>
          <w:bCs/>
          <w:color w:val="000000"/>
          <w:sz w:val="28"/>
          <w:szCs w:val="28"/>
        </w:rPr>
        <w:t xml:space="preserve">2、</w:t>
      </w:r>
      <w:r>
        <w:rPr>
          <w:rFonts w:ascii="宋体" w:hAnsi="宋体"/>
          <w:b/>
          <w:bCs/>
          <w:color w:val="000000"/>
          <w:sz w:val="28"/>
          <w:szCs w:val="28"/>
        </w:rPr>
        <w:t xml:space="preserve">采购标的需执行的国家相关标准、行业标准、地方标准或者其他标准、规范</w:t>
      </w:r>
      <w:r>
        <w:rPr>
          <w:rFonts w:ascii="宋体" w:hAnsi="宋体"/>
          <w:b/>
          <w:bCs/>
          <w:color w:val="000000"/>
          <w:sz w:val="28"/>
          <w:szCs w:val="28"/>
        </w:rPr>
      </w:r>
      <w:r/>
    </w:p>
    <w:p>
      <w:pPr>
        <w:pStyle w:val="1081"/>
        <w:ind w:firstLine="420"/>
        <w:jc w:val="both"/>
        <w:spacing w:before="0" w:beforeAutospacing="0" w:after="0" w:afterAutospacing="0" w:line="360" w:lineRule="auto"/>
        <w:rPr>
          <w:rFonts w:cs="Times New Roman"/>
          <w:color w:val="000000"/>
          <w:sz w:val="28"/>
          <w:szCs w:val="28"/>
        </w:rPr>
      </w:pPr>
      <w:r>
        <w:rPr>
          <w:rFonts w:cs="Times New Roman"/>
          <w:color w:val="000000"/>
          <w:sz w:val="28"/>
          <w:szCs w:val="28"/>
        </w:rPr>
        <w:t xml:space="preserve">采购标的技术标准按国家标准执行，无国家标准的，按行业标准执行，无国家和行业标准的，按企业标准执行；但在招标文件中有特别要求的，按招标文件中规定的要求执行，并且符合相关法律、法规规定的要求。</w:t>
      </w:r>
      <w:r>
        <w:rPr>
          <w:rFonts w:cs="Times New Roman"/>
          <w:color w:val="000000"/>
          <w:sz w:val="28"/>
          <w:szCs w:val="28"/>
        </w:rPr>
      </w:r>
      <w:r/>
    </w:p>
    <w:p>
      <w:pPr>
        <w:pStyle w:val="1081"/>
        <w:ind w:firstLine="420"/>
        <w:jc w:val="both"/>
        <w:spacing w:before="0" w:beforeAutospacing="0" w:after="0" w:afterAutospacing="0" w:line="360" w:lineRule="auto"/>
        <w:rPr>
          <w:rFonts w:hint="eastAsia" w:cs="Times New Roman"/>
          <w:color w:val="000000"/>
          <w:sz w:val="28"/>
          <w:szCs w:val="28"/>
        </w:rPr>
      </w:pPr>
      <w:r>
        <w:rPr>
          <w:rFonts w:hint="eastAsia" w:cs="Times New Roman"/>
          <w:color w:val="000000"/>
          <w:sz w:val="28"/>
          <w:szCs w:val="28"/>
          <w:lang w:val="en-US" w:eastAsia="zh-CN"/>
        </w:rPr>
        <w:t xml:space="preserve">（1）切实履行绿色采购，参照《江苏省财政厅关于加强政府绿色采购有关事项的通知》（苏财购</w:t>
      </w:r>
      <w:r>
        <w:rPr>
          <w:rFonts w:hint="eastAsia" w:cs="Times New Roman"/>
          <w:color w:val="000000"/>
          <w:sz w:val="28"/>
          <w:szCs w:val="28"/>
        </w:rPr>
        <w:t xml:space="preserve">〔202</w:t>
      </w:r>
      <w:r>
        <w:rPr>
          <w:rFonts w:hint="eastAsia" w:cs="Times New Roman"/>
          <w:color w:val="000000"/>
          <w:sz w:val="28"/>
          <w:szCs w:val="28"/>
          <w:lang w:val="en-US" w:eastAsia="zh-CN"/>
        </w:rPr>
        <w:t xml:space="preserve">3</w:t>
      </w:r>
      <w:r>
        <w:rPr>
          <w:rFonts w:hint="eastAsia" w:cs="Times New Roman"/>
          <w:color w:val="000000"/>
          <w:sz w:val="28"/>
          <w:szCs w:val="28"/>
        </w:rPr>
        <w:t xml:space="preserve">〕</w:t>
      </w:r>
      <w:r>
        <w:rPr>
          <w:rFonts w:hint="eastAsia" w:cs="Times New Roman"/>
          <w:color w:val="000000"/>
          <w:sz w:val="28"/>
          <w:szCs w:val="28"/>
          <w:lang w:val="en-US" w:eastAsia="zh-CN"/>
        </w:rPr>
        <w:t xml:space="preserve">65</w:t>
      </w:r>
      <w:r>
        <w:rPr>
          <w:rFonts w:hint="eastAsia" w:cs="Times New Roman"/>
          <w:color w:val="000000"/>
          <w:sz w:val="28"/>
          <w:szCs w:val="28"/>
        </w:rPr>
        <w:t xml:space="preserve">号</w:t>
      </w:r>
      <w:r>
        <w:rPr>
          <w:rFonts w:hint="eastAsia" w:cs="Times New Roman"/>
          <w:color w:val="000000"/>
          <w:sz w:val="28"/>
          <w:szCs w:val="28"/>
          <w:lang w:eastAsia="zh-CN"/>
        </w:rPr>
        <w:t xml:space="preserve">），严格落实节能环保产品采购政策，严格执行绿色采购需求标准，推广使用低挥发性有机化合物产品，确保绿色采购落实到位。</w:t>
      </w:r>
      <w:r>
        <w:rPr>
          <w:rFonts w:hint="eastAsia" w:cs="Times New Roman"/>
          <w:color w:val="000000"/>
          <w:sz w:val="28"/>
          <w:szCs w:val="28"/>
        </w:rPr>
      </w:r>
      <w:r/>
    </w:p>
    <w:p>
      <w:pPr>
        <w:pStyle w:val="1081"/>
        <w:ind w:firstLine="420"/>
        <w:jc w:val="both"/>
        <w:spacing w:before="0" w:beforeAutospacing="0" w:after="0" w:afterAutospacing="0" w:line="360" w:lineRule="auto"/>
        <w:rPr>
          <w:rFonts w:hint="eastAsia" w:cs="Times New Roman"/>
          <w:color w:val="000000"/>
          <w:sz w:val="28"/>
          <w:szCs w:val="28"/>
          <w:lang w:val="zh-CN" w:eastAsia="zh-CN"/>
        </w:rPr>
      </w:pPr>
      <w:r>
        <w:rPr>
          <w:rFonts w:hint="eastAsia" w:cs="Times New Roman"/>
          <w:color w:val="000000"/>
          <w:sz w:val="28"/>
          <w:szCs w:val="28"/>
          <w:lang w:val="en-US" w:eastAsia="zh-CN"/>
        </w:rPr>
        <w:t xml:space="preserve">（2）节能环保产品：</w:t>
      </w:r>
      <w:r>
        <w:rPr>
          <w:rFonts w:hint="eastAsia" w:cs="Times New Roman"/>
          <w:color w:val="000000"/>
          <w:sz w:val="28"/>
          <w:szCs w:val="28"/>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cs="Times New Roman"/>
          <w:color w:val="000000"/>
          <w:sz w:val="28"/>
          <w:szCs w:val="28"/>
          <w:lang w:val="zh-CN" w:eastAsia="zh-CN"/>
        </w:rPr>
      </w:r>
      <w:r/>
    </w:p>
    <w:p>
      <w:pPr>
        <w:pStyle w:val="1081"/>
        <w:ind w:firstLine="420"/>
        <w:jc w:val="both"/>
        <w:spacing w:before="0" w:beforeAutospacing="0" w:after="0" w:afterAutospacing="0" w:line="360" w:lineRule="auto"/>
        <w:rPr>
          <w:rFonts w:hint="eastAsia" w:cs="Times New Roman"/>
          <w:color w:val="000000"/>
          <w:sz w:val="28"/>
          <w:szCs w:val="28"/>
          <w:lang w:val="en-US" w:eastAsia="zh-CN"/>
        </w:rPr>
      </w:pPr>
      <w:r>
        <w:rPr>
          <w:rFonts w:hint="eastAsia" w:cs="Times New Roman"/>
          <w:color w:val="000000"/>
          <w:sz w:val="28"/>
          <w:szCs w:val="28"/>
          <w:lang w:val="en-US" w:eastAsia="zh-CN"/>
        </w:rPr>
        <w:t xml:space="preserve">（3）采购人要严格执行绿色采购需求标准，参照《商品包装政府采购需求标准（试行）》《快递包装政府采购需求标准（试行）》（财办库〔2020〕123号）、《绿色数据中心政府采购需求标准（试行）》（财库〔2023〕7号）。</w:t>
      </w:r>
      <w:r>
        <w:rPr>
          <w:rFonts w:hint="eastAsia" w:cs="Times New Roman"/>
          <w:color w:val="000000"/>
          <w:sz w:val="28"/>
          <w:szCs w:val="28"/>
          <w:lang w:val="en-US" w:eastAsia="zh-CN"/>
        </w:rPr>
      </w:r>
      <w:r/>
    </w:p>
    <w:p>
      <w:pPr>
        <w:pStyle w:val="1081"/>
        <w:ind w:firstLine="420"/>
        <w:jc w:val="both"/>
        <w:spacing w:before="0" w:beforeAutospacing="0" w:after="0" w:afterAutospacing="0" w:line="360" w:lineRule="auto"/>
        <w:rPr>
          <w:rFonts w:hint="eastAsia" w:cs="Times New Roman"/>
          <w:color w:val="000000"/>
          <w:sz w:val="28"/>
          <w:szCs w:val="28"/>
          <w:lang w:val="en-US" w:eastAsia="zh-CN"/>
        </w:rPr>
      </w:pPr>
      <w:r>
        <w:rPr>
          <w:rFonts w:hint="eastAsia" w:cs="Times New Roman"/>
          <w:color w:val="000000"/>
          <w:sz w:val="28"/>
          <w:szCs w:val="28"/>
          <w:lang w:val="en-US" w:eastAsia="zh-CN"/>
        </w:rPr>
      </w:r>
      <w:r/>
    </w:p>
    <w:p>
      <w:pPr>
        <w:pStyle w:val="963"/>
        <w:spacing w:line="360" w:lineRule="auto"/>
        <w:rPr>
          <w:rFonts w:hint="eastAsia"/>
        </w:rPr>
      </w:pPr>
      <w:r>
        <w:rPr>
          <w:rFonts w:hint="eastAsia" w:ascii="宋体" w:hAnsi="宋体" w:eastAsia="宋体" w:cs="Times New Roman"/>
          <w:b/>
          <w:bCs/>
          <w:color w:val="000000"/>
          <w:sz w:val="28"/>
          <w:szCs w:val="28"/>
          <w:lang w:val="en-US" w:eastAsia="zh-CN"/>
        </w:rPr>
        <w:t xml:space="preserve">二、</w:t>
      </w:r>
      <w:r>
        <w:rPr>
          <w:rFonts w:hint="eastAsia" w:ascii="宋体" w:hAnsi="宋体" w:eastAsia="宋体" w:cs="Times New Roman"/>
          <w:b/>
          <w:bCs/>
          <w:color w:val="000000"/>
          <w:sz w:val="28"/>
          <w:szCs w:val="28"/>
        </w:rPr>
        <w:t xml:space="preserve">技术要求部分</w:t>
      </w:r>
      <w:r>
        <w:rPr>
          <w:rFonts w:hint="eastAsia"/>
        </w:rPr>
      </w:r>
      <w:r/>
    </w:p>
    <w:p>
      <w:pPr>
        <w:pStyle w:val="963"/>
        <w:spacing w:line="360" w:lineRule="auto"/>
        <w:rPr>
          <w:rFonts w:ascii="宋体" w:hAnsi="宋体"/>
          <w:b/>
          <w:bCs/>
          <w:color w:val="000000"/>
          <w:sz w:val="28"/>
          <w:szCs w:val="28"/>
        </w:rPr>
      </w:pPr>
      <w:r>
        <w:rPr>
          <w:rFonts w:hint="eastAsia" w:ascii="宋体" w:hAnsi="宋体"/>
          <w:b/>
          <w:bCs/>
          <w:color w:val="000000"/>
          <w:sz w:val="28"/>
          <w:szCs w:val="28"/>
        </w:rPr>
        <w:t xml:space="preserve">1．</w:t>
      </w:r>
      <w:r>
        <w:rPr>
          <w:rFonts w:ascii="宋体" w:hAnsi="宋体"/>
          <w:b/>
          <w:bCs/>
          <w:color w:val="000000"/>
          <w:sz w:val="28"/>
          <w:szCs w:val="28"/>
        </w:rPr>
        <w:t xml:space="preserve">采购标的需满足的质量、安全、技术规格、物理特性等要求</w:t>
      </w:r>
      <w:r>
        <w:rPr>
          <w:rFonts w:ascii="宋体" w:hAnsi="宋体"/>
          <w:b/>
          <w:bCs/>
          <w:color w:val="000000"/>
          <w:sz w:val="28"/>
          <w:szCs w:val="28"/>
        </w:rPr>
      </w:r>
      <w:r/>
    </w:p>
    <w:p>
      <w:pPr>
        <w:pStyle w:val="963"/>
        <w:keepLines/>
        <w:keepNext/>
        <w:spacing w:before="145" w:after="145" w:line="480" w:lineRule="exact"/>
        <w:rPr>
          <w:rFonts w:ascii="仿宋" w:hAnsi="仿宋" w:eastAsia="仿宋"/>
          <w:b/>
          <w:color w:val="000000"/>
          <w:sz w:val="28"/>
          <w:szCs w:val="28"/>
        </w:rPr>
        <w:outlineLvl w:val="2"/>
      </w:pPr>
      <w:r>
        <w:rPr>
          <w:rFonts w:hint="eastAsia" w:ascii="仿宋" w:hAnsi="仿宋" w:eastAsia="仿宋"/>
          <w:b/>
          <w:color w:val="000000"/>
          <w:sz w:val="28"/>
          <w:szCs w:val="28"/>
        </w:rPr>
        <w:t xml:space="preserve">1.1采购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562"/>
        <w:gridCol w:w="1550"/>
        <w:gridCol w:w="1550"/>
        <w:gridCol w:w="1550"/>
      </w:tblGrid>
      <w:tr>
        <w:trPr>
          <w:cantSplit/>
        </w:trPr>
        <w:tc>
          <w:tcPr>
            <w:tcW w:w="833" w:type="dxa"/>
            <w:vAlign w:val="center"/>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rPr>
                <w:rFonts w:ascii="仿宋" w:hAnsi="仿宋" w:eastAsia="仿宋"/>
                <w:color w:val="000000"/>
                <w:sz w:val="28"/>
                <w:szCs w:val="28"/>
              </w:rPr>
            </w:r>
            <w:r/>
          </w:p>
        </w:tc>
        <w:tc>
          <w:tcPr>
            <w:tcW w:w="3562" w:type="dxa"/>
            <w:vAlign w:val="center"/>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采购</w:t>
            </w:r>
            <w:r>
              <w:rPr>
                <w:rFonts w:ascii="仿宋" w:hAnsi="仿宋" w:eastAsia="仿宋"/>
                <w:color w:val="000000"/>
                <w:sz w:val="28"/>
                <w:szCs w:val="28"/>
              </w:rPr>
              <w:t xml:space="preserve">标的</w:t>
            </w:r>
            <w:r>
              <w:rPr>
                <w:rFonts w:ascii="仿宋" w:hAnsi="仿宋" w:eastAsia="仿宋"/>
                <w:color w:val="000000"/>
                <w:sz w:val="28"/>
                <w:szCs w:val="28"/>
              </w:rPr>
            </w:r>
            <w:r/>
          </w:p>
        </w:tc>
        <w:tc>
          <w:tcPr>
            <w:tcW w:w="1550" w:type="dxa"/>
            <w:vAlign w:val="center"/>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对应中</w:t>
            </w:r>
            <w:r>
              <w:rPr>
                <w:rFonts w:ascii="仿宋" w:hAnsi="仿宋" w:eastAsia="仿宋"/>
                <w:color w:val="000000"/>
                <w:sz w:val="28"/>
                <w:szCs w:val="28"/>
              </w:rPr>
              <w:t xml:space="preserve">小企业划分标准所属行业</w:t>
            </w:r>
            <w:r>
              <w:rPr>
                <w:rFonts w:ascii="仿宋" w:hAnsi="仿宋" w:eastAsia="仿宋"/>
                <w:color w:val="000000"/>
                <w:sz w:val="28"/>
                <w:szCs w:val="28"/>
              </w:rPr>
            </w:r>
            <w:r/>
          </w:p>
        </w:tc>
        <w:tc>
          <w:tcPr>
            <w:tcW w:w="1550"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主要标的核心产品</w:t>
            </w:r>
            <w:r>
              <w:rPr>
                <w:rFonts w:hint="eastAsia" w:ascii="仿宋" w:hAnsi="仿宋" w:eastAsia="仿宋"/>
                <w:color w:val="000000"/>
                <w:sz w:val="28"/>
                <w:szCs w:val="28"/>
              </w:rPr>
            </w:r>
            <w:r/>
          </w:p>
        </w:tc>
        <w:tc>
          <w:tcPr>
            <w:tcW w:w="1550"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是否属于强制节能产品</w:t>
            </w:r>
            <w:r>
              <w:rPr>
                <w:rFonts w:hint="eastAsia" w:ascii="仿宋" w:hAnsi="仿宋" w:eastAsia="仿宋"/>
                <w:color w:val="000000"/>
                <w:sz w:val="28"/>
                <w:szCs w:val="28"/>
              </w:rPr>
            </w:r>
            <w:r/>
          </w:p>
        </w:tc>
      </w:tr>
      <w:tr>
        <w:trPr>
          <w:cantSplit/>
          <w:trHeight w:val="291"/>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教学综合管理平台</w:t>
            </w:r>
            <w:r>
              <w:rPr>
                <w:rFonts w:hint="eastAsia" w:ascii="仿宋" w:hAnsi="仿宋" w:eastAsia="仿宋"/>
                <w:sz w:val="28"/>
                <w:szCs w:val="28"/>
              </w:rPr>
            </w:r>
            <w:r/>
          </w:p>
        </w:tc>
        <w:tc>
          <w:tcPr>
            <w:tcW w:w="1550" w:type="dxa"/>
            <w:vAlign w:val="top"/>
            <w:vMerge w:val="restart"/>
            <w:textDirection w:val="lrTb"/>
            <w:noWrap w:val="false"/>
          </w:tcPr>
          <w:p>
            <w:pPr>
              <w:pStyle w:val="963"/>
              <w:jc w:val="center"/>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rPr>
              <w:t xml:space="preserve">信息传输业</w:t>
            </w:r>
            <w:r>
              <w:rPr>
                <w:rFonts w:hint="eastAsia" w:ascii="仿宋" w:hAnsi="仿宋" w:eastAsia="仿宋"/>
                <w:color w:val="000000"/>
                <w:sz w:val="28"/>
                <w:szCs w:val="28"/>
                <w:highlight w:val="yellow"/>
              </w:rPr>
            </w:r>
            <w:r/>
          </w:p>
        </w:tc>
        <w:tc>
          <w:tcPr>
            <w:tcW w:w="1550"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是</w:t>
            </w:r>
            <w:r>
              <w:rPr>
                <w:rFonts w:hint="eastAsia" w:ascii="仿宋" w:hAnsi="仿宋" w:eastAsia="仿宋"/>
                <w:color w:val="000000"/>
                <w:sz w:val="28"/>
                <w:szCs w:val="28"/>
              </w:rPr>
            </w:r>
            <w:r/>
          </w:p>
        </w:tc>
        <w:tc>
          <w:tcPr>
            <w:tcW w:w="1550" w:type="dxa"/>
            <w:vAlign w:val="top"/>
            <w:textDirection w:val="lrTb"/>
            <w:noWrap w:val="false"/>
          </w:tcPr>
          <w:p>
            <w:pPr>
              <w:pStyle w:val="963"/>
              <w:jc w:val="center"/>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tc>
      </w:tr>
      <w:tr>
        <w:trPr>
          <w:cantSplit/>
          <w:trHeight w:val="235"/>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全景摄像机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000000"/>
                <w:sz w:val="28"/>
                <w:szCs w:val="28"/>
                <w:highlight w:val="yellow"/>
              </w:rPr>
            </w:pPr>
            <w:r>
              <w:rPr>
                <w:rFonts w:ascii="仿宋" w:hAnsi="仿宋" w:eastAsia="仿宋"/>
                <w:color w:val="00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yellow"/>
              </w:rPr>
            </w:pPr>
            <w:r>
              <w:rPr>
                <w:rFonts w:ascii="仿宋" w:hAnsi="仿宋" w:eastAsia="仿宋"/>
                <w:color w:val="00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高保真拾音器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6T硬盘</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视频分配器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65寸液晶监视器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3562" w:type="dxa"/>
            <w:vAlign w:val="top"/>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HDMI线（12米）</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W w:w="3562" w:type="dxa"/>
            <w:vAlign w:val="top"/>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HDMI线（3米）</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585"/>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人脸识别签到机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10</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11寸平板电脑</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hint="eastAsia" w:ascii="仿宋" w:hAnsi="仿宋" w:eastAsia="仿宋"/>
                <w:color w:val="000000"/>
                <w:sz w:val="28"/>
                <w:szCs w:val="28"/>
                <w:highlight w:val="none"/>
              </w:rPr>
              <w:t xml:space="preserve">是</w:t>
            </w: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11</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40位充电柜</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12</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无线AP</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13</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AC控制器授权</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14</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IP吸顶音响</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15</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IP云网络广播控制中心</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网络化、智能化广播控制软件</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17</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7寸IP网络寻呼话筒</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18</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窗口双向对讲机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19</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19寸电子门牌</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20</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投影仪</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21</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无线投屏器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幕布</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数字音频处理器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24</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8路专业调音台</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25</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300W专业功放</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26</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8寸多功能音箱（带支架）</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8路电源时序器</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一拖二无线话筒</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29</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86寸会议平板</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30</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65寸会议平板</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音频辅助耗材</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32</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可视化示教培训综合管理软件</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33</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移动示教推车</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34</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摄录主机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全景相机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36</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术野相机</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37</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术野相机吊臂</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38</w:t>
            </w:r>
            <w:r>
              <w:rPr>
                <w:rFonts w:ascii="仿宋" w:hAnsi="仿宋" w:eastAsia="仿宋"/>
                <w:sz w:val="28"/>
                <w:szCs w:val="28"/>
              </w:rPr>
            </w:r>
            <w:r/>
          </w:p>
        </w:tc>
        <w:tc>
          <w:tcPr>
            <w:tcW w:w="3562" w:type="dxa"/>
            <w:vAlign w:val="center"/>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无线麦</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39</w:t>
            </w:r>
            <w:r>
              <w:rPr>
                <w:rFonts w:ascii="仿宋" w:hAnsi="仿宋" w:eastAsia="仿宋"/>
                <w:sz w:val="28"/>
                <w:szCs w:val="28"/>
              </w:rPr>
            </w:r>
            <w:r/>
          </w:p>
        </w:tc>
        <w:tc>
          <w:tcPr>
            <w:tcW w:w="3562" w:type="dxa"/>
            <w:vAlign w:val="top"/>
            <w:textDirection w:val="lrTb"/>
            <w:noWrap w:val="false"/>
          </w:tcPr>
          <w:p>
            <w:pPr>
              <w:pStyle w:val="963"/>
              <w:jc w:val="center"/>
              <w:spacing w:line="480" w:lineRule="exact"/>
              <w:rPr>
                <w:rFonts w:hint="eastAsia" w:ascii="仿宋" w:hAnsi="仿宋" w:eastAsia="仿宋"/>
                <w:sz w:val="28"/>
                <w:szCs w:val="28"/>
              </w:rPr>
            </w:pPr>
            <w:r>
              <w:rPr>
                <w:rFonts w:hint="eastAsia" w:ascii="仿宋" w:hAnsi="仿宋" w:eastAsia="仿宋"/>
                <w:sz w:val="28"/>
                <w:szCs w:val="28"/>
              </w:rPr>
              <w:t xml:space="preserve">音箱</w:t>
            </w:r>
            <w:r>
              <w:rPr>
                <w:rFonts w:hint="eastAsia" w:ascii="仿宋" w:hAnsi="仿宋" w:eastAsia="仿宋"/>
                <w:sz w:val="28"/>
                <w:szCs w:val="28"/>
              </w:rPr>
            </w:r>
            <w:r/>
          </w:p>
        </w:tc>
        <w:tc>
          <w:tcPr>
            <w:tcW w:w="1550" w:type="dxa"/>
            <w:vAlign w:val="top"/>
            <w:vMerge w:val="continue"/>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40</w:t>
            </w:r>
            <w:r>
              <w:rPr>
                <w:rFonts w:ascii="仿宋" w:hAnsi="仿宋" w:eastAsia="仿宋"/>
                <w:sz w:val="28"/>
                <w:szCs w:val="28"/>
              </w:rPr>
            </w:r>
            <w:r/>
          </w:p>
        </w:tc>
        <w:tc>
          <w:tcPr>
            <w:tcW w:w="3562" w:type="dxa"/>
            <w:vAlign w:val="top"/>
            <w:textDirection w:val="lrTb"/>
            <w:noWrap w:val="false"/>
          </w:tcPr>
          <w:p>
            <w:pPr>
              <w:pStyle w:val="963"/>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24寸监视器</w:t>
            </w:r>
            <w:r>
              <w:rPr>
                <w:rFonts w:hint="eastAsia" w:ascii="仿宋" w:hAnsi="仿宋" w:eastAsia="仿宋"/>
                <w:color w:val="000000"/>
                <w:sz w:val="28"/>
                <w:szCs w:val="28"/>
                <w:highlight w:val="none"/>
              </w:rPr>
            </w:r>
            <w:r/>
          </w:p>
        </w:tc>
        <w:tc>
          <w:tcPr>
            <w:tcW w:w="1550" w:type="dxa"/>
            <w:vAlign w:val="top"/>
            <w:vMerge w:val="continue"/>
            <w:textDirection w:val="lrTb"/>
            <w:noWrap w:val="false"/>
          </w:tcPr>
          <w:p>
            <w:pPr>
              <w:pStyle w:val="963"/>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50" w:type="dxa"/>
            <w:vAlign w:val="top"/>
            <w:textDirection w:val="lrTb"/>
            <w:noWrap w:val="false"/>
          </w:tcPr>
          <w:p>
            <w:pPr>
              <w:pStyle w:val="963"/>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rPr>
                <w:rFonts w:ascii="仿宋" w:hAnsi="仿宋" w:eastAsia="仿宋"/>
                <w:color w:val="000000"/>
                <w:sz w:val="28"/>
                <w:szCs w:val="28"/>
                <w:highlight w:val="none"/>
              </w:rPr>
            </w:r>
            <w:r/>
          </w:p>
        </w:tc>
      </w:tr>
      <w:tr>
        <w:trPr>
          <w:cantSplit/>
          <w:trHeight w:val="222"/>
        </w:trPr>
        <w:tc>
          <w:tcPr>
            <w:tcW w:w="833" w:type="dxa"/>
            <w:vAlign w:val="top"/>
            <w:textDirection w:val="lrTb"/>
            <w:noWrap w:val="false"/>
          </w:tcPr>
          <w:p>
            <w:pPr>
              <w:pStyle w:val="963"/>
              <w:jc w:val="center"/>
              <w:spacing w:line="48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r>
            <w:r/>
          </w:p>
        </w:tc>
        <w:tc>
          <w:tcPr>
            <w:tcW w:w="3562" w:type="dxa"/>
            <w:vAlign w:val="top"/>
            <w:textDirection w:val="lrTb"/>
            <w:noWrap w:val="false"/>
          </w:tcPr>
          <w:p>
            <w:pPr>
              <w:pStyle w:val="963"/>
              <w:jc w:val="center"/>
              <w:spacing w:line="480" w:lineRule="exact"/>
              <w:rPr>
                <w:rFonts w:ascii="仿宋" w:hAnsi="仿宋" w:eastAsia="仿宋"/>
                <w:color w:val="ff0000"/>
                <w:sz w:val="28"/>
                <w:szCs w:val="28"/>
              </w:rPr>
            </w:pPr>
            <w:r>
              <w:rPr>
                <w:rFonts w:hint="eastAsia" w:ascii="仿宋" w:hAnsi="仿宋" w:eastAsia="仿宋"/>
                <w:color w:val="000000"/>
                <w:sz w:val="28"/>
                <w:szCs w:val="28"/>
              </w:rPr>
              <w:t xml:space="preserve">老院利旧设备拆除、搬迁、安装</w:t>
            </w:r>
            <w:r>
              <w:rPr>
                <w:rFonts w:ascii="仿宋" w:hAnsi="仿宋" w:eastAsia="仿宋"/>
                <w:color w:val="ff0000"/>
                <w:sz w:val="28"/>
                <w:szCs w:val="28"/>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ascii="仿宋" w:hAnsi="仿宋" w:eastAsia="仿宋"/>
                <w:color w:val="ff0000"/>
                <w:sz w:val="28"/>
                <w:szCs w:val="28"/>
                <w:highlight w:val="yellow"/>
              </w:rPr>
            </w:pPr>
            <w:r>
              <w:rPr>
                <w:rFonts w:ascii="仿宋" w:hAnsi="仿宋" w:eastAsia="仿宋"/>
                <w:color w:val="ff0000"/>
                <w:sz w:val="28"/>
                <w:szCs w:val="28"/>
                <w:highlight w:val="yellow"/>
              </w:rPr>
            </w:r>
            <w:r/>
          </w:p>
        </w:tc>
        <w:tc>
          <w:tcPr>
            <w:tcW w:w="1550" w:type="dxa"/>
            <w:vAlign w:val="top"/>
            <w:textDirection w:val="lrTb"/>
            <w:noWrap w:val="false"/>
          </w:tcPr>
          <w:p>
            <w:pPr>
              <w:pStyle w:val="963"/>
              <w:jc w:val="center"/>
              <w:spacing w:line="480" w:lineRule="exact"/>
              <w:rPr>
                <w:rFonts w:hint="eastAsia" w:ascii="仿宋" w:hAnsi="仿宋" w:eastAsia="仿宋"/>
                <w:color w:val="ff0000"/>
                <w:sz w:val="28"/>
                <w:szCs w:val="28"/>
                <w:highlight w:val="yellow"/>
              </w:rPr>
            </w:pPr>
            <w:r>
              <w:rPr>
                <w:rFonts w:hint="eastAsia" w:ascii="仿宋" w:hAnsi="仿宋" w:eastAsia="仿宋"/>
                <w:color w:val="ff0000"/>
                <w:sz w:val="28"/>
                <w:szCs w:val="28"/>
                <w:highlight w:val="yellow"/>
              </w:rPr>
            </w:r>
            <w:r/>
          </w:p>
        </w:tc>
      </w:tr>
    </w:tbl>
    <w:p>
      <w:pPr>
        <w:pStyle w:val="963"/>
        <w:ind w:firstLine="560"/>
        <w:rPr>
          <w:rFonts w:hint="eastAsia" w:ascii="宋体" w:hAnsi="宋体"/>
          <w:bCs/>
          <w:color w:val="000000"/>
          <w:sz w:val="28"/>
          <w:szCs w:val="28"/>
          <w:highlight w:val="none"/>
        </w:rPr>
      </w:pPr>
      <w:r>
        <w:rPr>
          <w:rFonts w:hint="eastAsia" w:ascii="宋体" w:hAnsi="宋体"/>
          <w:bCs/>
          <w:color w:val="000000"/>
          <w:sz w:val="28"/>
          <w:szCs w:val="28"/>
        </w:rPr>
        <w:t xml:space="preserve">南通市第一人民医院临床技能模拟中心信息化项目所需硬件除本项目规划的硬件部分，还包括老院技能中心的硬件设备的利旧，老院可二次利用的硬件设备的拆除、搬迁及安装的工作量。（</w:t>
      </w:r>
      <w:r>
        <w:rPr>
          <w:rFonts w:hint="eastAsia" w:ascii="宋体" w:hAnsi="宋体"/>
          <w:bCs/>
          <w:color w:val="000000"/>
          <w:sz w:val="28"/>
          <w:szCs w:val="28"/>
          <w:highlight w:val="none"/>
        </w:rPr>
        <w:t xml:space="preserve">工作量清单见下表）</w:t>
      </w:r>
      <w:r>
        <w:rPr>
          <w:rFonts w:hint="eastAsia" w:ascii="宋体" w:hAnsi="宋体"/>
          <w:bCs/>
          <w:color w:val="000000"/>
          <w:sz w:val="28"/>
          <w:szCs w:val="28"/>
          <w:highlight w:val="none"/>
        </w:rPr>
      </w:r>
      <w:r/>
    </w:p>
    <w:p>
      <w:pPr>
        <w:pStyle w:val="975"/>
        <w:rPr>
          <w:rFonts w:hint="eastAsia"/>
        </w:rPr>
      </w:pPr>
      <w:r>
        <w:rPr>
          <w:rFonts w:hint="eastAsia"/>
        </w:rPr>
      </w:r>
      <w:r/>
    </w:p>
    <w:p>
      <w:pPr>
        <w:pStyle w:val="963"/>
        <w:jc w:val="center"/>
        <w:spacing w:line="335" w:lineRule="auto"/>
      </w:pPr>
      <w:r>
        <w:rPr>
          <w:rFonts w:hint="eastAsia"/>
          <w:sz w:val="28"/>
          <w:szCs w:val="28"/>
        </w:rPr>
        <w:t xml:space="preserve">老院临床技能中心需要利旧的设备清单</w:t>
      </w:r>
      <w:r/>
    </w:p>
    <w:p>
      <w:pPr>
        <w:pStyle w:val="963"/>
        <w:spacing w:line="128" w:lineRule="exact"/>
      </w:pPr>
      <w:r/>
      <w:r/>
    </w:p>
    <w:tbl>
      <w:tblPr>
        <w:tblW w:w="86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484"/>
        <w:gridCol w:w="3242"/>
        <w:gridCol w:w="1266"/>
        <w:gridCol w:w="1000"/>
      </w:tblGrid>
      <w:tr>
        <w:trPr>
          <w:trHeight w:val="624"/>
        </w:trPr>
        <w:tc>
          <w:tcPr>
            <w:shd w:val="clear" w:color="auto" w:fill="cbe0f7"/>
            <w:tcW w:w="704" w:type="dxa"/>
            <w:vAlign w:val="top"/>
            <w:textDirection w:val="lrTb"/>
            <w:noWrap w:val="false"/>
          </w:tcPr>
          <w:p>
            <w:pPr>
              <w:pStyle w:val="1082"/>
              <w:ind w:left="128"/>
              <w:jc w:val="center"/>
              <w:spacing w:before="202" w:line="221" w:lineRule="auto"/>
              <w:rPr>
                <w:sz w:val="22"/>
                <w:szCs w:val="22"/>
              </w:rPr>
            </w:pPr>
            <w:r>
              <w:rPr>
                <w:b/>
                <w:bCs/>
                <w:spacing w:val="-5"/>
                <w:sz w:val="22"/>
                <w:szCs w:val="22"/>
              </w:rPr>
              <w:t xml:space="preserve">序号</w:t>
            </w:r>
            <w:r>
              <w:rPr>
                <w:sz w:val="22"/>
                <w:szCs w:val="22"/>
              </w:rPr>
            </w:r>
            <w:r/>
          </w:p>
        </w:tc>
        <w:tc>
          <w:tcPr>
            <w:shd w:val="clear" w:color="auto" w:fill="cce0f8"/>
            <w:tcW w:w="2484" w:type="dxa"/>
            <w:vAlign w:val="top"/>
            <w:textDirection w:val="lrTb"/>
            <w:noWrap w:val="false"/>
          </w:tcPr>
          <w:p>
            <w:pPr>
              <w:pStyle w:val="1082"/>
              <w:jc w:val="center"/>
              <w:spacing w:before="203" w:line="221" w:lineRule="auto"/>
              <w:rPr>
                <w:sz w:val="22"/>
                <w:szCs w:val="22"/>
              </w:rPr>
            </w:pPr>
            <w:r>
              <w:rPr>
                <w:b/>
                <w:bCs/>
                <w:spacing w:val="-6"/>
                <w:sz w:val="22"/>
                <w:szCs w:val="22"/>
              </w:rPr>
              <w:t xml:space="preserve">名称</w:t>
            </w:r>
            <w:r>
              <w:rPr>
                <w:sz w:val="22"/>
                <w:szCs w:val="22"/>
              </w:rPr>
            </w:r>
            <w:r/>
          </w:p>
        </w:tc>
        <w:tc>
          <w:tcPr>
            <w:shd w:val="clear" w:color="auto" w:fill="cce0f8"/>
            <w:tcW w:w="3242" w:type="dxa"/>
            <w:vAlign w:val="top"/>
            <w:textDirection w:val="lrTb"/>
            <w:noWrap w:val="false"/>
          </w:tcPr>
          <w:p>
            <w:pPr>
              <w:pStyle w:val="1082"/>
              <w:jc w:val="center"/>
              <w:spacing w:before="201" w:line="219" w:lineRule="auto"/>
              <w:rPr>
                <w:sz w:val="22"/>
                <w:szCs w:val="22"/>
              </w:rPr>
            </w:pPr>
            <w:r>
              <w:rPr>
                <w:b/>
                <w:bCs/>
                <w:spacing w:val="-5"/>
                <w:sz w:val="22"/>
                <w:szCs w:val="22"/>
              </w:rPr>
              <w:t xml:space="preserve">型号/规格</w:t>
            </w:r>
            <w:r>
              <w:rPr>
                <w:sz w:val="22"/>
                <w:szCs w:val="22"/>
              </w:rPr>
            </w:r>
            <w:r/>
          </w:p>
        </w:tc>
        <w:tc>
          <w:tcPr>
            <w:shd w:val="clear" w:color="auto" w:fill="cce0f7"/>
            <w:tcW w:w="1266" w:type="dxa"/>
            <w:vAlign w:val="top"/>
            <w:textDirection w:val="lrTb"/>
            <w:noWrap w:val="false"/>
          </w:tcPr>
          <w:p>
            <w:pPr>
              <w:pStyle w:val="1082"/>
              <w:jc w:val="center"/>
              <w:spacing w:before="201" w:line="219" w:lineRule="auto"/>
              <w:rPr>
                <w:sz w:val="22"/>
                <w:szCs w:val="22"/>
              </w:rPr>
            </w:pPr>
            <w:r>
              <w:rPr>
                <w:b/>
                <w:bCs/>
                <w:spacing w:val="-1"/>
                <w:sz w:val="22"/>
                <w:szCs w:val="22"/>
              </w:rPr>
              <w:t xml:space="preserve">品牌厂家</w:t>
            </w:r>
            <w:r>
              <w:rPr>
                <w:sz w:val="22"/>
                <w:szCs w:val="22"/>
              </w:rPr>
            </w:r>
            <w:r/>
          </w:p>
        </w:tc>
        <w:tc>
          <w:tcPr>
            <w:shd w:val="clear" w:color="auto" w:fill="cce0f7"/>
            <w:tcW w:w="1000" w:type="dxa"/>
            <w:vAlign w:val="top"/>
            <w:textDirection w:val="lrTb"/>
            <w:noWrap w:val="false"/>
          </w:tcPr>
          <w:p>
            <w:pPr>
              <w:pStyle w:val="1082"/>
              <w:ind w:left="102"/>
              <w:jc w:val="center"/>
              <w:spacing w:before="201" w:line="219" w:lineRule="auto"/>
              <w:rPr>
                <w:sz w:val="22"/>
                <w:szCs w:val="22"/>
              </w:rPr>
            </w:pPr>
            <w:r>
              <w:rPr>
                <w:b/>
                <w:bCs/>
                <w:spacing w:val="-5"/>
                <w:sz w:val="22"/>
                <w:szCs w:val="22"/>
              </w:rPr>
              <w:t xml:space="preserve">数量</w:t>
            </w:r>
            <w:r>
              <w:rPr>
                <w:sz w:val="22"/>
                <w:szCs w:val="22"/>
              </w:rPr>
            </w:r>
            <w:r/>
          </w:p>
        </w:tc>
      </w:tr>
      <w:tr>
        <w:trPr>
          <w:trHeight w:val="360"/>
        </w:trPr>
        <w:tc>
          <w:tcPr>
            <w:tcW w:w="704" w:type="dxa"/>
            <w:vAlign w:val="top"/>
            <w:textDirection w:val="lrTb"/>
            <w:noWrap w:val="false"/>
          </w:tcPr>
          <w:p>
            <w:pPr>
              <w:pStyle w:val="1082"/>
              <w:jc w:val="center"/>
              <w:spacing w:before="127" w:line="183" w:lineRule="auto"/>
              <w:rPr>
                <w:rFonts w:hint="eastAsia"/>
                <w:sz w:val="22"/>
                <w:szCs w:val="22"/>
                <w:lang w:eastAsia="zh-CN"/>
              </w:rPr>
            </w:pPr>
            <w:r>
              <w:rPr>
                <w:rFonts w:hint="eastAsia"/>
                <w:sz w:val="22"/>
                <w:szCs w:val="22"/>
                <w:lang w:eastAsia="zh-CN"/>
              </w:rPr>
              <w:t xml:space="preserve">1</w:t>
            </w:r>
            <w:r>
              <w:rPr>
                <w:rFonts w:hint="eastAsia"/>
                <w:sz w:val="22"/>
                <w:szCs w:val="22"/>
                <w:lang w:eastAsia="zh-CN"/>
              </w:rPr>
            </w:r>
            <w:r/>
          </w:p>
        </w:tc>
        <w:tc>
          <w:tcPr>
            <w:tcW w:w="2484" w:type="dxa"/>
            <w:vAlign w:val="top"/>
            <w:textDirection w:val="lrTb"/>
            <w:noWrap w:val="false"/>
          </w:tcPr>
          <w:p>
            <w:pPr>
              <w:pStyle w:val="1082"/>
              <w:ind w:left="60"/>
              <w:jc w:val="center"/>
              <w:spacing w:before="69" w:line="219" w:lineRule="auto"/>
              <w:rPr>
                <w:sz w:val="22"/>
                <w:szCs w:val="22"/>
                <w:lang w:eastAsia="zh-CN"/>
              </w:rPr>
            </w:pPr>
            <w:r>
              <w:rPr>
                <w:spacing w:val="3"/>
                <w:sz w:val="22"/>
                <w:szCs w:val="22"/>
                <w:lang w:eastAsia="zh-CN"/>
              </w:rPr>
              <w:t xml:space="preserve">网络摄像机-红外一体机(海康)</w:t>
            </w:r>
            <w:r>
              <w:rPr>
                <w:sz w:val="22"/>
                <w:szCs w:val="22"/>
                <w:lang w:eastAsia="zh-CN"/>
              </w:rPr>
            </w:r>
            <w:r/>
          </w:p>
        </w:tc>
        <w:tc>
          <w:tcPr>
            <w:tcW w:w="3242" w:type="dxa"/>
            <w:vAlign w:val="top"/>
            <w:textDirection w:val="lrTb"/>
            <w:noWrap w:val="false"/>
          </w:tcPr>
          <w:p>
            <w:pPr>
              <w:pStyle w:val="1082"/>
              <w:jc w:val="center"/>
              <w:spacing w:before="126" w:line="184" w:lineRule="auto"/>
              <w:rPr>
                <w:sz w:val="22"/>
                <w:szCs w:val="22"/>
              </w:rPr>
            </w:pPr>
            <w:r>
              <w:rPr>
                <w:spacing w:val="-1"/>
                <w:sz w:val="22"/>
                <w:szCs w:val="22"/>
              </w:rPr>
              <w:t xml:space="preserve">2CD3345F-1-PWR</w:t>
            </w:r>
            <w:r>
              <w:rPr>
                <w:sz w:val="22"/>
                <w:szCs w:val="22"/>
              </w:rPr>
            </w:r>
            <w:r/>
          </w:p>
        </w:tc>
        <w:tc>
          <w:tcPr>
            <w:tcW w:w="1266" w:type="dxa"/>
            <w:vAlign w:val="top"/>
            <w:textDirection w:val="lrTb"/>
            <w:noWrap w:val="false"/>
          </w:tcPr>
          <w:p>
            <w:pPr>
              <w:pStyle w:val="1082"/>
              <w:jc w:val="center"/>
              <w:spacing w:before="71" w:line="219"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1082"/>
              <w:ind w:left="98"/>
              <w:jc w:val="center"/>
              <w:spacing w:before="126" w:line="184" w:lineRule="auto"/>
              <w:rPr>
                <w:sz w:val="22"/>
                <w:szCs w:val="22"/>
              </w:rPr>
            </w:pPr>
            <w:r>
              <w:rPr>
                <w:spacing w:val="-7"/>
                <w:sz w:val="22"/>
                <w:szCs w:val="22"/>
              </w:rPr>
              <w:t xml:space="preserve">16</w:t>
            </w:r>
            <w:r>
              <w:rPr>
                <w:sz w:val="22"/>
                <w:szCs w:val="22"/>
              </w:rPr>
            </w:r>
            <w:r/>
          </w:p>
        </w:tc>
      </w:tr>
      <w:tr>
        <w:trPr>
          <w:trHeight w:val="330"/>
        </w:trPr>
        <w:tc>
          <w:tcPr>
            <w:tcW w:w="704" w:type="dxa"/>
            <w:vAlign w:val="top"/>
            <w:textDirection w:val="lrTb"/>
            <w:noWrap w:val="false"/>
          </w:tcPr>
          <w:p>
            <w:pPr>
              <w:pStyle w:val="1082"/>
              <w:jc w:val="center"/>
              <w:spacing w:before="117" w:line="170" w:lineRule="auto"/>
              <w:rPr>
                <w:rFonts w:hint="eastAsia"/>
                <w:sz w:val="22"/>
                <w:szCs w:val="22"/>
                <w:lang w:eastAsia="zh-CN"/>
              </w:rPr>
            </w:pPr>
            <w:r>
              <w:rPr>
                <w:rFonts w:hint="eastAsia"/>
                <w:sz w:val="22"/>
                <w:szCs w:val="22"/>
                <w:lang w:eastAsia="zh-CN"/>
              </w:rPr>
              <w:t xml:space="preserve">2</w:t>
            </w:r>
            <w:r>
              <w:rPr>
                <w:rFonts w:hint="eastAsia"/>
                <w:sz w:val="22"/>
                <w:szCs w:val="22"/>
                <w:lang w:eastAsia="zh-CN"/>
              </w:rPr>
            </w:r>
            <w:r/>
          </w:p>
        </w:tc>
        <w:tc>
          <w:tcPr>
            <w:tcW w:w="2484" w:type="dxa"/>
            <w:vAlign w:val="top"/>
            <w:textDirection w:val="lrTb"/>
            <w:noWrap w:val="false"/>
          </w:tcPr>
          <w:p>
            <w:pPr>
              <w:pStyle w:val="1082"/>
              <w:jc w:val="center"/>
              <w:spacing w:before="60" w:line="218" w:lineRule="auto"/>
              <w:rPr>
                <w:sz w:val="22"/>
                <w:szCs w:val="22"/>
              </w:rPr>
            </w:pPr>
            <w:r>
              <w:rPr>
                <w:spacing w:val="4"/>
                <w:sz w:val="22"/>
                <w:szCs w:val="22"/>
              </w:rPr>
              <w:t xml:space="preserve">室内红外迷你球(海康)</w:t>
            </w:r>
            <w:r>
              <w:rPr>
                <w:sz w:val="22"/>
                <w:szCs w:val="22"/>
              </w:rPr>
            </w:r>
            <w:r/>
          </w:p>
        </w:tc>
        <w:tc>
          <w:tcPr>
            <w:tcW w:w="3242" w:type="dxa"/>
            <w:vAlign w:val="top"/>
            <w:textDirection w:val="lrTb"/>
            <w:noWrap w:val="false"/>
          </w:tcPr>
          <w:p>
            <w:pPr>
              <w:pStyle w:val="1082"/>
              <w:jc w:val="center"/>
              <w:spacing w:before="67" w:line="212" w:lineRule="auto"/>
              <w:rPr>
                <w:sz w:val="22"/>
                <w:szCs w:val="22"/>
              </w:rPr>
            </w:pPr>
            <w:r>
              <w:rPr>
                <w:spacing w:val="-1"/>
                <w:sz w:val="22"/>
                <w:szCs w:val="22"/>
              </w:rPr>
              <w:t xml:space="preserve">2DE2402IW-DE3/W</w:t>
            </w:r>
            <w:r>
              <w:rPr>
                <w:sz w:val="22"/>
                <w:szCs w:val="22"/>
              </w:rPr>
            </w:r>
            <w:r/>
          </w:p>
        </w:tc>
        <w:tc>
          <w:tcPr>
            <w:tcW w:w="1266" w:type="dxa"/>
            <w:vAlign w:val="top"/>
            <w:textDirection w:val="lrTb"/>
            <w:noWrap w:val="false"/>
          </w:tcPr>
          <w:p>
            <w:pPr>
              <w:pStyle w:val="1082"/>
              <w:jc w:val="center"/>
              <w:spacing w:before="60" w:line="218"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1082"/>
              <w:ind w:left="98"/>
              <w:jc w:val="center"/>
              <w:spacing w:before="117" w:line="170" w:lineRule="auto"/>
              <w:rPr>
                <w:sz w:val="22"/>
                <w:szCs w:val="22"/>
              </w:rPr>
            </w:pPr>
            <w:r>
              <w:rPr>
                <w:spacing w:val="-3"/>
                <w:sz w:val="22"/>
                <w:szCs w:val="22"/>
              </w:rPr>
              <w:t xml:space="preserve">66</w:t>
            </w:r>
            <w:r>
              <w:rPr>
                <w:sz w:val="22"/>
                <w:szCs w:val="22"/>
              </w:rPr>
            </w:r>
            <w:r/>
          </w:p>
        </w:tc>
      </w:tr>
      <w:tr>
        <w:trPr>
          <w:trHeight w:val="340"/>
        </w:trPr>
        <w:tc>
          <w:tcPr>
            <w:tcW w:w="704" w:type="dxa"/>
            <w:vAlign w:val="top"/>
            <w:textDirection w:val="lrTb"/>
            <w:noWrap w:val="false"/>
          </w:tcPr>
          <w:p>
            <w:pPr>
              <w:pStyle w:val="1082"/>
              <w:jc w:val="center"/>
              <w:spacing w:before="117" w:line="178" w:lineRule="auto"/>
              <w:rPr>
                <w:rFonts w:hint="eastAsia"/>
                <w:sz w:val="22"/>
                <w:szCs w:val="22"/>
                <w:lang w:eastAsia="zh-CN"/>
              </w:rPr>
            </w:pPr>
            <w:r>
              <w:rPr>
                <w:rFonts w:hint="eastAsia"/>
                <w:sz w:val="22"/>
                <w:szCs w:val="22"/>
                <w:lang w:eastAsia="zh-CN"/>
              </w:rPr>
              <w:t xml:space="preserve">3</w:t>
            </w:r>
            <w:r>
              <w:rPr>
                <w:rFonts w:hint="eastAsia"/>
                <w:sz w:val="22"/>
                <w:szCs w:val="22"/>
                <w:lang w:eastAsia="zh-CN"/>
              </w:rPr>
            </w:r>
            <w:r/>
          </w:p>
        </w:tc>
        <w:tc>
          <w:tcPr>
            <w:tcW w:w="2484" w:type="dxa"/>
            <w:vAlign w:val="top"/>
            <w:textDirection w:val="lrTb"/>
            <w:noWrap w:val="false"/>
          </w:tcPr>
          <w:p>
            <w:pPr>
              <w:pStyle w:val="1082"/>
              <w:jc w:val="center"/>
              <w:spacing w:before="61" w:line="219" w:lineRule="auto"/>
              <w:rPr>
                <w:sz w:val="22"/>
                <w:szCs w:val="22"/>
              </w:rPr>
            </w:pPr>
            <w:r>
              <w:rPr>
                <w:spacing w:val="6"/>
                <w:sz w:val="22"/>
                <w:szCs w:val="22"/>
              </w:rPr>
              <w:t xml:space="preserve">硬盘(西部数据)</w:t>
            </w:r>
            <w:r>
              <w:rPr>
                <w:sz w:val="22"/>
                <w:szCs w:val="22"/>
              </w:rPr>
            </w:r>
            <w:r/>
          </w:p>
        </w:tc>
        <w:tc>
          <w:tcPr>
            <w:tcW w:w="3242" w:type="dxa"/>
            <w:vAlign w:val="top"/>
            <w:textDirection w:val="lrTb"/>
            <w:noWrap w:val="false"/>
          </w:tcPr>
          <w:p>
            <w:pPr>
              <w:pStyle w:val="1082"/>
              <w:jc w:val="center"/>
              <w:spacing w:before="117" w:line="178" w:lineRule="auto"/>
              <w:rPr>
                <w:sz w:val="22"/>
                <w:szCs w:val="22"/>
              </w:rPr>
            </w:pPr>
            <w:r>
              <w:rPr>
                <w:spacing w:val="-1"/>
                <w:sz w:val="22"/>
                <w:szCs w:val="22"/>
              </w:rPr>
              <w:t xml:space="preserve">WD30EURS</w:t>
            </w:r>
            <w:r>
              <w:rPr>
                <w:sz w:val="22"/>
                <w:szCs w:val="22"/>
              </w:rPr>
            </w:r>
            <w:r/>
          </w:p>
        </w:tc>
        <w:tc>
          <w:tcPr>
            <w:tcW w:w="1266" w:type="dxa"/>
            <w:vAlign w:val="top"/>
            <w:textDirection w:val="lrTb"/>
            <w:noWrap w:val="false"/>
          </w:tcPr>
          <w:p>
            <w:pPr>
              <w:pStyle w:val="1082"/>
              <w:jc w:val="center"/>
              <w:spacing w:before="61" w:line="219" w:lineRule="auto"/>
              <w:rPr>
                <w:sz w:val="22"/>
                <w:szCs w:val="22"/>
              </w:rPr>
            </w:pPr>
            <w:r>
              <w:rPr>
                <w:spacing w:val="3"/>
                <w:sz w:val="22"/>
                <w:szCs w:val="22"/>
              </w:rPr>
              <w:t xml:space="preserve">西部数据</w:t>
            </w:r>
            <w:r>
              <w:rPr>
                <w:sz w:val="22"/>
                <w:szCs w:val="22"/>
              </w:rPr>
            </w:r>
            <w:r/>
          </w:p>
        </w:tc>
        <w:tc>
          <w:tcPr>
            <w:tcW w:w="1000" w:type="dxa"/>
            <w:vAlign w:val="top"/>
            <w:textDirection w:val="lrTb"/>
            <w:noWrap w:val="false"/>
          </w:tcPr>
          <w:p>
            <w:pPr>
              <w:pStyle w:val="1082"/>
              <w:ind w:left="98"/>
              <w:jc w:val="center"/>
              <w:spacing w:before="117" w:line="178" w:lineRule="auto"/>
              <w:rPr>
                <w:sz w:val="22"/>
                <w:szCs w:val="22"/>
              </w:rPr>
            </w:pPr>
            <w:r>
              <w:rPr>
                <w:spacing w:val="-3"/>
                <w:sz w:val="22"/>
                <w:szCs w:val="22"/>
              </w:rPr>
              <w:t xml:space="preserve">20</w:t>
            </w:r>
            <w:r>
              <w:rPr>
                <w:sz w:val="22"/>
                <w:szCs w:val="22"/>
              </w:rPr>
            </w:r>
            <w:r/>
          </w:p>
        </w:tc>
      </w:tr>
      <w:tr>
        <w:trPr>
          <w:trHeight w:val="330"/>
        </w:trPr>
        <w:tc>
          <w:tcPr>
            <w:tcW w:w="704" w:type="dxa"/>
            <w:vAlign w:val="top"/>
            <w:textDirection w:val="lrTb"/>
            <w:noWrap w:val="false"/>
          </w:tcPr>
          <w:p>
            <w:pPr>
              <w:pStyle w:val="1082"/>
              <w:jc w:val="center"/>
              <w:spacing w:before="119" w:line="168" w:lineRule="auto"/>
              <w:rPr>
                <w:rFonts w:hint="eastAsia"/>
                <w:sz w:val="22"/>
                <w:szCs w:val="22"/>
                <w:lang w:eastAsia="zh-CN"/>
              </w:rPr>
            </w:pPr>
            <w:r>
              <w:rPr>
                <w:rFonts w:hint="eastAsia"/>
                <w:sz w:val="22"/>
                <w:szCs w:val="22"/>
                <w:lang w:eastAsia="zh-CN"/>
              </w:rPr>
              <w:t xml:space="preserve">4</w:t>
            </w:r>
            <w:r>
              <w:rPr>
                <w:rFonts w:hint="eastAsia"/>
                <w:sz w:val="22"/>
                <w:szCs w:val="22"/>
                <w:lang w:eastAsia="zh-CN"/>
              </w:rPr>
            </w:r>
            <w:r/>
          </w:p>
        </w:tc>
        <w:tc>
          <w:tcPr>
            <w:tcW w:w="2484" w:type="dxa"/>
            <w:vAlign w:val="top"/>
            <w:textDirection w:val="lrTb"/>
            <w:noWrap w:val="false"/>
          </w:tcPr>
          <w:p>
            <w:pPr>
              <w:pStyle w:val="1082"/>
              <w:jc w:val="center"/>
              <w:spacing w:before="61" w:line="217" w:lineRule="auto"/>
              <w:rPr>
                <w:sz w:val="22"/>
                <w:szCs w:val="22"/>
              </w:rPr>
            </w:pPr>
            <w:r>
              <w:rPr>
                <w:spacing w:val="-2"/>
                <w:sz w:val="22"/>
                <w:szCs w:val="22"/>
              </w:rPr>
              <w:t xml:space="preserve">嵌入式NVR</w:t>
            </w:r>
            <w:r>
              <w:rPr>
                <w:sz w:val="22"/>
                <w:szCs w:val="22"/>
              </w:rPr>
            </w:r>
            <w:r/>
          </w:p>
        </w:tc>
        <w:tc>
          <w:tcPr>
            <w:tcW w:w="3242" w:type="dxa"/>
            <w:vAlign w:val="top"/>
            <w:textDirection w:val="lrTb"/>
            <w:noWrap w:val="false"/>
          </w:tcPr>
          <w:p>
            <w:pPr>
              <w:pStyle w:val="1082"/>
              <w:jc w:val="center"/>
              <w:spacing w:before="117" w:line="170" w:lineRule="auto"/>
              <w:rPr>
                <w:sz w:val="22"/>
                <w:szCs w:val="22"/>
              </w:rPr>
            </w:pPr>
            <w:r>
              <w:rPr>
                <w:spacing w:val="-1"/>
                <w:sz w:val="22"/>
                <w:szCs w:val="22"/>
              </w:rPr>
              <w:t xml:space="preserve">DS-8832NKE</w:t>
            </w:r>
            <w:r>
              <w:rPr>
                <w:sz w:val="22"/>
                <w:szCs w:val="22"/>
              </w:rPr>
            </w:r>
            <w:r/>
          </w:p>
        </w:tc>
        <w:tc>
          <w:tcPr>
            <w:tcW w:w="1266" w:type="dxa"/>
            <w:vAlign w:val="top"/>
            <w:textDirection w:val="lrTb"/>
            <w:noWrap w:val="false"/>
          </w:tcPr>
          <w:p>
            <w:pPr>
              <w:pStyle w:val="1082"/>
              <w:jc w:val="center"/>
              <w:spacing w:before="60" w:line="218" w:lineRule="auto"/>
              <w:rPr>
                <w:sz w:val="22"/>
                <w:szCs w:val="22"/>
              </w:rPr>
            </w:pPr>
            <w:r>
              <w:rPr>
                <w:spacing w:val="-2"/>
                <w:sz w:val="22"/>
                <w:szCs w:val="22"/>
              </w:rPr>
              <w:t xml:space="preserve">海康</w:t>
            </w:r>
            <w:r>
              <w:rPr>
                <w:sz w:val="22"/>
                <w:szCs w:val="22"/>
              </w:rPr>
            </w:r>
            <w:r/>
          </w:p>
        </w:tc>
        <w:tc>
          <w:tcPr>
            <w:tcW w:w="1000" w:type="dxa"/>
            <w:vAlign w:val="top"/>
            <w:textDirection w:val="lrTb"/>
            <w:noWrap w:val="false"/>
          </w:tcPr>
          <w:p>
            <w:pPr>
              <w:pStyle w:val="1082"/>
              <w:ind w:left="98"/>
              <w:jc w:val="center"/>
              <w:spacing w:before="117" w:line="170" w:lineRule="auto"/>
              <w:rPr>
                <w:rFonts w:hint="eastAsia"/>
                <w:sz w:val="22"/>
                <w:szCs w:val="22"/>
                <w:lang w:eastAsia="zh-CN"/>
              </w:rPr>
            </w:pPr>
            <w:r>
              <w:rPr>
                <w:rFonts w:hint="eastAsia"/>
                <w:sz w:val="22"/>
                <w:szCs w:val="22"/>
                <w:lang w:eastAsia="zh-CN"/>
              </w:rPr>
              <w:t xml:space="preserve">4</w:t>
            </w:r>
            <w:r>
              <w:rPr>
                <w:rFonts w:hint="eastAsia"/>
                <w:sz w:val="22"/>
                <w:szCs w:val="22"/>
                <w:lang w:eastAsia="zh-CN"/>
              </w:rPr>
            </w:r>
            <w:r/>
          </w:p>
        </w:tc>
      </w:tr>
      <w:tr>
        <w:trPr>
          <w:trHeight w:val="116"/>
        </w:trPr>
        <w:tc>
          <w:tcPr>
            <w:tcW w:w="704" w:type="dxa"/>
            <w:vAlign w:val="top"/>
            <w:textDirection w:val="lrTb"/>
            <w:noWrap w:val="false"/>
          </w:tcPr>
          <w:p>
            <w:pPr>
              <w:pStyle w:val="1082"/>
              <w:jc w:val="center"/>
              <w:spacing w:before="71" w:line="182" w:lineRule="auto"/>
              <w:rPr>
                <w:rFonts w:hint="eastAsia"/>
                <w:sz w:val="22"/>
                <w:szCs w:val="22"/>
                <w:lang w:eastAsia="zh-CN"/>
              </w:rPr>
            </w:pPr>
            <w:r>
              <w:rPr>
                <w:rFonts w:hint="eastAsia"/>
                <w:sz w:val="22"/>
                <w:szCs w:val="22"/>
                <w:lang w:eastAsia="zh-CN"/>
              </w:rPr>
              <w:t xml:space="preserve">5</w:t>
            </w:r>
            <w:r>
              <w:rPr>
                <w:rFonts w:hint="eastAsia"/>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pacing w:val="5"/>
                <w:sz w:val="22"/>
                <w:szCs w:val="22"/>
              </w:rPr>
              <w:t xml:space="preserve">电脑</w:t>
            </w:r>
            <w:r>
              <w:rPr>
                <w:sz w:val="22"/>
                <w:szCs w:val="22"/>
              </w:rPr>
            </w:r>
            <w:r/>
          </w:p>
        </w:tc>
        <w:tc>
          <w:tcPr>
            <w:tcW w:w="3242" w:type="dxa"/>
            <w:vAlign w:val="top"/>
            <w:textDirection w:val="lrTb"/>
            <w:noWrap w:val="false"/>
          </w:tcPr>
          <w:p>
            <w:pPr>
              <w:pStyle w:val="1082"/>
              <w:jc w:val="center"/>
              <w:spacing w:before="2" w:line="182" w:lineRule="auto"/>
              <w:rPr>
                <w:sz w:val="22"/>
                <w:szCs w:val="22"/>
              </w:rPr>
            </w:pPr>
            <w:r>
              <w:rPr>
                <w:sz w:val="22"/>
                <w:szCs w:val="22"/>
              </w:rPr>
            </w:r>
            <w:r/>
          </w:p>
        </w:tc>
        <w:tc>
          <w:tcPr>
            <w:tcW w:w="1266" w:type="dxa"/>
            <w:vAlign w:val="top"/>
            <w:textDirection w:val="lrTb"/>
            <w:noWrap w:val="false"/>
          </w:tcPr>
          <w:p>
            <w:pPr>
              <w:pStyle w:val="1082"/>
              <w:jc w:val="center"/>
              <w:spacing w:before="72" w:line="221" w:lineRule="auto"/>
              <w:rPr>
                <w:sz w:val="22"/>
                <w:szCs w:val="22"/>
              </w:rPr>
            </w:pPr>
            <w:r>
              <w:rPr>
                <w:spacing w:val="8"/>
                <w:sz w:val="22"/>
                <w:szCs w:val="22"/>
              </w:rPr>
              <w:t xml:space="preserve">联想</w:t>
            </w:r>
            <w:r>
              <w:rPr>
                <w:sz w:val="22"/>
                <w:szCs w:val="22"/>
              </w:rPr>
            </w:r>
            <w:r/>
          </w:p>
        </w:tc>
        <w:tc>
          <w:tcPr>
            <w:tcW w:w="1000" w:type="dxa"/>
            <w:vAlign w:val="top"/>
            <w:textDirection w:val="lrTb"/>
            <w:noWrap w:val="false"/>
          </w:tcPr>
          <w:p>
            <w:pPr>
              <w:pStyle w:val="1082"/>
              <w:ind w:left="98"/>
              <w:jc w:val="center"/>
              <w:spacing w:before="71" w:line="183" w:lineRule="auto"/>
              <w:rPr>
                <w:sz w:val="22"/>
                <w:szCs w:val="22"/>
              </w:rPr>
            </w:pPr>
            <w:r>
              <w:rPr>
                <w:sz w:val="22"/>
                <w:szCs w:val="22"/>
              </w:rPr>
              <w:t xml:space="preserve">3</w:t>
            </w:r>
            <w:r>
              <w:rPr>
                <w:sz w:val="22"/>
                <w:szCs w:val="22"/>
              </w:rPr>
            </w:r>
            <w:r/>
          </w:p>
        </w:tc>
      </w:tr>
      <w:tr>
        <w:trPr>
          <w:trHeight w:val="373"/>
        </w:trPr>
        <w:tc>
          <w:tcPr>
            <w:tcW w:w="704" w:type="dxa"/>
            <w:vAlign w:val="top"/>
            <w:textDirection w:val="lrTb"/>
            <w:noWrap w:val="false"/>
          </w:tcPr>
          <w:p>
            <w:pPr>
              <w:pStyle w:val="1082"/>
              <w:jc w:val="center"/>
              <w:spacing w:before="72" w:line="221" w:lineRule="auto"/>
              <w:rPr>
                <w:rFonts w:hint="eastAsia"/>
                <w:sz w:val="22"/>
                <w:szCs w:val="22"/>
                <w:lang w:eastAsia="zh-CN"/>
              </w:rPr>
            </w:pPr>
            <w:r>
              <w:rPr>
                <w:rFonts w:hint="eastAsia"/>
                <w:sz w:val="22"/>
                <w:szCs w:val="22"/>
                <w:lang w:eastAsia="zh-CN"/>
              </w:rPr>
              <w:t xml:space="preserve">6</w:t>
            </w:r>
            <w:r>
              <w:rPr>
                <w:rFonts w:hint="eastAsia"/>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65寸液晶电视机</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L65M5 PRO 2GB+16GE</w:t>
            </w:r>
            <w:r>
              <w:rPr>
                <w:sz w:val="22"/>
                <w:szCs w:val="22"/>
              </w:rPr>
            </w:r>
            <w:r/>
          </w:p>
        </w:tc>
        <w:tc>
          <w:tcPr>
            <w:tcW w:w="1266" w:type="dxa"/>
            <w:vAlign w:val="top"/>
            <w:textDirection w:val="lrTb"/>
            <w:noWrap w:val="false"/>
          </w:tcPr>
          <w:p>
            <w:pPr>
              <w:pStyle w:val="1082"/>
              <w:jc w:val="center"/>
              <w:spacing w:before="72" w:line="221" w:lineRule="auto"/>
              <w:rPr>
                <w:sz w:val="22"/>
                <w:szCs w:val="22"/>
              </w:rPr>
            </w:pPr>
            <w:r>
              <w:rPr>
                <w:sz w:val="22"/>
                <w:szCs w:val="22"/>
              </w:rPr>
              <w:t xml:space="preserve">小米</w:t>
            </w:r>
            <w:r>
              <w:rPr>
                <w:sz w:val="22"/>
                <w:szCs w:val="22"/>
              </w:rPr>
            </w:r>
            <w:r/>
          </w:p>
        </w:tc>
        <w:tc>
          <w:tcPr>
            <w:tcW w:w="1000" w:type="dxa"/>
            <w:vAlign w:val="top"/>
            <w:textDirection w:val="lrTb"/>
            <w:noWrap w:val="false"/>
          </w:tcPr>
          <w:p>
            <w:pPr>
              <w:pStyle w:val="1082"/>
              <w:ind w:left="60"/>
              <w:jc w:val="center"/>
              <w:spacing w:before="72" w:line="221" w:lineRule="auto"/>
              <w:rPr>
                <w:rFonts w:hint="eastAsia"/>
                <w:sz w:val="22"/>
                <w:szCs w:val="22"/>
                <w:lang w:eastAsia="zh-CN"/>
              </w:rPr>
            </w:pPr>
            <w:r>
              <w:rPr>
                <w:rFonts w:hint="eastAsia"/>
                <w:sz w:val="22"/>
                <w:szCs w:val="22"/>
                <w:lang w:eastAsia="zh-CN"/>
              </w:rPr>
              <w:t xml:space="preserve">1</w:t>
            </w:r>
            <w:r>
              <w:rPr>
                <w:rFonts w:hint="eastAsia"/>
                <w:sz w:val="22"/>
                <w:szCs w:val="22"/>
                <w:lang w:eastAsia="zh-CN"/>
              </w:rPr>
            </w:r>
            <w:r/>
          </w:p>
        </w:tc>
      </w:tr>
      <w:tr>
        <w:trPr>
          <w:trHeight w:val="310"/>
        </w:trPr>
        <w:tc>
          <w:tcPr>
            <w:tcW w:w="704" w:type="dxa"/>
            <w:vAlign w:val="top"/>
            <w:textDirection w:val="lrTb"/>
            <w:noWrap w:val="false"/>
          </w:tcPr>
          <w:p>
            <w:pPr>
              <w:pStyle w:val="1082"/>
              <w:jc w:val="center"/>
              <w:spacing w:before="72" w:line="221" w:lineRule="auto"/>
              <w:rPr>
                <w:rFonts w:hint="eastAsia"/>
                <w:sz w:val="22"/>
                <w:szCs w:val="22"/>
                <w:lang w:eastAsia="zh-CN"/>
              </w:rPr>
            </w:pPr>
            <w:r>
              <w:rPr>
                <w:rFonts w:hint="eastAsia"/>
                <w:sz w:val="22"/>
                <w:szCs w:val="22"/>
                <w:lang w:eastAsia="zh-CN"/>
              </w:rPr>
              <w:t xml:space="preserve">7</w:t>
            </w:r>
            <w:r>
              <w:rPr>
                <w:rFonts w:hint="eastAsia"/>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苹果PAD</w:t>
            </w:r>
            <w:r>
              <w:rPr>
                <w:sz w:val="22"/>
                <w:szCs w:val="22"/>
              </w:rPr>
            </w:r>
            <w:r/>
          </w:p>
        </w:tc>
        <w:tc>
          <w:tcPr>
            <w:tcW w:w="3242" w:type="dxa"/>
            <w:vAlign w:val="top"/>
            <w:textDirection w:val="lrTb"/>
            <w:noWrap w:val="false"/>
          </w:tcPr>
          <w:p>
            <w:pPr>
              <w:pStyle w:val="1082"/>
              <w:ind w:left="60"/>
              <w:jc w:val="center"/>
              <w:spacing w:before="72" w:line="221" w:lineRule="auto"/>
              <w:rPr>
                <w:sz w:val="22"/>
                <w:szCs w:val="22"/>
              </w:rPr>
            </w:pPr>
            <w:r>
              <w:rPr>
                <w:sz w:val="22"/>
                <w:szCs w:val="22"/>
              </w:rPr>
              <w:t xml:space="preserve">Apple iPad平板电脑9.7英寸</w:t>
            </w:r>
            <w:r>
              <w:rPr>
                <w:sz w:val="22"/>
                <w:szCs w:val="22"/>
              </w:rPr>
            </w:r>
            <w:r/>
          </w:p>
        </w:tc>
        <w:tc>
          <w:tcPr>
            <w:tcW w:w="1266" w:type="dxa"/>
            <w:vAlign w:val="top"/>
            <w:textDirection w:val="lrTb"/>
            <w:noWrap w:val="false"/>
          </w:tcPr>
          <w:p>
            <w:pPr>
              <w:pStyle w:val="1082"/>
              <w:ind w:left="60"/>
              <w:jc w:val="center"/>
              <w:spacing w:before="72" w:line="221" w:lineRule="auto"/>
              <w:rPr>
                <w:sz w:val="22"/>
                <w:szCs w:val="22"/>
              </w:rPr>
            </w:pPr>
            <w:r>
              <w:rPr>
                <w:sz w:val="22"/>
                <w:szCs w:val="22"/>
              </w:rPr>
              <w:t xml:space="preserve">Apple iPad</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10</w:t>
            </w:r>
            <w:r>
              <w:rPr>
                <w:sz w:val="22"/>
                <w:szCs w:val="22"/>
              </w:rPr>
            </w:r>
            <w:r/>
          </w:p>
        </w:tc>
      </w:tr>
      <w:tr>
        <w:trPr>
          <w:trHeight w:val="320"/>
        </w:trPr>
        <w:tc>
          <w:tcPr>
            <w:tcW w:w="704" w:type="dxa"/>
            <w:vAlign w:val="top"/>
            <w:textDirection w:val="lrTb"/>
            <w:noWrap w:val="false"/>
          </w:tcPr>
          <w:p>
            <w:pPr>
              <w:pStyle w:val="1082"/>
              <w:jc w:val="center"/>
              <w:spacing w:before="72" w:line="221" w:lineRule="auto"/>
              <w:rPr>
                <w:rFonts w:hint="eastAsia"/>
                <w:sz w:val="22"/>
                <w:szCs w:val="22"/>
                <w:lang w:eastAsia="zh-CN"/>
              </w:rPr>
            </w:pPr>
            <w:r>
              <w:rPr>
                <w:rFonts w:hint="eastAsia"/>
                <w:sz w:val="22"/>
                <w:szCs w:val="22"/>
                <w:lang w:eastAsia="zh-CN"/>
              </w:rPr>
              <w:t xml:space="preserve">8</w:t>
            </w:r>
            <w:r>
              <w:rPr>
                <w:rFonts w:hint="eastAsia"/>
                <w:sz w:val="22"/>
                <w:szCs w:val="22"/>
                <w:lang w:eastAsia="zh-CN"/>
              </w:rPr>
            </w:r>
            <w:r/>
          </w:p>
        </w:tc>
        <w:tc>
          <w:tcPr>
            <w:tcW w:w="2484" w:type="dxa"/>
            <w:vAlign w:val="top"/>
            <w:textDirection w:val="lrTb"/>
            <w:noWrap w:val="false"/>
          </w:tcPr>
          <w:p>
            <w:pPr>
              <w:pStyle w:val="1082"/>
              <w:ind w:left="60"/>
              <w:jc w:val="center"/>
              <w:spacing w:before="72" w:line="221" w:lineRule="auto"/>
              <w:rPr>
                <w:sz w:val="22"/>
                <w:szCs w:val="22"/>
              </w:rPr>
            </w:pPr>
            <w:r>
              <w:rPr>
                <w:sz w:val="22"/>
                <w:szCs w:val="22"/>
              </w:rPr>
              <w:t xml:space="preserve">AC控制器</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H3C  EMP-WAC360</w:t>
            </w:r>
            <w:r>
              <w:rPr>
                <w:sz w:val="22"/>
                <w:szCs w:val="22"/>
              </w:rPr>
            </w:r>
            <w:r/>
          </w:p>
        </w:tc>
        <w:tc>
          <w:tcPr>
            <w:tcW w:w="1266" w:type="dxa"/>
            <w:vAlign w:val="top"/>
            <w:textDirection w:val="lrTb"/>
            <w:noWrap w:val="false"/>
          </w:tcPr>
          <w:p>
            <w:pPr>
              <w:pStyle w:val="1082"/>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1</w:t>
            </w:r>
            <w:r>
              <w:rPr>
                <w:sz w:val="22"/>
                <w:szCs w:val="22"/>
              </w:rPr>
            </w:r>
            <w:r/>
          </w:p>
        </w:tc>
      </w:tr>
      <w:tr>
        <w:trPr>
          <w:trHeight w:val="340"/>
        </w:trPr>
        <w:tc>
          <w:tcPr>
            <w:tcW w:w="704" w:type="dxa"/>
            <w:vAlign w:val="top"/>
            <w:textDirection w:val="lrTb"/>
            <w:noWrap w:val="false"/>
          </w:tcPr>
          <w:p>
            <w:pPr>
              <w:pStyle w:val="1082"/>
              <w:jc w:val="center"/>
              <w:spacing w:before="72" w:line="221" w:lineRule="auto"/>
              <w:rPr>
                <w:rFonts w:hint="eastAsia"/>
                <w:sz w:val="22"/>
                <w:szCs w:val="22"/>
                <w:lang w:eastAsia="zh-CN"/>
              </w:rPr>
            </w:pPr>
            <w:r>
              <w:rPr>
                <w:rFonts w:hint="eastAsia"/>
                <w:sz w:val="22"/>
                <w:szCs w:val="22"/>
                <w:lang w:eastAsia="zh-CN"/>
              </w:rPr>
              <w:t xml:space="preserve">9</w:t>
            </w:r>
            <w:r>
              <w:rPr>
                <w:rFonts w:hint="eastAsia"/>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无线AF</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H3C  EMP-WAP712C</w:t>
            </w:r>
            <w:r>
              <w:rPr>
                <w:sz w:val="22"/>
                <w:szCs w:val="22"/>
              </w:rPr>
            </w:r>
            <w:r/>
          </w:p>
        </w:tc>
        <w:tc>
          <w:tcPr>
            <w:tcW w:w="1266" w:type="dxa"/>
            <w:vAlign w:val="top"/>
            <w:textDirection w:val="lrTb"/>
            <w:noWrap w:val="false"/>
          </w:tcPr>
          <w:p>
            <w:pPr>
              <w:pStyle w:val="1082"/>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12</w:t>
            </w:r>
            <w:r>
              <w:rPr>
                <w:sz w:val="22"/>
                <w:szCs w:val="22"/>
              </w:rPr>
            </w:r>
            <w:r/>
          </w:p>
        </w:tc>
      </w:tr>
      <w:tr>
        <w:trPr>
          <w:trHeight w:val="310"/>
        </w:trPr>
        <w:tc>
          <w:tcPr>
            <w:tcW w:w="704" w:type="dxa"/>
            <w:vAlign w:val="top"/>
            <w:textDirection w:val="lrTb"/>
            <w:noWrap w:val="false"/>
          </w:tcPr>
          <w:p>
            <w:pPr>
              <w:pStyle w:val="1082"/>
              <w:jc w:val="center"/>
              <w:spacing w:before="72" w:line="221" w:lineRule="auto"/>
              <w:rPr>
                <w:sz w:val="22"/>
                <w:szCs w:val="22"/>
                <w:lang w:eastAsia="zh-CN"/>
              </w:rPr>
            </w:pPr>
            <w:r>
              <w:rPr>
                <w:rFonts w:hint="eastAsia"/>
                <w:sz w:val="22"/>
                <w:szCs w:val="22"/>
                <w:lang w:eastAsia="zh-CN"/>
              </w:rPr>
              <w:t xml:space="preserve">10</w:t>
            </w:r>
            <w:r>
              <w:rPr>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POE交换机</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S5048-PWF</w:t>
            </w:r>
            <w:r>
              <w:rPr>
                <w:sz w:val="22"/>
                <w:szCs w:val="22"/>
              </w:rPr>
            </w:r>
            <w:r/>
          </w:p>
        </w:tc>
        <w:tc>
          <w:tcPr>
            <w:tcW w:w="1266" w:type="dxa"/>
            <w:vAlign w:val="top"/>
            <w:textDirection w:val="lrTb"/>
            <w:noWrap w:val="false"/>
          </w:tcPr>
          <w:p>
            <w:pPr>
              <w:pStyle w:val="1082"/>
              <w:ind w:left="60"/>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3</w:t>
            </w:r>
            <w:r>
              <w:rPr>
                <w:sz w:val="22"/>
                <w:szCs w:val="22"/>
              </w:rPr>
            </w:r>
            <w:r/>
          </w:p>
        </w:tc>
      </w:tr>
      <w:tr>
        <w:trPr>
          <w:trHeight w:val="320"/>
        </w:trPr>
        <w:tc>
          <w:tcPr>
            <w:tcW w:w="704" w:type="dxa"/>
            <w:vAlign w:val="top"/>
            <w:textDirection w:val="lrTb"/>
            <w:noWrap w:val="false"/>
          </w:tcPr>
          <w:p>
            <w:pPr>
              <w:pStyle w:val="1082"/>
              <w:jc w:val="center"/>
              <w:spacing w:before="72" w:line="221" w:lineRule="auto"/>
              <w:rPr>
                <w:sz w:val="22"/>
                <w:szCs w:val="22"/>
                <w:lang w:eastAsia="zh-CN"/>
              </w:rPr>
            </w:pPr>
            <w:r>
              <w:rPr>
                <w:rFonts w:hint="eastAsia"/>
                <w:sz w:val="22"/>
                <w:szCs w:val="22"/>
                <w:lang w:eastAsia="zh-CN"/>
              </w:rPr>
              <w:t xml:space="preserve">11</w:t>
            </w:r>
            <w:r>
              <w:rPr>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交换机</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SMB-S4016</w:t>
            </w:r>
            <w:r>
              <w:rPr>
                <w:sz w:val="22"/>
                <w:szCs w:val="22"/>
              </w:rPr>
            </w:r>
            <w:r/>
          </w:p>
        </w:tc>
        <w:tc>
          <w:tcPr>
            <w:tcW w:w="1266" w:type="dxa"/>
            <w:vAlign w:val="top"/>
            <w:textDirection w:val="lrTb"/>
            <w:noWrap w:val="false"/>
          </w:tcPr>
          <w:p>
            <w:pPr>
              <w:pStyle w:val="1082"/>
              <w:ind w:left="60"/>
              <w:jc w:val="center"/>
              <w:spacing w:before="72" w:line="221" w:lineRule="auto"/>
              <w:rPr>
                <w:sz w:val="22"/>
                <w:szCs w:val="22"/>
              </w:rPr>
            </w:pPr>
            <w:r>
              <w:rPr>
                <w:sz w:val="22"/>
                <w:szCs w:val="22"/>
              </w:rPr>
              <w:t xml:space="preserve">H3C</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1</w:t>
            </w:r>
            <w:r>
              <w:rPr>
                <w:sz w:val="22"/>
                <w:szCs w:val="22"/>
              </w:rPr>
            </w:r>
            <w:r/>
          </w:p>
        </w:tc>
      </w:tr>
      <w:tr>
        <w:trPr>
          <w:trHeight w:val="320"/>
        </w:trPr>
        <w:tc>
          <w:tcPr>
            <w:tcW w:w="704" w:type="dxa"/>
            <w:vAlign w:val="top"/>
            <w:textDirection w:val="lrTb"/>
            <w:noWrap w:val="false"/>
          </w:tcPr>
          <w:p>
            <w:pPr>
              <w:pStyle w:val="1082"/>
              <w:jc w:val="center"/>
              <w:spacing w:before="72" w:line="221" w:lineRule="auto"/>
              <w:rPr>
                <w:sz w:val="22"/>
                <w:szCs w:val="22"/>
                <w:lang w:eastAsia="zh-CN"/>
              </w:rPr>
            </w:pPr>
            <w:r>
              <w:rPr>
                <w:rFonts w:hint="eastAsia"/>
                <w:sz w:val="22"/>
                <w:szCs w:val="22"/>
                <w:lang w:eastAsia="zh-CN"/>
              </w:rPr>
              <w:t xml:space="preserve">12</w:t>
            </w:r>
            <w:r>
              <w:rPr>
                <w:sz w:val="22"/>
                <w:szCs w:val="22"/>
                <w:lang w:eastAsia="zh-CN"/>
              </w:rPr>
            </w:r>
            <w:r/>
          </w:p>
        </w:tc>
        <w:tc>
          <w:tcPr>
            <w:tcW w:w="2484" w:type="dxa"/>
            <w:vAlign w:val="top"/>
            <w:textDirection w:val="lrTb"/>
            <w:noWrap w:val="false"/>
          </w:tcPr>
          <w:p>
            <w:pPr>
              <w:pStyle w:val="1082"/>
              <w:jc w:val="center"/>
              <w:spacing w:before="72" w:line="221" w:lineRule="auto"/>
              <w:rPr>
                <w:sz w:val="22"/>
                <w:szCs w:val="22"/>
              </w:rPr>
            </w:pPr>
            <w:r>
              <w:rPr>
                <w:sz w:val="22"/>
                <w:szCs w:val="22"/>
              </w:rPr>
              <w:t xml:space="preserve">设备机柜</w:t>
            </w:r>
            <w:r>
              <w:rPr>
                <w:sz w:val="22"/>
                <w:szCs w:val="22"/>
              </w:rPr>
            </w:r>
            <w:r/>
          </w:p>
        </w:tc>
        <w:tc>
          <w:tcPr>
            <w:tcW w:w="3242" w:type="dxa"/>
            <w:vAlign w:val="top"/>
            <w:textDirection w:val="lrTb"/>
            <w:noWrap w:val="false"/>
          </w:tcPr>
          <w:p>
            <w:pPr>
              <w:pStyle w:val="1082"/>
              <w:jc w:val="center"/>
              <w:spacing w:before="72" w:line="221" w:lineRule="auto"/>
              <w:rPr>
                <w:sz w:val="22"/>
                <w:szCs w:val="22"/>
              </w:rPr>
            </w:pPr>
            <w:r>
              <w:rPr>
                <w:sz w:val="22"/>
                <w:szCs w:val="22"/>
              </w:rPr>
              <w:t xml:space="preserve">TOTEN</w:t>
            </w:r>
            <w:r>
              <w:rPr>
                <w:sz w:val="22"/>
                <w:szCs w:val="22"/>
              </w:rPr>
            </w:r>
            <w:r/>
          </w:p>
        </w:tc>
        <w:tc>
          <w:tcPr>
            <w:tcW w:w="1266" w:type="dxa"/>
            <w:vAlign w:val="top"/>
            <w:textDirection w:val="lrTb"/>
            <w:noWrap w:val="false"/>
          </w:tcPr>
          <w:p>
            <w:pPr>
              <w:pStyle w:val="1082"/>
              <w:ind w:left="60"/>
              <w:jc w:val="center"/>
              <w:spacing w:before="72" w:line="221" w:lineRule="auto"/>
              <w:rPr>
                <w:sz w:val="22"/>
                <w:szCs w:val="22"/>
              </w:rPr>
            </w:pPr>
            <w:r>
              <w:rPr>
                <w:sz w:val="22"/>
                <w:szCs w:val="22"/>
              </w:rPr>
              <w:t xml:space="preserve">TOTEN</w:t>
            </w:r>
            <w:r>
              <w:rPr>
                <w:sz w:val="22"/>
                <w:szCs w:val="22"/>
              </w:rPr>
            </w:r>
            <w:r/>
          </w:p>
        </w:tc>
        <w:tc>
          <w:tcPr>
            <w:tcW w:w="1000" w:type="dxa"/>
            <w:vAlign w:val="top"/>
            <w:textDirection w:val="lrTb"/>
            <w:noWrap w:val="false"/>
          </w:tcPr>
          <w:p>
            <w:pPr>
              <w:pStyle w:val="1082"/>
              <w:ind w:left="60"/>
              <w:jc w:val="center"/>
              <w:spacing w:before="72" w:line="221" w:lineRule="auto"/>
              <w:rPr>
                <w:sz w:val="22"/>
                <w:szCs w:val="22"/>
              </w:rPr>
            </w:pPr>
            <w:r>
              <w:rPr>
                <w:sz w:val="22"/>
                <w:szCs w:val="22"/>
              </w:rPr>
              <w:t xml:space="preserve">1</w:t>
            </w:r>
            <w:r>
              <w:rPr>
                <w:sz w:val="22"/>
                <w:szCs w:val="22"/>
              </w:rPr>
            </w:r>
            <w:r/>
          </w:p>
        </w:tc>
      </w:tr>
    </w:tbl>
    <w:p>
      <w:pPr>
        <w:pStyle w:val="963"/>
        <w:ind w:firstLine="560"/>
        <w:keepLines/>
        <w:keepNext/>
        <w:pageBreakBefore w:val="0"/>
        <w:spacing w:before="145" w:after="145" w:line="480" w:lineRule="exact"/>
        <w:widowControl w:val="off"/>
        <w:rPr>
          <w:rFonts w:hint="eastAsia" w:ascii="宋体" w:hAnsi="宋体"/>
          <w:b/>
          <w:i/>
          <w:iCs/>
          <w:color w:val="ff0000"/>
          <w:sz w:val="28"/>
          <w:szCs w:val="28"/>
          <w:u w:val="single"/>
        </w:rPr>
        <w:outlineLvl w:val="2"/>
      </w:pPr>
      <w:r>
        <w:rPr>
          <w:rFonts w:hint="eastAsia" w:ascii="宋体" w:hAnsi="宋体"/>
          <w:bCs/>
          <w:color w:val="000000"/>
          <w:sz w:val="28"/>
          <w:szCs w:val="28"/>
        </w:rPr>
        <w:t xml:space="preserve">投标人可自行实地（南通市崇川区孩儿巷北路6号）勘察以获得相关信息。投标人应承担勘察现场的责任和风险。（勘查联系人：应红莲18962913601）中标后，不得以不完全了解现场情况为理由而向采购人提出任何索赔的要求，对此采购人不承担任何责任并将不作任何答复与考虑。投标人必须在确保搬迁过程中人员安全的前提下，按照临床技能模拟中心信息化项目规划的要求，制订实施总体方案，优化和细化实施流程，确保项目平稳落地。</w:t>
      </w:r>
      <w:r>
        <w:rPr>
          <w:rFonts w:hint="eastAsia" w:ascii="宋体" w:hAnsi="宋体"/>
          <w:b/>
          <w:i/>
          <w:iCs/>
          <w:color w:val="000000"/>
          <w:sz w:val="28"/>
          <w:szCs w:val="28"/>
          <w:u w:val="single"/>
        </w:rPr>
        <w:t xml:space="preserve">所涉及的费用包含在报价中，请供应商充分考虑。</w:t>
      </w:r>
      <w:r>
        <w:rPr>
          <w:rFonts w:hint="eastAsia" w:ascii="宋体" w:hAnsi="宋体"/>
          <w:b/>
          <w:i/>
          <w:iCs/>
          <w:color w:val="ff0000"/>
          <w:sz w:val="28"/>
          <w:szCs w:val="28"/>
          <w:u w:val="single"/>
        </w:rPr>
      </w:r>
      <w:r/>
    </w:p>
    <w:p>
      <w:pPr>
        <w:pStyle w:val="963"/>
        <w:ind w:hanging="142"/>
        <w:spacing w:line="360" w:lineRule="auto"/>
        <w:rPr>
          <w:rFonts w:hint="eastAsia" w:ascii="仿宋" w:hAnsi="仿宋" w:eastAsia="仿宋"/>
          <w:bCs/>
          <w:color w:val="000000"/>
          <w:sz w:val="28"/>
          <w:szCs w:val="28"/>
          <w:highlight w:val="none"/>
        </w:rPr>
      </w:pPr>
      <w:r>
        <w:rPr>
          <w:rFonts w:hint="eastAsia" w:ascii="宋体" w:hAnsi="宋体" w:cs="宋体"/>
          <w:b/>
          <w:color w:val="000000"/>
          <w:sz w:val="28"/>
          <w:szCs w:val="28"/>
          <w:highlight w:val="none"/>
        </w:rPr>
        <w:t xml:space="preserve">（1）教学综合管理平台</w:t>
      </w:r>
      <w:r>
        <w:rPr>
          <w:rFonts w:hint="eastAsia" w:ascii="仿宋" w:hAnsi="仿宋" w:eastAsia="仿宋"/>
          <w:bCs/>
          <w:color w:val="000000"/>
          <w:sz w:val="28"/>
          <w:szCs w:val="28"/>
          <w:highlight w:val="none"/>
        </w:rPr>
      </w:r>
      <w:r/>
    </w:p>
    <w:tbl>
      <w:tblPr>
        <w:tblW w:w="512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2"/>
        <w:gridCol w:w="1767"/>
        <w:gridCol w:w="1780"/>
        <w:gridCol w:w="4127"/>
      </w:tblGrid>
      <w:tr>
        <w:trPr/>
        <w:tc>
          <w:tcPr>
            <w:tcW w:w="916"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系统名称</w:t>
            </w:r>
            <w:r>
              <w:rPr>
                <w:rFonts w:ascii="宋体" w:hAnsi="宋体" w:cs="宋体"/>
                <w:bCs/>
                <w:color w:val="000000"/>
                <w:sz w:val="28"/>
                <w:szCs w:val="28"/>
                <w:highlight w:val="none"/>
              </w:rPr>
            </w:r>
            <w:r/>
          </w:p>
        </w:tc>
        <w:tc>
          <w:tcPr>
            <w:tcW w:w="940"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分项名称</w:t>
            </w:r>
            <w:r>
              <w:rPr>
                <w:rFonts w:ascii="宋体" w:hAnsi="宋体" w:cs="宋体"/>
                <w:bCs/>
                <w:color w:val="000000"/>
                <w:sz w:val="28"/>
                <w:szCs w:val="28"/>
                <w:highlight w:val="none"/>
              </w:rPr>
            </w:r>
            <w:r/>
          </w:p>
        </w:tc>
        <w:tc>
          <w:tcPr>
            <w:tcW w:w="947"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模块功能</w:t>
            </w:r>
            <w:r>
              <w:rPr>
                <w:rFonts w:ascii="宋体" w:hAnsi="宋体" w:cs="宋体"/>
                <w:bCs/>
                <w:color w:val="000000"/>
                <w:sz w:val="28"/>
                <w:szCs w:val="28"/>
                <w:highlight w:val="none"/>
              </w:rPr>
            </w:r>
            <w:r/>
          </w:p>
        </w:tc>
        <w:tc>
          <w:tcPr>
            <w:tcW w:w="2196"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功能要求</w:t>
            </w:r>
            <w:r>
              <w:rPr>
                <w:rFonts w:ascii="宋体" w:hAnsi="宋体" w:cs="宋体"/>
                <w:bCs/>
                <w:color w:val="000000"/>
                <w:sz w:val="28"/>
                <w:szCs w:val="28"/>
                <w:highlight w:val="none"/>
              </w:rPr>
            </w:r>
            <w:r/>
          </w:p>
        </w:tc>
      </w:tr>
      <w:tr>
        <w:trPr/>
        <w:tc>
          <w:tcPr>
            <w:tcW w:w="916" w:type="dxa"/>
            <w:vAlign w:val="center"/>
            <w:vMerge w:val="restart"/>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住院医师规范化培训管理系统</w:t>
            </w:r>
            <w:r>
              <w:rPr>
                <w:rFonts w:ascii="宋体" w:hAnsi="宋体" w:cs="宋体"/>
                <w:bCs/>
                <w:color w:val="000000"/>
                <w:sz w:val="28"/>
                <w:szCs w:val="28"/>
                <w:highlight w:val="none"/>
              </w:rPr>
            </w:r>
            <w:r/>
          </w:p>
        </w:tc>
        <w:tc>
          <w:tcPr>
            <w:tcW w:w="940"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招录管理</w:t>
            </w:r>
            <w:r>
              <w:rPr>
                <w:rFonts w:ascii="宋体" w:hAnsi="宋体" w:cs="宋体"/>
                <w:bCs/>
                <w:color w:val="000000"/>
                <w:sz w:val="28"/>
                <w:szCs w:val="28"/>
                <w:highlight w:val="none"/>
              </w:rPr>
            </w:r>
            <w:r/>
          </w:p>
        </w:tc>
        <w:tc>
          <w:tcPr>
            <w:tcW w:w="947"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招录管理</w:t>
            </w:r>
            <w:r>
              <w:rPr>
                <w:rFonts w:ascii="宋体" w:hAnsi="宋体" w:cs="宋体"/>
                <w:bCs/>
                <w:color w:val="000000"/>
                <w:sz w:val="28"/>
                <w:szCs w:val="28"/>
                <w:highlight w:val="none"/>
              </w:rPr>
            </w:r>
            <w:r/>
          </w:p>
        </w:tc>
        <w:tc>
          <w:tcPr>
            <w:tcW w:w="2196" w:type="dxa"/>
            <w:vAlign w:val="center"/>
            <w:textDirection w:val="lrTb"/>
            <w:noWrap w:val="false"/>
          </w:tcPr>
          <w:p>
            <w:pPr>
              <w:pStyle w:val="963"/>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可在教学门户中设置招录页面。</w:t>
            </w:r>
            <w:r>
              <w:rPr>
                <w:rFonts w:ascii="宋体" w:hAnsi="宋体" w:cs="宋体"/>
                <w:bCs/>
                <w:color w:val="000000"/>
                <w:sz w:val="28"/>
                <w:szCs w:val="28"/>
                <w:highlight w:val="none"/>
              </w:rPr>
            </w:r>
            <w:r/>
          </w:p>
          <w:p>
            <w:pPr>
              <w:pStyle w:val="963"/>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报名人可通过招录页面填写报名信息，上传报名材料。</w:t>
            </w:r>
            <w:r>
              <w:rPr>
                <w:rFonts w:ascii="宋体" w:hAnsi="宋体" w:cs="宋体"/>
                <w:bCs/>
                <w:color w:val="000000"/>
                <w:sz w:val="28"/>
                <w:szCs w:val="28"/>
                <w:highlight w:val="none"/>
              </w:rPr>
            </w:r>
            <w:r/>
          </w:p>
          <w:p>
            <w:pPr>
              <w:pStyle w:val="963"/>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教学管理员可查看报名信息、审核。</w:t>
            </w:r>
            <w:r>
              <w:rPr>
                <w:rFonts w:ascii="宋体" w:hAnsi="宋体" w:cs="宋体"/>
                <w:bCs/>
                <w:color w:val="000000"/>
                <w:sz w:val="28"/>
                <w:szCs w:val="28"/>
                <w:highlight w:val="none"/>
              </w:rPr>
            </w:r>
            <w:r/>
          </w:p>
          <w:p>
            <w:pPr>
              <w:pStyle w:val="963"/>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招录结果可通过短信及邮箱通知到报名人。</w:t>
            </w:r>
            <w:r>
              <w:rPr>
                <w:rFonts w:ascii="宋体" w:hAnsi="宋体" w:cs="宋体"/>
                <w:bCs/>
                <w:color w:val="000000"/>
                <w:sz w:val="28"/>
                <w:szCs w:val="28"/>
                <w:highlight w:val="none"/>
              </w:rPr>
            </w:r>
            <w:r/>
          </w:p>
          <w:p>
            <w:pPr>
              <w:pStyle w:val="963"/>
              <w:numPr>
                <w:ilvl w:val="0"/>
                <w:numId w:val="6"/>
              </w:num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可与基地容量、在培人数相关联，超容提醒。</w:t>
            </w:r>
            <w:r>
              <w:rPr>
                <w:rFonts w:ascii="宋体" w:hAnsi="宋体" w:cs="宋体"/>
                <w:bCs/>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bCs/>
                <w:color w:val="000000"/>
                <w:sz w:val="28"/>
                <w:szCs w:val="28"/>
                <w:highlight w:val="none"/>
              </w:rPr>
            </w:pPr>
            <w:r>
              <w:rPr>
                <w:rFonts w:ascii="宋体" w:hAnsi="宋体" w:cs="宋体"/>
                <w:bCs/>
                <w:color w:val="000000"/>
                <w:sz w:val="28"/>
                <w:szCs w:val="28"/>
                <w:highlight w:val="none"/>
              </w:rPr>
            </w:r>
            <w:r/>
          </w:p>
        </w:tc>
        <w:tc>
          <w:tcPr>
            <w:tcW w:w="940" w:type="dxa"/>
            <w:vAlign w:val="center"/>
            <w:vMerge w:val="restart"/>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档案管理</w:t>
            </w:r>
            <w:r>
              <w:rPr>
                <w:rFonts w:ascii="宋体" w:hAnsi="宋体" w:cs="宋体"/>
                <w:bCs/>
                <w:color w:val="000000"/>
                <w:sz w:val="28"/>
                <w:szCs w:val="28"/>
                <w:highlight w:val="none"/>
              </w:rPr>
            </w:r>
            <w:r/>
          </w:p>
        </w:tc>
        <w:tc>
          <w:tcPr>
            <w:tcW w:w="947" w:type="dxa"/>
            <w:vAlign w:val="center"/>
            <w:textDirection w:val="lrTb"/>
            <w:noWrap w:val="false"/>
          </w:tcPr>
          <w:p>
            <w:pPr>
              <w:pStyle w:val="963"/>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学员档案</w:t>
            </w:r>
            <w:r>
              <w:rPr>
                <w:rFonts w:ascii="宋体" w:hAnsi="宋体" w:cs="宋体"/>
                <w:bCs/>
                <w:color w:val="000000"/>
                <w:sz w:val="28"/>
                <w:szCs w:val="28"/>
                <w:highlight w:val="none"/>
              </w:rPr>
            </w:r>
            <w:r/>
          </w:p>
        </w:tc>
        <w:tc>
          <w:tcPr>
            <w:tcW w:w="2196" w:type="dxa"/>
            <w:vAlign w:val="center"/>
            <w:textDirection w:val="lrTb"/>
            <w:noWrap w:val="false"/>
          </w:tcPr>
          <w:p>
            <w:pPr>
              <w:pStyle w:val="1081"/>
              <w:numPr>
                <w:ilvl w:val="0"/>
                <w:numId w:val="7"/>
              </w:numPr>
              <w:rPr>
                <w:bCs/>
                <w:color w:val="000000"/>
                <w:sz w:val="28"/>
                <w:szCs w:val="28"/>
                <w:highlight w:val="none"/>
              </w:rPr>
            </w:pPr>
            <w:r>
              <w:rPr>
                <w:rFonts w:hint="eastAsia"/>
                <w:bCs/>
                <w:color w:val="000000"/>
                <w:sz w:val="28"/>
                <w:szCs w:val="28"/>
                <w:highlight w:val="none"/>
              </w:rPr>
              <w:t xml:space="preserve">系统可按照自定要求建立学员基本档案信息，包括基本信息、培训信息、工作及学习经历、证照信息等。档案标签可体现系统中的信息追溯，如：轮转信息、学员评价、教学活动参与情况、出科考核与系统的轮转管理、评价管理、教学活动管理、住宿、奖惩记录等。专硕增加过程管理标签，包括论文、课题、大会发言、开题、中期、预答辩等。</w:t>
            </w:r>
            <w:r>
              <w:rPr>
                <w:bCs/>
                <w:color w:val="000000"/>
                <w:sz w:val="28"/>
                <w:szCs w:val="28"/>
                <w:highlight w:val="none"/>
              </w:rPr>
            </w:r>
            <w:r/>
          </w:p>
          <w:p>
            <w:pPr>
              <w:pStyle w:val="1081"/>
              <w:numPr>
                <w:ilvl w:val="0"/>
                <w:numId w:val="7"/>
              </w:numPr>
              <w:rPr>
                <w:bCs/>
                <w:color w:val="000000"/>
                <w:sz w:val="28"/>
                <w:szCs w:val="28"/>
                <w:highlight w:val="none"/>
              </w:rPr>
            </w:pPr>
            <w:r>
              <w:rPr>
                <w:rFonts w:hint="eastAsia"/>
                <w:bCs/>
                <w:color w:val="000000"/>
                <w:sz w:val="28"/>
                <w:szCs w:val="28"/>
                <w:highlight w:val="none"/>
              </w:rPr>
              <w:t xml:space="preserve">各个标签与系统各模块数据互相关联，相关的信息自动汇总到档案中的对应标签。可以根据医院要求配置档案项目，并指定是否可由学员自行维护。</w:t>
            </w:r>
            <w:r>
              <w:rPr>
                <w:bCs/>
                <w:color w:val="000000"/>
                <w:sz w:val="28"/>
                <w:szCs w:val="28"/>
                <w:highlight w:val="none"/>
              </w:rPr>
            </w:r>
            <w:r/>
          </w:p>
          <w:p>
            <w:pPr>
              <w:pStyle w:val="1081"/>
              <w:numPr>
                <w:ilvl w:val="0"/>
                <w:numId w:val="7"/>
              </w:numPr>
              <w:rPr>
                <w:bCs/>
                <w:color w:val="000000"/>
                <w:sz w:val="28"/>
                <w:szCs w:val="28"/>
                <w:highlight w:val="none"/>
              </w:rPr>
            </w:pPr>
            <w:r>
              <w:rPr>
                <w:rFonts w:hint="eastAsia"/>
                <w:bCs/>
                <w:color w:val="000000"/>
                <w:sz w:val="28"/>
                <w:szCs w:val="28"/>
                <w:highlight w:val="none"/>
              </w:rPr>
              <w:t xml:space="preserve">可根据姓名、工号、学员类型、身份类型、年级、学制、专业基地、培训状态等筛选需要查询的学员，也可以选择档案基本信息的自定义查询 。</w:t>
            </w:r>
            <w:r>
              <w:rPr>
                <w:bCs/>
                <w:color w:val="000000"/>
                <w:sz w:val="28"/>
                <w:szCs w:val="28"/>
                <w:highlight w:val="none"/>
              </w:rPr>
            </w:r>
            <w:r/>
          </w:p>
          <w:p>
            <w:pPr>
              <w:pStyle w:val="1081"/>
              <w:numPr>
                <w:ilvl w:val="0"/>
                <w:numId w:val="7"/>
              </w:numPr>
              <w:rPr>
                <w:bCs/>
                <w:color w:val="000000"/>
                <w:sz w:val="28"/>
                <w:szCs w:val="28"/>
                <w:highlight w:val="none"/>
              </w:rPr>
            </w:pPr>
            <w:r>
              <w:rPr>
                <w:rFonts w:hint="eastAsia"/>
                <w:bCs/>
                <w:color w:val="000000"/>
                <w:sz w:val="28"/>
                <w:szCs w:val="28"/>
                <w:highlight w:val="none"/>
              </w:rPr>
              <w:t xml:space="preserve">可按照国家平台及省平台格式要求进行学员信息的导出。可按照管理要求自定义批量查询 、导出学员档案信息。</w:t>
            </w:r>
            <w:r>
              <w:rPr>
                <w:bCs/>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bCs/>
                <w:color w:val="000000"/>
                <w:sz w:val="28"/>
                <w:szCs w:val="28"/>
                <w:highlight w:val="none"/>
              </w:rPr>
            </w:pPr>
            <w:r>
              <w:rPr>
                <w:rFonts w:ascii="宋体" w:hAnsi="宋体" w:cs="宋体"/>
                <w:bCs/>
                <w:color w:val="000000"/>
                <w:sz w:val="28"/>
                <w:szCs w:val="28"/>
                <w:highlight w:val="none"/>
              </w:rPr>
            </w:r>
            <w:r/>
          </w:p>
        </w:tc>
        <w:tc>
          <w:tcPr>
            <w:tcW w:w="940" w:type="dxa"/>
            <w:vAlign w:val="center"/>
            <w:vMerge w:val="continue"/>
            <w:textDirection w:val="lrTb"/>
            <w:noWrap w:val="false"/>
          </w:tcPr>
          <w:p>
            <w:pPr>
              <w:pStyle w:val="96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947" w:type="dxa"/>
            <w:vAlign w:val="center"/>
            <w:textDirection w:val="lrTb"/>
            <w:noWrap w:val="false"/>
          </w:tcPr>
          <w:p>
            <w:pPr>
              <w:pStyle w:val="963"/>
              <w:rPr>
                <w:rFonts w:hint="eastAsia" w:ascii="宋体" w:hAnsi="宋体" w:cs="宋体"/>
                <w:bCs/>
                <w:color w:val="000000"/>
                <w:sz w:val="28"/>
                <w:szCs w:val="28"/>
                <w:highlight w:val="none"/>
              </w:rPr>
            </w:pPr>
            <w:r>
              <w:rPr>
                <w:rFonts w:ascii="宋体" w:hAnsi="宋体" w:cs="宋体"/>
                <w:bCs/>
                <w:color w:val="000000"/>
                <w:sz w:val="28"/>
                <w:szCs w:val="28"/>
                <w:highlight w:val="none"/>
              </w:rPr>
              <w:t xml:space="preserve">▲</w:t>
            </w:r>
            <w:r>
              <w:rPr>
                <w:rFonts w:hint="eastAsia" w:ascii="宋体" w:hAnsi="宋体" w:cs="宋体"/>
                <w:bCs/>
                <w:color w:val="000000"/>
                <w:sz w:val="28"/>
                <w:szCs w:val="28"/>
                <w:highlight w:val="none"/>
              </w:rPr>
              <w:t xml:space="preserve">住院医师档案查询（提供功能截图证明）</w:t>
            </w:r>
            <w:r>
              <w:rPr>
                <w:rFonts w:hint="eastAsia" w:ascii="宋体" w:hAnsi="宋体" w:cs="宋体"/>
                <w:bCs/>
                <w:color w:val="000000"/>
                <w:sz w:val="28"/>
                <w:szCs w:val="28"/>
                <w:highlight w:val="none"/>
              </w:rPr>
            </w:r>
            <w:r/>
          </w:p>
        </w:tc>
        <w:tc>
          <w:tcPr>
            <w:tcW w:w="2196" w:type="dxa"/>
            <w:vAlign w:val="center"/>
            <w:textDirection w:val="lrTb"/>
            <w:noWrap w:val="false"/>
          </w:tcPr>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（1）向多个管理角色开放住院医师档案的查询。</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（2）可根据姓名、工号、学员类型、身份类别、年级、学制、专业基地、医学方向、培训状态筛选需要查询的住院医师。也可以选择档案基本信息的自定义查询。</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（3）可批量导入学员基本信息和结业证书。</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（4）可按照医师协会格式要求进行学员信息的导出、可按照管理要求自定义导出学员档案信息、可批量导出学员档案头像。</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（5）批量粘贴账号查询。</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（6）可批量调整学员的结业、延期、退赔等培训状态，并可根据不同培训状态填写对应的时间及原因。</w:t>
            </w:r>
            <w:r>
              <w:rPr>
                <w:rFonts w:hint="eastAsia"/>
                <w:bCs/>
                <w:color w:val="000000"/>
                <w:sz w:val="28"/>
                <w:szCs w:val="28"/>
                <w:highlight w:val="none"/>
              </w:rPr>
            </w:r>
            <w:r/>
          </w:p>
          <w:p>
            <w:pPr>
              <w:pStyle w:val="1081"/>
              <w:spacing w:before="0" w:beforeAutospacing="0" w:after="0" w:afterAutospacing="0" w:line="360" w:lineRule="auto"/>
              <w:rPr>
                <w:rFonts w:hint="eastAsia"/>
                <w:bCs/>
                <w:color w:val="000000"/>
                <w:sz w:val="28"/>
                <w:szCs w:val="28"/>
                <w:highlight w:val="none"/>
              </w:rPr>
            </w:pPr>
            <w:r>
              <w:rPr>
                <w:rFonts w:hint="eastAsia"/>
                <w:bCs/>
                <w:color w:val="000000"/>
                <w:sz w:val="28"/>
                <w:szCs w:val="28"/>
                <w:highlight w:val="none"/>
              </w:rPr>
              <w:t xml:space="preserve">（7）管理可重置学员的登录密码，可解除学员的移动端使用权限。</w:t>
            </w:r>
            <w:r>
              <w:rPr>
                <w:rFonts w:hint="eastAsia"/>
                <w:bCs/>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系统可建立师资档案，全面记录师资相关的各类信息。向多个管理角色开放师资档案的查询。可根据姓名、工号、职称、师资类型、状态等筛选需要查询的师资人员。</w:t>
            </w:r>
            <w:r>
              <w:rPr>
                <w:rFonts w:ascii="宋体" w:hAnsi="宋体" w:cs="宋体"/>
                <w:color w:val="000000"/>
                <w:sz w:val="28"/>
                <w:szCs w:val="28"/>
                <w:highlight w:val="none"/>
              </w:rPr>
            </w:r>
            <w:r/>
          </w:p>
          <w:p>
            <w:pPr>
              <w:pStyle w:val="963"/>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包含师资个人基本信息、担任角色、带教经历、获得的评价、主讲的教学活动、师资培训记录等。</w:t>
            </w:r>
            <w:r>
              <w:rPr>
                <w:rFonts w:ascii="宋体" w:hAnsi="宋体" w:cs="宋体"/>
                <w:color w:val="000000"/>
                <w:sz w:val="28"/>
                <w:szCs w:val="28"/>
                <w:highlight w:val="none"/>
              </w:rPr>
            </w:r>
            <w:r/>
          </w:p>
          <w:p>
            <w:pPr>
              <w:pStyle w:val="963"/>
              <w:numPr>
                <w:ilvl w:val="0"/>
                <w:numId w:val="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研究生导师增加硕导标签，记录导师类型、高校、所指导研究生信息、导师上岗情况等。</w:t>
            </w:r>
            <w:r>
              <w:rPr>
                <w:rFonts w:ascii="宋体" w:hAnsi="宋体" w:cs="宋体"/>
                <w:color w:val="000000"/>
                <w:sz w:val="28"/>
                <w:szCs w:val="28"/>
                <w:highlight w:val="none"/>
              </w:rPr>
            </w:r>
            <w:r/>
          </w:p>
          <w:p>
            <w:pPr>
              <w:pStyle w:val="963"/>
              <w:numPr>
                <w:ilvl w:val="0"/>
                <w:numId w:val="8"/>
              </w:numPr>
              <w:rPr>
                <w:rFonts w:ascii="宋体" w:hAnsi="宋体" w:cs="宋体"/>
                <w:color w:val="000000"/>
                <w:sz w:val="28"/>
                <w:szCs w:val="28"/>
                <w:highlight w:val="none"/>
              </w:rPr>
            </w:pPr>
            <w:r>
              <w:rPr>
                <w:rFonts w:hint="eastAsia" w:ascii="宋体" w:hAnsi="宋体" w:cs="宋体"/>
                <w:bCs/>
                <w:color w:val="000000"/>
                <w:sz w:val="28"/>
                <w:szCs w:val="28"/>
                <w:highlight w:val="none"/>
              </w:rPr>
              <w:t xml:space="preserve">可自定义字段要求。</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（1）系统可建立师资档案。</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（2）档案标签包括基本信息、担任角色、带教经历、历史评价、教学活动记录。</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（3）担任角色、带教经历、历史评价、教学活动记录等标签内容由系统的角色管理、入科分配、评价管理、教学活动管理等模块数据生成，相关信息自动汇总到档案中的对应标签。</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（4）担任角色标签中可调整任职开始结束时间。</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（5）档案中可记录师资人员参加过的各级师资培训，可上传培训证明。</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设置轮转计划模板</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9"/>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系统根据国家规培大纲要求及医院教学要求，设置轮转计划模板。模板可支持的规则设置包括：按照分层递进的要求，设置各专业轮转阶段、每阶段轮转科室范围、设置科室人数容量上限等。</w:t>
            </w:r>
            <w:r>
              <w:rPr>
                <w:rFonts w:ascii="宋体" w:hAnsi="宋体" w:cs="宋体"/>
                <w:color w:val="000000"/>
                <w:sz w:val="28"/>
                <w:szCs w:val="28"/>
                <w:highlight w:val="none"/>
              </w:rPr>
            </w:r>
            <w:r/>
          </w:p>
          <w:p>
            <w:pPr>
              <w:pStyle w:val="963"/>
              <w:numPr>
                <w:ilvl w:val="0"/>
                <w:numId w:val="9"/>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可按月或按半月进行轮转安排。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特殊规则设置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（1）可根据需求自由设定科室联排（2）季节性疾病增加人数，支持指定科室或指定人员按特定要求排班（3）设置科室高峰时段（4）固定某些科室的轮转时间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轮转计划编制</w:t>
            </w:r>
            <w:r>
              <w:rPr>
                <w:rFonts w:ascii="宋体" w:hAnsi="宋体" w:cs="宋体"/>
                <w:color w:val="000000"/>
                <w:sz w:val="28"/>
                <w:szCs w:val="28"/>
                <w:highlight w:val="none"/>
              </w:rPr>
            </w:r>
            <w:r/>
          </w:p>
        </w:tc>
        <w:tc>
          <w:tcPr>
            <w:tcW w:w="2196" w:type="dxa"/>
            <w:vAlign w:val="center"/>
            <w:textDirection w:val="lrTb"/>
            <w:noWrap w:val="false"/>
          </w:tcPr>
          <w:p>
            <w:pPr>
              <w:pStyle w:val="1081"/>
              <w:ind w:left="31" w:right="59"/>
              <w:spacing w:before="223"/>
              <w:rPr>
                <w:color w:val="000000"/>
                <w:sz w:val="28"/>
                <w:szCs w:val="28"/>
                <w:highlight w:val="none"/>
              </w:rPr>
            </w:pPr>
            <w:r>
              <w:rPr>
                <w:rFonts w:hint="eastAsia"/>
                <w:color w:val="000000"/>
                <w:sz w:val="28"/>
                <w:szCs w:val="28"/>
                <w:highlight w:val="none"/>
              </w:rPr>
              <w:t xml:space="preserve">可同时编制已轮转部分科室学员、新招录学员轮转计划，将名单 、科室名单 、历史轮转数据导入，利用轮转模板实现轮转计划编制，排班结果达到科室容量平衡。</w:t>
            </w:r>
            <w:r>
              <w:rPr>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1081"/>
              <w:ind w:left="22" w:right="70"/>
              <w:spacing w:before="248"/>
              <w:rPr>
                <w:color w:val="000000"/>
                <w:spacing w:val="-4"/>
                <w:sz w:val="28"/>
                <w:szCs w:val="28"/>
                <w:highlight w:val="none"/>
              </w:rPr>
            </w:pPr>
            <w:r>
              <w:rPr>
                <w:rFonts w:hint="eastAsia"/>
                <w:color w:val="000000"/>
                <w:spacing w:val="-4"/>
                <w:sz w:val="28"/>
                <w:szCs w:val="28"/>
                <w:highlight w:val="none"/>
              </w:rPr>
              <w:t xml:space="preserve">轮转计划查看</w:t>
            </w:r>
            <w:r>
              <w:rPr>
                <w:color w:val="000000"/>
                <w:spacing w:val="-4"/>
                <w:sz w:val="28"/>
                <w:szCs w:val="28"/>
                <w:highlight w:val="none"/>
              </w:rPr>
            </w:r>
            <w:r/>
          </w:p>
        </w:tc>
        <w:tc>
          <w:tcPr>
            <w:tcW w:w="2196" w:type="dxa"/>
            <w:vAlign w:val="center"/>
            <w:textDirection w:val="lrTb"/>
            <w:noWrap w:val="false"/>
          </w:tcPr>
          <w:p>
            <w:pPr>
              <w:pStyle w:val="963"/>
              <w:numPr>
                <w:ilvl w:val="0"/>
                <w:numId w:val="10"/>
              </w:numPr>
              <w:ind w:left="29"/>
              <w:spacing w:before="1"/>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按学员查询，可查询各个学员的轮转计划，每个月份所在的轮转科室。可根据学员姓名 、时间段、年级、专业、学员类型、学员状态等筛选需要查询的学员轮转计划。</w:t>
            </w:r>
            <w:r>
              <w:rPr>
                <w:rFonts w:ascii="宋体" w:hAnsi="宋体" w:cs="宋体"/>
                <w:color w:val="000000"/>
                <w:sz w:val="28"/>
                <w:szCs w:val="28"/>
                <w:highlight w:val="none"/>
              </w:rPr>
            </w:r>
            <w:r/>
          </w:p>
          <w:p>
            <w:pPr>
              <w:pStyle w:val="963"/>
              <w:numPr>
                <w:ilvl w:val="0"/>
                <w:numId w:val="10"/>
              </w:numPr>
              <w:ind w:left="29"/>
              <w:spacing w:before="1"/>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可查看各个科室在各个月份的轮转人数、具体人员名单。支持以EXCEL的形式导出轮转表。</w:t>
            </w:r>
            <w:r>
              <w:rPr>
                <w:rFonts w:ascii="宋体" w:hAnsi="宋体" w:cs="宋体"/>
                <w:color w:val="000000"/>
                <w:sz w:val="28"/>
                <w:szCs w:val="28"/>
                <w:highlight w:val="none"/>
              </w:rPr>
            </w:r>
            <w:r/>
          </w:p>
          <w:p>
            <w:pPr>
              <w:pStyle w:val="963"/>
              <w:numPr>
                <w:ilvl w:val="0"/>
                <w:numId w:val="10"/>
              </w:numPr>
              <w:rPr>
                <w:rFonts w:ascii="宋体" w:hAnsi="宋体" w:cs="宋体"/>
                <w:color w:val="000000"/>
                <w:spacing w:val="-4"/>
                <w:sz w:val="28"/>
                <w:szCs w:val="28"/>
                <w:highlight w:val="none"/>
              </w:rPr>
            </w:pPr>
            <w:r>
              <w:rPr>
                <w:rFonts w:hint="eastAsia" w:ascii="宋体" w:hAnsi="宋体" w:cs="宋体"/>
                <w:color w:val="000000"/>
                <w:sz w:val="28"/>
                <w:szCs w:val="28"/>
                <w:highlight w:val="none"/>
              </w:rPr>
              <w:t xml:space="preserve">可根据国家和省要求导出符合格式要求的文件。</w:t>
            </w:r>
            <w:r>
              <w:rPr>
                <w:rFonts w:ascii="宋体" w:hAnsi="宋体" w:cs="宋体"/>
                <w:color w:val="000000"/>
                <w:spacing w:val="-4"/>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轮转计划调整</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0"/>
              </w:numPr>
              <w:ind w:left="26"/>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可在系统编制轮转计划的基础上手工调整轮转计划。</w:t>
            </w:r>
            <w:r>
              <w:rPr>
                <w:rFonts w:ascii="宋体" w:hAnsi="宋体" w:cs="宋体"/>
                <w:color w:val="000000"/>
                <w:sz w:val="28"/>
                <w:szCs w:val="28"/>
                <w:highlight w:val="none"/>
              </w:rPr>
            </w:r>
            <w:r/>
          </w:p>
          <w:p>
            <w:pPr>
              <w:pStyle w:val="963"/>
              <w:numPr>
                <w:ilvl w:val="0"/>
                <w:numId w:val="10"/>
              </w:numPr>
              <w:ind w:left="26"/>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支持轮转科室的下级分配功能，一级科室教学管理人员可以在学员入科之前将轮转信息向下分配至二级实际轮转科室。</w:t>
            </w:r>
            <w:r>
              <w:rPr>
                <w:rFonts w:ascii="宋体" w:hAnsi="宋体" w:cs="宋体"/>
                <w:color w:val="000000"/>
                <w:sz w:val="28"/>
                <w:szCs w:val="28"/>
                <w:highlight w:val="none"/>
              </w:rPr>
            </w:r>
            <w:r/>
          </w:p>
          <w:p>
            <w:pPr>
              <w:pStyle w:val="963"/>
              <w:numPr>
                <w:ilvl w:val="0"/>
                <w:numId w:val="10"/>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所有调整均有日志自动记录。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补轮转</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（1）可按照姓名、工号、身份类别、学历、请假时长范围筛选需要补轮转的学员。</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（2）系统可显示住院医院请假期间所在的轮转科室。</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（3）教学管理员选择补轮转的科室和时间。</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（4）系统将教学管理员选择的科室和时间调整至学员的轮转计划。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入院教育</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入院教育</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教学管理员可上传、维护入院培训学习资料。学员入院时，通过待办事项提醒其要查阅入院培训资料内容，阅读后点击确认。管理部门可以查看入院教育课程进度情况。</w:t>
            </w:r>
            <w:r>
              <w:rPr>
                <w:rFonts w:ascii="宋体" w:hAnsi="宋体" w:cs="宋体"/>
                <w:color w:val="000000"/>
                <w:sz w:val="28"/>
                <w:szCs w:val="28"/>
                <w:highlight w:val="none"/>
              </w:rPr>
            </w:r>
            <w:r/>
          </w:p>
          <w:p>
            <w:pPr>
              <w:pStyle w:val="963"/>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教学管理部门可以通过教学活动组织发布入院培训课程，学员可扫码签到。课程结束后可上传现场照片、课件等材料。支持按场次导出报告书。</w:t>
            </w:r>
            <w:r>
              <w:rPr>
                <w:rFonts w:ascii="宋体" w:hAnsi="宋体" w:cs="宋体"/>
                <w:color w:val="000000"/>
                <w:sz w:val="28"/>
                <w:szCs w:val="28"/>
                <w:highlight w:val="none"/>
              </w:rPr>
            </w:r>
            <w:r/>
          </w:p>
          <w:p>
            <w:pPr>
              <w:pStyle w:val="963"/>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管理员发布入院考核任务，学员在规定时间内完成考核，并将考核成绩记录到学员个人档案信息中。</w:t>
            </w:r>
            <w:r>
              <w:rPr>
                <w:rFonts w:ascii="宋体" w:hAnsi="宋体" w:cs="宋体"/>
                <w:color w:val="000000"/>
                <w:sz w:val="28"/>
                <w:szCs w:val="28"/>
                <w:highlight w:val="none"/>
              </w:rPr>
            </w:r>
            <w:r/>
          </w:p>
          <w:p>
            <w:pPr>
              <w:pStyle w:val="963"/>
              <w:numPr>
                <w:ilvl w:val="0"/>
                <w:numId w:val="11"/>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入专业基地教育</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入专业基地教育</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教学管理员可上传、维护入专业基地培训学习资料。学员入专业基地时，通过待办事项提醒其要查阅入基地培训资料内容，阅读后点击确认。</w:t>
            </w:r>
            <w:r>
              <w:rPr>
                <w:rFonts w:ascii="宋体" w:hAnsi="宋体" w:cs="宋体"/>
                <w:color w:val="000000"/>
                <w:sz w:val="28"/>
                <w:szCs w:val="28"/>
                <w:highlight w:val="none"/>
              </w:rPr>
            </w:r>
            <w:r/>
          </w:p>
          <w:p>
            <w:pPr>
              <w:pStyle w:val="963"/>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基地教学管理人员可以组织发布入专业基地培训课程，学员可扫码签到。课程结束后可上传现场照片、课件等材料。支持按场次导出报告书。</w:t>
            </w:r>
            <w:r>
              <w:rPr>
                <w:rFonts w:ascii="宋体" w:hAnsi="宋体" w:cs="宋体"/>
                <w:color w:val="000000"/>
                <w:sz w:val="28"/>
                <w:szCs w:val="28"/>
                <w:highlight w:val="none"/>
              </w:rPr>
            </w:r>
            <w:r/>
          </w:p>
          <w:p>
            <w:pPr>
              <w:pStyle w:val="963"/>
              <w:numPr>
                <w:ilvl w:val="0"/>
                <w:numId w:val="12"/>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（1）系统自动可根据轮转计划为科室教秘推送待入科学员名单。</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（2）系统可显示每位带教老师目前已经带教的学员。系统可设置每位带教老师带教不同专业学员的人数上限。</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（3）教学秘书可通过系统为每一位学员分配带教，可查看科内带教老师当前的带教情况。</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（4）可对已经安排的带教关系进行调整。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科室学员名单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科室主任、教学主任、教秘可查询本科室的学员名单。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入科进度统计查询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管理员、教学秘书、学员等授权用户，可通过学员姓名、轮转科室、时间来查询入科信息，确认学员科室报到。可分别按科室、月份查看应入科人数、已入科人数、入科完成度、到科确认。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入科教育</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（1）各个科室可根据预设的入科教育学习资料分类上传对应的资料文件。</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（2）教秘可发起入科教育教学活动。</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（3）学员可扫描二维码签到及签退。</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（4）可上传课件和授课照片等。</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（5）学员可以对所有课程进行评价，评价内容按照国家教学活动指南中要求执行。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出科管理</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3"/>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系统根据轮转计划自动推送当月待出科的学员名单。</w:t>
            </w:r>
            <w:r>
              <w:rPr>
                <w:rFonts w:ascii="宋体" w:hAnsi="宋体" w:cs="宋体"/>
                <w:color w:val="000000"/>
                <w:sz w:val="28"/>
                <w:szCs w:val="28"/>
                <w:highlight w:val="none"/>
              </w:rPr>
            </w:r>
            <w:r/>
          </w:p>
          <w:p>
            <w:pPr>
              <w:pStyle w:val="963"/>
              <w:numPr>
                <w:ilvl w:val="0"/>
                <w:numId w:val="13"/>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科室教秘可查看待出科学员是否符合出科资格，系统可显示每一位待出科学员的出科考核完成情况、评价完成情况、教学活动完成情况等。</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（3）由带教老师、教秘、科主任等审核出科材料，同步推送到学员所在专业基地/教学小组审核。 审核人可根据实际要求自定义设置。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请假申请及审批</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学员可通过系统发起请假申请。由教学秘书、带教老师等各级管理人员进行审批。可根据不同类型的学员配置对应的请假审批流程。请假记录可对应在学员档案、补轮转汇总查询里。</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考勤填报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科室教秘、带教老师为自己管理的学员填报考勤。可自定义多种考勤类型，且可根据用户要求再增加或减少考勤类型。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▲考勤表查看及修改</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和带教老师可以查看、修改、提交考勤表。科室教秘等管理人员可在考勤管理菜单中以日历或列表形式查看相应权限范围内学员考勤及请假情况。学员可在移动端以日历或列表形式查看自己的请假信息，点击可进入详情页面查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考勤汇总报表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系统可根据请假记录及考勤填报记录自动汇总考勤报表，可手工校正后提交，支持以EXCEL格式导出。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2196" w:type="dxa"/>
            <w:vAlign w:val="center"/>
            <w:textDirection w:val="lrTb"/>
            <w:noWrap w:val="false"/>
          </w:tcPr>
          <w:p>
            <w:pPr>
              <w:pStyle w:val="96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科室教秘可发布考核任务，系统自动通知需参加考核的学员及评分老师。考核评分表支持入院教育考核、出科考核、年度考核评分等。可将各类考核表单电子化录入系统，供考核打分使用。支持导出打印考核表。</w:t>
            </w:r>
            <w:r>
              <w:rPr>
                <w:rFonts w:ascii="宋体" w:hAnsi="宋体" w:cs="宋体"/>
                <w:color w:val="000000"/>
                <w:sz w:val="28"/>
                <w:szCs w:val="28"/>
                <w:highlight w:val="none"/>
              </w:rPr>
            </w:r>
            <w:r/>
          </w:p>
          <w:p>
            <w:pPr>
              <w:pStyle w:val="963"/>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（2）评分老师可通过系统填写学员的考核打分表，考核表可根据用户需要设置多个独立的考核子项目，如日常考核、技能考核 、出科考核等，可只登记分数也可填写完整的打分表。系统根据各个独立考核子项目占考核总分的权重自动换算至考核总表中，计算考核总分。</w:t>
            </w:r>
            <w:r>
              <w:rPr>
                <w:rFonts w:ascii="宋体" w:hAnsi="宋体" w:cs="宋体"/>
                <w:color w:val="000000"/>
                <w:sz w:val="28"/>
                <w:szCs w:val="28"/>
                <w:highlight w:val="none"/>
              </w:rPr>
            </w:r>
            <w:r/>
          </w:p>
          <w:p>
            <w:pPr>
              <w:pStyle w:val="963"/>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（3）打分完成并提交后， 由上级用户进行审核。可灵活配置各个考核项对应的科室及专业。支持考核项目的环节设置和审核角色的配置。支持第三方接口导入成绩，自动同步到管理系统中。</w:t>
            </w:r>
            <w:r>
              <w:rPr>
                <w:rFonts w:ascii="宋体" w:hAnsi="宋体" w:cs="宋体"/>
                <w:color w:val="000000"/>
                <w:sz w:val="28"/>
                <w:szCs w:val="28"/>
                <w:highlight w:val="none"/>
              </w:rPr>
            </w:r>
            <w:r/>
          </w:p>
          <w:p>
            <w:pPr>
              <w:pStyle w:val="963"/>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（4）系统自动汇总通过系统完成打分的考核成绩，如出科考核、季度考核、年度考核等。 </w:t>
            </w:r>
            <w:r>
              <w:rPr>
                <w:rFonts w:ascii="宋体" w:hAnsi="宋体" w:cs="宋体"/>
                <w:color w:val="000000"/>
                <w:sz w:val="28"/>
                <w:szCs w:val="28"/>
                <w:highlight w:val="none"/>
              </w:rPr>
            </w:r>
            <w:r/>
          </w:p>
          <w:p>
            <w:pPr>
              <w:pStyle w:val="963"/>
              <w:ind w:left="30" w:right="141"/>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（5）可导入入院教育考核 、入科教育考核 、执医考核、结业考核等其他考核的成绩。</w:t>
            </w:r>
            <w:r>
              <w:rPr>
                <w:rFonts w:ascii="宋体" w:hAnsi="宋体" w:cs="宋体"/>
                <w:color w:val="000000"/>
                <w:sz w:val="28"/>
                <w:szCs w:val="28"/>
                <w:highlight w:val="none"/>
              </w:rPr>
            </w:r>
            <w:r/>
          </w:p>
          <w:p>
            <w:pPr>
              <w:pStyle w:val="96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（6）可实时统计各个科室出科情况，查看各科室出科考试安排并可导出。可查看各科室应出科人数、已出科人数、出科完成度、超期人数。统计各个专业基地和科室出科考核的进度并及时提醒。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带教评价管理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学员可通过系统填写评价表，对带教老师及轮转科室进行评价，评价表的对应关系由系统根据入科带教分配的设置自动匹配，也可手动调整。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360度评价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系统可实现360度评价，包括带教老师对学员评价、护士对学员评价、管理者对学员评价等。评价表的对应关系根据学员所在科室、基地、带教老师的分配进行自动匹配，也可手动调整。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评价表单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带完善的评价表单，并根据国家标准及指标及时调整。同时可满足评价表单的自由设定，医院可根据需求自由编辑表单评分项及权重设置，支持医院自主评分表导入。系统根据轮转时间节点自动提醒相关角色填写评价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系统自动对所有评价结果进行汇总，可对评价结果按时间、人员、科室等条件进行统计，提供查询、导出。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教学活动目标设置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教学管理员可设置院级教学活动的目标次数、各个基地的基地级教学活动目标次数、各个科室的科室级教学活动目标次数。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发布教学课程</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学秘书、带教老师创建教学活动，系统提供预设的教学活动级别、类型、发起部门供选择（可选择专业基地或科室），可填写培训日期、开始结束时间、主讲人（可在系统师资列表中查询选择）、培训地点、学时、课程内容。新增的教学活动可以暂存，确认无误后再提交发布，提交前可重新编辑或删除。</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根据选择的发起部门匹配教学活动参加人员（科室级教学活动匹配当前在科室轮转的学员、基地级教学活动可根据名单设置规则，自动匹配专业基地下的所有学员，或轮转到专业基地下的学员，或专业基地及轮转到专业基地下的全部学员、院级教学活动匹配院内所有在培学员）；也可指定参加人员，根据人员身份和年级进行选择。</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可将教学活动设置为抢课参加的方式。可设置报名人数，报名开始和结束时间。</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支持通过EXCEL批量导入教学活动计划。</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支持批量导出教学活动报告书。包含课程基本信息、名单信息及人员签到情况。</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教学活动选择房间时可以和技能中心房间预约关联。</w:t>
            </w:r>
            <w:r>
              <w:rPr>
                <w:rFonts w:ascii="宋体" w:hAnsi="宋体" w:cs="宋体"/>
                <w:color w:val="000000"/>
                <w:sz w:val="28"/>
                <w:szCs w:val="28"/>
                <w:highlight w:val="none"/>
              </w:rPr>
            </w:r>
            <w:r/>
          </w:p>
          <w:p>
            <w:pPr>
              <w:pStyle w:val="963"/>
              <w:numPr>
                <w:ilvl w:val="0"/>
                <w:numId w:val="14"/>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可关联链接各类教学活动规范。</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课程提醒推送</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系统根据各个科室上传的教学计划，自动形成课表，向对应的学员推送课程表。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课前资料准备</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讲师可通过系统上传课件资料，讲师可设置课件是否可下载，学员可查看。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课程签到、签退</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讲师/教秘可在自己的电脑端或移动端展示签到、签退动态二维码，参加课程的学员可使用移动端扫码进行签到、签退。教学管理员/教秘/讲师可对课程的参加人员进行手动签到、签退。课程发布时可设置本节课程是否需要签退。管理人员可查看、导出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学员可通过系统填写课程评价表，评价课程教学质量。评价的课程表由系统自动匹配，学员填写的评价表自动对应所参加的课程。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2196" w:type="dxa"/>
            <w:vAlign w:val="center"/>
            <w:textDirection w:val="lrTb"/>
            <w:noWrap w:val="false"/>
          </w:tcPr>
          <w:p>
            <w:pPr>
              <w:pStyle w:val="1081"/>
              <w:ind w:left="25"/>
              <w:spacing w:before="0" w:beforeAutospacing="0" w:after="0" w:afterAutospacing="0" w:line="360" w:lineRule="auto"/>
              <w:rPr>
                <w:color w:val="000000"/>
                <w:spacing w:val="-1"/>
                <w:position w:val="3"/>
                <w:sz w:val="28"/>
                <w:szCs w:val="28"/>
                <w:highlight w:val="none"/>
              </w:rPr>
            </w:pPr>
            <w:r>
              <w:rPr>
                <w:rFonts w:hint="eastAsia"/>
                <w:color w:val="000000"/>
                <w:sz w:val="28"/>
                <w:szCs w:val="28"/>
                <w:highlight w:val="none"/>
              </w:rPr>
              <w:t xml:space="preserve">（1）</w:t>
            </w:r>
            <w:r>
              <w:rPr>
                <w:rFonts w:hint="eastAsia"/>
                <w:color w:val="000000"/>
                <w:spacing w:val="-1"/>
                <w:position w:val="3"/>
                <w:sz w:val="28"/>
                <w:szCs w:val="28"/>
                <w:highlight w:val="none"/>
              </w:rPr>
              <w:t xml:space="preserve">管理员可以为用户设置督导专家权限。</w:t>
            </w:r>
            <w:r>
              <w:rPr>
                <w:color w:val="000000"/>
                <w:spacing w:val="-1"/>
                <w:position w:val="3"/>
                <w:sz w:val="28"/>
                <w:szCs w:val="28"/>
                <w:highlight w:val="none"/>
              </w:rPr>
            </w:r>
            <w:r/>
          </w:p>
          <w:p>
            <w:pPr>
              <w:pStyle w:val="1081"/>
              <w:ind w:left="25"/>
              <w:spacing w:before="0" w:beforeAutospacing="0" w:after="0" w:afterAutospacing="0" w:line="360" w:lineRule="auto"/>
              <w:rPr>
                <w:color w:val="000000"/>
                <w:sz w:val="28"/>
                <w:szCs w:val="28"/>
                <w:highlight w:val="none"/>
              </w:rPr>
            </w:pPr>
            <w:r>
              <w:rPr>
                <w:rFonts w:hint="eastAsia"/>
                <w:color w:val="000000"/>
                <w:sz w:val="28"/>
                <w:szCs w:val="28"/>
                <w:highlight w:val="none"/>
              </w:rPr>
              <w:t xml:space="preserve">（2）督导专家可对教学活动、出科考核、专业基地管理、科室管理进行督导，填写督导评分。</w:t>
            </w:r>
            <w:r>
              <w:rPr>
                <w:color w:val="000000"/>
                <w:sz w:val="28"/>
                <w:szCs w:val="28"/>
                <w:highlight w:val="none"/>
              </w:rPr>
            </w:r>
            <w:r/>
          </w:p>
          <w:p>
            <w:pPr>
              <w:pStyle w:val="1081"/>
              <w:ind w:left="25"/>
              <w:spacing w:before="0" w:beforeAutospacing="0" w:after="0" w:afterAutospacing="0" w:line="360" w:lineRule="auto"/>
              <w:rPr>
                <w:color w:val="000000"/>
                <w:sz w:val="28"/>
                <w:szCs w:val="28"/>
                <w:highlight w:val="none"/>
              </w:rPr>
            </w:pPr>
            <w:r>
              <w:rPr>
                <w:rFonts w:hint="eastAsia"/>
                <w:color w:val="000000"/>
                <w:sz w:val="28"/>
                <w:szCs w:val="28"/>
                <w:highlight w:val="none"/>
              </w:rPr>
              <w:t xml:space="preserve">（3）教学管理员可发起督导任务，匹配督导专家。可对已经安排的督导任务可进行调整。</w:t>
            </w:r>
            <w:r>
              <w:rPr>
                <w:color w:val="000000"/>
                <w:sz w:val="28"/>
                <w:szCs w:val="28"/>
                <w:highlight w:val="none"/>
              </w:rPr>
            </w:r>
            <w:r/>
          </w:p>
          <w:p>
            <w:pPr>
              <w:pStyle w:val="1081"/>
              <w:ind w:left="25"/>
              <w:spacing w:before="0" w:beforeAutospacing="0" w:after="0" w:afterAutospacing="0" w:line="360" w:lineRule="auto"/>
              <w:rPr>
                <w:color w:val="000000"/>
                <w:spacing w:val="-2"/>
                <w:position w:val="3"/>
                <w:sz w:val="28"/>
                <w:szCs w:val="28"/>
                <w:highlight w:val="none"/>
              </w:rPr>
            </w:pPr>
            <w:r>
              <w:rPr>
                <w:rFonts w:hint="eastAsia"/>
                <w:color w:val="000000"/>
                <w:sz w:val="28"/>
                <w:szCs w:val="28"/>
                <w:highlight w:val="none"/>
              </w:rPr>
              <w:t xml:space="preserve">（4）</w:t>
            </w:r>
            <w:r>
              <w:rPr>
                <w:rFonts w:hint="eastAsia"/>
                <w:color w:val="000000"/>
                <w:spacing w:val="-4"/>
                <w:sz w:val="28"/>
                <w:szCs w:val="28"/>
                <w:highlight w:val="none"/>
              </w:rPr>
              <w:t xml:space="preserve">督导专家完成督导工作后，在系统里填写督导评分表和意见，上</w:t>
            </w:r>
            <w:r>
              <w:rPr>
                <w:rFonts w:hint="eastAsia"/>
                <w:color w:val="000000"/>
                <w:spacing w:val="-3"/>
                <w:sz w:val="28"/>
                <w:szCs w:val="28"/>
                <w:highlight w:val="none"/>
              </w:rPr>
              <w:t xml:space="preserve">报给管理部门，管理部门整理审核后从系统反馈给专业基地、科室、</w:t>
            </w:r>
            <w:r>
              <w:rPr>
                <w:rFonts w:hint="eastAsia"/>
                <w:color w:val="000000"/>
                <w:spacing w:val="-2"/>
                <w:position w:val="3"/>
                <w:sz w:val="28"/>
                <w:szCs w:val="28"/>
                <w:highlight w:val="none"/>
              </w:rPr>
              <w:t xml:space="preserve">教学管理人员，专业基地、科室进行整改并提交整改报告。</w:t>
            </w:r>
            <w:r>
              <w:rPr>
                <w:color w:val="000000"/>
                <w:spacing w:val="-2"/>
                <w:position w:val="3"/>
                <w:sz w:val="28"/>
                <w:szCs w:val="28"/>
                <w:highlight w:val="none"/>
              </w:rPr>
            </w:r>
            <w:r/>
          </w:p>
          <w:p>
            <w:pPr>
              <w:pStyle w:val="1081"/>
              <w:spacing w:before="0" w:beforeAutospacing="0" w:after="0" w:afterAutospacing="0" w:line="360" w:lineRule="auto"/>
              <w:rPr>
                <w:color w:val="000000"/>
                <w:sz w:val="28"/>
                <w:szCs w:val="28"/>
                <w:highlight w:val="none"/>
              </w:rPr>
            </w:pPr>
            <w:r>
              <w:rPr>
                <w:rFonts w:hint="eastAsia"/>
                <w:color w:val="000000"/>
                <w:spacing w:val="-2"/>
                <w:position w:val="3"/>
                <w:sz w:val="28"/>
                <w:szCs w:val="28"/>
                <w:highlight w:val="none"/>
              </w:rPr>
              <w:t xml:space="preserve">（5）</w:t>
            </w:r>
            <w:r>
              <w:rPr>
                <w:rFonts w:hint="eastAsia"/>
                <w:color w:val="000000"/>
                <w:spacing w:val="-4"/>
                <w:sz w:val="28"/>
                <w:szCs w:val="28"/>
                <w:highlight w:val="none"/>
              </w:rPr>
              <w:t xml:space="preserve">系统支持自动汇总查询，管理员、科室以及带教老师皆可查询自己权限范围内的内容，管理员支持查询全院督导反馈的内容，督导意见查询支持按照多种方式查询汇总，支持按照督导查询，查询历</w:t>
            </w:r>
            <w:r>
              <w:rPr>
                <w:rFonts w:hint="eastAsia"/>
                <w:color w:val="000000"/>
                <w:spacing w:val="-2"/>
                <w:sz w:val="28"/>
                <w:szCs w:val="28"/>
                <w:highlight w:val="none"/>
              </w:rPr>
              <w:t xml:space="preserve">次督导情况。</w:t>
            </w:r>
            <w:r>
              <w:rPr>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轮转手册管理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手册填报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学员可通过系统填报病种、操作等过程数据，由带教老师进行审核。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进度查看</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可通过系统查看每一位学员当前完成的各类培训过程任务数量，可与大纲要求完成数量进行自动对比，实时获知完成进度。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住培导师管理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可为每一位学员分配住培导师（全程导师）。住培导师可查看学员的轮转、成绩、评价、教学活动等各项培训数据。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住培导师可通过移动端发起沟通，填写时间、地点、培训数据、沟通内容等。提交后学员可查看导师的反馈状态。导师在沟通列表中可查看学员提交的反馈信息，对信息进行反馈。导师对于已反馈与未反馈的数据可修改或进行退回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日常工作统计</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入科统计报表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统计各个科室入科情况。可按月份查看各科室应入科人数、已入科人数、入科完成度、到科确认。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出科统计报表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统计各个科室出科情况。可按月份查看各科室应出科人数、已出科人数、出科完成度、超期人数。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分配带教统计报表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（1）可统计各基地、科室的在科人数、已分配带教的学员人数、未分配带教的学员人数、已带教的老师数、未带教的老师数、带教分配明细。（2）可统计带教老师的月度、年度带教工作量。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考勤统计报表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可按月份统计各科室学员的考勤情况。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出科考核统计报表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可按科室、基地统计学员的出科考核各个项目的完成情况。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教学活动报表</w:t>
            </w:r>
            <w:r>
              <w:rPr>
                <w:rFonts w:ascii="宋体" w:hAnsi="宋体" w:cs="宋体"/>
                <w:color w:val="000000"/>
                <w:sz w:val="28"/>
                <w:szCs w:val="28"/>
                <w:highlight w:val="none"/>
              </w:rPr>
            </w:r>
            <w:r/>
          </w:p>
        </w:tc>
        <w:tc>
          <w:tcPr>
            <w:tcW w:w="2196" w:type="dxa"/>
            <w:vAlign w:val="center"/>
            <w:textDirection w:val="lrTb"/>
            <w:noWrap w:val="false"/>
          </w:tcPr>
          <w:p>
            <w:pPr>
              <w:pStyle w:val="1081"/>
              <w:rPr>
                <w:color w:val="000000"/>
                <w:sz w:val="28"/>
                <w:szCs w:val="28"/>
                <w:highlight w:val="none"/>
              </w:rPr>
            </w:pPr>
            <w:r>
              <w:rPr>
                <w:rFonts w:hint="eastAsia"/>
                <w:color w:val="000000"/>
                <w:spacing w:val="-4"/>
                <w:position w:val="3"/>
                <w:sz w:val="28"/>
                <w:szCs w:val="28"/>
                <w:highlight w:val="none"/>
              </w:rPr>
              <w:t xml:space="preserve">（1）统计院级、专业基地级、科室级的各</w:t>
            </w:r>
            <w:r>
              <w:rPr>
                <w:rFonts w:hint="eastAsia"/>
                <w:color w:val="000000"/>
                <w:spacing w:val="-5"/>
                <w:position w:val="3"/>
                <w:sz w:val="28"/>
                <w:szCs w:val="28"/>
                <w:highlight w:val="none"/>
              </w:rPr>
              <w:t xml:space="preserve">类教学活动开展数量。</w:t>
            </w:r>
            <w:r>
              <w:rPr>
                <w:color w:val="000000"/>
                <w:sz w:val="28"/>
                <w:szCs w:val="28"/>
                <w:highlight w:val="none"/>
              </w:rPr>
            </w:r>
            <w:r/>
          </w:p>
          <w:p>
            <w:pPr>
              <w:pStyle w:val="1081"/>
              <w:rPr>
                <w:color w:val="000000"/>
                <w:sz w:val="28"/>
                <w:szCs w:val="28"/>
                <w:highlight w:val="none"/>
              </w:rPr>
            </w:pPr>
            <w:r>
              <w:rPr>
                <w:rFonts w:hint="eastAsia"/>
                <w:color w:val="000000"/>
                <w:spacing w:val="-2"/>
                <w:sz w:val="28"/>
                <w:szCs w:val="28"/>
                <w:highlight w:val="none"/>
              </w:rPr>
              <w:t xml:space="preserve">（2）统计各个科室开展的各类教学活动开展数量。统计各发起部门</w:t>
            </w:r>
            <w:r>
              <w:rPr>
                <w:rFonts w:hint="eastAsia"/>
                <w:color w:val="000000"/>
                <w:spacing w:val="-4"/>
                <w:sz w:val="28"/>
                <w:szCs w:val="28"/>
                <w:highlight w:val="none"/>
              </w:rPr>
              <w:t xml:space="preserve">开展各类教学活动的目标数目、课表数目、实施数目。计算实施率和</w:t>
            </w:r>
            <w:r>
              <w:rPr>
                <w:rFonts w:hint="eastAsia"/>
                <w:color w:val="000000"/>
                <w:spacing w:val="-3"/>
                <w:position w:val="3"/>
                <w:sz w:val="28"/>
                <w:szCs w:val="28"/>
                <w:highlight w:val="none"/>
              </w:rPr>
              <w:t xml:space="preserve">参加率。</w:t>
            </w:r>
            <w:r>
              <w:rPr>
                <w:color w:val="000000"/>
                <w:sz w:val="28"/>
                <w:szCs w:val="28"/>
                <w:highlight w:val="none"/>
              </w:rPr>
            </w:r>
            <w:r/>
          </w:p>
          <w:p>
            <w:pPr>
              <w:pStyle w:val="1081"/>
              <w:rPr>
                <w:color w:val="000000"/>
                <w:spacing w:val="-2"/>
                <w:sz w:val="28"/>
                <w:szCs w:val="28"/>
                <w:highlight w:val="none"/>
              </w:rPr>
            </w:pPr>
            <w:r>
              <w:rPr>
                <w:rFonts w:hint="eastAsia"/>
                <w:color w:val="000000"/>
                <w:spacing w:val="-2"/>
                <w:sz w:val="28"/>
                <w:szCs w:val="28"/>
                <w:highlight w:val="none"/>
              </w:rPr>
              <w:t xml:space="preserve">（3）查询基地级教学活动统计时，可选择将科室级教学活动汇总到基地级教学活动统计。</w:t>
            </w:r>
            <w:r>
              <w:rPr>
                <w:color w:val="000000"/>
                <w:spacing w:val="-2"/>
                <w:sz w:val="28"/>
                <w:szCs w:val="28"/>
                <w:highlight w:val="none"/>
              </w:rPr>
            </w:r>
            <w:r/>
          </w:p>
          <w:p>
            <w:pPr>
              <w:pStyle w:val="1081"/>
              <w:rPr>
                <w:color w:val="000000"/>
                <w:spacing w:val="-5"/>
                <w:sz w:val="28"/>
                <w:szCs w:val="28"/>
                <w:highlight w:val="none"/>
              </w:rPr>
            </w:pPr>
            <w:r>
              <w:rPr>
                <w:rFonts w:hint="eastAsia"/>
                <w:color w:val="000000"/>
                <w:spacing w:val="-5"/>
                <w:sz w:val="28"/>
                <w:szCs w:val="28"/>
                <w:highlight w:val="none"/>
              </w:rPr>
              <w:t xml:space="preserve">（4）统计每一次教学活动的应参加人数、签到人数、未签到人数。 </w:t>
            </w:r>
            <w:r>
              <w:rPr>
                <w:color w:val="000000"/>
                <w:spacing w:val="-5"/>
                <w:sz w:val="28"/>
                <w:szCs w:val="28"/>
                <w:highlight w:val="none"/>
              </w:rPr>
            </w:r>
            <w:r/>
          </w:p>
          <w:p>
            <w:pPr>
              <w:pStyle w:val="1081"/>
              <w:rPr>
                <w:color w:val="000000"/>
                <w:sz w:val="28"/>
                <w:szCs w:val="28"/>
                <w:highlight w:val="none"/>
              </w:rPr>
            </w:pPr>
            <w:r>
              <w:rPr>
                <w:rFonts w:hint="eastAsia"/>
                <w:color w:val="000000"/>
                <w:spacing w:val="-6"/>
                <w:sz w:val="28"/>
                <w:szCs w:val="28"/>
                <w:highlight w:val="none"/>
              </w:rPr>
              <w:t xml:space="preserve">（5）统计各位讲师主讲各类教学活动的数量，并计</w:t>
            </w:r>
            <w:r>
              <w:rPr>
                <w:rFonts w:hint="eastAsia"/>
                <w:color w:val="000000"/>
                <w:spacing w:val="-7"/>
                <w:sz w:val="28"/>
                <w:szCs w:val="28"/>
                <w:highlight w:val="none"/>
              </w:rPr>
              <w:t xml:space="preserve">算总量及参加率。</w:t>
            </w:r>
            <w:r>
              <w:rPr>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pacing w:val="-4"/>
                <w:sz w:val="28"/>
                <w:szCs w:val="28"/>
                <w:highlight w:val="none"/>
              </w:rPr>
              <w:t xml:space="preserve">督导报表</w:t>
            </w:r>
            <w:r>
              <w:rPr>
                <w:rFonts w:ascii="宋体" w:hAnsi="宋体" w:cs="宋体"/>
                <w:color w:val="000000"/>
                <w:sz w:val="28"/>
                <w:szCs w:val="28"/>
                <w:highlight w:val="none"/>
              </w:rPr>
            </w:r>
            <w:r/>
          </w:p>
        </w:tc>
        <w:tc>
          <w:tcPr>
            <w:tcW w:w="2196" w:type="dxa"/>
            <w:vAlign w:val="center"/>
            <w:textDirection w:val="lrTb"/>
            <w:noWrap w:val="false"/>
          </w:tcPr>
          <w:p>
            <w:pPr>
              <w:pStyle w:val="1081"/>
              <w:ind w:left="68"/>
              <w:spacing w:before="0" w:beforeAutospacing="0" w:after="0" w:afterAutospacing="0" w:line="360" w:lineRule="auto"/>
              <w:rPr>
                <w:color w:val="000000"/>
                <w:sz w:val="28"/>
                <w:szCs w:val="28"/>
                <w:highlight w:val="none"/>
              </w:rPr>
            </w:pPr>
            <w:r>
              <w:rPr>
                <w:rFonts w:hint="eastAsia"/>
                <w:color w:val="000000"/>
                <w:spacing w:val="-5"/>
                <w:position w:val="3"/>
                <w:sz w:val="28"/>
                <w:szCs w:val="28"/>
                <w:highlight w:val="none"/>
              </w:rPr>
              <w:t xml:space="preserve">（1）统计各督导专家的督导次数、评分。</w:t>
            </w:r>
            <w:r>
              <w:rPr>
                <w:color w:val="000000"/>
                <w:sz w:val="28"/>
                <w:szCs w:val="28"/>
                <w:highlight w:val="none"/>
              </w:rPr>
            </w:r>
            <w:r/>
          </w:p>
          <w:p>
            <w:pPr>
              <w:pStyle w:val="1081"/>
              <w:ind w:left="68"/>
              <w:spacing w:before="0" w:beforeAutospacing="0" w:after="0" w:afterAutospacing="0" w:line="360" w:lineRule="auto"/>
              <w:rPr>
                <w:color w:val="000000"/>
                <w:sz w:val="28"/>
                <w:szCs w:val="28"/>
                <w:highlight w:val="none"/>
              </w:rPr>
            </w:pPr>
            <w:r>
              <w:rPr>
                <w:rFonts w:hint="eastAsia"/>
                <w:color w:val="000000"/>
                <w:spacing w:val="-6"/>
                <w:position w:val="3"/>
                <w:sz w:val="28"/>
                <w:szCs w:val="28"/>
                <w:highlight w:val="none"/>
              </w:rPr>
              <w:t xml:space="preserve">（2）统计各类型督导的次数、评分。</w:t>
            </w:r>
            <w:r>
              <w:rPr>
                <w:color w:val="000000"/>
                <w:sz w:val="28"/>
                <w:szCs w:val="28"/>
                <w:highlight w:val="none"/>
              </w:rPr>
            </w:r>
            <w:r/>
          </w:p>
          <w:p>
            <w:pPr>
              <w:pStyle w:val="1081"/>
              <w:ind w:left="68"/>
              <w:spacing w:before="0" w:beforeAutospacing="0" w:after="0" w:afterAutospacing="0" w:line="360" w:lineRule="auto"/>
              <w:rPr>
                <w:color w:val="000000"/>
                <w:spacing w:val="-5"/>
                <w:sz w:val="28"/>
                <w:szCs w:val="28"/>
                <w:highlight w:val="none"/>
              </w:rPr>
            </w:pPr>
            <w:r>
              <w:rPr>
                <w:rFonts w:hint="eastAsia"/>
                <w:color w:val="000000"/>
                <w:spacing w:val="-5"/>
                <w:position w:val="3"/>
                <w:sz w:val="28"/>
                <w:szCs w:val="28"/>
                <w:highlight w:val="none"/>
              </w:rPr>
              <w:t xml:space="preserve">（3）统计每一次督导的时间、督导专家、督导分数等信息。</w:t>
            </w:r>
            <w:r>
              <w:rPr>
                <w:color w:val="000000"/>
                <w:spacing w:val="-5"/>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widowControl/>
              <w:rPr>
                <w:rFonts w:ascii="宋体" w:hAnsi="宋体" w:cs="宋体"/>
                <w:color w:val="000000"/>
                <w:spacing w:val="-4"/>
                <w:sz w:val="28"/>
                <w:szCs w:val="28"/>
                <w:highlight w:val="none"/>
              </w:rPr>
            </w:pPr>
            <w:r>
              <w:rPr>
                <w:rFonts w:hint="eastAsia" w:ascii="宋体" w:hAnsi="宋体" w:cs="宋体"/>
                <w:color w:val="000000"/>
                <w:spacing w:val="-4"/>
                <w:sz w:val="28"/>
                <w:szCs w:val="28"/>
                <w:highlight w:val="none"/>
              </w:rPr>
              <w:t xml:space="preserve">评价报表</w:t>
            </w:r>
            <w:r>
              <w:rPr>
                <w:rFonts w:ascii="宋体" w:hAnsi="宋体" w:cs="宋体"/>
                <w:color w:val="000000"/>
                <w:spacing w:val="-4"/>
                <w:sz w:val="28"/>
                <w:szCs w:val="28"/>
                <w:highlight w:val="none"/>
              </w:rPr>
            </w:r>
            <w:r/>
          </w:p>
        </w:tc>
        <w:tc>
          <w:tcPr>
            <w:tcW w:w="2196" w:type="dxa"/>
            <w:vAlign w:val="center"/>
            <w:textDirection w:val="lrTb"/>
            <w:noWrap w:val="false"/>
          </w:tcPr>
          <w:p>
            <w:pPr>
              <w:pStyle w:val="1081"/>
              <w:ind w:left="68"/>
              <w:spacing w:before="0" w:beforeAutospacing="0" w:after="0" w:afterAutospacing="0" w:line="360" w:lineRule="auto"/>
              <w:rPr>
                <w:color w:val="000000"/>
                <w:spacing w:val="-5"/>
                <w:position w:val="3"/>
                <w:sz w:val="28"/>
                <w:szCs w:val="28"/>
                <w:highlight w:val="none"/>
              </w:rPr>
            </w:pPr>
            <w:r>
              <w:rPr>
                <w:rFonts w:hint="eastAsia"/>
                <w:color w:val="000000"/>
                <w:spacing w:val="-5"/>
                <w:position w:val="3"/>
                <w:sz w:val="28"/>
                <w:szCs w:val="28"/>
                <w:highlight w:val="none"/>
              </w:rPr>
              <w:t xml:space="preserve">（1）根据不同评价类型可自定义统计分析维度，如按学员或带教老师姓名、工号、基地、可是等组合条件分析统计。</w:t>
            </w:r>
            <w:r>
              <w:rPr>
                <w:color w:val="000000"/>
                <w:spacing w:val="-5"/>
                <w:position w:val="3"/>
                <w:sz w:val="28"/>
                <w:szCs w:val="28"/>
                <w:highlight w:val="none"/>
              </w:rPr>
            </w:r>
            <w:r/>
          </w:p>
          <w:p>
            <w:pPr>
              <w:pStyle w:val="1081"/>
              <w:ind w:left="68"/>
              <w:spacing w:before="0" w:beforeAutospacing="0" w:after="0" w:afterAutospacing="0" w:line="360" w:lineRule="auto"/>
              <w:rPr>
                <w:color w:val="000000"/>
                <w:spacing w:val="-5"/>
                <w:sz w:val="28"/>
                <w:szCs w:val="28"/>
                <w:highlight w:val="none"/>
              </w:rPr>
            </w:pPr>
            <w:r>
              <w:rPr>
                <w:rFonts w:hint="eastAsia"/>
                <w:color w:val="000000"/>
                <w:spacing w:val="-5"/>
                <w:position w:val="3"/>
                <w:sz w:val="28"/>
                <w:szCs w:val="28"/>
                <w:highlight w:val="none"/>
              </w:rPr>
              <w:t xml:space="preserve">（2）可展示每位学员和带教老师评价表中每个评价子项的平均分数及评价总分，和院内平均分对比并可自由调整排序方式。</w:t>
            </w:r>
            <w:r>
              <w:rPr>
                <w:color w:val="000000"/>
                <w:spacing w:val="-5"/>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widowControl/>
              <w:rPr>
                <w:rFonts w:ascii="宋体" w:hAnsi="宋体" w:cs="宋体"/>
                <w:color w:val="000000"/>
                <w:spacing w:val="-4"/>
                <w:sz w:val="28"/>
                <w:szCs w:val="28"/>
                <w:highlight w:val="none"/>
              </w:rPr>
            </w:pPr>
            <w:r>
              <w:rPr>
                <w:rFonts w:hint="eastAsia" w:ascii="宋体" w:hAnsi="宋体" w:cs="宋体"/>
                <w:color w:val="000000"/>
                <w:spacing w:val="-3"/>
                <w:sz w:val="28"/>
                <w:szCs w:val="28"/>
                <w:highlight w:val="none"/>
              </w:rPr>
              <w:t xml:space="preserve">轮转过程报表</w:t>
            </w:r>
            <w:r>
              <w:rPr>
                <w:rFonts w:ascii="宋体" w:hAnsi="宋体" w:cs="宋体"/>
                <w:color w:val="000000"/>
                <w:spacing w:val="-4"/>
                <w:sz w:val="28"/>
                <w:szCs w:val="28"/>
                <w:highlight w:val="none"/>
              </w:rPr>
            </w:r>
            <w:r/>
          </w:p>
        </w:tc>
        <w:tc>
          <w:tcPr>
            <w:tcW w:w="2196" w:type="dxa"/>
            <w:vAlign w:val="center"/>
            <w:textDirection w:val="lrTb"/>
            <w:noWrap w:val="false"/>
          </w:tcPr>
          <w:p>
            <w:pPr>
              <w:pStyle w:val="1081"/>
              <w:ind w:left="69"/>
              <w:spacing w:before="225"/>
              <w:rPr>
                <w:color w:val="000000"/>
                <w:spacing w:val="-5"/>
                <w:sz w:val="28"/>
                <w:szCs w:val="28"/>
                <w:highlight w:val="none"/>
              </w:rPr>
            </w:pPr>
            <w:r>
              <w:rPr>
                <w:rFonts w:hint="eastAsia"/>
                <w:color w:val="000000"/>
                <w:spacing w:val="-5"/>
                <w:position w:val="3"/>
                <w:sz w:val="28"/>
                <w:szCs w:val="28"/>
                <w:highlight w:val="none"/>
              </w:rPr>
              <w:t xml:space="preserve">可在同一页面展示学员在各个科室轮转期间的出入科情况（入科教育完成情况、出入科确认情况）、教学活动参加情况（各个类别教学活动的目标参加次数和已参加次数）、出科考核情况（各个项目考核的完成情况）、评价情况（各个维度评价的完成情况）。</w:t>
            </w:r>
            <w:r>
              <w:rPr>
                <w:color w:val="000000"/>
                <w:spacing w:val="-5"/>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1081"/>
              <w:ind w:left="35"/>
              <w:spacing w:before="267"/>
              <w:rPr>
                <w:rFonts w:hint="eastAsia"/>
                <w:color w:val="000000"/>
                <w:sz w:val="28"/>
                <w:szCs w:val="28"/>
                <w:highlight w:val="none"/>
              </w:rPr>
            </w:pPr>
            <w:r>
              <w:rPr>
                <w:rFonts w:hint="eastAsia"/>
                <w:color w:val="000000"/>
                <w:spacing w:val="-3"/>
                <w:sz w:val="28"/>
                <w:szCs w:val="28"/>
                <w:highlight w:val="none"/>
              </w:rPr>
              <w:t xml:space="preserve">导师统计报表</w:t>
            </w:r>
            <w:r>
              <w:rPr>
                <w:rFonts w:hint="eastAsia"/>
                <w:color w:val="000000"/>
                <w:sz w:val="28"/>
                <w:szCs w:val="28"/>
                <w:highlight w:val="none"/>
              </w:rPr>
            </w:r>
            <w:r/>
          </w:p>
        </w:tc>
        <w:tc>
          <w:tcPr>
            <w:tcW w:w="2196" w:type="dxa"/>
            <w:vAlign w:val="center"/>
            <w:textDirection w:val="lrTb"/>
            <w:noWrap w:val="false"/>
          </w:tcPr>
          <w:p>
            <w:pPr>
              <w:pStyle w:val="1081"/>
              <w:ind w:left="32"/>
              <w:rPr>
                <w:color w:val="000000"/>
                <w:spacing w:val="-5"/>
                <w:sz w:val="28"/>
                <w:szCs w:val="28"/>
                <w:highlight w:val="none"/>
              </w:rPr>
            </w:pPr>
            <w:r>
              <w:rPr>
                <w:rFonts w:hint="eastAsia"/>
                <w:color w:val="000000"/>
                <w:spacing w:val="-4"/>
                <w:sz w:val="28"/>
                <w:szCs w:val="28"/>
                <w:highlight w:val="none"/>
              </w:rPr>
              <w:t xml:space="preserve">通过导师统计表查看导师每年带教学员情况；通过导师沟通反馈统计导师每年与学员沟通次数和未完成次数，并可根据时间段、科室、导师姓名等条件组合查询统计；导师沟通记录明细可展示每一次导师沟</w:t>
            </w:r>
            <w:r>
              <w:rPr>
                <w:rFonts w:hint="eastAsia"/>
                <w:color w:val="000000"/>
                <w:spacing w:val="-9"/>
                <w:sz w:val="28"/>
                <w:szCs w:val="28"/>
                <w:highlight w:val="none"/>
              </w:rPr>
              <w:t xml:space="preserve">通的记录，可查看每一次导师沟通反馈的详细记</w:t>
            </w:r>
            <w:r>
              <w:rPr>
                <w:rFonts w:hint="eastAsia"/>
                <w:color w:val="000000"/>
                <w:spacing w:val="-10"/>
                <w:sz w:val="28"/>
                <w:szCs w:val="28"/>
                <w:highlight w:val="none"/>
              </w:rPr>
              <w:t xml:space="preserve">录，包括时间、地点、</w:t>
            </w:r>
            <w:r>
              <w:rPr>
                <w:rFonts w:hint="eastAsia"/>
                <w:color w:val="000000"/>
                <w:spacing w:val="-6"/>
                <w:position w:val="3"/>
                <w:sz w:val="28"/>
                <w:szCs w:val="28"/>
                <w:highlight w:val="none"/>
              </w:rPr>
              <w:t xml:space="preserve">沟通内容、照片、导师反馈内容等。</w:t>
            </w:r>
            <w:r>
              <w:rPr>
                <w:color w:val="000000"/>
                <w:spacing w:val="-5"/>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工作通知提醒</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待办工作自动提醒</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系统自动将入科工作提醒、考核工作提醒、评价工作提醒、教学活动提醒、考勤审核提醒等自动推送给相关角色。可设置需提醒项目。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发送通知公告</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管理员可选择接收对象发送通知公告，可选择通知对象通过PC端接收通知或微信端接收通知公告。</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系统支持移动端接收待办工作提醒及通知公告。</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学员可在移动端查看自己的轮转计划，教学管理员可查看全院的轮转计划，科室教秘可查看本科室学员轮转计划。查看的权限也可根据用户实际要求设置。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pacing w:val="-5"/>
                <w:position w:val="3"/>
                <w:sz w:val="28"/>
                <w:szCs w:val="28"/>
                <w:highlight w:val="none"/>
              </w:rPr>
              <w:t xml:space="preserve">科室教学秘书可在移动端收到待入科学员推送，为学员安排带教老师。可收到待出科学员，查看学员是否符合出科资格，为学员确认出科。推送时间可自定义。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消息推送</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系统根据时间节点向各个角色发送待完成工作的通知，如：给教学秘书推送待出科学员确认通知，给学员推送评价表填写的通知。推送通知的时间节点可根据用户要求设置。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可通过移动端进行考核表打分，并支持考核现场照片上传。</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工作通知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管理员可通过系统选择接收对象定向推送通知公告，推送对象可在移动端接收。</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本科生管理系统</w:t>
            </w: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实习档案管理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建立实习生档案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系统可建立实习生培训电子档案，全面记录实习生的个人信息。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实习生档案查询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向多个管理角色开放实习生档案的查询。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系统可建立实习生师资档案，记录个人信息、教学资质等信息。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向教师个人、管理员等角色开放师资档案查询。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实习轮转计划管理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轮转计划模板</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（1）系统可按照实习培训要求，建立轮转计划模板。（2）可按周进行轮转安排。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编制轮转计划</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可导入实习生名单、科室名单，利用轮转模板实现轮转计划编制，排班结果达到科室容量平衡。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轮转计划查看</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可为管理员、实习生提供轮转计划查询。查询方式有：按姓名生查询、按科室查询等。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轮转计划调整</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通过拖拽科室的方式迅速调整轮转计划，也可以点击右键选择拆分合并。（2）在同一页面中，可同步查看轮转人员变换信息。（3）系统可用不同的颜色区分轮转的状态。（4）轮转计划调整均由系统日志自动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实习入院教育</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资料维护</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教学管理员可上传、维护入院培训学习资料。</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查阅资料</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实习生入院时，通过待办事项提醒其要查阅入院培训资料内容，阅读后点击确认。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进度查看</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教学管理部可以查看进度情况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培训课程</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教学管理部可以组织发布入院培训课程，学员可扫描签到，讲师上传现场照片。支持按场次导出入院培训报告书。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实习出入科管理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系统根据轮转计划为科室教秘推送待入科实习生名单，教秘为实习生安排本科室的带教老师，完成入科。</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科室本科生名单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科室主任、科室教秘可查询本科室的实习生名单。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出科确认</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科室教秘可通过系统查看待出科的实习生名单，进行出科操作。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可在移动端实现入科管理、科室本科生名单查询。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实习轮转记录</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实习轮转记录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实习生在系统内完成实习轮转记录（可按模板自定义），并经科室秘书/科室主任审核签署意见。</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实习考勤管理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请假申请审核</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实习生可通过系统发起请假申请，内容包括：请假类型、原因、时间等。由管理员等各级管理人员进行审批。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缺勤填报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科室教秘、带教老师为自己管理的实习生填报考勤。可自定义多种考勤类型，且可根据用户要求再增加或减少考勤类型。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缺勤记录查看及修改</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科室教秘和带教老师可以查看及修改自己填报的考勤表。</w:t>
            </w:r>
            <w:r>
              <w:rPr>
                <w:rFonts w:ascii="宋体" w:hAnsi="宋体" w:cs="宋体"/>
                <w:color w:val="000000"/>
                <w:sz w:val="28"/>
                <w:szCs w:val="28"/>
                <w:highlight w:val="none"/>
              </w:rPr>
            </w:r>
            <w:r/>
          </w:p>
        </w:tc>
      </w:tr>
      <w:tr>
        <w:trPr>
          <w:trHeight w:val="29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实习考核管理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考核评分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可通过系统填写实习生的出科考核表单，由上级角色进行审核。可通过系统查询出科考核的各项成绩。</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系统可上传考核现场照片，附于对应的出科考核表。</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可对出科考核进行评分。考核可分为理论考核和技能考核。由科室教学秘书发布考核。理论考核可以导入试卷模板；技能考核可以预设考核评分表。由考官进行统一评分。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自定义考核表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系统将用户的各类考核表单电子化录入系统，供考核打分使用。支持导出打印考核表。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可在移动端实现考核现场打分、审核考核表。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实习全程导师</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可为每一位实习生分配导师。导师可查看学员的轮转、成绩、评价、教学活动等各项培训数据。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生可通过移动端发起沟通，填写时间、地点、培训数据、沟通内容等。提交后可查看导师的反馈状态。导师在沟通列表中可查看实习生提交的反馈信息，对信息进行反馈。导师对于已反馈与未反馈的数据均可以修改或进行退回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实习评价管理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本科生填写评价</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系统可实现实习生填写评价表对带教老师和科室进行评价。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带教老师填写评价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系统可实现带教老师填写评价表对实习生评价。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系统可对评价结果按时间、姓名、科室等条件进行统计，提供查询。</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可在移动端填写评价表，上传评价结果。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实习教学活动管理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发布教学课程</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可通过系统上报教学计划，包括教学活动的名称、开展时间、对应人员等。确认后发布课程安排。可根据参与对象不同将教学活动设置为院级、教研室级、科室级并根据不同级别自动选择参加对象。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课程提醒推送</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系统根据课程表，向对应的讲师及听课实习生发送课程提醒。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课前资料准备</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讲师可通过系统上传课件资料，实习生可下载或查看课件。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本科生可通过系统填写课程评价表，评价课程教学质量。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移动端功能</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可在移动端实现扫描二维码进行上课签到；填写课程评价表。</w:t>
            </w:r>
            <w:r>
              <w:rPr>
                <w:rFonts w:ascii="宋体" w:hAnsi="宋体" w:cs="宋体"/>
                <w:color w:val="000000"/>
                <w:sz w:val="28"/>
                <w:szCs w:val="28"/>
                <w:highlight w:val="none"/>
              </w:rPr>
            </w:r>
            <w:r/>
          </w:p>
        </w:tc>
      </w:tr>
      <w:tr>
        <w:trPr>
          <w:trHeight w:val="72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课后资料上传</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由带教老师和教学秘书在对应的教学活动记录中上传课件、教学活动记录（系统内提供模板）、照片等相关材料。教育培训处可查看所有教学活动执行情况。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实习日常工作统计</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入科报表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统计各个科室入科情况。可按月份查看各科室应入科人数、已入科人数、入科完成度、到科确认。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分配带教报表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可统计各科室的在科人数、已分配带教的本科生人数、未分配带教的实习生人数、已带教的老师数、未带教的老师数、带教分配明细。</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可统计带教老师的月度、年度带教工作量统计。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统计各个科室出科情况。可查看各科室应出科人数、已出科人数、出科完成度、超期人数。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统计各个科室每周的应考核人数、已完成人数、未完成人数、考核完成进度。 汇总所有实习生出科考核中各项考核项目的成绩。</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教学活动报表</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按时间段统计所有教学活动的应参加人数、签到人数、未签到人数，并可查看详细名单。</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按时间段统计所有讲师完成的各类教学活动的数量。</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按时间段统计各个科室完成各各类教学活动的数量。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实习督导管理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学活动督导、选择需要督导的教学活动，设置督导专家。由专家填写督导评分表，管理员可查看督导评分结果。督导专家可根据全院教学活动的课程信息，针对具体课程，自行发起教学活动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出科考核督导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教学管理员可通过系统发起出科考核督导、选择需要督导的科室、时间、设置督导专家。由专家填写督导评分表，管理员可查看督导评分结果。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教学管理员可通过系统发起教研室管理督导、选择需要督导的专业基地、时间、设置督导专家。由专家填写督导评分表，管理员可查看督导评分结果。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科室管理督导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教学管理员可通过系统发起科室管理督导、选择需要督导的科室、时间、设置督导专家。由专家填写督导评分表，管理员可查看督导评分结果。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督导反馈、整改</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科室主任/教秘，可浏览督导专家针对本科室督查评分的结果、填写督导整改表，教学管理员/督导专家可浏览反馈信息。</w:t>
            </w:r>
            <w:r>
              <w:rPr>
                <w:rFonts w:ascii="宋体" w:hAnsi="宋体" w:cs="宋体"/>
                <w:color w:val="000000"/>
                <w:sz w:val="28"/>
                <w:szCs w:val="28"/>
                <w:highlight w:val="none"/>
              </w:rPr>
            </w:r>
            <w:r/>
          </w:p>
        </w:tc>
      </w:tr>
      <w:tr>
        <w:trPr>
          <w:trHeight w:val="841"/>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见习档案管理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见习生档案创建</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见习生档案，档案内容包含见习生个人基本信息；理论学习阶段的科目完成情况，可对应看到课程表，有相应课程上课时间及授课教师信息；出勤情况;学分获取情况;是否重修、免考信息；教师评价；自我评价。</w:t>
            </w:r>
            <w:r>
              <w:rPr>
                <w:rFonts w:ascii="宋体" w:hAnsi="宋体" w:cs="宋体"/>
                <w:color w:val="000000"/>
                <w:sz w:val="28"/>
                <w:szCs w:val="28"/>
                <w:highlight w:val="none"/>
              </w:rPr>
            </w:r>
            <w:r/>
          </w:p>
        </w:tc>
      </w:tr>
      <w:tr>
        <w:trPr>
          <w:trHeight w:val="1089"/>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见习生档案查询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可按姓名、学校等条件查询见习生档案；向多个管理角色开放查询。</w:t>
            </w:r>
            <w:r>
              <w:rPr>
                <w:rFonts w:ascii="宋体" w:hAnsi="宋体" w:cs="宋体"/>
                <w:color w:val="000000"/>
                <w:sz w:val="28"/>
                <w:szCs w:val="28"/>
                <w:highlight w:val="none"/>
              </w:rPr>
            </w:r>
            <w:r/>
          </w:p>
        </w:tc>
      </w:tr>
      <w:tr>
        <w:trPr>
          <w:trHeight w:val="1453"/>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系统可建立见习生理论教学、见习带教独立师资档案，记录个人信息、担任角色、教学经历、获得的教学成果、参加的教学活动等。</w:t>
            </w:r>
            <w:r>
              <w:rPr>
                <w:rFonts w:ascii="宋体" w:hAnsi="宋体" w:cs="宋体"/>
                <w:color w:val="000000"/>
                <w:sz w:val="28"/>
                <w:szCs w:val="28"/>
                <w:highlight w:val="none"/>
              </w:rPr>
            </w:r>
            <w:r/>
          </w:p>
        </w:tc>
      </w:tr>
      <w:tr>
        <w:trPr>
          <w:trHeight w:val="726"/>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向教师个人、管理员等角色开放师资档案，可根据姓名、工号、职称、师资类型、状态筛选需要查询的师资人员。</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见习班级管理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创建班级</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教学管理员可创建班级，将新入院的本科生分配到班级中。驻点班和仅来院见习班级可分类管理。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班主任设置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可为每个班级设置班主任、助教、教师，并设置权限。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见习教学大纲管理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导入大纲</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导入各医学院校大纲，内容包括各专业学科的具体课程、学时、学分等。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大纲查询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见习生、教研室、授课老师可查询各医学院校的教学大纲。</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校历管理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创建、导入校历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可创建、导入各个医学院校的校历。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设置节假日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可自动设置法定节假日。并可手动调整。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导出校历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可导出各个医学院校的校历。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设置自定义节日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可手动设置自定义节日,活动,例如：运动会等。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排课计划</w:t>
            </w:r>
            <w:r>
              <w:rPr>
                <w:rFonts w:hint="eastAsia"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▲排课日历</w:t>
            </w:r>
            <w:r>
              <w:rPr>
                <w:rFonts w:hint="eastAsia" w:ascii="宋体" w:hAnsi="宋体" w:cs="宋体"/>
                <w:bCs/>
                <w:color w:val="000000"/>
                <w:sz w:val="28"/>
                <w:szCs w:val="28"/>
                <w:highlight w:val="none"/>
              </w:rPr>
              <w:t xml:space="preserve">（提供功能截图证明）</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t xml:space="preserve">（1）创建排课任务计划，填写名称、周次、学年、学期、班级信息。选择已经创建的教学大纲和校历。</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ascii="宋体" w:hAnsi="宋体" w:cs="宋体"/>
                <w:color w:val="000000"/>
                <w:sz w:val="28"/>
                <w:szCs w:val="28"/>
                <w:highlight w:val="none"/>
              </w:rPr>
              <w:t xml:space="preserve">（2）系统提供日历形式的排课界面。日历表显示日期、课程周次、课程节次。在同一界面显示所有课程的名称以及对应的学时数。不同的课程名称用不同颜色标识。</w:t>
            </w:r>
            <w:r>
              <w:rPr>
                <w:rFonts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ascii="宋体" w:hAnsi="宋体" w:cs="宋体"/>
                <w:color w:val="000000"/>
                <w:sz w:val="28"/>
                <w:szCs w:val="28"/>
                <w:highlight w:val="none"/>
              </w:rPr>
              <w:t xml:space="preserve">（3）可在日历上点击操作安排课程的具体日期、周次、节次。在日历表上安排课程后，同一页面的课程学时剩余数量同步变化。</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理论排课</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根据课程表、结合校历自动生成教学日历里的日期、星期几、周次、节次；可选择排课在第几周、第几节次、星期几、课程类别，形成教学日历及课程表。理论课排课优先时间段设置，可以对课程重复和老师时间冲突进行快速查找，对重复数据进行批量删除操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见习排课</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见习可分组设置，可自定义每科室同时上课组数，可以对见习教室和带教老师冲突进行快速查找，可以对重复数据进行批量删除操作。可对见习课开始时间和见习排课优先时间段进行设置。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课程调整</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管理部门可对已安排的课程进行调整。</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教学日历导入、导出</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管理部门可导入、导出教学日历；教研室、教师可导出教学日历。</w:t>
            </w:r>
            <w:r>
              <w:rPr>
                <w:rFonts w:ascii="宋体" w:hAnsi="宋体" w:cs="宋体"/>
                <w:color w:val="000000"/>
                <w:sz w:val="28"/>
                <w:szCs w:val="28"/>
                <w:highlight w:val="none"/>
              </w:rPr>
            </w:r>
            <w:r/>
          </w:p>
        </w:tc>
      </w:tr>
      <w:tr>
        <w:trPr>
          <w:trHeight w:val="230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教研室排课</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安排授课老师</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教研室管理员可为已排课程安排授课老师，可从见习师资列表里选择。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授课老师调整</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教研室管理员可对已安排的授课老师、带教老师进行调课申请，报管理部门审核。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课程查找</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教学管理员、教研室管理员、老师通过输入老师名字、时间，可以自动生成所授课程汇总。</w:t>
            </w:r>
            <w:r>
              <w:rPr>
                <w:rFonts w:ascii="宋体" w:hAnsi="宋体" w:cs="宋体"/>
                <w:color w:val="000000"/>
                <w:sz w:val="28"/>
                <w:szCs w:val="28"/>
                <w:highlight w:val="none"/>
              </w:rPr>
            </w:r>
            <w:r/>
          </w:p>
        </w:tc>
      </w:tr>
      <w:tr>
        <w:trPr>
          <w:trHeight w:val="232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课程通知签到</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课程通知</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系统自动根据上课时间给对应的教师发送上课通知，老师师收到信息后进行确认，方便管理部门统计。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课程签到、签退</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教学管理员/上课老师/班主任可在自己的电脑端或移动端展示签到、 签退动态二维码，学生可使用移动端扫码进行签到、签退。教学管理员/上课老师/班主任可对学生进行手动签到、签退。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签到记录查询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教学管理员、班主任、教研室管理员可查看所有签到记录。</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对老师评价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本科生、教研室、管理部门可通过系统填写评价表对理论课及见习带教老师进行评价；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对见习生评价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授课老师、教研室、班主任可对见习生平时表现进行打分评价。可导入评价表。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评价结果汇总</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系统自动汇总评价结果，形成评价报表。</w:t>
            </w:r>
            <w:r>
              <w:rPr>
                <w:rFonts w:ascii="宋体" w:hAnsi="宋体" w:cs="宋体"/>
                <w:color w:val="000000"/>
                <w:sz w:val="28"/>
                <w:szCs w:val="28"/>
                <w:highlight w:val="none"/>
              </w:rPr>
            </w:r>
            <w:r/>
          </w:p>
        </w:tc>
      </w:tr>
      <w:tr>
        <w:trPr>
          <w:trHeight w:val="344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成绩管理</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各教研室可通过系统导入本科生的各项考核成绩，根据各部分权重计算平时分， 可通过时间、学员姓名、考核名称等条筛选查询成绩；自动生成成绩分析。教研室及教学管理部门进行审核。</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见习生导师</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导师设置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可为每一位见习生分配导师。导师可查看学生成绩、课程、评价等数据。</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发起沟通</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可通过移动端发起沟通，填写时间、地点、沟通内容等。提交后学员可查看导师的反馈状态，状态分为“未反馈”、“已退回”、“已反馈”三种。导师在沟通列表中可查看见习生提交的反馈信息，对信息进行反馈。导师对于已反馈与未反馈的数据均可以修改或进行退回操作。</w:t>
            </w:r>
            <w:r>
              <w:rPr>
                <w:rFonts w:ascii="宋体" w:hAnsi="宋体" w:cs="宋体"/>
                <w:color w:val="000000"/>
                <w:sz w:val="28"/>
                <w:szCs w:val="28"/>
                <w:highlight w:val="none"/>
              </w:rPr>
            </w:r>
            <w:r/>
          </w:p>
        </w:tc>
      </w:tr>
      <w:tr>
        <w:trPr>
          <w:trHeight w:val="146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教研室教学活动</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发布教研室教学活动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可通过系统上报教研室活动计划，包括教研室活动的名称、时间、参加人员、活动记录等。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rHeight w:val="290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督导活动发起</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理论课、见习课督导，选择需要督导的课程、时间、设置督导专家，系统将推送相关信息到督导老师手机端，提醒督导专家按照活动安排进行督导；督导专家可根据全院教学课程信息，针对具体课程，自行发起教学活动督导。支持对已选教学活动进行标志，避免督导重复。由专家填写督导评分表，管理员可查看督导评分结果。 </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教学管理员、教研室管理员、授课老师可浏览自己权限范围内课程督查结果。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督导整改</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由教研室管理员填写督导整改表，教学管理员/督导专家可浏览整改信息。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教学管理员可统计不同督导专家督导的次数、评分；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见习生考勤管理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请假申请审核</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见习生可通过系统发起请假申请，内容包括：请假类型、原因、时间、课程等。由班主任等各级管理人员进行审批。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缺勤填报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教学管理员、班主任为自己管理的见习生填报考勤。授课老师对所授课程进行学生考勤。可自定义多种考勤类型，且可根据用户要求再增加或减少考勤类型。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缺勤记录查看及修改</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教学管理员、班主任、授课老师可以查看及修改自己填报的考勤表。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自动累计见习生缺勤、请假总课时</w:t>
            </w:r>
            <w:r>
              <w:rPr>
                <w:rFonts w:ascii="宋体" w:hAnsi="宋体" w:cs="宋体"/>
                <w:color w:val="000000"/>
                <w:sz w:val="28"/>
                <w:szCs w:val="28"/>
                <w:highlight w:val="none"/>
              </w:rPr>
            </w:r>
            <w:r/>
          </w:p>
        </w:tc>
      </w:tr>
      <w:tr>
        <w:trPr>
          <w:trHeight w:val="620"/>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2196" w:type="dxa"/>
            <w:vAlign w:val="center"/>
            <w:textDirection w:val="lrTb"/>
            <w:noWrap w:val="false"/>
          </w:tcPr>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标准系数值可以调整。绩效数据支持导入及系统提取等生成方式。可配置纳入绩效计算的数据类型，如师资的类别、教学职称、授课类型、授课课时等。可配置每一项纳入绩效计算的数据在最终的绩效计算结果中的权重。系统根据绩效计算公式自动获取相关数据进行计算。也可通过系统填报绩效计算所需的相关据。</w:t>
            </w:r>
            <w:r>
              <w:rPr>
                <w:rFonts w:ascii="宋体" w:hAnsi="宋体" w:cs="宋体"/>
                <w:color w:val="000000"/>
                <w:sz w:val="28"/>
                <w:szCs w:val="28"/>
                <w:highlight w:val="none"/>
              </w:rPr>
            </w:r>
            <w:r/>
          </w:p>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绩效上报确认可设置系统内角色，且支持多个角色逐级上报，最终上报给教学管理部门。</w:t>
            </w:r>
            <w:r>
              <w:rPr>
                <w:rFonts w:ascii="宋体" w:hAnsi="宋体" w:cs="宋体"/>
                <w:color w:val="000000"/>
                <w:sz w:val="28"/>
                <w:szCs w:val="28"/>
                <w:highlight w:val="none"/>
              </w:rPr>
            </w:r>
            <w:r/>
          </w:p>
          <w:p>
            <w:pPr>
              <w:pStyle w:val="963"/>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根据绩效费发放规则，系统自动生成绩效明细报表，可展示绩效计算结果，可回溯得出绩效结果的相关数据。系统可根据绩效计算结果生成人员绩效津贴发放明细。</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进修生管理系统</w:t>
            </w: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进修培训招录</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登录和首页</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（1）用户注册、登录和退出。（2）用户通过邮箱邮件或手机验证码等两种方式找回密码。（3）浏览招生一览表。（4）查看个人报名申请进度。（5）接收通知消息。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进修培训申请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发布进修培训报名指南、准入条件、所需材料。（2）申请流程可视化，精确定位申请所在环节。（3）依据申请流程，按步骤完成进修培训报名申请各项工作：填写个人基本信息、经历信息、单位同意证明、上传证书、提交进修培训申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申请审核及录取</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查看申请列表，批量审核、批量作废、批量发送通知书。（2）查看申请信息、申请材料信息及报到材料信息。（3）教育培训、对外合作处、科室等部门依次审核。（4）发布进修录取通知至注册用户及邮箱。（5）进修申请人可查看报到流程、打印报到材料（6）作废超期未报到的进修培训申请，发送未按期报到通知邮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进修培训计划管理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招生计划管理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（1）可发布进修培训招生计划。（2）对招生计划进行新建、修改、删除、批量删除。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科室负责人/教秘管理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（1）可对科室负责人/教秘进行维护，进行新建、修改、删除、批量删除、导入及导出操作。（3）进修生报到入科、终止或延期、补学申请、结业考核等相关信息发送至教秘/科室负责人。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进修生日常管理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建立进修培训人员档案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查看、修改信息；对在职研究生身份的进修生，信息里增加“同等学历硕士研究生”标签，增加过程管理标签，论文、课题、大会发言、开题、中期、预答辩；增加“学员类型”标签，可选项包括进修生、培训学员、执业医师重新注册学员、变更执业范围培训学员等。各个标签与系统各模块数据互相关联，相关的信息自动汇总到档案中的对应标签。（2）分配进修培训轮转计划。（3）导出进修培训基本信息、胸卡信息、导出照片、导出工服信息。（4）过程管理，包括：结业管理、批量结业、延期、取消延期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出入科管理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入科教育管理员可设置入科教育栏目分类，各科室可根据栏目类别分别上传对应的入科教育学习资料。各科室的进修培训人员可查看当前轮转科室的入科教育学习资料，并通过系统确认完成入科教育资料的学习。管理员可查看完成情况。各科室可以组织发布入科教育，学员签到，上传现场照片，并支持按场次导出入科教育报告书。（2）入科管理系统根据轮转计划为科室教秘推送待入科进修培训人员名单，教秘为进修培训人员安排本科室的</w:t>
            </w:r>
            <w:r>
              <w:rPr>
                <w:rFonts w:hint="eastAsia" w:ascii="宋体" w:hAnsi="宋体" w:cs="宋体"/>
                <w:color w:val="000000"/>
                <w:sz w:val="28"/>
                <w:szCs w:val="28"/>
                <w:highlight w:val="none"/>
              </w:rPr>
              <w:t xml:space="preserve">带教老师，完成入科。带教老师可确认进修培训人员已报到。（3）科室负责人、科室教秘可查询本科室的进修培训人员名单、信息。（4）结业：科室教秘可通过系统查看当月结业的进修培训人员名单，审核其进修培训鉴定表、结业考核证明材料，科室秘书审核通过后提交科室负责人审核，科室负责人提交教育培训处审核。学员类型为“执业医师重新注册学员”或“变更执业范围培训学员”还需由科室负责人提交大科主任审核，经大科主任审核通过后提交教育培训处审核。进修培训人员可查看结业审核情况。审核通过后系统内生成进修结业证书/培训证明，可导出/打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进修过程总览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（1）总览个人进修过程中各个关键节点的详情信息。（2）实时掌握全部进修生的进修状态和异常信息。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终止与延期管理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（1）下载进修延期申请表、下载提前终止进修申请表。（2）上传进修延期申请表、上传提前终止进修申请表。（3）审批申请信息、查看信息。（4）调整进修生状态。</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补学申请审核</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对进修期间因故未能返院完成进修的进修生，可申请补学。（2）注明延期时间段，补学时间段，上传必要补学申请纸质盖章材料。（3）提交后，查看申请明细，进行补学申请的审核，等待管理员审核后，可见审核结果。（4）管理员总览补学申请记录。（5）利用所需条件，对补学申请进行检索和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（1）进修生生源统计报表。（2）进修生优秀学员统计报表。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进修评价管理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（1）对评价结果进行统计。（2）查看评价完成进度和评价表结果。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结果分析</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5"/>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对评价结果按项目分析。</w:t>
            </w:r>
            <w:r>
              <w:rPr>
                <w:rFonts w:ascii="宋体" w:hAnsi="宋体" w:cs="宋体"/>
                <w:color w:val="000000"/>
                <w:sz w:val="28"/>
                <w:szCs w:val="28"/>
                <w:highlight w:val="none"/>
              </w:rPr>
            </w:r>
            <w:r/>
          </w:p>
          <w:p>
            <w:pPr>
              <w:pStyle w:val="963"/>
              <w:numPr>
                <w:ilvl w:val="0"/>
                <w:numId w:val="15"/>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可按照轮转科室、病房等不同评价层级，灵活指定统计维度，实现评价结果汇总分析。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教学督导</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督导权限设置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管理员可以为用户设置督导专家权限。</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教学活动督导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教学活动督导、选择需要督导的教学活动，设置督导专家。由专家填写督导评分表，管理员可查看督导评分结果。督导专家可根据全院教学活动的课程信息，针对具体教学活动，自行发起教学活动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进修生督导</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教学管理员可通过系统发起进修生督导，选择需要督导的课程、时间、设置督导专家。由专家填写督导评分表，管理员可查看督导评分结果。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科室主任/教秘/带教老师，可浏览督导专家针对课程督查评分的结果， 进行相应的反馈。由科室主任/教秘填写督导反馈表，教学管理员/督导专家可浏览反馈信息。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请假管理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（1）根据请假天数不同审批流程。（2）请假申请、销假申请、查看申请，上传、下载、查看附件。（3）请假信息汇总统计。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考勤填报</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科室教秘、带教老师为自己管理的进修医师填报考勤。可自定义多种考勤类型，且可根据用户要求再增加或减少考勤类型。</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考勤表查看及修改（管理人员）</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科室教秘和带教老师可以查看及修改自己填报的考勤表。（2）科室教秘等管理人员可在考勤管理菜单中以日历或列表形式直观查看相应权限范围内学员考勤及请假情况。（3）支持以EXCEL格式导出科室当月考勤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考勤表查看（学员）</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学员可在移动端以日历或列表形式直观查看自己的班次及请假信息，点击请假信息可进入详情页面查看。</w:t>
            </w:r>
            <w:r>
              <w:rPr>
                <w:rFonts w:ascii="宋体" w:hAnsi="宋体" w:cs="宋体"/>
                <w:color w:val="000000"/>
                <w:sz w:val="28"/>
                <w:szCs w:val="28"/>
                <w:highlight w:val="none"/>
              </w:rPr>
            </w:r>
            <w:r/>
          </w:p>
        </w:tc>
      </w:tr>
      <w:tr>
        <w:trPr>
          <w:trHeight w:val="3268"/>
        </w:trPr>
        <w:tc>
          <w:tcPr>
            <w:tcW w:w="916" w:type="dxa"/>
            <w:vAlign w:val="center"/>
            <w:vMerge w:val="restart"/>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模拟教学中心教学管理平台</w:t>
            </w:r>
            <w:r>
              <w:rPr>
                <w:rFonts w:hint="eastAsia" w:ascii="宋体" w:hAnsi="宋体" w:cs="宋体"/>
                <w:color w:val="000000"/>
                <w:sz w:val="28"/>
                <w:szCs w:val="28"/>
                <w:highlight w:val="none"/>
              </w:rPr>
            </w:r>
            <w:r/>
          </w:p>
        </w:tc>
        <w:tc>
          <w:tcPr>
            <w:tcW w:w="940" w:type="dxa"/>
            <w:vAlign w:val="center"/>
            <w:vMerge w:val="restart"/>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课程基础设置</w:t>
            </w:r>
            <w:r>
              <w:rPr>
                <w:rFonts w:hint="eastAsia"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课程内容设置</w:t>
            </w:r>
            <w:r>
              <w:rPr>
                <w:rFonts w:hint="eastAsia" w:ascii="宋体" w:hAnsi="宋体" w:cs="宋体"/>
                <w:color w:val="000000"/>
                <w:sz w:val="28"/>
                <w:szCs w:val="28"/>
                <w:highlight w:val="none"/>
              </w:rPr>
            </w:r>
            <w:r/>
          </w:p>
        </w:tc>
        <w:tc>
          <w:tcPr>
            <w:tcW w:w="2196" w:type="dxa"/>
            <w:vAlign w:val="center"/>
            <w:textDirection w:val="lrTb"/>
            <w:noWrap w:val="false"/>
          </w:tcPr>
          <w:p>
            <w:pPr>
              <w:pStyle w:val="963"/>
              <w:numPr>
                <w:ilvl w:val="0"/>
                <w:numId w:val="16"/>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按照不同的技能课程类型，创建课程模板。</w:t>
            </w:r>
            <w:r>
              <w:rPr>
                <w:rFonts w:ascii="宋体" w:hAnsi="宋体" w:cs="宋体"/>
                <w:color w:val="000000"/>
                <w:sz w:val="28"/>
                <w:szCs w:val="28"/>
                <w:highlight w:val="none"/>
              </w:rPr>
            </w:r>
            <w:r/>
          </w:p>
          <w:p>
            <w:pPr>
              <w:pStyle w:val="963"/>
              <w:numPr>
                <w:ilvl w:val="0"/>
                <w:numId w:val="16"/>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在课程模板中维护好课程的项目内容、课程时长、讲师小组、学员容量、所需的设备、模具、耗材等每节课的相关信息。</w:t>
            </w:r>
            <w:r>
              <w:rPr>
                <w:rFonts w:ascii="宋体" w:hAnsi="宋体" w:cs="宋体"/>
                <w:color w:val="000000"/>
                <w:sz w:val="28"/>
                <w:szCs w:val="28"/>
                <w:highlight w:val="none"/>
              </w:rPr>
            </w:r>
            <w:r/>
          </w:p>
          <w:p>
            <w:pPr>
              <w:pStyle w:val="963"/>
              <w:numPr>
                <w:ilvl w:val="0"/>
                <w:numId w:val="16"/>
              </w:numP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课程模板将作为制定课程计划的基础信息，复用到每年的课程计划编制中。</w:t>
            </w:r>
            <w:r>
              <w:rPr>
                <w:rFonts w:hint="eastAsia"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讲师分组设置</w:t>
            </w:r>
            <w:r>
              <w:rPr>
                <w:rFonts w:ascii="宋体" w:hAnsi="宋体" w:cs="宋体"/>
                <w:color w:val="000000"/>
                <w:sz w:val="28"/>
                <w:szCs w:val="28"/>
                <w:highlight w:val="none"/>
              </w:rPr>
            </w:r>
            <w:r/>
          </w:p>
        </w:tc>
        <w:tc>
          <w:tcPr>
            <w:tcW w:w="2196" w:type="dxa"/>
            <w:vAlign w:val="center"/>
            <w:textDirection w:val="lrTb"/>
            <w:noWrap w:val="false"/>
          </w:tcPr>
          <w:p>
            <w:pPr>
              <w:pStyle w:val="963"/>
              <w:numPr>
                <w:ilvl w:val="0"/>
                <w:numId w:val="1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结合技能中心的课程类型，建立与之对应的讲师组，分别承担各类课程。</w:t>
            </w:r>
            <w:r>
              <w:rPr>
                <w:rFonts w:ascii="宋体" w:hAnsi="宋体" w:cs="宋体"/>
                <w:color w:val="000000"/>
                <w:sz w:val="28"/>
                <w:szCs w:val="28"/>
                <w:highlight w:val="none"/>
              </w:rPr>
            </w:r>
            <w:r/>
          </w:p>
          <w:p>
            <w:pPr>
              <w:pStyle w:val="963"/>
              <w:numPr>
                <w:ilvl w:val="0"/>
                <w:numId w:val="1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将讲师同他能胜任的具体课程，建立关联，以便于在编制课程计划时，利用规则安排每一节的讲师。</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学员名单设置</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利用学员名单，批量导入学员，作为授课对象。</w:t>
            </w:r>
            <w:r>
              <w:rPr>
                <w:rFonts w:ascii="宋体" w:hAnsi="宋体" w:cs="宋体"/>
                <w:color w:val="000000"/>
                <w:sz w:val="28"/>
                <w:szCs w:val="28"/>
                <w:highlight w:val="none"/>
                <w:lang w:val="en-US" w:eastAsia="zh-CN"/>
              </w:rPr>
            </w:r>
            <w:r/>
          </w:p>
          <w:p>
            <w:pPr>
              <w:pStyle w:val="1056"/>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标识好学员的届次、专业、年制等，以便于为处在不同培训阶段的学员们，推送与之相关的学习课程。</w:t>
            </w:r>
            <w:r>
              <w:rPr>
                <w:rFonts w:ascii="宋体" w:hAnsi="宋体" w:cs="宋体"/>
                <w:color w:val="000000"/>
                <w:sz w:val="28"/>
                <w:szCs w:val="28"/>
                <w:highlight w:val="none"/>
                <w:lang w:val="en-US" w:eastAsia="zh-CN"/>
              </w:rPr>
            </w:r>
            <w:r/>
          </w:p>
          <w:p>
            <w:pPr>
              <w:pStyle w:val="1056"/>
              <w:numPr>
                <w:ilvl w:val="0"/>
                <w:numId w:val="18"/>
              </w:numPr>
              <w:ind w:left="116"/>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可对学员名单中学员，进行灵活维护。</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教学内容</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配置技能目录，设置技能目录的课程依赖、课程依赖关系、学员签到规则、课程建立规则、讲师范围等信息。</w:t>
            </w:r>
            <w:r>
              <w:rPr>
                <w:rFonts w:ascii="宋体" w:hAnsi="宋体" w:cs="宋体"/>
                <w:color w:val="000000"/>
                <w:sz w:val="28"/>
                <w:szCs w:val="28"/>
                <w:highlight w:val="none"/>
                <w:lang w:val="en-US" w:eastAsia="zh-CN"/>
              </w:rPr>
            </w:r>
            <w:r/>
          </w:p>
          <w:p>
            <w:pPr>
              <w:pStyle w:val="1056"/>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维护技能信息，包括技能名称、技能类型、课程类别、学时、讲师、所需设备、所需耗材，课件等相关信息。</w:t>
            </w:r>
            <w:r>
              <w:rPr>
                <w:rFonts w:ascii="宋体" w:hAnsi="宋体" w:cs="宋体"/>
                <w:color w:val="000000"/>
                <w:sz w:val="28"/>
                <w:szCs w:val="28"/>
                <w:highlight w:val="none"/>
                <w:lang w:val="en-US" w:eastAsia="zh-CN"/>
              </w:rPr>
            </w:r>
            <w:r/>
          </w:p>
          <w:p>
            <w:pPr>
              <w:pStyle w:val="1056"/>
              <w:numPr>
                <w:ilvl w:val="0"/>
                <w:numId w:val="1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教学内容配置将作为制定教学计划的基础信息，可复用。</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培训室设置</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管理员提前设置好训练项目、培训房间、操作项目、开放时间、设备等基础信息。</w:t>
            </w:r>
            <w:r>
              <w:rPr>
                <w:rFonts w:ascii="宋体" w:hAnsi="宋体" w:cs="宋体"/>
                <w:color w:val="000000"/>
                <w:sz w:val="28"/>
                <w:szCs w:val="28"/>
                <w:highlight w:val="none"/>
                <w:lang w:val="en-US" w:eastAsia="zh-CN"/>
              </w:rPr>
            </w:r>
            <w:r/>
          </w:p>
          <w:p>
            <w:pPr>
              <w:pStyle w:val="1056"/>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支持配置审核、签到、签退、预约，设置可预约人员范围、可预约人员总数、签到签退时间。</w:t>
            </w:r>
            <w:r>
              <w:rPr>
                <w:rFonts w:ascii="宋体" w:hAnsi="宋体" w:cs="宋体"/>
                <w:color w:val="000000"/>
                <w:sz w:val="28"/>
                <w:szCs w:val="28"/>
                <w:highlight w:val="none"/>
                <w:lang w:val="en-US" w:eastAsia="zh-CN"/>
              </w:rPr>
            </w:r>
            <w:r/>
          </w:p>
          <w:p>
            <w:pPr>
              <w:pStyle w:val="1056"/>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一个学员可以报名相同训练项目下的多个时间段，如果开启了审核，则需要管理审核通过后生成到课程名单中。</w:t>
            </w:r>
            <w:r>
              <w:rPr>
                <w:rFonts w:ascii="宋体" w:hAnsi="宋体" w:cs="宋体"/>
                <w:color w:val="000000"/>
                <w:sz w:val="28"/>
                <w:szCs w:val="28"/>
                <w:highlight w:val="none"/>
                <w:lang w:val="en-US" w:eastAsia="zh-CN"/>
              </w:rPr>
            </w:r>
            <w:r/>
          </w:p>
          <w:p>
            <w:pPr>
              <w:pStyle w:val="1056"/>
              <w:numPr>
                <w:ilvl w:val="0"/>
                <w:numId w:val="20"/>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支持查看每个时间段内的报名情况和签到签退情况。</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▲培训计划</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（1）课程基础信息：可填写课程名称、选择课程类型、选择课程用途、在预设的技能操作列表中选择课程对应的操作，选择培训对象类型。</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（2）讲师设置：</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支持开启讲师报名，指定可报名的讲师范围，设置报名人数限制，报名开始和结束时间。</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支持指定课程讲师。</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支持开启讲师签到、签退。</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（3）授课对象设置：</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可设置开启授课对象报名，支持指定可报名的授课对象范围，授课对象分为学员和师资人员两类。设置报名人数限制，报名开始和结束时间。</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支持指定授课对象。</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可开启授课对象签到、签退。可开启是否允许名单外的人员签到。</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（4）评价设置：支持设置是否开启课后评价功能，支持按不同评价项目独立设置使用不同的评分表。</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（5）考核设置：支持设置是否开启课后考核功能，支持按课程教学内容设置考核评分表，然后设置考官角色供打分使用。</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（6）课程分类：课程类型可分为普通课程和系列课程。</w:t>
            </w:r>
            <w:r>
              <w:rPr>
                <w:rFonts w:hint="eastAsia"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课程表管理</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管理员对课程计划的预约进程，进行跟踪。</w:t>
            </w:r>
            <w:r>
              <w:rPr>
                <w:rFonts w:ascii="宋体" w:hAnsi="宋体" w:cs="宋体"/>
                <w:color w:val="000000"/>
                <w:sz w:val="28"/>
                <w:szCs w:val="28"/>
                <w:highlight w:val="none"/>
                <w:lang w:val="en-US" w:eastAsia="zh-CN"/>
              </w:rPr>
            </w:r>
            <w:r/>
          </w:p>
          <w:p>
            <w:pPr>
              <w:pStyle w:val="1056"/>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当课程计划的预约完成率到达100%时，即可对该课程计划，创建并发布课程表。</w:t>
            </w:r>
            <w:r>
              <w:rPr>
                <w:rFonts w:ascii="宋体" w:hAnsi="宋体" w:cs="宋体"/>
                <w:color w:val="000000"/>
                <w:sz w:val="28"/>
                <w:szCs w:val="28"/>
                <w:highlight w:val="none"/>
                <w:lang w:val="en-US" w:eastAsia="zh-CN"/>
              </w:rPr>
            </w:r>
            <w:r/>
          </w:p>
          <w:p>
            <w:pPr>
              <w:pStyle w:val="1056"/>
              <w:numPr>
                <w:ilvl w:val="0"/>
                <w:numId w:val="21"/>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课程表发布后，向课程所涉及到的诸位讲师、学员，发送课程通知公告。</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个人课程查询</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查看和自己相关的课程计划。</w:t>
            </w:r>
            <w:r>
              <w:rPr>
                <w:rFonts w:ascii="宋体" w:hAnsi="宋体" w:cs="宋体"/>
                <w:color w:val="000000"/>
                <w:sz w:val="28"/>
                <w:szCs w:val="28"/>
                <w:highlight w:val="none"/>
                <w:lang w:val="en-US" w:eastAsia="zh-CN"/>
              </w:rPr>
            </w:r>
            <w:r/>
          </w:p>
          <w:p>
            <w:pPr>
              <w:pStyle w:val="1056"/>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在课程计划中，可以进而完成查看详细，课程预约等对课程计划的个人操作。</w:t>
            </w:r>
            <w:r>
              <w:rPr>
                <w:rFonts w:ascii="宋体" w:hAnsi="宋体" w:cs="宋体"/>
                <w:color w:val="000000"/>
                <w:sz w:val="28"/>
                <w:szCs w:val="28"/>
                <w:highlight w:val="none"/>
                <w:lang w:val="en-US" w:eastAsia="zh-CN"/>
              </w:rPr>
            </w:r>
            <w:r/>
          </w:p>
          <w:p>
            <w:pPr>
              <w:pStyle w:val="1056"/>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可分别对正在进行的课程，和已经完成的课程，进行课程表查阅。</w:t>
            </w:r>
            <w:r>
              <w:rPr>
                <w:rFonts w:ascii="宋体" w:hAnsi="宋体" w:cs="宋体"/>
                <w:color w:val="000000"/>
                <w:sz w:val="28"/>
                <w:szCs w:val="28"/>
                <w:highlight w:val="none"/>
                <w:lang w:val="en-US" w:eastAsia="zh-CN"/>
              </w:rPr>
            </w:r>
            <w:r/>
          </w:p>
          <w:p>
            <w:pPr>
              <w:pStyle w:val="1056"/>
              <w:numPr>
                <w:ilvl w:val="0"/>
                <w:numId w:val="22"/>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并结合课程的进展，可以获取课程的课件，以及申请该节课的调课申请。</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课程预约</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3"/>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对技能中心发布的培训课程计划，进行预约。</w:t>
            </w:r>
            <w:r>
              <w:rPr>
                <w:rFonts w:ascii="宋体" w:hAnsi="宋体" w:cs="宋体"/>
                <w:color w:val="000000"/>
                <w:sz w:val="28"/>
                <w:szCs w:val="28"/>
                <w:highlight w:val="none"/>
                <w:lang w:val="en-US" w:eastAsia="zh-CN"/>
              </w:rPr>
            </w:r>
            <w:r/>
          </w:p>
          <w:p>
            <w:pPr>
              <w:pStyle w:val="1056"/>
              <w:numPr>
                <w:ilvl w:val="0"/>
                <w:numId w:val="23"/>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课程预约，采取“先到先得”的方式。预约已满时，只能选择本节课的其他场次再次预约。</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自主预约</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学员可以进行个人或多人练习的预约，提交申请后由实训中心管理员进行审核，审核通过需要分配练习所使用的教室。</w:t>
            </w:r>
            <w:r>
              <w:rPr>
                <w:rFonts w:ascii="宋体" w:hAnsi="宋体" w:cs="宋体"/>
                <w:color w:val="000000"/>
                <w:sz w:val="28"/>
                <w:szCs w:val="28"/>
                <w:highlight w:val="none"/>
                <w:lang w:val="en-US" w:eastAsia="zh-CN"/>
              </w:rPr>
            </w:r>
            <w:r/>
          </w:p>
          <w:p>
            <w:pPr>
              <w:pStyle w:val="1056"/>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讲师可以针对培训或考核进行预约，提交申请后同样由实训中心管理员审核，审核通过需要分配所使用的教室。</w:t>
            </w:r>
            <w:r>
              <w:rPr>
                <w:rFonts w:ascii="宋体" w:hAnsi="宋体" w:cs="宋体"/>
                <w:color w:val="000000"/>
                <w:sz w:val="28"/>
                <w:szCs w:val="28"/>
                <w:highlight w:val="none"/>
                <w:lang w:val="en-US" w:eastAsia="zh-CN"/>
              </w:rPr>
            </w:r>
            <w:r/>
          </w:p>
          <w:p>
            <w:pPr>
              <w:pStyle w:val="1056"/>
              <w:numPr>
                <w:ilvl w:val="0"/>
                <w:numId w:val="24"/>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提交审核将以移动端消息形式通知实训中心管理员审核。</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练习预约</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学员如果在培训室设置的报名范围内，可以选择对应的练习项目、培训室、开放时间进行预约</w:t>
            </w:r>
            <w:r>
              <w:rPr>
                <w:rFonts w:ascii="宋体" w:hAnsi="宋体" w:cs="宋体"/>
                <w:color w:val="000000"/>
                <w:sz w:val="28"/>
                <w:szCs w:val="28"/>
                <w:highlight w:val="none"/>
                <w:lang w:val="en-US" w:eastAsia="zh-CN"/>
              </w:rPr>
            </w:r>
            <w:r/>
          </w:p>
          <w:p>
            <w:pPr>
              <w:pStyle w:val="1056"/>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如果培训室中设置了审核，则需要管理审核通过后才可以到预约的培训室进行练习，如果培训室中没有设置审核，则按照名额限制，先抢先得。</w:t>
            </w:r>
            <w:r>
              <w:rPr>
                <w:rFonts w:ascii="宋体" w:hAnsi="宋体" w:cs="宋体"/>
                <w:color w:val="000000"/>
                <w:sz w:val="28"/>
                <w:szCs w:val="28"/>
                <w:highlight w:val="none"/>
                <w:lang w:val="en-US" w:eastAsia="zh-CN"/>
              </w:rPr>
            </w:r>
            <w:r/>
          </w:p>
          <w:p>
            <w:pPr>
              <w:pStyle w:val="1056"/>
              <w:numPr>
                <w:ilvl w:val="0"/>
                <w:numId w:val="25"/>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预约成功后会在我的课程中看到预约的练习预约课程信息，在预约时间开始前半个小时会收到课程到时提醒的通知</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课程记录</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课前准备</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课程通知:根据系统预设的时间节点，向讲师和学员推送课程通知。</w:t>
            </w:r>
            <w:r>
              <w:rPr>
                <w:rFonts w:ascii="宋体" w:hAnsi="宋体" w:cs="宋体"/>
                <w:color w:val="000000"/>
                <w:sz w:val="28"/>
                <w:szCs w:val="28"/>
                <w:highlight w:val="none"/>
                <w:lang w:val="en-US" w:eastAsia="zh-CN"/>
              </w:rPr>
            </w:r>
            <w:r/>
          </w:p>
          <w:p>
            <w:pPr>
              <w:pStyle w:val="1056"/>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资料上传:在授课前，讲师将课程所需的课件等材料，上传到课程附件。可选择是否对学员开放查看或下载权限。学员可提前查看或下载。</w:t>
            </w:r>
            <w:r>
              <w:rPr>
                <w:rFonts w:ascii="宋体" w:hAnsi="宋体" w:cs="宋体"/>
                <w:color w:val="000000"/>
                <w:sz w:val="28"/>
                <w:szCs w:val="28"/>
                <w:highlight w:val="none"/>
                <w:lang w:val="en-US" w:eastAsia="zh-CN"/>
              </w:rPr>
            </w:r>
            <w:r/>
          </w:p>
          <w:p>
            <w:pPr>
              <w:pStyle w:val="1056"/>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所需器材:除了本节课标配的所需设备、模具、耗材之外，如果需要其他器械，讲师可以填写，并推送管理员准备。可建立课程模板标配器械清单。</w:t>
            </w:r>
            <w:r>
              <w:rPr>
                <w:rFonts w:ascii="宋体" w:hAnsi="宋体" w:cs="宋体"/>
                <w:color w:val="000000"/>
                <w:sz w:val="28"/>
                <w:szCs w:val="28"/>
                <w:highlight w:val="none"/>
                <w:lang w:val="en-US" w:eastAsia="zh-CN"/>
              </w:rPr>
            </w:r>
            <w:r/>
          </w:p>
          <w:p>
            <w:pPr>
              <w:pStyle w:val="1056"/>
              <w:numPr>
                <w:ilvl w:val="0"/>
                <w:numId w:val="26"/>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用品发放:管理员根据讲师在课前所申请配备的器材，进行课前准备。</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上课签到</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7"/>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上课时，讲师端给出本节课的二维码。学员通过手机扫码，完成上课签到。</w:t>
            </w:r>
            <w:r>
              <w:rPr>
                <w:rFonts w:ascii="宋体" w:hAnsi="宋体" w:cs="宋体"/>
                <w:color w:val="000000"/>
                <w:sz w:val="28"/>
                <w:szCs w:val="28"/>
                <w:highlight w:val="none"/>
                <w:lang w:val="en-US" w:eastAsia="zh-CN"/>
              </w:rPr>
            </w:r>
            <w:r/>
          </w:p>
          <w:p>
            <w:pPr>
              <w:pStyle w:val="1056"/>
              <w:numPr>
                <w:ilvl w:val="0"/>
                <w:numId w:val="27"/>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管理员可通过系统查询签到记录。</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课后汇总</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管理员可对课程进行中的各个环节，进行信息汇总。包括：临时调整讲师，用品发放清单，签到统计，授课现场照片等。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课时统计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对讲师的授课课时，进行汇总统计，有效核算讲师工作量。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课程评价</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学员评课</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学员在课程结束后可通过系统填写评价表对讲师和课程进行评价。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讲师评价</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讲师可通过系统填写评价表对中心管理员的课程安排、课前保障情况，进行评价。</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评价汇总</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汇总学员和讲师的评价结果，可根据各种条件筛选查询，可对每一个评分小项进行汇总统计。</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人员管理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人员档案</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人员信息可以和教学平台师资信息互通。</w:t>
            </w:r>
            <w:r>
              <w:rPr>
                <w:rFonts w:ascii="宋体" w:hAnsi="宋体" w:cs="宋体"/>
                <w:color w:val="000000"/>
                <w:sz w:val="28"/>
                <w:szCs w:val="28"/>
                <w:highlight w:val="none"/>
                <w:lang w:val="en-US" w:eastAsia="zh-CN"/>
              </w:rPr>
            </w:r>
            <w:r/>
          </w:p>
          <w:p>
            <w:pPr>
              <w:pStyle w:val="1056"/>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管理人员可以新增或导入人员信息。</w:t>
            </w:r>
            <w:r>
              <w:rPr>
                <w:rFonts w:ascii="宋体" w:hAnsi="宋体" w:cs="宋体"/>
                <w:color w:val="000000"/>
                <w:sz w:val="28"/>
                <w:szCs w:val="28"/>
                <w:highlight w:val="none"/>
                <w:lang w:val="en-US" w:eastAsia="zh-CN"/>
              </w:rPr>
            </w:r>
            <w:r/>
          </w:p>
          <w:p>
            <w:pPr>
              <w:pStyle w:val="1056"/>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医院管理人员可以自定义人员档案标签及标签内字段名称、类型等，也可以根据档案信息自定义查询条件。</w:t>
            </w:r>
            <w:r>
              <w:rPr>
                <w:rFonts w:ascii="宋体" w:hAnsi="宋体" w:cs="宋体"/>
                <w:color w:val="000000"/>
                <w:sz w:val="28"/>
                <w:szCs w:val="28"/>
                <w:highlight w:val="none"/>
                <w:lang w:val="en-US" w:eastAsia="zh-CN"/>
              </w:rPr>
            </w:r>
            <w:r/>
          </w:p>
          <w:p>
            <w:pPr>
              <w:pStyle w:val="1056"/>
              <w:numPr>
                <w:ilvl w:val="0"/>
                <w:numId w:val="28"/>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管理员可以自定义在查询页面中档案显示内容。</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学员档案</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学员信息可以和教学平台学员信息互通。</w:t>
            </w:r>
            <w:r>
              <w:rPr>
                <w:rFonts w:ascii="宋体" w:hAnsi="宋体" w:cs="宋体"/>
                <w:color w:val="000000"/>
                <w:sz w:val="28"/>
                <w:szCs w:val="28"/>
                <w:highlight w:val="none"/>
                <w:lang w:val="en-US" w:eastAsia="zh-CN"/>
              </w:rPr>
            </w:r>
            <w:r/>
          </w:p>
          <w:p>
            <w:pPr>
              <w:pStyle w:val="1056"/>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管理人员可以新增或导入学员信息。</w:t>
            </w:r>
            <w:r>
              <w:rPr>
                <w:rFonts w:ascii="宋体" w:hAnsi="宋体" w:cs="宋体"/>
                <w:color w:val="000000"/>
                <w:sz w:val="28"/>
                <w:szCs w:val="28"/>
                <w:highlight w:val="none"/>
                <w:lang w:val="en-US" w:eastAsia="zh-CN"/>
              </w:rPr>
            </w:r>
            <w:r/>
          </w:p>
          <w:p>
            <w:pPr>
              <w:pStyle w:val="1056"/>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医院管理人员可以自定义学员档案标签及标签内字段名称、类型等，也可以根据档案信息自定义查询条件。</w:t>
            </w:r>
            <w:r>
              <w:rPr>
                <w:rFonts w:ascii="宋体" w:hAnsi="宋体" w:cs="宋体"/>
                <w:color w:val="000000"/>
                <w:sz w:val="28"/>
                <w:szCs w:val="28"/>
                <w:highlight w:val="none"/>
                <w:lang w:val="en-US" w:eastAsia="zh-CN"/>
              </w:rPr>
            </w:r>
            <w:r/>
          </w:p>
          <w:p>
            <w:pPr>
              <w:pStyle w:val="1056"/>
              <w:numPr>
                <w:ilvl w:val="0"/>
                <w:numId w:val="29"/>
              </w:numPr>
              <w:ind w:left="11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管理员可以自定义在查询页面中档案显示内容。</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▲档案自定义</w:t>
            </w:r>
            <w:r>
              <w:rPr>
                <w:rFonts w:hint="eastAsia" w:ascii="宋体" w:hAnsi="宋体" w:cs="宋体"/>
                <w:bCs/>
                <w:color w:val="000000"/>
                <w:sz w:val="28"/>
                <w:szCs w:val="28"/>
                <w:highlight w:val="none"/>
              </w:rPr>
              <w:t xml:space="preserve">（提供功能截图证明）</w:t>
            </w:r>
            <w:r>
              <w:rPr>
                <w:rFonts w:hint="eastAsia" w:ascii="宋体" w:hAnsi="宋体" w:cs="宋体"/>
                <w:color w:val="000000"/>
                <w:sz w:val="28"/>
                <w:szCs w:val="28"/>
                <w:highlight w:val="none"/>
              </w:rPr>
            </w:r>
            <w:r/>
          </w:p>
        </w:tc>
        <w:tc>
          <w:tcPr>
            <w:tcW w:w="2196" w:type="dxa"/>
            <w:vAlign w:val="center"/>
            <w:textDirection w:val="lrTb"/>
            <w:noWrap w:val="false"/>
          </w:tcPr>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（1）可自定义档案表头字段的内容，支持以下操作：</w:t>
            </w:r>
            <w:r>
              <w:rPr>
                <w:rFonts w:hint="eastAsia" w:ascii="宋体" w:hAnsi="宋体" w:cs="宋体"/>
                <w:color w:val="000000"/>
                <w:sz w:val="28"/>
                <w:szCs w:val="28"/>
                <w:highlight w:val="none"/>
                <w:lang w:val="en-US" w:eastAsia="zh-CN"/>
              </w:rPr>
            </w:r>
            <w:r/>
          </w:p>
          <w:p>
            <w:pPr>
              <w:pStyle w:val="1056"/>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1）新增、删除、编辑表头字段。</w:t>
            </w:r>
            <w:r>
              <w:rPr>
                <w:rFonts w:hint="eastAsia" w:ascii="宋体" w:hAnsi="宋体" w:cs="宋体"/>
                <w:color w:val="000000"/>
                <w:sz w:val="28"/>
                <w:szCs w:val="28"/>
                <w:highlight w:val="none"/>
                <w:lang w:val="en-US" w:eastAsia="zh-CN"/>
              </w:rPr>
            </w:r>
            <w:r/>
          </w:p>
          <w:p>
            <w:pPr>
              <w:pStyle w:val="1056"/>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2）可设置各个字段是否在档案中显示。</w:t>
            </w:r>
            <w:r>
              <w:rPr>
                <w:rFonts w:hint="eastAsia" w:ascii="宋体" w:hAnsi="宋体" w:cs="宋体"/>
                <w:color w:val="000000"/>
                <w:sz w:val="28"/>
                <w:szCs w:val="28"/>
                <w:highlight w:val="none"/>
                <w:lang w:val="en-US" w:eastAsia="zh-CN"/>
              </w:rPr>
            </w:r>
            <w:r/>
          </w:p>
          <w:p>
            <w:pPr>
              <w:pStyle w:val="1056"/>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3）调整表头字段在档案列表中的排列顺序。</w:t>
            </w:r>
            <w:r>
              <w:rPr>
                <w:rFonts w:hint="eastAsia" w:ascii="宋体" w:hAnsi="宋体" w:cs="宋体"/>
                <w:color w:val="000000"/>
                <w:sz w:val="28"/>
                <w:szCs w:val="28"/>
                <w:highlight w:val="none"/>
                <w:lang w:val="en-US" w:eastAsia="zh-CN"/>
              </w:rPr>
            </w:r>
            <w:r/>
          </w:p>
          <w:p>
            <w:pPr>
              <w:pStyle w:val="1056"/>
              <w:ind w:left="257"/>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4）可新建档案表头字段分组，在分组下新增、删除、编辑表头字段。多个分组支持排序。</w:t>
            </w:r>
            <w:r>
              <w:rPr>
                <w:rFonts w:hint="eastAsia" w:ascii="宋体" w:hAnsi="宋体" w:cs="宋体"/>
                <w:color w:val="000000"/>
                <w:sz w:val="28"/>
                <w:szCs w:val="28"/>
                <w:highlight w:val="none"/>
                <w:lang w:val="en-US" w:eastAsia="zh-CN"/>
              </w:rPr>
            </w:r>
            <w:r/>
          </w:p>
          <w:p>
            <w:pPr>
              <w:pStyle w:val="1056"/>
              <w:ind w:left="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（2）表头字段设置完成后，可即时在人员档案中显示调整后的档案表。</w:t>
            </w:r>
            <w:r>
              <w:rPr>
                <w:rFonts w:hint="eastAsia"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设备和模具管理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设备目录管理</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通过手动或导入形式对设备目录及设备清单进行维护。</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设备目录：对当前在用的设备和模具，进行分类管理。对每类设备的适用课程、当前库存、预警数量等信息，进行跟踪管理。可进入每类设备的明细清单，查看该类中每一个设备的详情和使用位置。通过扫码定位，实现对某一个在用设备的维修和报废。</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维修中的设备：对已经在维修中的设备和模具，进行维修过程的跟踪管理。对完成维修，返回可用的设备，进行“修复”操作，重新投入使用。</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报废设备查询：对已经报废的设备和模具，进行登记并提供查询。</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借出设备查询：对借出的设备进行查询，回收等操作。</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转移设备：对已经转移走的设备进行管理，查询等操作。</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可以查看设备使用日志。</w:t>
            </w:r>
            <w:r>
              <w:rPr>
                <w:rFonts w:ascii="宋体" w:hAnsi="宋体" w:cs="宋体"/>
                <w:color w:val="000000"/>
                <w:sz w:val="28"/>
                <w:szCs w:val="28"/>
                <w:highlight w:val="none"/>
                <w:lang w:val="en-US" w:eastAsia="zh-CN"/>
              </w:rPr>
            </w:r>
            <w:r/>
          </w:p>
          <w:p>
            <w:pPr>
              <w:pStyle w:val="1056"/>
              <w:numPr>
                <w:ilvl w:val="0"/>
                <w:numId w:val="30"/>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对课程占用的设备，系统提供自动回收功能。</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耗材管理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耗材目录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通过批量创建或excel导入方式，按照耗材的不同类型，建立耗材目录，记录每种类型耗材的数量。</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库存管理</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利用耗材类别，建立耗材树，对耗材进行按照层级化的库存管理。</w:t>
            </w:r>
            <w:r>
              <w:rPr>
                <w:rFonts w:ascii="宋体" w:hAnsi="宋体" w:cs="宋体"/>
                <w:color w:val="000000"/>
                <w:sz w:val="28"/>
                <w:szCs w:val="28"/>
                <w:highlight w:val="none"/>
                <w:lang w:val="en-US" w:eastAsia="zh-CN"/>
              </w:rPr>
            </w:r>
            <w:r/>
          </w:p>
          <w:p>
            <w:pPr>
              <w:pStyle w:val="1056"/>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对耗材的库存补充时，利用入库操作，记录入库耗材的数量。</w:t>
            </w:r>
            <w:r>
              <w:rPr>
                <w:rFonts w:ascii="宋体" w:hAnsi="宋体" w:cs="宋体"/>
                <w:color w:val="000000"/>
                <w:sz w:val="28"/>
                <w:szCs w:val="28"/>
                <w:highlight w:val="none"/>
                <w:lang w:val="en-US" w:eastAsia="zh-CN"/>
              </w:rPr>
            </w:r>
            <w:r/>
          </w:p>
          <w:p>
            <w:pPr>
              <w:pStyle w:val="1056"/>
              <w:numPr>
                <w:ilvl w:val="0"/>
                <w:numId w:val="31"/>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随课程的使用，记录耗材使用量，并自动跟新耗材库存。</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出/入库查询</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对随教学课程使用的耗材出库、入库，进行查询。</w:t>
            </w:r>
            <w:r>
              <w:rPr>
                <w:rFonts w:ascii="宋体" w:hAnsi="宋体" w:cs="宋体"/>
                <w:color w:val="000000"/>
                <w:sz w:val="28"/>
                <w:szCs w:val="28"/>
                <w:highlight w:val="none"/>
                <w:lang w:val="en-US" w:eastAsia="zh-CN"/>
              </w:rPr>
            </w:r>
            <w:r/>
          </w:p>
          <w:p>
            <w:pPr>
              <w:pStyle w:val="1056"/>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可通过出库记录跟踪使用情况，并关联到使用本批次耗材的教学课程。</w:t>
            </w:r>
            <w:r>
              <w:rPr>
                <w:rFonts w:ascii="宋体" w:hAnsi="宋体" w:cs="宋体"/>
                <w:color w:val="000000"/>
                <w:sz w:val="28"/>
                <w:szCs w:val="28"/>
                <w:highlight w:val="none"/>
                <w:lang w:val="en-US" w:eastAsia="zh-CN"/>
              </w:rPr>
            </w:r>
            <w:r/>
          </w:p>
          <w:p>
            <w:pPr>
              <w:pStyle w:val="1056"/>
              <w:numPr>
                <w:ilvl w:val="0"/>
                <w:numId w:val="32"/>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使用完成后，在这里进行耗材回收操作。</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库存盘点</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3"/>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经过定期盘点，将耗材的实际库存数量，录入到系统中。</w:t>
            </w:r>
            <w:r>
              <w:rPr>
                <w:rFonts w:ascii="宋体" w:hAnsi="宋体" w:cs="宋体"/>
                <w:color w:val="000000"/>
                <w:sz w:val="28"/>
                <w:szCs w:val="28"/>
                <w:highlight w:val="none"/>
                <w:lang w:val="en-US" w:eastAsia="zh-CN"/>
              </w:rPr>
            </w:r>
            <w:r/>
          </w:p>
          <w:p>
            <w:pPr>
              <w:pStyle w:val="1056"/>
              <w:numPr>
                <w:ilvl w:val="0"/>
                <w:numId w:val="33"/>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利用实际盘点数量和库存数量的差异，统计盘盈和盘亏数据。</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教室管理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教室目录</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建立教室和房间目录，标注好用途、配备、容量、位置、内置的设备模具等基本信息，供不同的教学安排使用。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预约情况</w:t>
            </w:r>
            <w:r>
              <w:rPr>
                <w:rFonts w:hint="eastAsia"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以日历视图-日视图形式展示教室的预约情况，在展示视图中可以清晰的看到教室占用的时间及相关用途。</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统计分析</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实训课程报表</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课程类别统计：针对选修、必修进行统计，统计出每一种技能类型的数量。</w:t>
            </w:r>
            <w:r>
              <w:rPr>
                <w:rFonts w:ascii="宋体" w:hAnsi="宋体" w:cs="宋体"/>
                <w:color w:val="000000"/>
                <w:sz w:val="28"/>
                <w:szCs w:val="28"/>
                <w:highlight w:val="none"/>
                <w:lang w:val="en-US" w:eastAsia="zh-CN"/>
              </w:rPr>
            </w:r>
            <w:r/>
          </w:p>
          <w:p>
            <w:pPr>
              <w:pStyle w:val="1056"/>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课程参加情况统计：统计所有课程的应参加人数、签到人数和未签到人数，展示附件上传情况。</w:t>
            </w:r>
            <w:r>
              <w:rPr>
                <w:rFonts w:ascii="宋体" w:hAnsi="宋体" w:cs="宋体"/>
                <w:color w:val="000000"/>
                <w:sz w:val="28"/>
                <w:szCs w:val="28"/>
                <w:highlight w:val="none"/>
                <w:lang w:val="en-US" w:eastAsia="zh-CN"/>
              </w:rPr>
            </w:r>
            <w:r/>
          </w:p>
          <w:p>
            <w:pPr>
              <w:pStyle w:val="1056"/>
              <w:numPr>
                <w:ilvl w:val="0"/>
                <w:numId w:val="34"/>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讲师上课数量统计：统计所有实训师资的各种技能类型的上课数量。</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实训考核报表</w:t>
            </w:r>
            <w:r>
              <w:rPr>
                <w:rFonts w:ascii="宋体" w:hAnsi="宋体" w:cs="宋体"/>
                <w:color w:val="000000"/>
                <w:sz w:val="28"/>
                <w:szCs w:val="28"/>
                <w:highlight w:val="none"/>
              </w:rPr>
            </w:r>
            <w:r/>
          </w:p>
        </w:tc>
        <w:tc>
          <w:tcPr>
            <w:tcW w:w="2196" w:type="dxa"/>
            <w:vAlign w:val="center"/>
            <w:textDirection w:val="lrTb"/>
            <w:noWrap w:val="false"/>
          </w:tcPr>
          <w:p>
            <w:pPr>
              <w:pStyle w:val="1056"/>
              <w:numPr>
                <w:ilvl w:val="0"/>
                <w:numId w:val="35"/>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课程考核情况统计：按照每期课程进行统计，统计每期课程应考核、已完成及未完成考核的人数，并计算考核进度。</w:t>
            </w:r>
            <w:r>
              <w:rPr>
                <w:rFonts w:ascii="宋体" w:hAnsi="宋体" w:cs="宋体"/>
                <w:color w:val="000000"/>
                <w:sz w:val="28"/>
                <w:szCs w:val="28"/>
                <w:highlight w:val="none"/>
                <w:lang w:val="en-US" w:eastAsia="zh-CN"/>
              </w:rPr>
            </w:r>
            <w:r/>
          </w:p>
          <w:p>
            <w:pPr>
              <w:pStyle w:val="1056"/>
              <w:numPr>
                <w:ilvl w:val="0"/>
                <w:numId w:val="35"/>
              </w:numPr>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参与人员考核明细：统计指定时间段内所有参与考核人员的考核明细，显示各项考核项目考核分数，并可以点击查看考核详情。</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参与情况报表</w:t>
            </w:r>
            <w:r>
              <w:rPr>
                <w:rFonts w:ascii="宋体" w:hAnsi="宋体" w:cs="宋体"/>
                <w:color w:val="000000"/>
                <w:sz w:val="28"/>
                <w:szCs w:val="28"/>
                <w:highlight w:val="none"/>
              </w:rPr>
            </w:r>
            <w:r/>
          </w:p>
        </w:tc>
        <w:tc>
          <w:tcPr>
            <w:tcW w:w="2196" w:type="dxa"/>
            <w:vAlign w:val="center"/>
            <w:textDirection w:val="lrTb"/>
            <w:noWrap w:val="false"/>
          </w:tcPr>
          <w:p>
            <w:pPr>
              <w:pStyle w:val="1056"/>
              <w:ind w:left="0"/>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（1）参与情况汇总：以参培人员为统计对象，统计该人实际参加课程数，应参加课程数、参与率和总学时数等信息。通过点击相应统计项数字可以查看该数字对应的课程详情。</w:t>
            </w:r>
            <w:r>
              <w:rPr>
                <w:rFonts w:ascii="宋体" w:hAnsi="宋体" w:cs="宋体"/>
                <w:color w:val="000000"/>
                <w:sz w:val="28"/>
                <w:szCs w:val="28"/>
                <w:highlight w:val="none"/>
                <w:lang w:val="en-US" w:eastAsia="zh-CN"/>
              </w:rPr>
            </w:r>
            <w:r/>
          </w:p>
          <w:p>
            <w:pPr>
              <w:pStyle w:val="1056"/>
              <w:ind w:left="105"/>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（2）参与情况明细：展示参培人员参与的具体课程详细信息。</w:t>
            </w:r>
            <w:r>
              <w:rPr>
                <w:rFonts w:ascii="宋体" w:hAnsi="宋体"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OSCE后台管理端</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考试安排</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36"/>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可设置多个考点。</w:t>
            </w:r>
            <w:r>
              <w:rPr>
                <w:rFonts w:cs="宋体"/>
                <w:color w:val="000000"/>
                <w:sz w:val="28"/>
                <w:szCs w:val="28"/>
                <w:highlight w:val="none"/>
                <w:lang w:val="en-US"/>
              </w:rPr>
            </w:r>
            <w:r/>
          </w:p>
          <w:p>
            <w:pPr>
              <w:pStyle w:val="1083"/>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设置考点的考试日期、考试状态、主考官、考官、房间、考生名单、试卷等信息。</w:t>
            </w:r>
            <w:r>
              <w:rPr>
                <w:rFonts w:cs="宋体"/>
                <w:color w:val="000000"/>
                <w:sz w:val="28"/>
                <w:szCs w:val="28"/>
                <w:highlight w:val="none"/>
                <w:lang w:val="en-US" w:eastAsia="zh-CN"/>
              </w:rPr>
            </w:r>
            <w:r/>
          </w:p>
          <w:p>
            <w:pPr>
              <w:pStyle w:val="1083"/>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可批量生成考点所需的主考官、考官账号。</w:t>
            </w:r>
            <w:r>
              <w:rPr>
                <w:rFonts w:cs="宋体"/>
                <w:color w:val="000000"/>
                <w:sz w:val="28"/>
                <w:szCs w:val="28"/>
                <w:highlight w:val="none"/>
                <w:lang w:val="en-US" w:eastAsia="zh-CN"/>
              </w:rPr>
            </w:r>
            <w:r/>
          </w:p>
          <w:p>
            <w:pPr>
              <w:pStyle w:val="1083"/>
              <w:numPr>
                <w:ilvl w:val="0"/>
                <w:numId w:val="3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可设置主考官、考官账号的可用状态。</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叫号管理</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37"/>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开启或暂停叫号功能。</w:t>
            </w:r>
            <w:r>
              <w:rPr>
                <w:rFonts w:cs="宋体"/>
                <w:color w:val="000000"/>
                <w:sz w:val="28"/>
                <w:szCs w:val="28"/>
                <w:highlight w:val="none"/>
                <w:lang w:val="en-US"/>
              </w:rPr>
            </w:r>
            <w:r/>
          </w:p>
          <w:p>
            <w:pPr>
              <w:pStyle w:val="1083"/>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支持按考站顺序叫号，某些考站必须有先后顺序。</w:t>
            </w:r>
            <w:r>
              <w:rPr>
                <w:rFonts w:cs="宋体"/>
                <w:color w:val="000000"/>
                <w:sz w:val="28"/>
                <w:szCs w:val="28"/>
                <w:highlight w:val="none"/>
                <w:lang w:val="en-US" w:eastAsia="zh-CN"/>
              </w:rPr>
            </w:r>
            <w:r/>
          </w:p>
          <w:p>
            <w:pPr>
              <w:pStyle w:val="1083"/>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支持按考官效率最优叫号，有空的考间，即可呼叫下一位考生，最小化等待时间。</w:t>
            </w:r>
            <w:r>
              <w:rPr>
                <w:rFonts w:cs="宋体"/>
                <w:color w:val="000000"/>
                <w:sz w:val="28"/>
                <w:szCs w:val="28"/>
                <w:highlight w:val="none"/>
                <w:lang w:val="en-US" w:eastAsia="zh-CN"/>
              </w:rPr>
            </w:r>
            <w:r/>
          </w:p>
          <w:p>
            <w:pPr>
              <w:pStyle w:val="1083"/>
              <w:numPr>
                <w:ilvl w:val="0"/>
                <w:numId w:val="37"/>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支持同进同出叫号。</w:t>
            </w:r>
            <w:r>
              <w:rPr>
                <w:rFonts w:cs="宋体"/>
                <w:color w:val="000000"/>
                <w:sz w:val="28"/>
                <w:szCs w:val="28"/>
                <w:highlight w:val="none"/>
                <w:lang w:val="en-US"/>
              </w:rPr>
            </w:r>
            <w:r/>
          </w:p>
          <w:p>
            <w:pPr>
              <w:pStyle w:val="1083"/>
              <w:numPr>
                <w:ilvl w:val="0"/>
                <w:numId w:val="37"/>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支持对某个特定考间、考生，设置叫号状态、跳过叫号等。</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考务管理</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设置考点的房间信息、考站信息。</w:t>
            </w:r>
            <w:r>
              <w:rPr>
                <w:rFonts w:cs="宋体"/>
                <w:color w:val="000000"/>
                <w:sz w:val="28"/>
                <w:szCs w:val="28"/>
                <w:highlight w:val="none"/>
                <w:lang w:val="en-US" w:eastAsia="zh-CN"/>
              </w:rPr>
            </w:r>
            <w:r/>
          </w:p>
          <w:p>
            <w:pPr>
              <w:pStyle w:val="1083"/>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可以根据专业设置主考官的账号，设置允许主考官可以登录主考官端的时间段。</w:t>
            </w:r>
            <w:r>
              <w:rPr>
                <w:rFonts w:cs="宋体"/>
                <w:color w:val="000000"/>
                <w:sz w:val="28"/>
                <w:szCs w:val="28"/>
                <w:highlight w:val="none"/>
                <w:lang w:val="en-US" w:eastAsia="zh-CN"/>
              </w:rPr>
            </w:r>
            <w:r/>
          </w:p>
          <w:p>
            <w:pPr>
              <w:pStyle w:val="1083"/>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支持主考官、考官和书写考站工作人员账号等账号角色。</w:t>
            </w:r>
            <w:r>
              <w:rPr>
                <w:rFonts w:cs="宋体"/>
                <w:color w:val="000000"/>
                <w:sz w:val="28"/>
                <w:szCs w:val="28"/>
                <w:highlight w:val="none"/>
                <w:lang w:val="en-US" w:eastAsia="zh-CN"/>
              </w:rPr>
            </w:r>
            <w:r/>
          </w:p>
          <w:p>
            <w:pPr>
              <w:pStyle w:val="1083"/>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支持查看、导出主考官、考官和书写考站工作人员账号。</w:t>
            </w:r>
            <w:r>
              <w:rPr>
                <w:rFonts w:cs="宋体"/>
                <w:color w:val="000000"/>
                <w:sz w:val="28"/>
                <w:szCs w:val="28"/>
                <w:highlight w:val="none"/>
                <w:lang w:val="en-US" w:eastAsia="zh-CN"/>
              </w:rPr>
            </w:r>
            <w:r/>
          </w:p>
          <w:p>
            <w:pPr>
              <w:pStyle w:val="1083"/>
              <w:numPr>
                <w:ilvl w:val="0"/>
                <w:numId w:val="38"/>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支持查看、导出考生名单。</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▲电子门牌</w:t>
            </w:r>
            <w:r>
              <w:rPr>
                <w:rFonts w:hint="eastAsia" w:ascii="宋体" w:hAnsi="宋体" w:cs="宋体"/>
                <w:bCs/>
                <w:color w:val="000000"/>
                <w:sz w:val="28"/>
                <w:szCs w:val="28"/>
                <w:highlight w:val="none"/>
              </w:rPr>
              <w:t xml:space="preserve">（提供功能截图证明）</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填写模板名称</w:t>
            </w:r>
            <w:r>
              <w:rPr>
                <w:rFonts w:hint="eastAsia" w:cs="宋体"/>
                <w:color w:val="000000"/>
                <w:sz w:val="28"/>
                <w:szCs w:val="28"/>
                <w:highlight w:val="none"/>
                <w:lang w:val="en-US" w:eastAsia="zh-CN"/>
              </w:rPr>
            </w:r>
            <w:r/>
          </w:p>
          <w:p>
            <w:pPr>
              <w:pStyle w:val="1083"/>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可上传图片，作为门牌背景图</w:t>
            </w:r>
            <w:r>
              <w:rPr>
                <w:rFonts w:hint="eastAsia" w:cs="宋体"/>
                <w:color w:val="000000"/>
                <w:sz w:val="28"/>
                <w:szCs w:val="28"/>
                <w:highlight w:val="none"/>
                <w:lang w:val="en-US" w:eastAsia="zh-CN"/>
              </w:rPr>
            </w:r>
            <w:r/>
          </w:p>
          <w:p>
            <w:pPr>
              <w:pStyle w:val="1083"/>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可添加门牌显示内容的各类组件，支持文字、图片、日期时间（实时变化）、签到二维码、图片、表格等组件类型。</w:t>
            </w:r>
            <w:r>
              <w:rPr>
                <w:rFonts w:hint="eastAsia" w:cs="宋体"/>
                <w:color w:val="000000"/>
                <w:sz w:val="28"/>
                <w:szCs w:val="28"/>
                <w:highlight w:val="none"/>
                <w:lang w:val="en-US" w:eastAsia="zh-CN"/>
              </w:rPr>
            </w:r>
            <w:r/>
          </w:p>
          <w:p>
            <w:pPr>
              <w:pStyle w:val="1083"/>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组件支持设置高度、宽度、内容等。</w:t>
            </w:r>
            <w:r>
              <w:rPr>
                <w:rFonts w:hint="eastAsia" w:cs="宋体"/>
                <w:color w:val="000000"/>
                <w:sz w:val="28"/>
                <w:szCs w:val="28"/>
                <w:highlight w:val="none"/>
                <w:lang w:val="en-US" w:eastAsia="zh-CN"/>
              </w:rPr>
            </w:r>
            <w:r/>
          </w:p>
          <w:p>
            <w:pPr>
              <w:pStyle w:val="1083"/>
              <w:numPr>
                <w:ilvl w:val="0"/>
                <w:numId w:val="39"/>
              </w:numPr>
              <w:rPr>
                <w:rFonts w:hint="eastAsia" w:cs="宋体"/>
                <w:color w:val="000000"/>
                <w:sz w:val="28"/>
                <w:szCs w:val="28"/>
                <w:highlight w:val="none"/>
                <w:lang w:val="en-US" w:eastAsia="zh-CN"/>
              </w:rPr>
            </w:pPr>
            <w:r>
              <w:rPr>
                <w:rFonts w:hint="eastAsia" w:cs="宋体"/>
                <w:color w:val="000000"/>
                <w:sz w:val="28"/>
                <w:szCs w:val="28"/>
                <w:highlight w:val="none"/>
                <w:lang w:val="en-US" w:eastAsia="zh-CN"/>
              </w:rPr>
              <w:t xml:space="preserve">可在预览界面中实时查看已添加的组件，可拖动组件调整显示位置。</w:t>
            </w:r>
            <w:r>
              <w:rPr>
                <w:rFonts w:hint="eastAsia" w:cs="宋体"/>
                <w:color w:val="000000"/>
                <w:sz w:val="28"/>
                <w:szCs w:val="28"/>
                <w:highlight w:val="none"/>
                <w:lang w:val="en-US" w:eastAsia="zh-CN"/>
              </w:rPr>
            </w:r>
            <w:r/>
          </w:p>
          <w:p>
            <w:pPr>
              <w:pStyle w:val="1083"/>
              <w:numPr>
                <w:ilvl w:val="0"/>
                <w:numId w:val="39"/>
              </w:numPr>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模板设置完成后可保存，支持门牌显示效果预览。</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书写考站</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0"/>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支持书写考站工作人员账号登录使用。</w:t>
            </w:r>
            <w:r>
              <w:rPr>
                <w:rFonts w:cs="宋体"/>
                <w:color w:val="000000"/>
                <w:sz w:val="28"/>
                <w:szCs w:val="28"/>
                <w:highlight w:val="none"/>
                <w:lang w:val="en-US" w:eastAsia="zh-CN"/>
              </w:rPr>
            </w:r>
            <w:r/>
          </w:p>
          <w:p>
            <w:pPr>
              <w:pStyle w:val="1083"/>
              <w:numPr>
                <w:ilvl w:val="0"/>
                <w:numId w:val="40"/>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记录考生在书写考站的考试状态，配合叫号。</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考生管理</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管理考生信息，包括新增考生息、编辑考生信息、删除考生信息，可以批量导入、删除考生信息。</w:t>
            </w:r>
            <w:r>
              <w:rPr>
                <w:rFonts w:cs="宋体"/>
                <w:color w:val="000000"/>
                <w:sz w:val="28"/>
                <w:szCs w:val="28"/>
                <w:highlight w:val="none"/>
                <w:lang w:val="en-US" w:eastAsia="zh-CN"/>
              </w:rPr>
            </w:r>
            <w:r/>
          </w:p>
          <w:p>
            <w:pPr>
              <w:pStyle w:val="1083"/>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考生信息包括：姓名、性别、手机号码、身份证号、所学专业。</w:t>
            </w:r>
            <w:r>
              <w:rPr>
                <w:rFonts w:cs="宋体"/>
                <w:color w:val="000000"/>
                <w:sz w:val="28"/>
                <w:szCs w:val="28"/>
                <w:highlight w:val="none"/>
                <w:lang w:val="en-US" w:eastAsia="zh-CN"/>
              </w:rPr>
            </w:r>
            <w:r/>
          </w:p>
          <w:p>
            <w:pPr>
              <w:pStyle w:val="1083"/>
              <w:numPr>
                <w:ilvl w:val="0"/>
                <w:numId w:val="41"/>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多条件查询，可根据考生分组、专业、编号、身份证号、姓名检索。</w:t>
            </w:r>
            <w:r>
              <w:rPr>
                <w:rFonts w:cs="宋体"/>
                <w:color w:val="000000"/>
                <w:sz w:val="28"/>
                <w:szCs w:val="28"/>
                <w:highlight w:val="none"/>
                <w:lang w:val="en-US" w:eastAsia="zh-CN"/>
              </w:rPr>
            </w:r>
            <w:r/>
          </w:p>
          <w:p>
            <w:pPr>
              <w:pStyle w:val="1083"/>
              <w:numPr>
                <w:ilvl w:val="0"/>
                <w:numId w:val="41"/>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Excel批量导入、导出考生信息。</w:t>
            </w:r>
            <w:r>
              <w:rPr>
                <w:rFonts w:cs="宋体"/>
                <w:color w:val="000000"/>
                <w:sz w:val="28"/>
                <w:szCs w:val="28"/>
                <w:highlight w:val="none"/>
                <w:lang w:val="en-US"/>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考生分组管理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管理考生分组，可以根据管理需要对考生进行分组管理，可以新增、编辑、删除考生分组信息。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技能操作项管理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技能操作项目，包括新增技能操作项目、编辑技能操作项目、删除技能操作项目，系统内已包含中国医学生临床技能操作指南的基本操作项目，用户可以根据需要增加个性化的操作项目，系统自带的操作项目不能编辑与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技能操作评分表，包括新增评分表、查看评分表详情、删除评分表，系统内已包含中国医学生临床技能操作指南的基本操作评分表，用户可以根据需要增加个性化的评分表，系统自带的评分表不能编辑与删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可以根据考试场次、考试时间及考生信息查询统计考试成绩，可以查看理论或实践考试中的得分明细。可以将考试成绩或得分明细导出为Excel文件。</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成绩统计</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考试场次（可选择多场）统计学生成绩，平均分、参考人数、成绩分布以柱状图、雷达图形式展现；明细列表显示：考试内容、参考人数、最高得分、最低得分、平均得分、高于平均、低于平均、0~20分、20~40分、40~60分、60~80分、80~100分各个分数段考生分布；</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评分表分析</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评分表和考试场次分析某站考试整体情况，包括：参考人数、最高得分、最低得分、平均得分、高于平均人数、低于平均分人数以及评分表每项的得分、最低得分、平均得分、平均失分率、高于平均、低于平均；以柱状图、雷达图形式展现；</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OSCE考官端</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考前文书签字确认</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结合签字确认功能，完成安全保密责任书等需要考官签字确认的文书。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评分表预览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考官可以在进入考站后，通过评分表预览的功能，提前熟悉评分表内容。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叫号</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2"/>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呼叫下一位考生。</w:t>
            </w:r>
            <w:r>
              <w:rPr>
                <w:rFonts w:cs="宋体"/>
                <w:color w:val="000000"/>
                <w:sz w:val="28"/>
                <w:szCs w:val="28"/>
                <w:highlight w:val="none"/>
                <w:lang w:val="en-US"/>
              </w:rPr>
            </w:r>
            <w:r/>
          </w:p>
          <w:p>
            <w:pPr>
              <w:pStyle w:val="1083"/>
              <w:numPr>
                <w:ilvl w:val="0"/>
                <w:numId w:val="42"/>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自动填入考生信息。</w:t>
            </w:r>
            <w:r>
              <w:rPr>
                <w:rFonts w:cs="宋体"/>
                <w:color w:val="000000"/>
                <w:sz w:val="28"/>
                <w:szCs w:val="28"/>
                <w:highlight w:val="none"/>
                <w:lang w:val="en-US"/>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考生验证</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支持显示考生信息，包括照片、姓名、身份证号、准考证号等。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在线评分</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支持显示考官指引，提示考站的相关注意事项。</w:t>
            </w:r>
            <w:r>
              <w:rPr>
                <w:rFonts w:cs="宋体"/>
                <w:color w:val="000000"/>
                <w:sz w:val="28"/>
                <w:szCs w:val="28"/>
                <w:highlight w:val="none"/>
                <w:lang w:val="en-US" w:eastAsia="zh-CN"/>
              </w:rPr>
            </w:r>
            <w:r/>
          </w:p>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考官可以在Pad上进入指定的考场场次与考站，使用考试安排中指定的评分表为考生进行在线评分。</w:t>
            </w:r>
            <w:r>
              <w:rPr>
                <w:rFonts w:cs="宋体"/>
                <w:color w:val="000000"/>
                <w:sz w:val="28"/>
                <w:szCs w:val="28"/>
                <w:highlight w:val="none"/>
                <w:lang w:val="en-US" w:eastAsia="zh-CN"/>
              </w:rPr>
            </w:r>
            <w:r/>
          </w:p>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评分表支持：基本技能操作、专科技能操作、病史采集、体格检查、首程书写、病例分析、病人接诊、SP打分等评分表。</w:t>
            </w:r>
            <w:r>
              <w:rPr>
                <w:rFonts w:cs="宋体"/>
                <w:color w:val="000000"/>
                <w:sz w:val="28"/>
                <w:szCs w:val="28"/>
                <w:highlight w:val="none"/>
                <w:lang w:val="en-US" w:eastAsia="zh-CN"/>
              </w:rPr>
            </w:r>
            <w:r/>
          </w:p>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评分中的功能：检查必填项、自动计算得分、得分大纲、切换评分表、倒计时提示、显示病例内容。</w:t>
            </w:r>
            <w:r>
              <w:rPr>
                <w:rFonts w:cs="宋体"/>
                <w:color w:val="000000"/>
                <w:sz w:val="28"/>
                <w:szCs w:val="28"/>
                <w:highlight w:val="none"/>
                <w:lang w:val="en-US" w:eastAsia="zh-CN"/>
              </w:rPr>
            </w:r>
            <w:r/>
          </w:p>
          <w:p>
            <w:pPr>
              <w:pStyle w:val="1083"/>
              <w:numPr>
                <w:ilvl w:val="0"/>
                <w:numId w:val="43"/>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支持多人同时评分。</w:t>
            </w:r>
            <w:r>
              <w:rPr>
                <w:rFonts w:cs="宋体"/>
                <w:color w:val="000000"/>
                <w:sz w:val="28"/>
                <w:szCs w:val="28"/>
                <w:highlight w:val="none"/>
                <w:lang w:val="en-US"/>
              </w:rPr>
            </w:r>
            <w:r/>
          </w:p>
          <w:p>
            <w:pPr>
              <w:pStyle w:val="1083"/>
              <w:numPr>
                <w:ilvl w:val="0"/>
                <w:numId w:val="43"/>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支持考官电子签名。</w:t>
            </w:r>
            <w:r>
              <w:rPr>
                <w:rFonts w:cs="宋体"/>
                <w:color w:val="000000"/>
                <w:sz w:val="28"/>
                <w:szCs w:val="28"/>
                <w:highlight w:val="none"/>
                <w:lang w:val="en-US"/>
              </w:rPr>
            </w:r>
            <w:r/>
          </w:p>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支持考官对考试的综合评价。</w:t>
            </w:r>
            <w:r>
              <w:rPr>
                <w:rFonts w:cs="宋体"/>
                <w:color w:val="000000"/>
                <w:sz w:val="28"/>
                <w:szCs w:val="28"/>
                <w:highlight w:val="none"/>
                <w:lang w:val="en-US" w:eastAsia="zh-CN"/>
              </w:rPr>
            </w:r>
            <w:r/>
          </w:p>
          <w:p>
            <w:pPr>
              <w:pStyle w:val="1083"/>
              <w:numPr>
                <w:ilvl w:val="0"/>
                <w:numId w:val="43"/>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在考试没有结束前，考官可以修改打分内容。</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OSCE主考官端</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查看考试考生的考试安排。</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考卷预览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预览当前考试的评分表。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查看考生当前考试中，考官提交的评分表。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考生成绩</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查看考生成绩。</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考官状态</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查看考官登录考官端的时间、退出系统的时间、房间号、签名等信息。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考试监测</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4"/>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查看各房间完成考试的考生数量，两位考官提交分数的差异分、平均分，提示主考官评分不及格、差异过大的情况，可对不及格、差异的情况进行处理。</w:t>
            </w:r>
            <w:r>
              <w:rPr>
                <w:rFonts w:cs="宋体"/>
                <w:color w:val="000000"/>
                <w:sz w:val="28"/>
                <w:szCs w:val="28"/>
                <w:highlight w:val="none"/>
                <w:lang w:val="en-US" w:eastAsia="zh-CN"/>
              </w:rPr>
            </w:r>
            <w:r/>
          </w:p>
          <w:p>
            <w:pPr>
              <w:pStyle w:val="1083"/>
              <w:numPr>
                <w:ilvl w:val="0"/>
                <w:numId w:val="44"/>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开始、结束考试状态。</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OSCE考核签到及叫号</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签到管理</w:t>
            </w:r>
            <w:r>
              <w:rPr>
                <w:rFonts w:ascii="宋体" w:hAnsi="宋体" w:cs="宋体"/>
                <w:color w:val="000000"/>
                <w:sz w:val="28"/>
                <w:szCs w:val="28"/>
                <w:highlight w:val="none"/>
              </w:rPr>
            </w:r>
            <w:r/>
          </w:p>
        </w:tc>
        <w:tc>
          <w:tcPr>
            <w:tcW w:w="2196" w:type="dxa"/>
            <w:vAlign w:val="center"/>
            <w:textDirection w:val="lrTb"/>
            <w:noWrap w:val="false"/>
          </w:tcPr>
          <w:p>
            <w:pPr>
              <w:pStyle w:val="1083"/>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支持人工输入准考证、身份证或手机号进行签到。</w:t>
            </w:r>
            <w:r>
              <w:rPr>
                <w:rFonts w:cs="宋体"/>
                <w:color w:val="000000"/>
                <w:sz w:val="28"/>
                <w:szCs w:val="28"/>
                <w:highlight w:val="none"/>
                <w:lang w:val="en-US" w:eastAsia="zh-CN"/>
              </w:rPr>
            </w:r>
            <w:r/>
          </w:p>
          <w:p>
            <w:pPr>
              <w:pStyle w:val="1083"/>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需要硬件支持：支持扫二维码、身份证识别、指纹签到。</w:t>
            </w:r>
            <w:r>
              <w:rPr>
                <w:rFonts w:cs="宋体"/>
                <w:color w:val="000000"/>
                <w:sz w:val="28"/>
                <w:szCs w:val="28"/>
                <w:highlight w:val="none"/>
                <w:lang w:val="en-US" w:eastAsia="zh-CN"/>
              </w:rPr>
            </w:r>
            <w:r/>
          </w:p>
          <w:p>
            <w:pPr>
              <w:pStyle w:val="1083"/>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记录签到的场次、签到时间。</w:t>
            </w:r>
            <w:r>
              <w:rPr>
                <w:rFonts w:cs="宋体"/>
                <w:color w:val="000000"/>
                <w:sz w:val="28"/>
                <w:szCs w:val="28"/>
                <w:highlight w:val="none"/>
                <w:lang w:val="en-US" w:eastAsia="zh-CN"/>
              </w:rPr>
            </w:r>
            <w:r/>
          </w:p>
          <w:p>
            <w:pPr>
              <w:pStyle w:val="1083"/>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支持随机分配考号、人工调整考号。</w:t>
            </w:r>
            <w:r>
              <w:rPr>
                <w:rFonts w:cs="宋体"/>
                <w:color w:val="000000"/>
                <w:sz w:val="28"/>
                <w:szCs w:val="28"/>
                <w:highlight w:val="none"/>
                <w:lang w:val="en-US" w:eastAsia="zh-CN"/>
              </w:rPr>
            </w:r>
            <w:r/>
          </w:p>
          <w:p>
            <w:pPr>
              <w:pStyle w:val="1083"/>
              <w:numPr>
                <w:ilvl w:val="0"/>
                <w:numId w:val="45"/>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随机分配考站，适用一站有多个操作可选的情况，同时支持人工指定考站。</w:t>
            </w:r>
            <w:r>
              <w:rPr>
                <w:rFonts w:cs="宋体"/>
                <w:color w:val="000000"/>
                <w:sz w:val="28"/>
                <w:szCs w:val="28"/>
                <w:highlight w:val="none"/>
                <w:lang w:val="en-US" w:eastAsia="zh-CN"/>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叫号大屏显示</w:t>
            </w:r>
            <w:r>
              <w:rPr>
                <w:rFonts w:hint="eastAsia" w:ascii="宋体" w:hAnsi="宋体" w:cs="宋体"/>
                <w:color w:val="000000"/>
                <w:sz w:val="28"/>
                <w:szCs w:val="28"/>
                <w:highlight w:val="none"/>
              </w:rPr>
            </w:r>
            <w:r/>
          </w:p>
        </w:tc>
        <w:tc>
          <w:tcPr>
            <w:tcW w:w="2196" w:type="dxa"/>
            <w:vAlign w:val="center"/>
            <w:textDirection w:val="lrTb"/>
            <w:noWrap w:val="false"/>
          </w:tcPr>
          <w:p>
            <w:pPr>
              <w:pStyle w:val="1083"/>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支持多种叫号场景，包括：大候考区、考间走廊。</w:t>
            </w:r>
            <w:r>
              <w:rPr>
                <w:rFonts w:cs="宋体"/>
                <w:color w:val="000000"/>
                <w:sz w:val="28"/>
                <w:szCs w:val="28"/>
                <w:highlight w:val="none"/>
                <w:lang w:val="en-US" w:eastAsia="zh-CN"/>
              </w:rPr>
            </w:r>
            <w:r/>
          </w:p>
          <w:p>
            <w:pPr>
              <w:pStyle w:val="1083"/>
              <w:numPr>
                <w:ilvl w:val="0"/>
                <w:numId w:val="46"/>
              </w:numPr>
              <w:jc w:val="both"/>
              <w:spacing w:line="240" w:lineRule="auto"/>
              <w:rPr>
                <w:rFonts w:cs="宋体"/>
                <w:color w:val="000000"/>
                <w:sz w:val="28"/>
                <w:szCs w:val="28"/>
                <w:highlight w:val="none"/>
                <w:lang w:val="en-US"/>
              </w:rPr>
            </w:pPr>
            <w:r>
              <w:rPr>
                <w:rFonts w:hint="eastAsia" w:cs="宋体"/>
                <w:color w:val="000000"/>
                <w:sz w:val="28"/>
                <w:szCs w:val="28"/>
                <w:highlight w:val="none"/>
                <w:lang w:val="en-US"/>
              </w:rPr>
              <w:t xml:space="preserve">支持指定专业叫号。</w:t>
            </w:r>
            <w:r>
              <w:rPr>
                <w:rFonts w:cs="宋体"/>
                <w:color w:val="000000"/>
                <w:sz w:val="28"/>
                <w:szCs w:val="28"/>
                <w:highlight w:val="none"/>
                <w:lang w:val="en-US"/>
              </w:rPr>
            </w:r>
            <w:r/>
          </w:p>
          <w:p>
            <w:pPr>
              <w:pStyle w:val="1083"/>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支持多种设备：电脑、智能电视、电子门牌等。</w:t>
            </w:r>
            <w:r>
              <w:rPr>
                <w:rFonts w:cs="宋体"/>
                <w:color w:val="000000"/>
                <w:sz w:val="28"/>
                <w:szCs w:val="28"/>
                <w:highlight w:val="none"/>
                <w:lang w:val="en-US" w:eastAsia="zh-CN"/>
              </w:rPr>
            </w:r>
            <w:r/>
          </w:p>
          <w:p>
            <w:pPr>
              <w:pStyle w:val="1083"/>
              <w:numPr>
                <w:ilvl w:val="0"/>
                <w:numId w:val="46"/>
              </w:numPr>
              <w:jc w:val="both"/>
              <w:spacing w:line="240" w:lineRule="auto"/>
              <w:rPr>
                <w:rFonts w:cs="宋体"/>
                <w:color w:val="000000"/>
                <w:sz w:val="28"/>
                <w:szCs w:val="28"/>
                <w:highlight w:val="none"/>
                <w:lang w:val="en-US" w:eastAsia="zh-CN"/>
              </w:rPr>
            </w:pPr>
            <w:r>
              <w:rPr>
                <w:rFonts w:hint="eastAsia" w:cs="宋体"/>
                <w:color w:val="000000"/>
                <w:sz w:val="28"/>
                <w:szCs w:val="28"/>
                <w:highlight w:val="none"/>
                <w:lang w:val="en-US" w:eastAsia="zh-CN"/>
              </w:rPr>
              <w:t xml:space="preserve">支持语音播报，显示考生信息、考站和房间信息等提示内容。</w:t>
            </w:r>
            <w:r>
              <w:rPr>
                <w:rFonts w:cs="宋体"/>
                <w:color w:val="000000"/>
                <w:sz w:val="28"/>
                <w:szCs w:val="28"/>
                <w:highlight w:val="none"/>
                <w:lang w:val="en-US" w:eastAsia="zh-CN"/>
              </w:rPr>
            </w:r>
            <w:r/>
          </w:p>
        </w:tc>
      </w:tr>
      <w:tr>
        <w:trPr/>
        <w:tc>
          <w:tcPr>
            <w:tcW w:w="916"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师资管理与师资绩效</w:t>
            </w: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建立师资档案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建立师资档案。可注册新建也可导入。档案标签包括基本信息、担任角色、带教经历、历史评价、教学活动记录。担任角色、带教经历、历史评价、教学活动记录与系统的角色管理、入科分配、评价管理、教学活动管理互相关联，相关信息自动汇总到档案中的对应标签。档案中可记录师资人员参加过的各级师资培训，可上传培训证明。扩展性的档案配置功能，可以根据院方要求配置档案项目，并指定是否可由师资自行维护。</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师资档案查询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向多个管理角色开放师资档案的查询。可根据姓名、工号、职称、师资类型、状态筛选需要查询的师资人员。</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档案审核</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可设置档案维护内容是否需要审核，管理部门对设置为需要审核的内容进行审核，确认填报数据的准确性。</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师资绩效</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绩效模型配置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模型配置可自定义系统内相关业务模块及其核算方式。绩效标准系数值可调整。绩效数据支持导入及系统提取等生成方式。可配置纳入绩效计算的数据类型，如师资的类别、带教人次、授课课时、学员考核成绩、获得的评价等。可配置每一项纳入绩效计算的数据在最终的绩效计算结果中的权重。系统根据绩效计算公式自动获取相关数据进行计算。也可通过系统填报绩效计算所需的相关数据。如：论文课题、获得奖项。系统根据计算公式，结合自动获取及人工填报的数据自动计算绩效结果。可自动生成津贴发放表和师资评分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带教费报表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根据带教费发放规则，系统自动生成绩效明细报表，可展示绩效计算结果，可回溯得出绩效结果的相关数据。系统可根据绩效计算结果生成人员绩效津贴发放明细。</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师资评分表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可根据客户提供师资评分表，进行绩效配置，查询师资某时间段教学工作评分并导出。</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科室绩效</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绩效模型配置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模型配置可自定义系统内相关业务模块及其核算方式。绩效标准系数值可调整。绩效数据支持导入及系统提取等生成方式。绩效上报确认可设置系统内角色，且支持多个角色逐级上报，最终上报给教学管理部门。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教学管理人员可按年度、季度、月度等时间范围创建绩效项目，根据预设的绩效模型设置要求统计绩效数据。绩效开启发布功能或教学管理人员审批不通过时，科室上报相关角色均可接收消息通知。实时展示科室针对绩效明细数据的确认上报情况。支持自定义报表导出绩效内容。</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绩效生成</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绩效项目发布后，绩效模型设置的上报角色可查阅绩效明细数据。模型设置的可调整指标，支持上报角色修改后，将全部绩效数据结果进行确认上报操作。支持自定义报表导出科室绩效内容。</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w:t>
            </w: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用户管理</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用户管理</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按照人员角色进行用户分组管理，支持按照用户组进行人员权限批量设置。支持添加督导组，设置督导组名称，管理各组成员。督导信息与师资管理平台师资信息相关联，可维护督导老师个人信息，包括一般基本信息、所在督导组、承担职务、负责的科室（可多选）等信息。</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基础设置</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督导工作计划</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管理员支持为各督导分配年度督导任务，包括理论教学督导任务量、临床教学督导任务量、考核督导任务量等。</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评分表单配置</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支持按照不同的督导类别设置不同的评分表，包括评分指标、分值、分制，打分模式（数字、等级等），评分表支持与督导任务类别关联，关联的评分表在督导打分时自动匹配。保证督导执行任务时评分表的一致性。</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范围</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范围</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与各业务模块督导内容对接，提供独立入口：（1）住院医师规范化培训督导；（2）实习督导；（3）本科理论及见习督导；（4）进修督导；（5）模拟教学督导</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督导反馈</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督导专家督导完成督导工作后，在系统里填写督导评分表和意见，上报给管理部门，管理部门整理审核后从系统反馈给专业基地、科室、教学管理人员，专业基地、科室进行整改并上传结果。</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督导意见查询</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系统支持自动汇总查询，管理员、科室以及带教老师皆可查询自己权限范围内的内容，管理员支持查询全院督导反馈的内容，督导意见查询支持按照多种方式查询汇总，支持按照督导查询，查询督导老师历次的督导情况。</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督导工作量</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督导工作量</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支持督导工作量分类统计，用于发放督导绩效和考评。</w:t>
            </w:r>
            <w:r>
              <w:rPr>
                <w:rFonts w:ascii="宋体" w:hAnsi="宋体" w:cs="宋体"/>
                <w:color w:val="000000"/>
                <w:sz w:val="28"/>
                <w:szCs w:val="28"/>
                <w:highlight w:val="none"/>
              </w:rPr>
            </w:r>
            <w:r/>
          </w:p>
        </w:tc>
      </w:tr>
      <w:tr>
        <w:trPr/>
        <w:tc>
          <w:tcPr>
            <w:tcW w:w="916"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智慧数据</w:t>
            </w: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月度报表</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月度报表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以专业基地、科室生成教学工作月报表，通过月报形式自动告知 专业基地主任、科室教学主任，本专业学员或本月本科室教学情况，内容包括：入科进度及带教老师分配情况、入科教育完 成及时性、各类教学活动的组织及完成情况、教学师生互评情况、出科考核完成及时性等。并对特殊情况进行预警。</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年度报表</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年度报表</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可结合学员各类成绩，生成年度报表。</w:t>
            </w:r>
            <w:r>
              <w:rPr>
                <w:rFonts w:ascii="宋体" w:hAnsi="宋体" w:cs="宋体"/>
                <w:color w:val="000000"/>
                <w:sz w:val="28"/>
                <w:szCs w:val="28"/>
                <w:highlight w:val="none"/>
              </w:rPr>
            </w:r>
            <w:r/>
          </w:p>
        </w:tc>
      </w:tr>
      <w:tr>
        <w:trPr/>
        <w:tc>
          <w:tcPr>
            <w:tcW w:w="916"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94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智能分析</w:t>
            </w:r>
            <w:r>
              <w:rPr>
                <w:rFonts w:ascii="宋体" w:hAnsi="宋体" w:cs="宋体"/>
                <w:color w:val="000000"/>
                <w:sz w:val="28"/>
                <w:szCs w:val="28"/>
                <w:highlight w:val="none"/>
              </w:rPr>
            </w:r>
            <w:r/>
          </w:p>
        </w:tc>
        <w:tc>
          <w:tcPr>
            <w:tcW w:w="9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智能分析</w:t>
            </w:r>
            <w:r>
              <w:rPr>
                <w:rFonts w:ascii="宋体" w:hAnsi="宋体" w:cs="宋体"/>
                <w:color w:val="000000"/>
                <w:sz w:val="28"/>
                <w:szCs w:val="28"/>
                <w:highlight w:val="none"/>
              </w:rPr>
            </w:r>
            <w:r/>
          </w:p>
        </w:tc>
        <w:tc>
          <w:tcPr>
            <w:tcW w:w="2196"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系统使用情况分析可视化动态呈现：登录用户、在用用户、在线排名、使用详情等。（2）住培管理数据平台可视化动态呈现：入科分配情况、出科考核情况、轮转手册填写情况、教学活动发布及参与情况、考勤签 到情况、审核管理情况、评估情况等。（3）教学情况数据平台可视化动态呈现：课程属性、课程数量、课程开发、科目课程、课程培训情况统计分析等。（4）物资数据平台可视化动态呈现：技能中心空间使用情况、设备物资使用情况、教学模型使用情况、耗材库存及损耗情况。</w:t>
            </w:r>
            <w:r>
              <w:rPr>
                <w:rFonts w:ascii="宋体" w:hAnsi="宋体" w:cs="宋体"/>
                <w:color w:val="000000"/>
                <w:sz w:val="28"/>
                <w:szCs w:val="28"/>
                <w:highlight w:val="none"/>
              </w:rPr>
            </w:r>
            <w:r/>
          </w:p>
        </w:tc>
      </w:tr>
    </w:tbl>
    <w:p>
      <w:pPr>
        <w:pStyle w:val="963"/>
        <w:rPr>
          <w:rFonts w:ascii="宋体" w:hAnsi="宋体" w:cs="宋体"/>
          <w:color w:val="000000"/>
          <w:sz w:val="28"/>
          <w:szCs w:val="28"/>
          <w:highlight w:val="none"/>
        </w:rPr>
      </w:pPr>
      <w:r>
        <w:rPr>
          <w:rFonts w:ascii="宋体" w:hAnsi="宋体" w:cs="宋体"/>
          <w:color w:val="000000"/>
          <w:sz w:val="28"/>
          <w:szCs w:val="28"/>
          <w:highlight w:val="none"/>
        </w:rPr>
      </w:r>
      <w:r/>
    </w:p>
    <w:p>
      <w:pPr>
        <w:pStyle w:val="96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（2）</w:t>
      </w:r>
      <w:r>
        <w:rPr>
          <w:rFonts w:hint="eastAsia" w:ascii="宋体" w:hAnsi="宋体" w:cs="宋体"/>
          <w:b/>
          <w:color w:val="000000"/>
          <w:sz w:val="28"/>
          <w:szCs w:val="28"/>
          <w:highlight w:val="none"/>
        </w:rPr>
        <w:t xml:space="preserve">临床技能中心配套设备</w:t>
      </w:r>
      <w:r>
        <w:rPr>
          <w:rFonts w:ascii="宋体" w:hAnsi="宋体" w:cs="宋体"/>
          <w:color w:val="000000"/>
          <w:sz w:val="28"/>
          <w:szCs w:val="28"/>
          <w:highlight w:val="none"/>
        </w:rPr>
      </w:r>
      <w:r/>
    </w:p>
    <w:tbl>
      <w:tblPr>
        <w:tblW w:w="50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203"/>
        <w:gridCol w:w="6533"/>
        <w:gridCol w:w="691"/>
      </w:tblGrid>
      <w:tr>
        <w:trPr/>
        <w:tc>
          <w:tcPr>
            <w:tcW w:w="6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类别</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硬件名称</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技术参数</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数量</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视频监控系统</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全景摄像机</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400万海螺型网络摄像机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最高分辨率可达2688 × 1520 @25 fps，在该分辨率下可输出实时图像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越界侦测：场景变更侦测，区域入侵侦测，越界侦测，进入区域侦测，离开区域侦测，物品遗留侦测，物品拿取侦测，徘徊侦测，停车侦测，人员聚集侦测，快速移动侦测，音频异常侦测，音频抖升侦测，音频抖降侦测</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支持背光补偿，强光抑制，3D数字降噪，120 dB宽动态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支持与医院现有平台对接。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采用高效阵列红外灯，使用寿命长，红外照射距离最远可达30 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支持最大256 GB卡本地存储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1个内置麦克风，高清拾音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1路报警输入，1路报警输出（报警输出最大支持DC12 V，30 mA），1路音频输入，1路音频输出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支持电源输出，支持DC12 V，100 mA电源输出，可用于拾音器供电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符合IP66防尘防水设计，</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可靠性高网络：1个RJ45 10 M/100 M自适应以太网口</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高保真拾音器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模拟拾音器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采用高灵敏度高保真麦克风，全向拾音、声音清晰、抗干扰能力强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内置输出级驱动电路，可直接驱动耳机等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适合近距离拾音，最佳拾音范围在3米之内</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自带拾音距离调节旋钮，可根据现场需要调节音量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适用于柜台，收银，谈话桌，会议录音等场所</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拾音头内置雷击保护、电源极性反转保护和电源保护模块</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创新电路设计，内容清晰，音效高保真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支持吸顶安装、桌面安装和壁装</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支持音量调节功能，与主机级联后可通过后台软件切换通道并调节音量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支持集中供电、摄像机供电、直流电源供电，无需专用电源</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麦克风: 一个高灵敏度全指向驻极体麦</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6T硬盘</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6TB容量，3.5英寸 SATA 3.0接口，5400RPM</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高达256MiB缓冲区，流畅存储视频有效防止丢帧</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24×7全天候高效稳定运行年度工作负载等级为180TB/年</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MTBF可达1,000,000小时</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高级格式（AF）512e扇区技术，保障硬盘扇区4K对齐</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支持3年质保服务</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视频分配器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输入:HDMI:4 输出HDMI:2;</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65寸液晶监视器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支持3840*2160@60Hz超高清显示</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采用金属外壳；</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支持远程集中控制</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内置喇叭及功放，支持音频输入支持U盘点播，含文本、图片、音频、视频等多种格式多媒体播放</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支持7 × 24 小时工作模式</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★需提供CNAS、CMA标识的第三方检测报告、CCC认证、节能产品认证证书、环境标志产品认证证书。</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HDMI线</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12米</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HDMI线</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3米</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人脸识别签到机</w:t>
            </w:r>
            <w:r>
              <w:rPr>
                <w:rFonts w:ascii="宋体" w:hAnsi="宋体" w:cs="宋体"/>
                <w:color w:val="000000"/>
                <w:sz w:val="28"/>
                <w:szCs w:val="28"/>
                <w:highlight w:val="none"/>
              </w:rPr>
            </w:r>
            <w:r/>
          </w:p>
        </w:tc>
        <w:tc>
          <w:tcPr>
            <w:tcW w:w="3018" w:type="dxa"/>
            <w:vAlign w:val="center"/>
            <w:textDirection w:val="lrTb"/>
            <w:noWrap w:val="false"/>
          </w:tcPr>
          <w:p>
            <w:pPr>
              <w:pStyle w:val="963"/>
              <w:numPr>
                <w:ilvl w:val="0"/>
                <w:numId w:val="4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设备外观：触摸显示屏，屏幕分辨率800×480，200万像素双目宽动态摄像头，支持照片视频防假；</w:t>
            </w:r>
            <w:r>
              <w:rPr>
                <w:rFonts w:ascii="宋体" w:hAnsi="宋体" w:cs="宋体"/>
                <w:color w:val="000000"/>
                <w:sz w:val="28"/>
                <w:szCs w:val="28"/>
                <w:highlight w:val="none"/>
              </w:rPr>
            </w:r>
            <w:r/>
          </w:p>
          <w:p>
            <w:pPr>
              <w:pStyle w:val="963"/>
              <w:numPr>
                <w:ilvl w:val="0"/>
                <w:numId w:val="47"/>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认证方式：内置身份证阅读模块，支持人证（身份证）比对功能，即将现场抓拍的人脸照片与身份证芯片内人脸小图进行比对，比对时间1s/人；</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3）设备容量≥10000条事件记录，≥10000张证件抓拍照；通讯方式：支持USB接口输出身份证信息、比对结果及抓拍照片。</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11寸平板电脑</w:t>
            </w:r>
            <w:r>
              <w:rPr>
                <w:rFonts w:ascii="宋体" w:hAnsi="宋体" w:cs="宋体"/>
                <w:color w:val="000000"/>
                <w:sz w:val="28"/>
                <w:szCs w:val="28"/>
                <w:highlight w:val="none"/>
              </w:rPr>
            </w:r>
            <w:r/>
          </w:p>
        </w:tc>
        <w:tc>
          <w:tcPr>
            <w:tcW w:w="3018"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尺寸:11 英寸, 分辨率:2560 × 1600, 机身内存（ROM）:128 GB,运行内存（RAM）:6 GB.</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★需提供节能产品认证证书。</w:t>
            </w:r>
            <w:r>
              <w:rPr>
                <w:rFonts w:hint="eastAsia"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30</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40位充电柜</w:t>
            </w:r>
            <w:r>
              <w:rPr>
                <w:rFonts w:ascii="宋体" w:hAnsi="宋体" w:cs="宋体"/>
                <w:color w:val="000000"/>
                <w:sz w:val="28"/>
                <w:szCs w:val="28"/>
                <w:highlight w:val="none"/>
              </w:rPr>
            </w:r>
            <w:r/>
          </w:p>
        </w:tc>
        <w:tc>
          <w:tcPr>
            <w:tcW w:w="3018" w:type="dxa"/>
            <w:vAlign w:val="center"/>
            <w:textDirection w:val="lrTb"/>
            <w:noWrap w:val="false"/>
          </w:tcPr>
          <w:p>
            <w:pPr>
              <w:pStyle w:val="963"/>
              <w:numPr>
                <w:ilvl w:val="0"/>
                <w:numId w:val="4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内置USB 5V2.4A直流充电口48个并对应配48条绿色数据线（充电IC芯片智能识别平板、手机等设备所需要的电流，安全、稳定、高效）；</w:t>
            </w:r>
            <w:r>
              <w:rPr>
                <w:rFonts w:ascii="宋体" w:hAnsi="宋体" w:cs="宋体"/>
                <w:color w:val="000000"/>
                <w:sz w:val="28"/>
                <w:szCs w:val="28"/>
                <w:highlight w:val="none"/>
              </w:rPr>
            </w:r>
            <w:r/>
          </w:p>
          <w:p>
            <w:pPr>
              <w:pStyle w:val="963"/>
              <w:numPr>
                <w:ilvl w:val="0"/>
                <w:numId w:val="48"/>
              </w:numPr>
              <w:rPr>
                <w:rFonts w:ascii="宋体" w:hAnsi="宋体" w:cs="宋体"/>
                <w:color w:val="000000"/>
                <w:sz w:val="28"/>
                <w:szCs w:val="28"/>
                <w:highlight w:val="none"/>
              </w:rPr>
            </w:pPr>
            <w:r>
              <w:rPr>
                <w:rFonts w:hint="eastAsia" w:ascii="宋体" w:hAnsi="宋体" w:cs="宋体"/>
                <w:color w:val="000000"/>
                <w:sz w:val="28"/>
                <w:szCs w:val="28"/>
                <w:highlight w:val="none"/>
              </w:rPr>
              <w:t xml:space="preserve">每口独立充电并具备智能LED转灯功能（红灯：充电状态 中，绿灯：充满/未连接），且有对应的数字序号；</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3、金属按钮开关，可过15A以上大电流，兼具电源开关和通电指示功能，单120mm风扇，搭配智能温控系统，30℃±8自动启停</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网络系统</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无线AP</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无电源及注入模块；802.11ac Wave2双频四流，3000Mbps；推荐用户数60-80；支持云端远程管理、监控、云认证、云运维、网络优化的能力。支持可视化配置与监控；支持丰富的认证方式</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AC控制器授权</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授权数量：32路；要求能够匹配医院现有AC控制器</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有线广播系统</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IP吸顶音响</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1.具有1个10/100MRJ45网络交换机接口，支持局域网与广域网</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.内置≥</w:t>
            </w:r>
            <w:r>
              <w:rPr>
                <w:rFonts w:ascii="宋体" w:hAnsi="宋体" w:cs="宋体"/>
                <w:color w:val="000000"/>
                <w:sz w:val="28"/>
                <w:szCs w:val="28"/>
                <w:highlight w:val="none"/>
              </w:rPr>
              <w:t xml:space="preserve">8</w:t>
            </w:r>
            <w:r>
              <w:rPr>
                <w:rFonts w:hint="eastAsia" w:ascii="宋体" w:hAnsi="宋体" w:cs="宋体"/>
                <w:color w:val="000000"/>
                <w:sz w:val="28"/>
                <w:szCs w:val="28"/>
                <w:highlight w:val="none"/>
              </w:rPr>
              <w:t xml:space="preserve">W数字功放，低功耗设置</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4.提供符合以太网供电（POE）系统IEEE802.3af/at标准的接口和DC供电接口。</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IP云网络广播控制中心</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1.IP网络广播系统软件运行载体，是网络广播系统管理控制中心，对整套广播系统进行实时有效的管理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2.防震抗干扰，加能静音，耐高低温，适应各种环境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3.17寸大幅彩屏，触摸屏和鼠标两种操控方式，操作更便利</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4.面板设有2路3.0的USB接口，方便于用户拷贝资料和扩展连接设备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5.设有2路话筒输入，2路线路输入，每路输入具有独立音量调节，1路线路输出，1路短路触发接口，用于扩展自动或手动打开主机，设有5路232串口选配输出，方于用户扩展使用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6.内置PC播放器，能自动或手动播放多种音频格式文件，具有同步广播，分区广播，终端广播，设备控制，终端控制，编辑程序，下载程序等功能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7.支持安卓手机端软件控制分区实时喊话.选择手机本地文件进行分区文件广播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处理器：≥CPUi3；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显示屏：≥17寸高分辨率触摸LED液晶屏，1920*1080分辨率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内存：≥DDR3代8G台式机内存，可扩展至16G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硬盘：≥128GSSD固态硬盘，内置硬盘盒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键鼠：抽拉式键盘+触控板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显卡：集成显卡</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扩展槽：1*PCIEx16，1*PCIEx4，2*PCI</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网络接口：2*10/100/1000Mbps自适应网口，支持远程唤醒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接口数量：1*VGA，1*DVI，6*COM，6*USB</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网络化、智能化广播控制软件</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产品功能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1.采用B/S架构，用户可随时通过web客户端访问，无需安装专用客户端，安全灵活。</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2.平台显示终端的：设备ID.设备名称.网络信息及在线状态.通话编码.默认音量和设置图标，平台可随时监测和查询各终端即时工作状态。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3.支持Android操作系统手机APP管理和操作，简单方便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4.支持单点播放：可以对任意单点.组群.分区或全部广播。系统可以在同一时间设定任意多个组播放制定的音频节目，或对任意指定的区域进行广播讲话。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5.支持自动音乐打铃：支持多套定时打铃方案同时运行，能够设置个性化的音乐铃声，自动按照编排好的作息时间表播放铃声。播放音频可定义自动打开电源时间，播放结束后自动关闭。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6.远程分控讲话：无需到广播中心，通过与服务器连接的任意一台电脑，便可以实现广播的远程控制从而实现领导通过电脑远程对全区.分区.分组讲话。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7.音频实时采播：能够将自用电台.录音机卡座.CD播放器.MP3播放器.麦克风等节目实时采播实时压缩成高音质数据流，并可按要求同时转播到指定的广播终端，用于播放外接设备广播及广播通知等。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8.分区自由点播：可控制分布在每个广播点的广播终端完成服务器中资料库的任意点播。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9.定时节目播放功能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10.支持一键呼叫.一键对讲.一键求助.一键报警等通话模式，支持自动接听.手动接听，支持自定义接听提示音。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寻呼对讲录音功能：终端可以对其他单个或多个终端实现呼叫，终端与终端之间还可以双向对讲（多个终端对讲，会议模式）。系统提供终端对讲按指定时长分多个文件保存的录音功能，从而实现控制室对任意区域的广播点讲话并同时进行录音功能，办公室之间.广播点之间.办公室与广播点之间的呼叫对讲及录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12.广播监听：在广播管理中心或者领导办公室，可以实时监听到所有的广播节目。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13.本地扩音：广播点内IP广播.本地扩音共用音箱，实现广播点内声音的智能切换。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14.报警联动：结合网络报警主机接收报警信号，在服务器软件上预先设置报警模式，即可进行报警联动功能。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15.支持多种呼叫策略，包括呼叫等待.无人接听提醒，支持时间策略。支持设置对讲终端呼叫策略，可自定义通话时间，可选择是否自动接听，支持自定义选择来电铃声与等待铃声。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17.站点无限，扩容简便：基于IP数据网络每个终端都有独立的IP地址，只需将分控电脑或网络终端接入IP数据网络，就成功扩容了新的站点。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19.管理员可对系统当前正在执行的任务进行管理。（任务监听，任务查看，任务控制）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20.软件注册，支持序列号或加密狗方式对系统进行授权使用。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21.用户管理，管理员可以对系统下辖账号的管理，终端授权，优先级设置。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22.考试模式，针对校园使用场景，优化广播备份的切换方式在300ms内由网络切换到100v定压备份。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23.系统备份，备份系统数据，进行本地保存，提高系统的容错。在系统发生不可逆问题时，恢复备份数据，快速修复系统。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24.系统日志，实时记录系统的操作和任务执行，同时记录对讲和呼叫任务的通话记录，便于管理人员的维护和数据调取。</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7寸IP网络寻呼话筒</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1.桌面式设计，自带≥7英寸电容触摸屏控制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2.采用高速工业级芯片，采用嵌入式计算机技术和DSP音频处理技术设计</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3.支持呼叫分区及多个分区，呼叫全区广播，支持直接操作呼叫或对讲任意终端，支持直接操作监听（环境监听）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4.内置3W全频高保真扬声器，支持全双工双向对讲功能，自带网络回声消除模块，实现双向通话和网络监听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5.内置MP3解码模块，能接入U盘直接在本地播放音频文件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6.支持网络搜索IP配置，无需知道终端IP地址，可直接寻址配置，支持静态IP和DHCP两种方式配置，可跨网段跨路由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7.内置1路网络硬件音频解码模块，支持TCP/IP、UDP、IGMP(组播)协议，实现网络化传输16bit，CD音质的音频信号</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8.终端带有1路RJ45网口、1路音频线路输出、1路音频线路输入、1路USB接口</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9.支持网络远程在线升级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10.具有U-KEY接口，支持对用户操作进行授权（选配）</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11.具有1路线路输入、1路线路输出及1路MIC输入，支持外接耳机、便携式麦克风或有音源音箱进行外放功能。</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窗口双向对讲机</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窗口对讲（非可视）；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采用嵌入式Linux操作系统, 高性能嵌入式SOC处理器，系统运行稳定可靠；</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支持内机与外机之间全双工对讲。</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支持和管理中心双向对讲，支持中心主动预览与广播；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支持音频扩展，3.5mm标准音频接口可外接有源音箱；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内置全频段优质扬声器和拾音器，采用防破音技术，声音响亮清晰；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音频输入：内机：1路外接高灵敏度超心型指向鹅颈咪杆，拾音距离≥50厘米；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外机：1路内置高灵敏度全指向麦克风，拾音距离≥1米；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音频输出：内机：1路内置2W扬声器，1路3.5mm音频输出；外机：1路内置3W扬声器</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电子班牌系统</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19寸电子门牌</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18.5"Android 触摸一体机CPU：四核处理器，RAM：2+16G</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20</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多媒体会议系统</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投影仪</w:t>
            </w:r>
            <w:r>
              <w:rPr>
                <w:rFonts w:ascii="宋体" w:hAnsi="宋体" w:cs="宋体"/>
                <w:color w:val="000000"/>
                <w:sz w:val="28"/>
                <w:szCs w:val="28"/>
                <w:highlight w:val="none"/>
              </w:rPr>
            </w:r>
            <w:r/>
          </w:p>
        </w:tc>
        <w:tc>
          <w:tcPr>
            <w:tcW w:w="3018" w:type="dxa"/>
            <w:vAlign w:val="center"/>
            <w:textDirection w:val="lrTb"/>
            <w:noWrap w:val="false"/>
          </w:tcPr>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采用新型MCL复合式激光光源，色域更广，画质细腻，分辨率≥1920*1200</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显示技术采用Liquid Crystal Display显示技术，显示面板尺寸3X0.64英寸</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镜头投射比至少涵盖1.22~1.98 </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支持镜头位移，镜头位移范围至少涵盖：V:＋60%～0%、 H:±29%</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亮度≥6200流明，对比度≥5000000:1；寿命≥20000小时；支持7*24小时不间断运行；</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在投影菜单中可以对画面进行4角调整、6角调整、11*17点格点拉伸以及水平和垂直梯形矫正等功能，更便于投影机画面调节；</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投影机支持2x360度灵活投影，且吊装时会自动旋转画面至正常观影角度。</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菜单中可调节画面模式为DICOM图像模式以及黑板模式</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采用内循环密闭散热系统，高效冷却和低噪音优势并存；</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可通过智能手机或平板电脑控制投影机机运行状态、支持Crestron、PJlink等网络控制投影机;</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在菜单中可以调节画面比例为16:9，16:10，4：3</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输入接口具备：VGA*1，HDMI 1.4B(IN) *2，USB，R</w:t>
            </w:r>
            <w:r>
              <w:rPr>
                <w:rFonts w:ascii="宋体" w:hAnsi="宋体" w:cs="宋体"/>
                <w:color w:val="000000"/>
                <w:sz w:val="28"/>
                <w:szCs w:val="28"/>
                <w:highlight w:val="none"/>
              </w:rPr>
              <w:t xml:space="preserve">J45 </w:t>
            </w:r>
            <w:r>
              <w:rPr>
                <w:rFonts w:hint="eastAsia" w:ascii="宋体" w:hAnsi="宋体" w:cs="宋体"/>
                <w:color w:val="000000"/>
                <w:sz w:val="28"/>
                <w:szCs w:val="28"/>
                <w:highlight w:val="none"/>
              </w:rPr>
              <w:t xml:space="preserve">音频口</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输出接口具备：VGA*1，Audio out*1，RS232*1，RJ45*1，USB</w:t>
            </w:r>
            <w:r>
              <w:rPr>
                <w:rFonts w:ascii="宋体" w:hAnsi="宋体" w:cs="宋体"/>
                <w:color w:val="000000"/>
                <w:sz w:val="28"/>
                <w:szCs w:val="28"/>
                <w:highlight w:val="none"/>
              </w:rPr>
            </w:r>
            <w:r/>
          </w:p>
          <w:p>
            <w:pPr>
              <w:pStyle w:val="963"/>
              <w:numPr>
                <w:ilvl w:val="0"/>
                <w:numId w:val="49"/>
              </w:numPr>
              <w:tabs>
                <w:tab w:val="left" w:pos="312"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支持红外控制、支持RS232串口控制</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5</w:t>
            </w:r>
            <w:r>
              <w:rPr>
                <w:rFonts w:hint="eastAsia" w:ascii="宋体" w:hAnsi="宋体" w:cs="宋体"/>
                <w:color w:val="000000"/>
                <w:sz w:val="28"/>
                <w:szCs w:val="28"/>
                <w:highlight w:val="none"/>
              </w:rPr>
              <w:t xml:space="preserve">.提供投影机3C证书、节能环保证书并加盖生产商公章；</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6</w:t>
            </w:r>
            <w:r>
              <w:rPr>
                <w:rFonts w:hint="eastAsia" w:ascii="宋体" w:hAnsi="宋体" w:cs="宋体"/>
                <w:color w:val="000000"/>
                <w:sz w:val="28"/>
                <w:szCs w:val="28"/>
                <w:highlight w:val="none"/>
              </w:rPr>
              <w:t xml:space="preserve">.所投激光投影机品牌方和工厂均通过ISO9001,IOS14001认证</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无线投屏器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1无线连接方式:插入按键安装程序，自动运行，一键分享</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2、无需在PC上安装软件，无需占用电脑WI-FI；无线投屏主机自带Wifi无线桥接局域网保证手机连接主机同时可上网</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3、单USB接口设计，无需额外供电线及其他端口</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4、兼容Windows 7/8.1/10 32位和64位，MAC OS X 10,10/10.11/10.12/10.13,兼容IOS9,OS X 10.10/10.11和以上版本，Android 5.0</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5、传屏不占用电脑wifi，电脑仍可以上网</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6、无线传输距离:可达30米视距，主机和按键之间</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ascii="宋体" w:hAnsi="宋体" w:cs="宋体"/>
                <w:color w:val="000000"/>
                <w:sz w:val="28"/>
                <w:szCs w:val="28"/>
                <w:highlight w:val="none"/>
              </w:rPr>
              <w:t xml:space="preserve">7</w:t>
            </w:r>
            <w:r>
              <w:rPr>
                <w:rFonts w:hint="eastAsia" w:ascii="宋体" w:hAnsi="宋体" w:cs="宋体"/>
                <w:color w:val="000000"/>
                <w:sz w:val="28"/>
                <w:szCs w:val="28"/>
                <w:highlight w:val="none"/>
              </w:rPr>
              <w:t xml:space="preserve">,无线传输速率:可达867Mbps </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8、传输延时：延时小于120ms</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9、视频输出分辨率：HDMI ;1024x768、1280x720、1280x800、1280x1024、1366x768、1920x1080、1920X1200. 4K</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支持4:3、16:9、16:10输出，便于连接各种显示终端</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0</w:t>
            </w:r>
            <w:r>
              <w:rPr>
                <w:rFonts w:hint="eastAsia" w:ascii="宋体" w:hAnsi="宋体" w:cs="宋体"/>
                <w:color w:val="000000"/>
                <w:sz w:val="28"/>
                <w:szCs w:val="28"/>
                <w:highlight w:val="none"/>
              </w:rPr>
              <w:t xml:space="preserve">、同时显示源端数量:最大1路</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ascii="宋体" w:hAnsi="宋体" w:cs="宋体"/>
                <w:color w:val="000000"/>
                <w:sz w:val="28"/>
                <w:szCs w:val="28"/>
                <w:highlight w:val="none"/>
              </w:rPr>
              <w:t xml:space="preserve">11</w:t>
            </w:r>
            <w:r>
              <w:rPr>
                <w:rFonts w:hint="eastAsia" w:ascii="宋体" w:hAnsi="宋体" w:cs="宋体"/>
                <w:color w:val="000000"/>
                <w:sz w:val="28"/>
                <w:szCs w:val="28"/>
                <w:highlight w:val="none"/>
              </w:rPr>
              <w:t xml:space="preserve">、支持扩展屏模式/支持屏幕旋转（竖屏）</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、默认情况下盒子支持10个USB按键1</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、支持安卓投屏时音视频同时输出，同时兼容Mirrcast无线投射</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幕布</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150寸16:9电动幕布；幕布宽3.32米，高1.86米；外壳3.6米；无线和有线双遥控；</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数字音频处理器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1.2进4出矩阵式数字音频处理器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2.高达96KHz采样频率，32-bitDSP处理器，24-bitA/D及D/A转换器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每个输入和输出处理均有6段独立的全参量均衡，调节增益范围可达±20dB，同时还可选择参量、高调、低调、1阶全通、2阶全通5种均衡模式；均有延时和相位控制及哑音设置，延时最长可达1000ms，延时单位可选择毫秒(ms)、米(m)、英尺(ft)三种，延时可通过粗调及细调模式进行调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4.每个输入通道可调噪声门，并且每个输入通道有两段全参数可调的动态均衡（DEQ），自动增益控制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5.输出通道还可独立控制压缩、限幅及自由选择输入信号通道，并能将某通道的所有参数复制到另外一个通道同时进行联动控制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6.设备内每个功能支持单独锁定，可根据现场要求任意开放或锁定某一个单独的功能，防止误操作和数据保密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7.可通过面板的功能键和拔轮进行功能设置，也可连接电脑通过PC控制软件来控制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8.提供USB2.0、USB3.0和RS485连接电脑或中控设备，其中RS485接口可级连250台设备设ID进行控制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9.设备软件内置中控代码生成器、可实现一键中英文切换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10.设备内置网页版控制软件，可以通过TCP/IP网络控制接口实现网络远程控制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11.2x24LCD蓝色背光显示功能设置，8段LED精确显示输入/输出的数字电平表、哑音及编辑状态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12.单机可存储30组用户程序数据</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8路专业调音台</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1.6路两用话筒输入，1组（2路）立体声输入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2.具有数字显示屏，内置99种DSP效果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3.1组主输出，1路效果输出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4.输入每路具有三段可调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5.带48V幻像供电</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6.带录音功能的多功能MP3播放器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7.总输出7段均衡可调</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300W专业功放</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1.采用H类电路设计，具有高效率的功率转换和高动态表现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2.环牛电源变压器，10000UF超大电解电容，保证连续的功率输出和高负载特性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3.系统采用计算机模拟仿真设计，通道输入输出之间零干扰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4.电源采用独立屏蔽方式，对信号的干扰减到最低，有更高的用电安全性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5.独特的在线负载阻值检测，支持检测分析系统温度以调整输出累积功率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6.提供立体声、桥接、并联三种工作模式可选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7.XLR平衡接头输入和输出，提供纽崔克和接线柱两种扬声器连接方式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8.前面板带有精确的音量旋钮控制，并具有故障.削峰.信号和电源指示灯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9.配备延时启动系统，有效避免开机浪涌，保护音箱不受冲击而损坏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10.第五代散热架构，机器内部拥有从前到后的导风系统，风机会随机内的温度自动升高而加速排热</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11.提供全功能保护，包括直流保护、过载保护、短路保护、过热保护、软启动、失真限幅输出等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立体声输出：2x300W/8Ω2x525W/4Ω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桥接输出：900W/8Ω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频率响应：20Hz～20KHz(±1dB)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输入灵敏度：0.775V</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谐波失真：&lt;0.1%(1KHz,8Ω)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信噪比：≥100dB(A计权)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转换速率：25V/μS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输入阻抗：平衡20KΩ/不平衡10KΩ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阻尼系数：≥300(1KHz,8Ω)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通道隔离度：60dB@8Ω1KHz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工作电源：AC190-220V~50/60Hz</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8寸多功能音箱（带支架）</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1.8"大功率低音+1"高能压缩高音构成的两分频专业音箱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2.不规则四面多用途箱体，适合不同场合与不同功能用途使用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3.H80°xV60°可90度旋转的恒指向方形号角适用于中短距离的投射使用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4.优质高效无源12dB倍频程及高音单元均衡处理分频器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5.多功能厅与中小型会场专用设计，高密度板材制作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6.钢制面网贴有声学透声防水海绵，并具有良好的透声率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系统类型：两分频无源音箱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扬声器单元：中低音单元1x8"，高音单元1x1"</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额定功率：200W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节目功率：400W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峰值功率：800W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标称阻抗：8Ω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频响范围：70Hz～18KHz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灵敏度：94dB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最大声压：117dB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节目声压：120dB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峰值声压：123dB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辐射角度：80°x60°（可旋转）</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连接器：2xNeutrikNL4</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8路电源时序器</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1.8路电源时序控制，每路延时1秒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2.采用多功能一体化设计，1U机箱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3.设备级联接口采用RJ45网头设计，通过网钳制作网线即可。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4.支持RS232.RS485串口输入控制。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5.支持串口指令独立控制以及串口独立控制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6.支持设备多台级联</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7.支持无源消防信号启动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工作电压：AC220V/50~60HZ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最大负载：&lt;7000W（阻性负载）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单路负载：&lt;4000W</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可控路数：8路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外部控制：标准RS232/RS485串口控制</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一拖二无线话筒</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功能特点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1.一拖二无线手持话筒，支持混合和独立输出，每个通道音频音量输出独立可控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2.具有LED显示屏，可显示RF和AF信号强度，频率，频率组/频道等工作状态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3.具有IR红外线自动对频功能,一键自动对频锁定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4.使用距离理想环境达到80m，复杂环境使用距离可达50m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5.独立设计新型底座，是要求极高的高级会议工程的理想设备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6.全新概念的抗电磁干扰电路设计，杜绝手机等电子产品的电磁干扰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7.可多组同时使用互不干扰，适合多种复杂场合使用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8.金属外壳的1U标准机柜设计结构</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技术参数</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频率范围：610MHz-670MHz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调制方式: FM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信道数目: 200个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频率稳定度: ±0.005%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动态范围:  &gt;110dB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峰值频偏: ±45KHz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音频响应: 60HZ-18KHZ(±3dB)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综合信噪比: &gt;105dB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综合失真： &lt;0.5%</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86寸会议平板</w:t>
            </w:r>
            <w:r>
              <w:rPr>
                <w:rFonts w:ascii="宋体" w:hAnsi="宋体" w:cs="宋体"/>
                <w:color w:val="000000"/>
                <w:sz w:val="28"/>
                <w:szCs w:val="28"/>
                <w:highlight w:val="none"/>
              </w:rPr>
            </w:r>
            <w:r/>
          </w:p>
        </w:tc>
        <w:tc>
          <w:tcPr>
            <w:tcW w:w="3018" w:type="dxa"/>
            <w:vAlign w:val="center"/>
            <w:textDirection w:val="lrTb"/>
            <w:noWrap w:val="false"/>
          </w:tcPr>
          <w:p>
            <w:pPr>
              <w:pStyle w:val="1079"/>
              <w:rPr>
                <w:rFonts w:ascii="宋体" w:hAnsi="宋体" w:cs="宋体"/>
                <w:color w:val="000000"/>
                <w:sz w:val="28"/>
                <w:szCs w:val="28"/>
                <w:highlight w:val="none"/>
              </w:rPr>
            </w:pPr>
            <w:r>
              <w:rPr>
                <w:rFonts w:hint="eastAsia" w:ascii="宋体" w:hAnsi="宋体" w:cs="宋体"/>
                <w:color w:val="000000"/>
                <w:sz w:val="28"/>
                <w:szCs w:val="28"/>
                <w:highlight w:val="none"/>
              </w:rPr>
              <w:t xml:space="preserve">86寸智能交互会议平板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4K显示：4K分辨率，画面细节可见；防眩光抗指纹，不惧强光；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高速书写：1mm触摸精度，书写自然流畅；智能笔锋优化，字迹逼真；</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会议内容，一键分享：书写内容可通过扫码、邮件分享，精力集中于会议内容，提升效率；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自由批注，书写无边界</w:t>
            </w:r>
            <w:r>
              <w:rPr>
                <w:rFonts w:ascii="宋体" w:hAnsi="宋体" w:cs="宋体"/>
                <w:color w:val="000000"/>
                <w:sz w:val="28"/>
                <w:szCs w:val="28"/>
                <w:highlight w:val="none"/>
              </w:rPr>
            </w:r>
            <w:r/>
          </w:p>
          <w:p>
            <w:pPr>
              <w:pStyle w:val="1079"/>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无线投屏：笔记本/台式机/手机/pad无线投屏；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协同办公：支持软、硬件视频会议，远程协作零距离；大型场景多屏互动，触摸书写大屏同步显示。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显示尺寸：86 inch LED背光源</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背光源类型：DLED</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像素间距：0.164(H) × 0.493(V) mm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物理分辨率：3840 × 2160 @60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亮度：≥350 cd/m²</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色深度：≥10 bit</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对比度：1200：1（Typ.）</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响应时间：≤6 ms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色域：90% NTSC（CIE1931）（Typ.）</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刷新率：60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可视角：178°(H)/178°(V)</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连续使用时间：7*16小时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操作系统：Android</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CPU：≥4核主频1.5 GHz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内存：3 GB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内置存储：≥32 GB</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网卡：内置百兆网卡，支持路由功能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触摸方式：红外触控</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玻璃：AG顺滑玻璃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触控点：20点</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触控响应速度：＜ 12 ms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触摸精度：90%以上的触摸区域为 ±1 mm</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触摸工艺：零贴合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内部喇叭：2个内置16W音箱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蓝牙：内置BLE低功耗蓝牙模块，支持5.0及以下蓝牙版本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音视频输入接口：HDMI IN 2路，最大4K@60Hz；LINE IN 1路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音视频输出接口：LINE OUT 1路；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控制接口：RS-232 1个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网络接口：RJ45(百兆网口) 2个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 数据传输接口：USB接口 2个前置接口，2个板载接口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电源：AC 100 V～240 V，50/60 Hz</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★需提供CNAS、CMA标识的第三方检测报告、CCC认证、节能产品认证证书、环境标志产品认证证书。 </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65寸会议平板</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面板类型：AU TFT-LCD，液晶屏</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面板尺寸：65寸</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显示比例:16：9</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分辩率:1920(RGB)×1080(FHD)</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触摸屏类型:65寸红外10点触摸屏</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触摸分辩率:4096×4096</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扫描率:50 scans/s</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透光率:钢化玻璃，透光率≥95%</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最小触摸体:2.5mm</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响应速度:＜16 ms</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触摸介质:手指、触摸笔等不透光物体</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耐久性承受超过6000万次以上的单点触摸</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供电方式:USB直接供电</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操作系统：</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Win7/Win8/Xp/VISTA/Linux/Android</w:t>
            </w:r>
            <w:r>
              <w:rPr>
                <w:rFonts w:ascii="宋体" w:hAnsi="宋体" w:cs="宋体"/>
                <w:color w:val="000000"/>
                <w:sz w:val="28"/>
                <w:szCs w:val="28"/>
                <w:highlight w:val="none"/>
              </w:rPr>
            </w:r>
            <w:r/>
          </w:p>
          <w:p>
            <w:pPr>
              <w:pStyle w:val="963"/>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中央处理器：</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四核架构， 主频≥1.8 GHz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内置存储器：</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NAND FLASH 4G(可选8G/16G/32G)</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存储器扩展：</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最高支持32GB的SD卡扩展，同时支持SATA硬盘扩展</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内存：≥16g</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CPU：≥2G</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网络：</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支持以太网、WiFi</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支持板载≥3G模块功能（可选，默认无）蓝牙</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支持板载蓝牙功能（可选，默认无）</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电源电压</w:t>
            </w:r>
            <w:r>
              <w:rPr>
                <w:rFonts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12V DC-IN</w:t>
            </w:r>
            <w:r>
              <w:rPr>
                <w:rFonts w:hint="eastAsia" w:ascii="宋体" w:hAnsi="宋体" w:cs="宋体"/>
                <w:color w:val="000000"/>
                <w:sz w:val="28"/>
                <w:szCs w:val="28"/>
                <w:highlight w:val="none"/>
              </w:rPr>
            </w:r>
            <w:r/>
          </w:p>
          <w:p>
            <w:pPr>
              <w:pStyle w:val="963"/>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★需提供CNAS、CMA标识的第三方检测报告、CCC认证、节能产品认证证书、环境标志产品认证证书。</w:t>
            </w:r>
            <w:r>
              <w:rPr>
                <w:rFonts w:hint="eastAsia"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音频辅助耗材</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国标及以上</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restart"/>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移动推车</w:t>
            </w: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可视化示教培训综合管理软件</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支持一键将远端设备投屏到本地，便于开展手术示教；</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支持手术视频支持多路并发投屏，可同时观看多间手术室视频画面；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支持静音投屏，远端声音可控，自由切换声音；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支持多路并发手术观摩，可同时支持多个示教室/报告厅/会议室观摩；</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支持视频预览画面选择，可全屏、画中画、二分屏、三分屏、四分屏等多种选择，提供最佳视觉观看比例；</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支持跨设备画面融合，支持画中画，画中画、二分屏、三分屏、四分屏等多种视频模式；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支持同时预览多台设备视频，便于控制室确认画面情况</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支持本地客户端预览、对讲音量的调节；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支持设备视频录制，通道可配置，支持静音录制，保护隐私；</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支持预览画面抓图，便于术后分析、论文编写；</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支持画面调焦、变倍、云台，查看记录更多示教细节；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支持语音对讲，便于导播台与手术室沟通；支持音频互动，满足手术与示教室直播通话需求；</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支持视频点播/图片查看，支持视频下载，便于示教后直接拷贝视频；</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支持设备IP自动更新，支持设备状态检测，支持设备时间校验；</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移动示教推车</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立柱材质：铝合金，阳极氧化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工作台高度：工作台面距离地面700mm-1100mm可调；</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工作台最大载重：≤15kg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机柜可用空间：≥7U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机柜材质：≥1.5mm厚冷轧钢板</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屏幕挂架载重：≤5kg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屏幕挂架调节角度：左右旋转±90°，水平调节±90°，俯仰角度±45°，悬停范围±170mm，可悬停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屏幕挂架升降类型：手动（螺钉紧固）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全景摄像机挂架载重：≤5kg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全景摄像机挂架载重：1/4英制螺孔</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脚轮类型：万向及双轮全制动静音脚轮*4个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电源：220VAC±20VAC，50Hz～60Hz，国标品字尾；内置8孔机柜PDU插排</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电源开关：1个</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外置输入接口：DVI-I*2；S-Video(4PIN)*1；BNC(video)*1；BNC(3G-SDI)*1；VGA*1；RJ45*1</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工作温度与湿度：-10℃ ~50℃，≤90％RH</w:t>
            </w:r>
            <w:r>
              <w:rPr>
                <w:rFonts w:hint="eastAsia" w:ascii="宋体" w:hAnsi="宋体" w:cs="宋体"/>
                <w:color w:val="000000"/>
                <w:sz w:val="28"/>
                <w:szCs w:val="28"/>
                <w:highlight w:val="none"/>
              </w:rPr>
              <w:br w:type="textWrapping" w:clear="all"/>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摄录主机</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 嵌入式硬件架构，linux操作系统，程序固化不受病毒威胁，可长期稳定运行；</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2. 支持3G-SDI、HDMI、VGA、DVI-I等4种高清视频接口，S-VIDEO、CVBS等2种标清视频接口，实现信号同步实时采集；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3. 支持4路1080P@60fps输入及环通输出，环通输出信号无损无延时，其中HDMI输入支持4K；</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4. 支持画中画和多画面融合录播（可配置）；</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5. 支持HDMI2.0和VGA解码输出，HDMI最大支持4K；</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6. 内嵌5英寸720P彩色液晶显示屏，搭配前面板按键可进行本机UI操作，支持一键开启、暂停或停止视频录制等多项操作；</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7. 支持脚踏板开关控制录像、抓图；</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8. 支持红外遥控器操作控制；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9. 采用高品质AAC音频编码技术,支持音频3进1出，支持多路混音、回音消除、啸叫抑制等处理；</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 支持RS485通信接口， HIKVISION、PELCO-P 和   PELCO-D等通信协议，可实现PTZ控制；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11. 支持本地储存（硬盘、U盘、移动硬盘）；</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12. 支持1个SATA盘，最大可支持2TB硬盘；</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13. 支持USB3.0，可实现音视频的高速录制和拷贝；</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14. 支持录像/图片文件检索、回放，支持录像循环覆盖；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15. 支持MP4格式录像大文件；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16. 支持按关键字搜索，提高检索效率；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17. 支持远程多设备间的音视频互动；</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全景相机</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支持H.265高效压缩算法，可较大节省存储空间</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支持超低照度，0.005Lux/F1.6(彩色),0.001Lux/F1.6(黑白)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支持20倍光学变倍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支持HDMI和3G-SDI视频输出接口，实现无损耗数字信号传输，最大支持1080p@60fps高帧率输出,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支持三码流技术，每路码流可独立配置分辨率及帧率</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支持区域入侵侦测、越界侦测、移动侦测等智能侦测功能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支持断网续传功能保证录像不丢失</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支持宽动态范围达120dB，适合逆光环境拍摄</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支持3D数字降噪、强光抑制、电子防抖</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支持水平0°～350°旋转，垂直方向-30°～90°</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支持300个预置位，8条巡航扫描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支持3D定位，可通过鼠标框选目标以实现目标的快速定位与捕捉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支持定时抓图与事件抓图功能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支持区域曝光与区域聚焦功能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支持定时任务、一键守望、一键巡航功能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支持1路音频输入和1路音频输出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支持1路报警输入和1路报警输出，支持报警联动功能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支持最大≥256G的卡存储</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支持红外遥控器控制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防雷、防浪涌、防突波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支持POE</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术野相机</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200万像素逐行扫描1/2.8”CMOS；</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10倍光学变焦；</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高清信号输出；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最大分辨率可达1920X1080@60；</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支持ND滤镜，多种场景模式可切换；</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支持画面冻结功能；</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支持遥控器、按键面板、RS485等多种控制方式；</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支持强光抑制、防闪烁，可在无影灯环境下提供图像清晰、色彩真实、细节丰富的</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术野相机吊臂</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最大臂展：≥1.8米</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水平180°可调，垂直-45°～50°可调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悬力平衡范围：1.5-3.5kg</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内置数据线与DC电源线</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无线麦</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频率范围：740 790MHz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调制方式：宽带FM</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可调范围：50MHz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信道数量：200</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信道间隔：250KHz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频率稳定度：±0.005%以内</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动态范围：90dB</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调制频偏：±45KHz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音频响应：80Hz～15KHz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综合信噪比：&gt;95dB</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综合失真：≤0.5%</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接收机方式：二次变频超外差</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中频频率：一中频：110MHz,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二中频: 10.7MHz</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无线接口：TNC/50Ω</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灵敏度：12 dBμV (80dBS/N)</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灵敏度调节范围：12-32 dBμV</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杂散抑制：≥75dB</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接收机指标：</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输出功率：高功率10mW；低功率3mW</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杂散抑制：-60dB</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供电：两节AA 电池</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使用时间：≥10个小时</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音箱</w:t>
            </w:r>
            <w:r>
              <w:rPr>
                <w:rFonts w:ascii="宋体" w:hAnsi="宋体" w:cs="宋体"/>
                <w:color w:val="000000"/>
                <w:sz w:val="28"/>
                <w:szCs w:val="28"/>
                <w:highlight w:val="none"/>
              </w:rPr>
            </w:r>
            <w:r/>
          </w:p>
        </w:tc>
        <w:tc>
          <w:tcPr>
            <w:tcW w:w="3018"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有源无源：有源  </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功率：≥6w</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频率响应：80Hz —20kHz  </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信噪比：80db  </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调节形式：旋钮  </w:t>
            </w:r>
            <w:r>
              <w:rPr>
                <w:rFonts w:ascii="宋体" w:hAnsi="宋体" w:cs="宋体"/>
                <w:color w:val="000000"/>
                <w:sz w:val="28"/>
                <w:szCs w:val="28"/>
                <w:highlight w:val="none"/>
              </w:rPr>
            </w:r>
            <w:r/>
          </w:p>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输入接口：3.5毫米音频接口  </w:t>
            </w:r>
            <w:r>
              <w:rPr>
                <w:rFonts w:ascii="宋体" w:hAnsi="宋体" w:cs="宋体"/>
                <w:color w:val="000000"/>
                <w:sz w:val="28"/>
                <w:szCs w:val="28"/>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tc>
      </w:tr>
      <w:tr>
        <w:trPr/>
        <w:tc>
          <w:tcPr>
            <w:tcW w:w="647" w:type="dxa"/>
            <w:vAlign w:val="center"/>
            <w:vMerge w:val="continue"/>
            <w:textDirection w:val="lrTb"/>
            <w:noWrap w:val="false"/>
          </w:tcPr>
          <w:p>
            <w:pPr>
              <w:pStyle w:val="963"/>
              <w:rPr>
                <w:rFonts w:ascii="宋体" w:hAnsi="宋体" w:cs="宋体"/>
                <w:color w:val="000000"/>
                <w:sz w:val="28"/>
                <w:szCs w:val="28"/>
                <w:highlight w:val="none"/>
              </w:rPr>
            </w:pPr>
            <w:r>
              <w:rPr>
                <w:rFonts w:ascii="宋体" w:hAnsi="宋体" w:cs="宋体"/>
                <w:color w:val="000000"/>
                <w:sz w:val="28"/>
                <w:szCs w:val="28"/>
                <w:highlight w:val="none"/>
              </w:rPr>
            </w:r>
            <w:r/>
          </w:p>
        </w:tc>
        <w:tc>
          <w:tcPr>
            <w:tcW w:w="865"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24寸监视器</w:t>
            </w:r>
            <w:r>
              <w:rPr>
                <w:rFonts w:hint="eastAsia" w:ascii="宋体" w:hAnsi="宋体" w:cs="宋体"/>
                <w:color w:val="000000"/>
                <w:sz w:val="28"/>
                <w:szCs w:val="28"/>
                <w:highlight w:val="none"/>
              </w:rPr>
            </w:r>
            <w:r/>
          </w:p>
        </w:tc>
        <w:tc>
          <w:tcPr>
            <w:tcW w:w="3018" w:type="dxa"/>
            <w:vAlign w:val="center"/>
            <w:textDirection w:val="lrTb"/>
            <w:noWrap w:val="false"/>
          </w:tcPr>
          <w:p>
            <w:pPr>
              <w:pStyle w:val="96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24寸监视器FHD塑胶</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三边超窄边框，纤薄机身</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支持8bit/10bit 双路LVDS(1920×1080)高清显示</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采用3D数字梳状滤波器、3D降噪技术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采用可编程12-bit RGB gamma校正技术</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采用Mstar ACE-5自动彩色及图像增强引擎，改善图像的对比度，细节，边缘等</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内置喇叭，支持音频输入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标准BNC接口，支持一路BNC视频输入</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支持文本、图片、音频、视频等多种格式多媒体播放</w:t>
            </w:r>
            <w:r>
              <w:rPr>
                <w:rFonts w:hint="eastAsia" w:ascii="宋体" w:hAnsi="宋体" w:cs="宋体"/>
                <w:color w:val="000000"/>
                <w:sz w:val="28"/>
                <w:szCs w:val="28"/>
                <w:highlight w:val="none"/>
              </w:rPr>
            </w:r>
            <w:r/>
          </w:p>
          <w:p>
            <w:pPr>
              <w:pStyle w:val="1084"/>
              <w:rPr>
                <w:rFonts w:hint="eastAsia" w:eastAsia="宋体"/>
                <w:color w:val="000000"/>
                <w:highlight w:val="none"/>
              </w:rPr>
            </w:pPr>
            <w:r>
              <w:rPr>
                <w:rFonts w:hint="eastAsia" w:ascii="宋体" w:hAnsi="宋体" w:cs="宋体"/>
                <w:b/>
                <w:bCs/>
                <w:color w:val="000000"/>
                <w:sz w:val="28"/>
                <w:szCs w:val="28"/>
                <w:highlight w:val="none"/>
              </w:rPr>
              <w:t xml:space="preserve">★</w:t>
            </w:r>
            <w:r>
              <w:rPr>
                <w:rFonts w:hint="eastAsia" w:ascii="宋体" w:hAnsi="宋体" w:eastAsia="宋体" w:cs="宋体"/>
                <w:b/>
                <w:bCs/>
                <w:color w:val="000000"/>
                <w:sz w:val="28"/>
                <w:szCs w:val="28"/>
                <w:highlight w:val="none"/>
              </w:rPr>
              <w:t xml:space="preserve">需提供CNAS、CMA标识的第三方检测报告、CCC认证、节能产品认证证书、环境标志产品认证证书</w:t>
            </w:r>
            <w:r>
              <w:rPr>
                <w:rFonts w:hint="eastAsia" w:ascii="宋体" w:hAnsi="宋体" w:cs="宋体"/>
                <w:b/>
                <w:bCs/>
                <w:color w:val="000000"/>
                <w:sz w:val="28"/>
                <w:szCs w:val="28"/>
                <w:highlight w:val="none"/>
              </w:rPr>
              <w:t xml:space="preserve">。</w:t>
            </w:r>
            <w:r>
              <w:rPr>
                <w:rFonts w:hint="eastAsia" w:eastAsia="宋体"/>
                <w:color w:val="000000"/>
                <w:highlight w:val="none"/>
              </w:rPr>
            </w:r>
            <w:r/>
          </w:p>
        </w:tc>
        <w:tc>
          <w:tcPr>
            <w:tcW w:w="470" w:type="dxa"/>
            <w:vAlign w:val="center"/>
            <w:textDirection w:val="lrTb"/>
            <w:noWrap w:val="false"/>
          </w:tcPr>
          <w:p>
            <w:pPr>
              <w:pStyle w:val="963"/>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r>
    </w:tbl>
    <w:p>
      <w:pPr>
        <w:pStyle w:val="963"/>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1086"/>
        <w:ind w:left="0" w:firstLine="0"/>
        <w:spacing w:before="120" w:after="120" w:line="360" w:lineRule="auto"/>
        <w:tabs>
          <w:tab w:val="left" w:pos="0" w:leader="none"/>
        </w:tabs>
        <w:rPr>
          <w:rFonts w:hint="eastAsia" w:hAnsi="宋体"/>
          <w:b/>
          <w:bCs/>
          <w:color w:val="000000"/>
          <w:szCs w:val="28"/>
          <w:lang w:eastAsia="zh-CN"/>
        </w:rPr>
      </w:pPr>
      <w:r>
        <w:rPr>
          <w:rFonts w:hint="eastAsia" w:hAnsi="宋体"/>
          <w:b/>
          <w:bCs/>
          <w:color w:val="000000"/>
          <w:szCs w:val="28"/>
          <w:lang w:eastAsia="zh-CN"/>
        </w:rPr>
        <w:t xml:space="preserve">三、</w:t>
      </w:r>
      <w:r>
        <w:rPr>
          <w:rFonts w:hint="eastAsia" w:hAnsi="宋体"/>
          <w:b/>
          <w:bCs/>
          <w:color w:val="000000"/>
          <w:szCs w:val="28"/>
        </w:rPr>
        <w:t xml:space="preserve">商务要求部分</w:t>
      </w:r>
      <w:r>
        <w:rPr>
          <w:rFonts w:hint="eastAsia" w:hAnsi="宋体"/>
          <w:b/>
          <w:bCs/>
          <w:color w:val="000000"/>
          <w:szCs w:val="28"/>
          <w:lang w:eastAsia="zh-CN"/>
        </w:rPr>
      </w:r>
      <w:r/>
    </w:p>
    <w:p>
      <w:pPr>
        <w:pStyle w:val="1086"/>
        <w:ind w:left="0" w:firstLine="0"/>
        <w:spacing w:before="120" w:after="120" w:line="360" w:lineRule="auto"/>
        <w:tabs>
          <w:tab w:val="left" w:pos="0" w:leader="none"/>
        </w:tabs>
        <w:rPr>
          <w:rFonts w:ascii="宋体" w:hAnsi="宋体" w:eastAsia="宋体"/>
          <w:b/>
          <w:bCs/>
          <w:color w:val="000000"/>
          <w:sz w:val="28"/>
          <w:szCs w:val="28"/>
        </w:rPr>
      </w:pPr>
      <w:r>
        <w:rPr>
          <w:rFonts w:hint="eastAsia" w:hAnsi="宋体"/>
          <w:b/>
          <w:bCs/>
          <w:color w:val="000000"/>
          <w:szCs w:val="28"/>
          <w:lang w:eastAsia="zh-CN"/>
        </w:rPr>
        <w:t xml:space="preserve">1.</w:t>
      </w:r>
      <w:r>
        <w:rPr>
          <w:rFonts w:ascii="宋体" w:hAnsi="宋体" w:eastAsia="宋体"/>
          <w:b/>
          <w:bCs/>
          <w:color w:val="000000"/>
          <w:sz w:val="28"/>
          <w:szCs w:val="28"/>
        </w:rPr>
        <w:t xml:space="preserve">采购标的数量、采购项目交付或者实施的时间和地点</w:t>
      </w:r>
      <w:r>
        <w:rPr>
          <w:rFonts w:ascii="宋体" w:hAnsi="宋体" w:eastAsia="宋体"/>
          <w:b/>
          <w:bCs/>
          <w:color w:val="000000"/>
          <w:sz w:val="28"/>
          <w:szCs w:val="28"/>
        </w:rPr>
      </w:r>
      <w:r/>
    </w:p>
    <w:p>
      <w:pPr>
        <w:pStyle w:val="1079"/>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1.1</w:t>
      </w:r>
      <w:r>
        <w:rPr>
          <w:rFonts w:hint="eastAsia" w:ascii="仿宋" w:hAnsi="仿宋" w:eastAsia="仿宋"/>
          <w:color w:val="000000"/>
          <w:sz w:val="28"/>
          <w:szCs w:val="28"/>
        </w:rPr>
        <w:t xml:space="preserve">交付时间：</w:t>
      </w:r>
      <w:r>
        <w:rPr>
          <w:rFonts w:hint="eastAsia" w:ascii="仿宋" w:hAnsi="仿宋" w:eastAsia="仿宋" w:cs="宋体"/>
          <w:color w:val="000000"/>
          <w:sz w:val="28"/>
          <w:szCs w:val="28"/>
        </w:rPr>
        <w:t xml:space="preserve">自合同签订之日起6个月内完成设备供货、安装及调试。</w:t>
      </w:r>
      <w:r>
        <w:rPr>
          <w:rFonts w:hint="eastAsia" w:ascii="仿宋" w:hAnsi="仿宋" w:eastAsia="仿宋"/>
          <w:color w:val="000000"/>
          <w:sz w:val="28"/>
          <w:szCs w:val="28"/>
        </w:rPr>
      </w:r>
      <w:r/>
    </w:p>
    <w:p>
      <w:pPr>
        <w:pStyle w:val="1081"/>
        <w:jc w:val="both"/>
        <w:spacing w:before="0" w:beforeAutospacing="0" w:after="0" w:afterAutospacing="0" w:line="312"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1.2</w:t>
      </w:r>
      <w:r>
        <w:rPr>
          <w:rFonts w:hint="eastAsia" w:ascii="仿宋" w:hAnsi="仿宋" w:eastAsia="仿宋"/>
          <w:color w:val="000000"/>
          <w:sz w:val="28"/>
          <w:szCs w:val="28"/>
        </w:rPr>
        <w:t xml:space="preserve">交付地点：南通市第一人民医院。</w:t>
      </w:r>
      <w:r>
        <w:rPr>
          <w:rFonts w:hint="eastAsia" w:ascii="仿宋" w:hAnsi="仿宋" w:eastAsia="仿宋"/>
          <w:color w:val="000000"/>
          <w:sz w:val="28"/>
          <w:szCs w:val="28"/>
        </w:rPr>
      </w:r>
      <w:r/>
    </w:p>
    <w:p>
      <w:pPr>
        <w:pStyle w:val="1081"/>
        <w:numPr>
          <w:ilvl w:val="0"/>
          <w:numId w:val="0"/>
        </w:numPr>
        <w:jc w:val="both"/>
        <w:spacing w:before="0" w:beforeAutospacing="0" w:after="0" w:afterAutospacing="0" w:line="312" w:lineRule="auto"/>
        <w:rPr>
          <w:rFonts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1.3</w:t>
      </w:r>
      <w:r>
        <w:rPr>
          <w:rFonts w:hint="eastAsia" w:ascii="仿宋" w:hAnsi="仿宋" w:eastAsia="仿宋" w:cs="Times New Roman"/>
          <w:color w:val="000000"/>
          <w:sz w:val="28"/>
          <w:szCs w:val="28"/>
        </w:rPr>
        <w:t xml:space="preserve">交货要求：所有货品必须原包装进场，运送及安装到用户指定地点。</w:t>
      </w:r>
      <w:r>
        <w:rPr>
          <w:rFonts w:ascii="仿宋" w:hAnsi="仿宋" w:eastAsia="仿宋" w:cs="Times New Roman"/>
          <w:color w:val="000000"/>
          <w:sz w:val="28"/>
          <w:szCs w:val="28"/>
        </w:rPr>
      </w:r>
      <w:r/>
    </w:p>
    <w:p>
      <w:pPr>
        <w:pStyle w:val="1087"/>
        <w:spacing w:before="120" w:after="120" w:line="360" w:lineRule="auto"/>
        <w:tabs>
          <w:tab w:val="left" w:pos="0" w:leader="none"/>
        </w:tabs>
        <w:rPr>
          <w:rFonts w:hint="eastAsia" w:hAnsi="宋体"/>
          <w:b/>
          <w:bCs/>
          <w:color w:val="000000"/>
          <w:sz w:val="28"/>
          <w:szCs w:val="28"/>
        </w:rPr>
      </w:pPr>
      <w:r>
        <w:rPr>
          <w:rFonts w:hint="eastAsia" w:hAnsi="宋体"/>
          <w:b/>
          <w:bCs/>
          <w:color w:val="000000"/>
          <w:sz w:val="28"/>
          <w:szCs w:val="28"/>
          <w:lang w:eastAsia="zh-CN"/>
        </w:rPr>
        <w:t xml:space="preserve">2.</w:t>
      </w:r>
      <w:r>
        <w:rPr>
          <w:rFonts w:hAnsi="宋体"/>
          <w:b/>
          <w:bCs/>
          <w:color w:val="000000"/>
          <w:sz w:val="28"/>
          <w:szCs w:val="28"/>
        </w:rPr>
        <w:t xml:space="preserve">采购标的需满足的服务标准、期限、效率等要求</w:t>
      </w:r>
      <w:r>
        <w:rPr>
          <w:rFonts w:hint="eastAsia" w:hAnsi="宋体"/>
          <w:b/>
          <w:bCs/>
          <w:color w:val="000000"/>
          <w:sz w:val="28"/>
          <w:szCs w:val="28"/>
        </w:rPr>
      </w:r>
      <w:r/>
    </w:p>
    <w:p>
      <w:pPr>
        <w:pStyle w:val="1087"/>
        <w:spacing w:before="120" w:after="120" w:line="360" w:lineRule="auto"/>
        <w:tabs>
          <w:tab w:val="left" w:pos="0" w:leader="none"/>
        </w:tabs>
        <w:rPr>
          <w:rFonts w:hint="eastAsia"/>
          <w:color w:val="000000"/>
          <w:sz w:val="28"/>
          <w:szCs w:val="28"/>
        </w:rPr>
      </w:pPr>
      <w:r>
        <w:rPr>
          <w:rFonts w:hint="eastAsia"/>
          <w:color w:val="000000"/>
          <w:sz w:val="28"/>
          <w:szCs w:val="28"/>
          <w:lang w:val="en-US" w:eastAsia="zh-CN"/>
        </w:rPr>
        <w:t xml:space="preserve">2.1</w:t>
      </w:r>
      <w:r>
        <w:rPr>
          <w:rFonts w:hint="eastAsia"/>
          <w:color w:val="000000"/>
          <w:sz w:val="28"/>
          <w:szCs w:val="28"/>
        </w:rPr>
        <w:t xml:space="preserve">质量保障要求</w:t>
      </w:r>
      <w:r>
        <w:rPr>
          <w:rFonts w:hint="eastAsia"/>
          <w:color w:val="000000"/>
          <w:sz w:val="28"/>
          <w:szCs w:val="28"/>
        </w:rPr>
      </w:r>
      <w:r/>
    </w:p>
    <w:p>
      <w:pPr>
        <w:pStyle w:val="1087"/>
        <w:spacing w:before="120" w:after="120" w:line="360" w:lineRule="auto"/>
        <w:tabs>
          <w:tab w:val="left" w:pos="0" w:leader="none"/>
        </w:tabs>
        <w:rPr>
          <w:rFonts w:hAnsi="宋体"/>
          <w:b/>
          <w:bCs/>
          <w:color w:val="000000"/>
          <w:sz w:val="28"/>
          <w:szCs w:val="28"/>
        </w:rPr>
      </w:pPr>
      <w:r>
        <w:rPr>
          <w:rFonts w:hint="eastAsia"/>
          <w:color w:val="000000"/>
          <w:sz w:val="28"/>
          <w:szCs w:val="28"/>
          <w:lang w:val="en-US" w:eastAsia="zh-CN"/>
        </w:rPr>
        <w:t xml:space="preserve">2.</w:t>
      </w:r>
      <w:r>
        <w:rPr>
          <w:rFonts w:hint="eastAsia"/>
          <w:color w:val="000000"/>
          <w:sz w:val="28"/>
          <w:szCs w:val="28"/>
        </w:rPr>
        <w:t xml:space="preserve">1.1中标人必须有针对本项目的质量保证体系和组织，并制订质量保证计划，列出项目开工过程中质量监督和保证执行的措施，要记录质量保证活动，并保存和维护这些记录。</w:t>
      </w:r>
      <w:r>
        <w:rPr>
          <w:rFonts w:hAnsi="宋体"/>
          <w:b/>
          <w:bCs/>
          <w:color w:val="000000"/>
          <w:sz w:val="28"/>
          <w:szCs w:val="28"/>
        </w:rPr>
      </w:r>
      <w:r/>
    </w:p>
    <w:p>
      <w:pPr>
        <w:pStyle w:val="1081"/>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1.2中标人提供的货物必须达到或优于招标文件</w:t>
      </w:r>
      <w:r>
        <w:rPr>
          <w:rFonts w:cs="Times New Roman"/>
          <w:color w:val="000000"/>
          <w:sz w:val="28"/>
          <w:szCs w:val="28"/>
        </w:rPr>
        <w:t xml:space="preserve">“</w:t>
      </w:r>
      <w:r>
        <w:rPr>
          <w:rFonts w:hint="eastAsia" w:cs="Times New Roman"/>
          <w:color w:val="000000"/>
          <w:sz w:val="28"/>
          <w:szCs w:val="28"/>
        </w:rPr>
        <w:t xml:space="preserve">采购清单</w:t>
      </w:r>
      <w:r>
        <w:rPr>
          <w:rFonts w:cs="Times New Roman"/>
          <w:color w:val="000000"/>
          <w:sz w:val="28"/>
          <w:szCs w:val="28"/>
        </w:rPr>
        <w:t xml:space="preserve">”</w:t>
      </w:r>
      <w:r>
        <w:rPr>
          <w:rFonts w:hint="eastAsia" w:cs="Times New Roman"/>
          <w:color w:val="000000"/>
          <w:sz w:val="28"/>
          <w:szCs w:val="28"/>
        </w:rPr>
        <w:t xml:space="preserve">技术需求中各项指标参数。</w:t>
      </w:r>
      <w:r>
        <w:rPr>
          <w:rFonts w:cs="Times New Roman"/>
          <w:color w:val="000000"/>
          <w:sz w:val="28"/>
          <w:szCs w:val="28"/>
        </w:rPr>
      </w:r>
      <w:r/>
    </w:p>
    <w:p>
      <w:pPr>
        <w:pStyle w:val="1081"/>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1.3中标人保证所供应的产品质量标准按照国家标准、行业标准或制造厂家企业标准确定，上述标准不一致的，以高等级的标准为准。没有国家标准、行业标准和企业标准的，按照通常标准、合同目的的特定标准或者采购人提供的标准。</w:t>
      </w:r>
      <w:r>
        <w:rPr>
          <w:rFonts w:cs="Times New Roman"/>
          <w:color w:val="000000"/>
          <w:sz w:val="28"/>
          <w:szCs w:val="28"/>
        </w:rPr>
      </w:r>
      <w:r/>
    </w:p>
    <w:p>
      <w:pPr>
        <w:pStyle w:val="1081"/>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1.4中标人提供的货物必须是正规渠道生产的全新正品原装</w:t>
      </w:r>
      <w:r>
        <w:rPr>
          <w:rFonts w:cs="Times New Roman"/>
          <w:color w:val="000000"/>
          <w:sz w:val="28"/>
          <w:szCs w:val="28"/>
        </w:rPr>
        <w:t xml:space="preserve">(</w:t>
      </w:r>
      <w:r>
        <w:rPr>
          <w:rFonts w:hint="eastAsia" w:cs="Times New Roman"/>
          <w:color w:val="000000"/>
          <w:sz w:val="28"/>
          <w:szCs w:val="28"/>
        </w:rPr>
        <w:t xml:space="preserve">包括零部件</w:t>
      </w:r>
      <w:r>
        <w:rPr>
          <w:rFonts w:cs="Times New Roman"/>
          <w:color w:val="000000"/>
          <w:sz w:val="28"/>
          <w:szCs w:val="28"/>
        </w:rPr>
        <w:t xml:space="preserve">)</w:t>
      </w:r>
      <w:r>
        <w:rPr>
          <w:rFonts w:hint="eastAsia" w:cs="Times New Roman"/>
          <w:color w:val="000000"/>
          <w:sz w:val="28"/>
          <w:szCs w:val="28"/>
        </w:rPr>
        <w:t xml:space="preserve">，完全符合国家技术标准和国家质量检测标准，所有货物必须标识清晰，相关质保、合格证书齐全。</w:t>
      </w:r>
      <w:r>
        <w:rPr>
          <w:rFonts w:cs="Times New Roman"/>
          <w:color w:val="000000"/>
          <w:sz w:val="28"/>
          <w:szCs w:val="28"/>
        </w:rPr>
      </w:r>
      <w:r/>
    </w:p>
    <w:p>
      <w:pPr>
        <w:pStyle w:val="1081"/>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1.5中标人应保证所提供的产品或其任何一部分均不会侵犯任何第三方的知识产权，否则由乙方承担由此对甲方造成的所有损失。包括但不限于甲方因第三方权利主张产生的差旅费用、鉴定费用、诉讼费用、律师费用及赔偿金。</w:t>
      </w:r>
      <w:r>
        <w:rPr>
          <w:rFonts w:cs="Times New Roman"/>
          <w:color w:val="000000"/>
          <w:sz w:val="28"/>
          <w:szCs w:val="28"/>
        </w:rPr>
      </w:r>
      <w:r/>
    </w:p>
    <w:p>
      <w:pPr>
        <w:pStyle w:val="1081"/>
        <w:jc w:val="both"/>
        <w:spacing w:before="0" w:beforeAutospacing="0" w:after="0" w:afterAutospacing="0" w:line="312" w:lineRule="auto"/>
        <w:tabs>
          <w:tab w:val="left" w:pos="0" w:leader="none"/>
        </w:tabs>
        <w:rPr>
          <w:rFonts w:cs="Times New Roman"/>
          <w:color w:val="000000"/>
          <w:sz w:val="28"/>
          <w:szCs w:val="28"/>
        </w:rPr>
      </w:pPr>
      <w:r>
        <w:rPr>
          <w:rFonts w:hint="eastAsia" w:cs="Times New Roman"/>
          <w:color w:val="000000"/>
          <w:sz w:val="28"/>
          <w:szCs w:val="28"/>
          <w:lang w:val="en-US" w:eastAsia="zh-CN"/>
        </w:rPr>
        <w:t xml:space="preserve">2.</w:t>
      </w:r>
      <w:r>
        <w:rPr>
          <w:rFonts w:hint="eastAsia" w:cs="Times New Roman"/>
          <w:color w:val="000000"/>
          <w:sz w:val="28"/>
          <w:szCs w:val="28"/>
        </w:rPr>
        <w:t xml:space="preserve">1.6中标人保证所交付的产品的所有权完全属于中标人且无任何抵押、查封等产权瑕疵，否则由中标人承担由此对采购人造成的所有损失。</w:t>
      </w:r>
      <w:r>
        <w:rPr>
          <w:rFonts w:cs="Times New Roman"/>
          <w:color w:val="000000"/>
          <w:sz w:val="28"/>
          <w:szCs w:val="28"/>
        </w:rPr>
      </w:r>
      <w:r/>
    </w:p>
    <w:p>
      <w:pPr>
        <w:pStyle w:val="963"/>
        <w:spacing w:line="480" w:lineRule="exact"/>
        <w:rPr>
          <w:rFonts w:hint="eastAsia" w:hAnsi="宋体"/>
          <w:b/>
          <w:bCs/>
          <w:color w:val="000000"/>
          <w:sz w:val="28"/>
          <w:szCs w:val="28"/>
        </w:rPr>
      </w:pPr>
      <w:r>
        <w:rPr>
          <w:rFonts w:hint="eastAsia" w:hAnsi="宋体"/>
          <w:b/>
          <w:bCs/>
          <w:color w:val="000000"/>
          <w:sz w:val="28"/>
          <w:szCs w:val="28"/>
        </w:rPr>
        <w:t xml:space="preserve">3</w:t>
      </w:r>
      <w:r>
        <w:rPr>
          <w:rFonts w:hint="eastAsia" w:hAnsi="宋体"/>
          <w:b/>
          <w:bCs/>
          <w:color w:val="000000"/>
          <w:sz w:val="28"/>
          <w:szCs w:val="28"/>
          <w:lang w:eastAsia="zh-CN"/>
        </w:rPr>
        <w:t xml:space="preserve">.</w:t>
      </w:r>
      <w:r>
        <w:rPr>
          <w:rFonts w:hAnsi="宋体"/>
          <w:b/>
          <w:bCs/>
          <w:color w:val="000000"/>
          <w:sz w:val="28"/>
          <w:szCs w:val="28"/>
        </w:rPr>
        <w:t xml:space="preserve">采购标的其他技术、服务等要求</w:t>
      </w:r>
      <w:r>
        <w:rPr>
          <w:rFonts w:hint="eastAsia" w:hAnsi="宋体"/>
          <w:b/>
          <w:bCs/>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质保期：整体质保至少3年。</w:t>
      </w:r>
      <w:r>
        <w:rPr>
          <w:rFonts w:hint="eastAsia"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服务要求：（一）中标单位需安排项目实施服务人员，提供专业的实施交付及售后服务。（二）项目交付后，乙方提供7×24小时售后服务响应。对甲方提出的问题，乙方技术人员应即时响应和处理，1小时内处理故障。对于远程无法解决的问题，4</w:t>
      </w:r>
      <w:r>
        <w:rPr>
          <w:rFonts w:ascii="仿宋" w:hAnsi="仿宋" w:eastAsia="仿宋"/>
          <w:color w:val="000000"/>
          <w:sz w:val="28"/>
          <w:szCs w:val="28"/>
        </w:rPr>
        <w:t xml:space="preserve">8</w:t>
      </w:r>
      <w:r>
        <w:rPr>
          <w:rFonts w:hint="eastAsia" w:ascii="仿宋" w:hAnsi="仿宋" w:eastAsia="仿宋"/>
          <w:color w:val="000000"/>
          <w:sz w:val="28"/>
          <w:szCs w:val="28"/>
        </w:rPr>
        <w:t xml:space="preserve">小时内到达现场提供售后服务。</w:t>
      </w:r>
      <w:r>
        <w:rPr>
          <w:rFonts w:hint="eastAsia"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验收标准：采购方组织现场验收，采购方根据招标文件及项目合同的要求，对中标单位交付的软硬件产品逐项确认，验收合格后签署验收报告。</w:t>
      </w:r>
      <w:r>
        <w:rPr>
          <w:rFonts w:hint="eastAsia" w:ascii="仿宋" w:hAnsi="仿宋" w:eastAsia="仿宋"/>
          <w:color w:val="000000"/>
          <w:sz w:val="28"/>
          <w:szCs w:val="28"/>
        </w:rPr>
      </w:r>
      <w:r/>
    </w:p>
    <w:p>
      <w:pPr>
        <w:pStyle w:val="1087"/>
        <w:spacing w:before="120" w:after="120" w:line="360" w:lineRule="auto"/>
        <w:tabs>
          <w:tab w:val="left" w:pos="0" w:leader="none"/>
        </w:tabs>
        <w:rPr>
          <w:rFonts w:hAnsi="宋体"/>
          <w:b/>
          <w:bCs/>
          <w:color w:val="000000"/>
          <w:sz w:val="28"/>
          <w:szCs w:val="28"/>
        </w:rPr>
      </w:pPr>
      <w:r>
        <w:rPr>
          <w:rFonts w:hint="eastAsia" w:hAnsi="宋体"/>
          <w:b/>
          <w:bCs/>
          <w:color w:val="000000"/>
          <w:sz w:val="28"/>
          <w:szCs w:val="28"/>
          <w:lang w:val="en-US" w:eastAsia="zh-CN"/>
        </w:rPr>
        <w:t xml:space="preserve">4.</w:t>
      </w:r>
      <w:r>
        <w:rPr>
          <w:rFonts w:hAnsi="宋体"/>
          <w:b/>
          <w:bCs/>
          <w:color w:val="000000"/>
          <w:sz w:val="28"/>
          <w:szCs w:val="28"/>
        </w:rPr>
        <w:t xml:space="preserve">非单一产品采购项目，采购标的中的核心产品</w:t>
      </w:r>
      <w:r>
        <w:rPr>
          <w:rFonts w:hAnsi="宋体"/>
          <w:b/>
          <w:bCs/>
          <w:color w:val="000000"/>
          <w:sz w:val="28"/>
          <w:szCs w:val="28"/>
        </w:rPr>
      </w:r>
      <w:r/>
    </w:p>
    <w:p>
      <w:pPr>
        <w:pStyle w:val="1079"/>
        <w:rPr>
          <w:rFonts w:hint="eastAsia" w:ascii="仿宋" w:hAnsi="仿宋" w:eastAsia="仿宋"/>
          <w:color w:val="000000"/>
          <w:sz w:val="28"/>
          <w:szCs w:val="28"/>
        </w:rPr>
      </w:pPr>
      <w:r>
        <w:rPr>
          <w:rFonts w:hint="eastAsia" w:ascii="仿宋" w:hAnsi="仿宋" w:eastAsia="仿宋"/>
          <w:color w:val="000000"/>
          <w:sz w:val="28"/>
          <w:szCs w:val="28"/>
        </w:rPr>
        <w:t xml:space="preserve">本项目的核心产品为教学综合管理平台。</w:t>
      </w:r>
      <w:r>
        <w:rPr>
          <w:rFonts w:hint="eastAsia" w:ascii="仿宋" w:hAnsi="仿宋" w:eastAsia="仿宋"/>
          <w:color w:val="000000"/>
          <w:sz w:val="28"/>
          <w:szCs w:val="28"/>
        </w:rPr>
      </w:r>
      <w:r/>
    </w:p>
    <w:p>
      <w:pPr>
        <w:pStyle w:val="1079"/>
        <w:rPr>
          <w:rFonts w:hint="eastAsia" w:hAnsi="宋体"/>
          <w:b/>
          <w:bCs/>
          <w:color w:val="000000"/>
          <w:sz w:val="28"/>
          <w:szCs w:val="28"/>
        </w:rPr>
      </w:pPr>
      <w:r>
        <w:rPr>
          <w:rFonts w:hint="eastAsia" w:hAnsi="宋体"/>
          <w:b/>
          <w:bCs/>
          <w:color w:val="000000"/>
          <w:sz w:val="28"/>
          <w:szCs w:val="28"/>
          <w:lang w:val="en-US" w:eastAsia="zh-CN"/>
        </w:rPr>
        <w:t xml:space="preserve">5.</w:t>
      </w:r>
      <w:r>
        <w:rPr>
          <w:rFonts w:hAnsi="宋体"/>
          <w:b/>
          <w:bCs/>
          <w:color w:val="000000"/>
          <w:sz w:val="28"/>
          <w:szCs w:val="28"/>
        </w:rPr>
        <w:t xml:space="preserve">付款条件</w:t>
      </w:r>
      <w:r>
        <w:rPr>
          <w:rFonts w:hint="eastAsia" w:hAnsi="宋体"/>
          <w:b/>
          <w:bCs/>
          <w:color w:val="000000"/>
          <w:sz w:val="28"/>
          <w:szCs w:val="28"/>
        </w:rPr>
      </w:r>
      <w:r/>
    </w:p>
    <w:p>
      <w:pPr>
        <w:pStyle w:val="1079"/>
        <w:rPr>
          <w:rFonts w:hint="eastAsia" w:ascii="仿宋" w:hAnsi="仿宋" w:eastAsia="仿宋"/>
          <w:color w:val="000000"/>
          <w:sz w:val="28"/>
          <w:szCs w:val="28"/>
        </w:rPr>
      </w:pPr>
      <w:r>
        <w:rPr>
          <w:rFonts w:hint="eastAsia" w:ascii="仿宋" w:hAnsi="仿宋" w:eastAsia="仿宋"/>
          <w:color w:val="000000"/>
          <w:sz w:val="28"/>
          <w:szCs w:val="28"/>
        </w:rPr>
        <w:t xml:space="preserve">合同签订后甲方预付合同总价的30%作预付款；验收合格后3个月内甲方支付至合同总价的90%；免费服务期满后一次性不计息付清余款。</w:t>
      </w:r>
      <w:r>
        <w:rPr>
          <w:rFonts w:hint="eastAsia" w:ascii="仿宋" w:hAnsi="仿宋" w:eastAsia="仿宋"/>
          <w:color w:val="000000"/>
          <w:sz w:val="28"/>
          <w:szCs w:val="28"/>
        </w:rPr>
      </w:r>
      <w:r/>
    </w:p>
    <w:p>
      <w:pPr>
        <w:pStyle w:val="1087"/>
        <w:numPr>
          <w:ilvl w:val="0"/>
          <w:numId w:val="0"/>
        </w:numPr>
        <w:spacing w:before="120" w:after="120" w:line="360" w:lineRule="auto"/>
        <w:tabs>
          <w:tab w:val="left" w:pos="0" w:leader="none"/>
        </w:tabs>
        <w:rPr>
          <w:rFonts w:hint="eastAsia" w:hAnsi="宋体" w:cs="Courier New"/>
          <w:b/>
          <w:bCs/>
          <w:color w:val="000000"/>
          <w:sz w:val="28"/>
          <w:szCs w:val="28"/>
        </w:rPr>
      </w:pPr>
      <w:r>
        <w:rPr>
          <w:rFonts w:hint="eastAsia" w:hAnsi="宋体" w:cs="Courier New"/>
          <w:b/>
          <w:bCs/>
          <w:color w:val="000000"/>
          <w:sz w:val="28"/>
          <w:szCs w:val="28"/>
          <w:lang w:val="en-US" w:eastAsia="zh-CN"/>
        </w:rPr>
        <w:t xml:space="preserve">6.</w:t>
      </w:r>
      <w:r>
        <w:rPr>
          <w:rFonts w:hint="eastAsia" w:hAnsi="宋体" w:cs="Courier New"/>
          <w:b/>
          <w:bCs/>
          <w:color w:val="000000"/>
          <w:sz w:val="28"/>
          <w:szCs w:val="28"/>
        </w:rPr>
        <w:t xml:space="preserve">履约</w:t>
      </w:r>
      <w:r>
        <w:rPr>
          <w:rFonts w:hAnsi="宋体" w:cs="Courier New"/>
          <w:b/>
          <w:bCs/>
          <w:color w:val="000000"/>
          <w:sz w:val="28"/>
          <w:szCs w:val="28"/>
        </w:rPr>
        <w:t xml:space="preserve">保证金</w:t>
      </w:r>
      <w:r>
        <w:rPr>
          <w:rFonts w:hint="eastAsia" w:hAnsi="宋体" w:cs="Courier New"/>
          <w:b/>
          <w:bCs/>
          <w:color w:val="000000"/>
          <w:sz w:val="28"/>
          <w:szCs w:val="28"/>
        </w:rPr>
      </w:r>
      <w:r/>
    </w:p>
    <w:p>
      <w:pPr>
        <w:pStyle w:val="1080"/>
        <w:jc w:val="both"/>
        <w:spacing w:before="78" w:beforeAutospacing="0" w:after="78" w:afterAutospacing="0" w:line="360" w:lineRule="auto"/>
        <w:rPr>
          <w:rFonts w:hint="eastAsia" w:ascii="仿宋" w:hAnsi="仿宋" w:eastAsia="仿宋" w:cs="Courier New"/>
          <w:color w:val="000000"/>
          <w:sz w:val="28"/>
          <w:szCs w:val="28"/>
        </w:rPr>
      </w:pPr>
      <w:r>
        <w:rPr>
          <w:rFonts w:hint="eastAsia" w:ascii="仿宋" w:hAnsi="仿宋" w:eastAsia="仿宋" w:cs="Courier New"/>
          <w:color w:val="000000"/>
          <w:sz w:val="28"/>
          <w:szCs w:val="28"/>
          <w:lang w:val="en-US" w:eastAsia="zh-CN"/>
        </w:rPr>
        <w:t xml:space="preserve">6</w:t>
      </w:r>
      <w:r>
        <w:rPr>
          <w:rFonts w:hint="eastAsia" w:ascii="仿宋" w:hAnsi="仿宋" w:eastAsia="仿宋" w:cs="Courier New"/>
          <w:color w:val="000000"/>
          <w:sz w:val="28"/>
          <w:szCs w:val="28"/>
        </w:rPr>
        <w:t xml:space="preserve">.1履约保证金为合同价款的10%，中标人履约保证金须在中标通知书发出之日起至合同签订前汇入采购人账户，中标人凭中标通知书与采购人签订合同。超期或未有协商，则视为自动放弃成交资格；</w:t>
      </w:r>
      <w:r>
        <w:rPr>
          <w:rFonts w:hint="eastAsia" w:ascii="仿宋" w:hAnsi="仿宋" w:eastAsia="仿宋" w:cs="Courier New"/>
          <w:color w:val="000000"/>
          <w:sz w:val="28"/>
          <w:szCs w:val="28"/>
        </w:rPr>
      </w:r>
      <w:r/>
    </w:p>
    <w:p>
      <w:pPr>
        <w:pStyle w:val="1080"/>
        <w:jc w:val="both"/>
        <w:spacing w:before="78" w:beforeAutospacing="0" w:after="78" w:afterAutospacing="0" w:line="360" w:lineRule="auto"/>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6.2采购人验收合格无质量、进度等问题的，履约保证金将在安装调试验收合格后20个工作日内全额（无息）退回或撤销履约保函；</w:t>
      </w:r>
      <w:r>
        <w:rPr>
          <w:rFonts w:hint="eastAsia" w:ascii="仿宋" w:hAnsi="仿宋" w:eastAsia="仿宋" w:cs="Courier New"/>
          <w:color w:val="000000"/>
          <w:sz w:val="28"/>
          <w:szCs w:val="28"/>
        </w:rPr>
      </w:r>
      <w:r/>
    </w:p>
    <w:p>
      <w:pPr>
        <w:pStyle w:val="963"/>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6.3发生以下情况的，履约保证金不予退还或部分退还：a.签订合同后，中标人不履行合同义务的，采购人有权全额扣除履约保证金，全额不予退还，同时采购人亦有权终止合同，中标人还须承担相应的法律赔偿责任。b. 中标人在履约过程中发生违约行为，给采购人造成损失的，采购人有权在中标供应商缴纳的履约保证金中予以扣除，以弥补采购人经济损失，不足的部分中标人另外补齐。 </w:t>
      </w:r>
      <w:r>
        <w:rPr>
          <w:rFonts w:hint="eastAsia" w:ascii="仿宋" w:hAnsi="仿宋" w:eastAsia="仿宋" w:cs="Courier New"/>
          <w:color w:val="000000"/>
          <w:sz w:val="28"/>
          <w:szCs w:val="28"/>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Courier New"/>
          <w:color w:val="000000"/>
          <w:sz w:val="28"/>
          <w:szCs w:val="28"/>
        </w:rPr>
      </w:r>
      <w:r>
        <w:rPr>
          <w:rFonts w:hint="eastAsia" w:ascii="仿宋" w:hAnsi="仿宋" w:eastAsia="仿宋" w:cs="Courier New"/>
          <w:color w:val="000000"/>
          <w:sz w:val="28"/>
          <w:szCs w:val="28"/>
        </w:rPr>
        <w:t xml:space="preserve"> 6.4</w:t>
      </w:r>
      <w:r>
        <w:rPr>
          <w:rFonts w:ascii="FangSong" w:hAnsi="FangSong" w:eastAsia="FangSong" w:cs="FangSong"/>
          <w:color w:val="000000"/>
          <w:sz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ascii="Times New Roman" w:hAnsi="Times New Roman" w:eastAsia="Times New Roman" w:cs="Times New Roman"/>
          <w:color w:val="000000"/>
          <w:sz w:val="28"/>
        </w:rPr>
        <w:t xml:space="preserve">www.ccgp-jiangsu.gov.cn/jisngsu/zlxz/)</w:t>
      </w:r>
      <w:r>
        <w:rPr>
          <w:rFonts w:ascii="FangSong" w:hAnsi="FangSong" w:eastAsia="FangSong" w:cs="FangSong"/>
          <w:color w:val="000000"/>
          <w:sz w:val="28"/>
        </w:rPr>
        <w:t xml:space="preserve">。</w:t>
      </w:r>
      <w:r/>
    </w:p>
    <w:p>
      <w:pPr>
        <w:rPr>
          <w:rFonts w:hint="eastAsia" w:ascii="仿宋" w:hAnsi="仿宋" w:eastAsia="仿宋" w:cs="Courier New"/>
          <w:color w:val="000000"/>
          <w:sz w:val="28"/>
          <w:szCs w:val="28"/>
        </w:rPr>
      </w:pPr>
      <w:r>
        <w:rPr>
          <w:rFonts w:hint="eastAsia" w:ascii="仿宋" w:hAnsi="仿宋" w:eastAsia="仿宋" w:cs="Courier New"/>
          <w:color w:val="000000"/>
          <w:sz w:val="28"/>
          <w:szCs w:val="28"/>
        </w:rPr>
      </w:r>
      <w:r/>
      <w:r/>
    </w:p>
    <w:p>
      <w:pPr>
        <w:pStyle w:val="963"/>
        <w:rPr>
          <w:rFonts w:ascii="仿宋" w:hAnsi="仿宋" w:eastAsia="仿宋"/>
          <w:b/>
          <w:color w:val="000000"/>
          <w:sz w:val="28"/>
          <w:szCs w:val="28"/>
        </w:rPr>
      </w:pPr>
      <w:r>
        <w:rPr>
          <w:rFonts w:hint="eastAsia" w:ascii="仿宋" w:hAnsi="仿宋" w:eastAsia="仿宋"/>
          <w:b/>
          <w:color w:val="000000"/>
          <w:sz w:val="28"/>
          <w:szCs w:val="28"/>
          <w:lang w:val="en-US" w:eastAsia="zh-CN"/>
        </w:rPr>
        <w:t xml:space="preserve">7.</w:t>
      </w:r>
      <w:r>
        <w:rPr>
          <w:rFonts w:hint="eastAsia" w:ascii="仿宋" w:hAnsi="仿宋" w:eastAsia="仿宋"/>
          <w:b/>
          <w:color w:val="000000"/>
          <w:sz w:val="28"/>
          <w:szCs w:val="28"/>
        </w:rPr>
        <w:t xml:space="preserve">本项目不接受进口产品参与。</w:t>
      </w:r>
      <w:r>
        <w:rPr>
          <w:rFonts w:ascii="仿宋" w:hAnsi="仿宋" w:eastAsia="仿宋"/>
          <w:b/>
          <w:color w:val="000000"/>
          <w:sz w:val="28"/>
          <w:szCs w:val="28"/>
        </w:rPr>
      </w:r>
      <w:r/>
    </w:p>
    <w:p>
      <w:pPr>
        <w:pStyle w:val="1087"/>
        <w:spacing w:before="120" w:after="120" w:line="360" w:lineRule="auto"/>
        <w:tabs>
          <w:tab w:val="left" w:pos="0" w:leader="none"/>
        </w:tabs>
        <w:rPr>
          <w:rFonts w:hint="eastAsia" w:ascii="仿宋" w:hAnsi="仿宋" w:eastAsia="仿宋"/>
          <w:b/>
          <w:i/>
          <w:color w:val="000000"/>
          <w:sz w:val="28"/>
          <w:szCs w:val="28"/>
          <w:u w:val="single"/>
        </w:rPr>
      </w:pPr>
      <w:r>
        <w:rPr>
          <w:rFonts w:hint="eastAsia" w:ascii="Arial" w:hAnsi="宋体" w:eastAsia="仿宋_GB2312" w:cs="Times New Roman"/>
          <w:b/>
          <w:bCs/>
          <w:color w:val="000000"/>
          <w:sz w:val="32"/>
          <w:szCs w:val="28"/>
          <w:lang w:val="en-US" w:eastAsia="zh-CN" w:bidi="ar-SA"/>
        </w:rPr>
        <w:t xml:space="preserve">四、采购需求中必须满足的实质性要求</w:t>
      </w:r>
      <w:r>
        <w:rPr>
          <w:rFonts w:hint="eastAsia" w:ascii="仿宋" w:hAnsi="仿宋" w:eastAsia="仿宋"/>
          <w:b/>
          <w:i/>
          <w:color w:val="000000"/>
          <w:sz w:val="28"/>
          <w:szCs w:val="28"/>
          <w:u w:val="single"/>
        </w:rPr>
        <w:t xml:space="preserve">（请单独列出并加斜体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963"/>
        <w:spacing w:line="480" w:lineRule="exact"/>
        <w:rPr>
          <w:rFonts w:ascii="仿宋" w:hAnsi="仿宋" w:eastAsia="仿宋"/>
          <w:b/>
          <w:bCs/>
          <w:i/>
          <w:color w:val="000000"/>
          <w:sz w:val="28"/>
          <w:szCs w:val="28"/>
          <w:u w:val="single"/>
        </w:rPr>
      </w:pPr>
      <w:r>
        <w:rPr>
          <w:rFonts w:hint="eastAsia" w:ascii="仿宋" w:hAnsi="仿宋" w:eastAsia="仿宋"/>
          <w:b/>
          <w:bCs/>
          <w:i/>
          <w:sz w:val="28"/>
          <w:szCs w:val="28"/>
          <w:u w:val="single"/>
        </w:rPr>
        <w:t xml:space="preserve">1</w:t>
      </w:r>
      <w:r>
        <w:rPr>
          <w:rFonts w:hint="eastAsia" w:ascii="仿宋" w:hAnsi="仿宋" w:eastAsia="仿宋"/>
          <w:b/>
          <w:bCs/>
          <w:i/>
          <w:sz w:val="28"/>
          <w:szCs w:val="28"/>
          <w:u w:val="single"/>
          <w:lang w:eastAsia="zh-CN"/>
        </w:rPr>
        <w:t xml:space="preserve">.</w:t>
      </w:r>
      <w:r>
        <w:rPr>
          <w:rFonts w:hint="eastAsia" w:ascii="仿宋" w:hAnsi="仿宋" w:eastAsia="仿宋"/>
          <w:b/>
          <w:bCs/>
          <w:i/>
          <w:sz w:val="28"/>
          <w:szCs w:val="28"/>
          <w:u w:val="single"/>
        </w:rPr>
        <w:t xml:space="preserve">技术部分实质性要求</w:t>
      </w:r>
      <w:r>
        <w:rPr>
          <w:rFonts w:hint="eastAsia" w:ascii="仿宋" w:hAnsi="仿宋" w:eastAsia="仿宋"/>
          <w:b/>
          <w:bCs/>
          <w:i/>
          <w:color w:val="000000"/>
          <w:sz w:val="28"/>
          <w:szCs w:val="28"/>
          <w:u w:val="single"/>
        </w:rPr>
        <w:t xml:space="preserve">（请单独列出并加斜体</w:t>
      </w:r>
      <w:r>
        <w:rPr>
          <w:rFonts w:ascii="仿宋" w:hAnsi="仿宋" w:eastAsia="仿宋"/>
          <w:b/>
          <w:bCs/>
          <w:i/>
          <w:color w:val="000000"/>
          <w:sz w:val="28"/>
          <w:szCs w:val="28"/>
          <w:u w:val="single"/>
        </w:rPr>
        <w:t xml:space="preserve">下划线</w:t>
      </w:r>
      <w:r>
        <w:rPr>
          <w:rFonts w:hint="eastAsia" w:ascii="仿宋" w:hAnsi="仿宋" w:eastAsia="仿宋"/>
          <w:b/>
          <w:bCs/>
          <w:i/>
          <w:color w:val="000000"/>
          <w:sz w:val="28"/>
          <w:szCs w:val="28"/>
          <w:u w:val="single"/>
        </w:rPr>
        <w:t xml:space="preserve">）</w:t>
      </w:r>
      <w:r>
        <w:rPr>
          <w:rFonts w:ascii="仿宋" w:hAnsi="仿宋" w:eastAsia="仿宋"/>
          <w:b/>
          <w:bCs/>
          <w:i/>
          <w:color w:val="000000"/>
          <w:sz w:val="28"/>
          <w:szCs w:val="28"/>
          <w:u w:val="single"/>
        </w:rPr>
      </w:r>
      <w:r/>
    </w:p>
    <w:p>
      <w:pPr>
        <w:pStyle w:val="963"/>
        <w:ind w:firstLine="701"/>
        <w:rPr>
          <w:rFonts w:ascii="宋体" w:hAnsi="宋体" w:cs="宋体"/>
          <w:b w:val="0"/>
          <w:bCs w:val="0"/>
          <w:i/>
          <w:iCs/>
          <w:color w:val="000000"/>
          <w:sz w:val="28"/>
          <w:szCs w:val="28"/>
          <w:u w:val="single"/>
        </w:rPr>
      </w:pPr>
      <w:r>
        <w:rPr>
          <w:rFonts w:hint="eastAsia" w:ascii="宋体" w:hAnsi="宋体" w:cs="宋体"/>
          <w:b w:val="0"/>
          <w:bCs w:val="0"/>
          <w:i/>
          <w:iCs/>
          <w:color w:val="000000"/>
          <w:sz w:val="28"/>
          <w:szCs w:val="28"/>
          <w:u w:val="single"/>
        </w:rPr>
        <w:fldChar w:fldCharType="begin"/>
      </w:r>
      <w:r>
        <w:rPr>
          <w:rFonts w:hint="eastAsia" w:ascii="宋体" w:hAnsi="宋体" w:cs="宋体"/>
          <w:b w:val="0"/>
          <w:bCs w:val="0"/>
          <w:i/>
          <w:iCs/>
          <w:color w:val="000000"/>
          <w:sz w:val="28"/>
          <w:szCs w:val="28"/>
          <w:u w:val="single"/>
        </w:rPr>
        <w:instrText xml:space="preserve"> = 1 \* GB3 \* MERGEFORMAT </w:instrText>
      </w:r>
      <w:r>
        <w:rPr>
          <w:rFonts w:hint="eastAsia" w:ascii="宋体" w:hAnsi="宋体" w:cs="宋体"/>
          <w:b w:val="0"/>
          <w:bCs w:val="0"/>
          <w:i/>
          <w:iCs/>
          <w:color w:val="000000"/>
          <w:sz w:val="28"/>
          <w:szCs w:val="28"/>
          <w:u w:val="single"/>
        </w:rPr>
        <w:fldChar w:fldCharType="separate"/>
      </w:r>
      <w:r>
        <w:rPr>
          <w:b w:val="0"/>
          <w:bCs w:val="0"/>
          <w:i/>
          <w:iCs/>
          <w:color w:val="000000"/>
          <w:u w:val="single"/>
        </w:rPr>
        <w:t xml:space="preserve">①</w:t>
      </w:r>
      <w:r>
        <w:rPr>
          <w:rFonts w:hint="eastAsia" w:ascii="宋体" w:hAnsi="宋体" w:cs="宋体"/>
          <w:b w:val="0"/>
          <w:bCs w:val="0"/>
          <w:i/>
          <w:iCs/>
          <w:color w:val="000000"/>
          <w:sz w:val="28"/>
          <w:szCs w:val="28"/>
          <w:u w:val="single"/>
        </w:rPr>
        <w:fldChar w:fldCharType="end"/>
      </w:r>
      <w:r>
        <w:rPr>
          <w:rFonts w:hint="eastAsia" w:ascii="宋体" w:hAnsi="宋体" w:cs="宋体"/>
          <w:b w:val="0"/>
          <w:bCs w:val="0"/>
          <w:i/>
          <w:iCs/>
          <w:color w:val="000000"/>
          <w:sz w:val="28"/>
          <w:szCs w:val="28"/>
          <w:u w:val="single"/>
        </w:rPr>
        <w:t xml:space="preserve">65寸液晶监视器、65寸会议平板、86寸会议平板、24寸监视器需要提供CNAS、CMA标识的第三方检测报告、CCC认证、节能产品认证证书、环境标志产品认证证书。</w:t>
      </w:r>
      <w:r>
        <w:rPr>
          <w:rFonts w:hint="eastAsia" w:ascii="宋体" w:hAnsi="宋体" w:cs="宋体"/>
          <w:b w:val="0"/>
          <w:bCs w:val="0"/>
          <w:i/>
          <w:iCs/>
          <w:color w:val="000000"/>
          <w:sz w:val="28"/>
          <w:szCs w:val="28"/>
          <w:u w:val="single"/>
        </w:rPr>
        <w:fldChar w:fldCharType="begin"/>
      </w:r>
      <w:r>
        <w:rPr>
          <w:rFonts w:hint="eastAsia" w:ascii="宋体" w:hAnsi="宋体" w:cs="宋体"/>
          <w:b w:val="0"/>
          <w:bCs w:val="0"/>
          <w:i/>
          <w:iCs/>
          <w:color w:val="000000"/>
          <w:sz w:val="28"/>
          <w:szCs w:val="28"/>
          <w:u w:val="single"/>
        </w:rPr>
        <w:instrText xml:space="preserve"> = 2 \* GB3 \* MERGEFORMAT </w:instrText>
      </w:r>
      <w:r>
        <w:rPr>
          <w:rFonts w:hint="eastAsia" w:ascii="宋体" w:hAnsi="宋体" w:cs="宋体"/>
          <w:b w:val="0"/>
          <w:bCs w:val="0"/>
          <w:i/>
          <w:iCs/>
          <w:color w:val="000000"/>
          <w:sz w:val="28"/>
          <w:szCs w:val="28"/>
          <w:u w:val="single"/>
        </w:rPr>
        <w:fldChar w:fldCharType="separate"/>
      </w:r>
      <w:r>
        <w:rPr>
          <w:rFonts w:hint="eastAsia" w:ascii="宋体" w:hAnsi="宋体" w:cs="宋体"/>
          <w:b w:val="0"/>
          <w:bCs w:val="0"/>
          <w:i/>
          <w:iCs/>
          <w:color w:val="000000"/>
          <w:sz w:val="28"/>
          <w:szCs w:val="28"/>
          <w:u w:val="single"/>
        </w:rPr>
        <w:t xml:space="preserve">②</w:t>
      </w:r>
      <w:r>
        <w:rPr>
          <w:rFonts w:hint="eastAsia" w:ascii="宋体" w:hAnsi="宋体" w:cs="宋体"/>
          <w:b w:val="0"/>
          <w:bCs w:val="0"/>
          <w:i/>
          <w:iCs/>
          <w:color w:val="000000"/>
          <w:sz w:val="28"/>
          <w:szCs w:val="28"/>
          <w:u w:val="single"/>
        </w:rPr>
        <w:fldChar w:fldCharType="end"/>
      </w:r>
      <w:r>
        <w:rPr>
          <w:rFonts w:hint="eastAsia" w:ascii="宋体" w:hAnsi="宋体" w:cs="宋体"/>
          <w:b w:val="0"/>
          <w:bCs w:val="0"/>
          <w:i/>
          <w:iCs/>
          <w:color w:val="000000"/>
          <w:sz w:val="28"/>
          <w:szCs w:val="28"/>
          <w:u w:val="single"/>
        </w:rPr>
        <w:t xml:space="preserve">11寸平板电脑需要提供节能产品认证证书。</w:t>
      </w:r>
      <w:r>
        <w:rPr>
          <w:rFonts w:ascii="宋体" w:hAnsi="宋体" w:cs="宋体"/>
          <w:b w:val="0"/>
          <w:bCs w:val="0"/>
          <w:i/>
          <w:iCs/>
          <w:color w:val="000000"/>
          <w:sz w:val="28"/>
          <w:szCs w:val="28"/>
          <w:u w:val="single"/>
        </w:rPr>
      </w:r>
      <w:r/>
    </w:p>
    <w:p>
      <w:pPr>
        <w:pStyle w:val="963"/>
        <w:spacing w:line="480" w:lineRule="exact"/>
        <w:rPr>
          <w:rFonts w:ascii="仿宋" w:hAnsi="仿宋" w:eastAsia="仿宋"/>
          <w:b/>
          <w:bCs/>
          <w:color w:val="000000"/>
          <w:sz w:val="28"/>
          <w:szCs w:val="28"/>
        </w:rPr>
      </w:pPr>
      <w:r>
        <w:rPr>
          <w:rFonts w:hint="eastAsia" w:ascii="仿宋" w:hAnsi="仿宋" w:eastAsia="仿宋"/>
          <w:b/>
          <w:bCs/>
          <w:i/>
          <w:sz w:val="28"/>
          <w:szCs w:val="28"/>
          <w:u w:val="single"/>
        </w:rPr>
        <w:t xml:space="preserve">2</w:t>
      </w:r>
      <w:r>
        <w:rPr>
          <w:rFonts w:hint="eastAsia" w:ascii="仿宋" w:hAnsi="仿宋" w:eastAsia="仿宋"/>
          <w:b/>
          <w:bCs/>
          <w:i/>
          <w:sz w:val="28"/>
          <w:szCs w:val="28"/>
          <w:u w:val="single"/>
          <w:lang w:eastAsia="zh-CN"/>
        </w:rPr>
        <w:t xml:space="preserve">.</w:t>
      </w:r>
      <w:r>
        <w:rPr>
          <w:rFonts w:hint="eastAsia" w:ascii="仿宋" w:hAnsi="仿宋" w:eastAsia="仿宋"/>
          <w:b/>
          <w:bCs/>
          <w:i/>
          <w:sz w:val="28"/>
          <w:szCs w:val="28"/>
          <w:u w:val="single"/>
        </w:rPr>
        <w:t xml:space="preserve">商务部分实质性要求</w:t>
      </w:r>
      <w:r>
        <w:rPr>
          <w:rFonts w:hint="eastAsia" w:ascii="仿宋" w:hAnsi="仿宋" w:eastAsia="仿宋"/>
          <w:b/>
          <w:bCs/>
          <w:i/>
          <w:color w:val="000000"/>
          <w:sz w:val="28"/>
          <w:szCs w:val="28"/>
          <w:u w:val="single"/>
        </w:rPr>
        <w:t xml:space="preserve">（请单独列出并加斜体</w:t>
      </w:r>
      <w:r>
        <w:rPr>
          <w:rFonts w:ascii="仿宋" w:hAnsi="仿宋" w:eastAsia="仿宋"/>
          <w:b/>
          <w:bCs/>
          <w:i/>
          <w:color w:val="000000"/>
          <w:sz w:val="28"/>
          <w:szCs w:val="28"/>
          <w:u w:val="single"/>
        </w:rPr>
        <w:t xml:space="preserve">下划线</w:t>
      </w:r>
      <w:r>
        <w:rPr>
          <w:rFonts w:hint="eastAsia" w:ascii="仿宋" w:hAnsi="仿宋" w:eastAsia="仿宋"/>
          <w:b/>
          <w:bCs/>
          <w:i/>
          <w:color w:val="000000"/>
          <w:sz w:val="28"/>
          <w:szCs w:val="28"/>
          <w:u w:val="single"/>
        </w:rPr>
        <w:t xml:space="preserve">）</w:t>
      </w:r>
      <w:r>
        <w:rPr>
          <w:rFonts w:ascii="仿宋" w:hAnsi="仿宋" w:eastAsia="仿宋"/>
          <w:b/>
          <w:bCs/>
          <w:color w:val="000000"/>
          <w:sz w:val="28"/>
          <w:szCs w:val="28"/>
        </w:rPr>
      </w:r>
      <w:r/>
    </w:p>
    <w:p>
      <w:pPr>
        <w:pStyle w:val="963"/>
        <w:ind w:firstLine="560"/>
        <w:keepLines w:val="0"/>
        <w:keepNext w:val="0"/>
        <w:pageBreakBefore w:val="0"/>
        <w:widowControl w:val="off"/>
        <w:rPr>
          <w:rFonts w:hint="eastAsia" w:ascii="宋体" w:hAnsi="宋体"/>
          <w:b w:val="0"/>
          <w:bCs/>
          <w:i/>
          <w:iCs/>
          <w:color w:val="000000"/>
          <w:sz w:val="28"/>
          <w:szCs w:val="28"/>
          <w:u w:val="single"/>
        </w:rPr>
      </w:pPr>
      <w:r>
        <w:rPr>
          <w:rFonts w:hint="eastAsia" w:ascii="宋体" w:hAnsi="宋体"/>
          <w:b w:val="0"/>
          <w:bCs/>
          <w:i/>
          <w:iCs/>
          <w:color w:val="000000"/>
          <w:sz w:val="28"/>
          <w:szCs w:val="28"/>
          <w:u w:val="single"/>
          <w:lang w:val="en-US" w:eastAsia="zh-CN"/>
        </w:rPr>
        <w:t xml:space="preserve">2</w:t>
      </w:r>
      <w:r>
        <w:rPr>
          <w:rFonts w:hint="eastAsia" w:ascii="宋体" w:hAnsi="宋体"/>
          <w:b w:val="0"/>
          <w:bCs/>
          <w:i/>
          <w:iCs/>
          <w:color w:val="000000"/>
          <w:sz w:val="28"/>
          <w:szCs w:val="28"/>
          <w:u w:val="single"/>
        </w:rPr>
        <w:t xml:space="preserve">.1服务要求：（一）中标单位需安排项目实施服务人员，提供专业的实施交付及售后服务。（二）项目交付后，乙方提供7×24小时售后服务响应。对甲方提出的问题，乙方技术人员应即时响应和处理，1小时内处理故障。对于远程无法解决的问题，48小时内到达现场提供售后服务。</w:t>
      </w:r>
      <w:r>
        <w:rPr>
          <w:rFonts w:hint="eastAsia" w:ascii="宋体" w:hAnsi="宋体"/>
          <w:b w:val="0"/>
          <w:bCs/>
          <w:i/>
          <w:iCs/>
          <w:color w:val="000000"/>
          <w:sz w:val="28"/>
          <w:szCs w:val="28"/>
          <w:u w:val="single"/>
        </w:rPr>
      </w:r>
      <w:r/>
    </w:p>
    <w:p>
      <w:pPr>
        <w:pStyle w:val="963"/>
        <w:ind w:firstLine="560"/>
        <w:keepLines w:val="0"/>
        <w:keepNext w:val="0"/>
        <w:pageBreakBefore w:val="0"/>
        <w:widowControl w:val="off"/>
        <w:rPr>
          <w:rFonts w:ascii="宋体" w:hAnsi="宋体"/>
          <w:b w:val="0"/>
          <w:bCs/>
          <w:i/>
          <w:iCs/>
          <w:color w:val="000000"/>
          <w:sz w:val="28"/>
          <w:szCs w:val="28"/>
          <w:u w:val="single"/>
        </w:rPr>
      </w:pPr>
      <w:r>
        <w:rPr>
          <w:rFonts w:hint="eastAsia" w:ascii="宋体" w:hAnsi="宋体"/>
          <w:b w:val="0"/>
          <w:bCs/>
          <w:i/>
          <w:iCs/>
          <w:color w:val="000000"/>
          <w:sz w:val="28"/>
          <w:szCs w:val="28"/>
          <w:u w:val="single"/>
        </w:rPr>
        <w:t xml:space="preserve">2.2验收标准：采购方组织现场验收，采购方根据招标文件及项目合同的要求，对中标单位交付的软硬件产品逐项确认，验收合格后签署验收报告。</w:t>
      </w:r>
      <w:r>
        <w:rPr>
          <w:rFonts w:ascii="宋体" w:hAnsi="宋体"/>
          <w:b w:val="0"/>
          <w:bCs/>
          <w:i/>
          <w:iCs/>
          <w:color w:val="000000"/>
          <w:sz w:val="28"/>
          <w:szCs w:val="28"/>
          <w:u w:val="single"/>
        </w:rPr>
      </w:r>
      <w:r/>
    </w:p>
    <w:p>
      <w:pPr>
        <w:pStyle w:val="963"/>
        <w:ind w:firstLine="560"/>
        <w:keepLines w:val="0"/>
        <w:keepNext w:val="0"/>
        <w:pageBreakBefore w:val="0"/>
        <w:widowControl w:val="off"/>
        <w:rPr>
          <w:rFonts w:hint="eastAsia" w:ascii="宋体" w:hAnsi="宋体"/>
          <w:b w:val="0"/>
          <w:bCs/>
          <w:i/>
          <w:iCs/>
          <w:color w:val="000000"/>
          <w:sz w:val="28"/>
          <w:szCs w:val="28"/>
          <w:u w:val="single"/>
        </w:rPr>
      </w:pPr>
      <w:r>
        <w:rPr>
          <w:rFonts w:hint="eastAsia" w:ascii="宋体" w:hAnsi="宋体"/>
          <w:b w:val="0"/>
          <w:bCs/>
          <w:i/>
          <w:iCs/>
          <w:color w:val="000000"/>
          <w:sz w:val="28"/>
          <w:szCs w:val="28"/>
          <w:u w:val="single"/>
        </w:rPr>
        <w:t xml:space="preserve">2.3质保期：整体质保至少3年。</w:t>
      </w:r>
      <w:r>
        <w:rPr>
          <w:rFonts w:hint="eastAsia" w:ascii="宋体" w:hAnsi="宋体"/>
          <w:b w:val="0"/>
          <w:bCs/>
          <w:i/>
          <w:iCs/>
          <w:color w:val="000000"/>
          <w:sz w:val="28"/>
          <w:szCs w:val="28"/>
          <w:u w:val="single"/>
        </w:rPr>
      </w:r>
      <w:r/>
    </w:p>
    <w:p>
      <w:pPr>
        <w:pStyle w:val="1087"/>
        <w:ind w:firstLine="560"/>
        <w:keepLines w:val="0"/>
        <w:keepNext w:val="0"/>
        <w:pageBreakBefore w:val="0"/>
        <w:spacing w:before="120" w:after="120" w:line="360" w:lineRule="auto"/>
        <w:widowControl w:val="off"/>
        <w:tabs>
          <w:tab w:val="left" w:pos="0" w:leader="none"/>
        </w:tabs>
        <w:rPr>
          <w:rFonts w:hint="eastAsia" w:hAnsi="宋体"/>
          <w:b w:val="0"/>
          <w:bCs/>
          <w:color w:val="000000"/>
          <w:sz w:val="28"/>
          <w:szCs w:val="28"/>
        </w:rPr>
      </w:pPr>
      <w:r>
        <w:rPr>
          <w:rFonts w:hint="eastAsia" w:hAnsi="宋体"/>
          <w:b w:val="0"/>
          <w:bCs/>
          <w:i/>
          <w:iCs/>
          <w:color w:val="000000"/>
          <w:sz w:val="28"/>
          <w:szCs w:val="28"/>
          <w:u w:val="single"/>
        </w:rPr>
        <w:t xml:space="preserve">2.4南通市第一人民医院临床技能模拟中心信息化项目所需硬件除本项目规划的硬件部分，还包括老院技能中心的硬件设备的利旧，老院可二次利用的硬件设备的拆除、搬迁及安装的工程量由投标人承担</w:t>
      </w:r>
      <w:r>
        <w:rPr>
          <w:rFonts w:hint="eastAsia" w:hAnsi="宋体"/>
          <w:b w:val="0"/>
          <w:bCs/>
          <w:i/>
          <w:iCs/>
          <w:color w:val="000000"/>
          <w:sz w:val="28"/>
          <w:szCs w:val="28"/>
          <w:u w:val="single"/>
        </w:rPr>
        <w:t xml:space="preserve">。所涉及的费用包含在报价中，请供应商充分考虑。</w:t>
      </w:r>
      <w:r>
        <w:rPr>
          <w:rFonts w:hint="eastAsia" w:hAnsi="宋体"/>
          <w:b w:val="0"/>
          <w:bCs/>
          <w:color w:val="000000"/>
          <w:sz w:val="28"/>
          <w:szCs w:val="28"/>
        </w:rPr>
      </w:r>
      <w:r/>
    </w:p>
    <w:p>
      <w:pPr>
        <w:pStyle w:val="963"/>
        <w:ind w:firstLine="480"/>
        <w:rPr>
          <w:rFonts w:hint="eastAsia" w:ascii="宋体" w:hAnsi="宋体"/>
          <w:color w:val="000000"/>
          <w:sz w:val="24"/>
          <w:szCs w:val="24"/>
        </w:rPr>
      </w:pPr>
      <w:r>
        <w:rPr>
          <w:rFonts w:hint="eastAsia" w:ascii="宋体" w:hAnsi="宋体"/>
          <w:color w:val="000000"/>
          <w:sz w:val="24"/>
          <w:szCs w:val="24"/>
        </w:rPr>
      </w:r>
      <w:r/>
    </w:p>
    <w:p>
      <w:pPr>
        <w:pStyle w:val="963"/>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63"/>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63"/>
        <w:rPr>
          <w:rFonts w:hint="eastAsia" w:ascii="宋体" w:hAnsi="宋体"/>
          <w:b/>
          <w:color w:val="000000"/>
          <w:sz w:val="28"/>
          <w:szCs w:val="28"/>
        </w:rPr>
      </w:pPr>
      <w:r>
        <w:rPr>
          <w:rFonts w:hint="eastAsia" w:ascii="宋体" w:hAnsi="宋体"/>
          <w:b/>
          <w:color w:val="000000"/>
          <w:sz w:val="28"/>
          <w:szCs w:val="28"/>
        </w:rPr>
      </w:r>
      <w:r/>
    </w:p>
    <w:p>
      <w:pPr>
        <w:pStyle w:val="963"/>
        <w:jc w:val="center"/>
        <w:keepNext/>
        <w:rPr>
          <w:rFonts w:hint="eastAsia" w:ascii="黑体" w:hAnsi="Times New Roman" w:eastAsia="黑体"/>
          <w:bCs/>
          <w:color w:val="000000"/>
          <w:sz w:val="44"/>
          <w:szCs w:val="28"/>
        </w:rPr>
        <w:outlineLvl w:val="9"/>
      </w:pPr>
      <w:r/>
      <w:bookmarkStart w:id="220" w:name="_Toc120614281"/>
      <w:r>
        <w:rPr>
          <w:rFonts w:hint="eastAsia" w:ascii="黑体" w:hAnsi="Times New Roman" w:eastAsia="黑体"/>
          <w:bCs/>
          <w:color w:val="000000"/>
          <w:sz w:val="44"/>
          <w:szCs w:val="28"/>
        </w:rPr>
      </w:r>
      <w:r/>
    </w:p>
    <w:p>
      <w:pPr>
        <w:pStyle w:val="965"/>
        <w:keepLines/>
        <w:keepNext/>
        <w:pageBreakBefore/>
        <w:spacing w:line="416" w:lineRule="auto"/>
        <w:widowControl w:val="off"/>
        <w:rPr>
          <w:rFonts w:hint="eastAsia" w:ascii="黑体" w:hAnsi="Times New Roman" w:eastAsia="黑体"/>
          <w:bCs w:val="0"/>
          <w:color w:val="000000"/>
          <w:sz w:val="44"/>
          <w:szCs w:val="28"/>
        </w:rPr>
        <w:outlineLvl w:val="0"/>
      </w:pPr>
      <w:r/>
      <w:bookmarkStart w:id="221" w:name="_Toc26058"/>
      <w:r/>
      <w:bookmarkStart w:id="222" w:name="_Toc16219"/>
      <w:r/>
      <w:bookmarkStart w:id="223" w:name="_Toc15528"/>
      <w:r/>
      <w:bookmarkStart w:id="224" w:name="_Toc6719"/>
      <w:r>
        <w:rPr>
          <w:rFonts w:hint="eastAsia" w:ascii="黑体" w:hAnsi="Times New Roman" w:eastAsia="黑体"/>
          <w:bCs w:val="0"/>
          <w:color w:val="000000"/>
          <w:sz w:val="44"/>
          <w:szCs w:val="28"/>
        </w:rPr>
        <w:t xml:space="preserve">第五章  </w:t>
      </w:r>
      <w:r>
        <w:rPr>
          <w:rFonts w:hint="eastAsia" w:ascii="黑体" w:hAnsi="Times New Roman" w:eastAsia="黑体"/>
          <w:b w:val="0"/>
          <w:bCs w:val="0"/>
          <w:color w:val="000000"/>
          <w:sz w:val="44"/>
          <w:szCs w:val="28"/>
        </w:rPr>
        <w:t xml:space="preserve">评标方法与评标标准</w:t>
      </w:r>
      <w:bookmarkEnd w:id="221"/>
      <w:r/>
      <w:bookmarkEnd w:id="222"/>
      <w:r/>
      <w:bookmarkEnd w:id="223"/>
      <w:r/>
      <w:bookmarkEnd w:id="224"/>
      <w:r>
        <w:rPr>
          <w:rFonts w:hint="eastAsia" w:ascii="黑体" w:hAnsi="Times New Roman" w:eastAsia="黑体"/>
          <w:bCs w:val="0"/>
          <w:color w:val="000000"/>
          <w:sz w:val="44"/>
          <w:szCs w:val="28"/>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ind w:firstLine="512"/>
        <w:jc w:val="left"/>
        <w:spacing w:before="120" w:after="120" w:line="480" w:lineRule="exact"/>
        <w:rPr>
          <w:rFonts w:hint="eastAsia" w:ascii="仿宋" w:hAnsi="仿宋" w:eastAsia="仿宋" w:cs="Arial"/>
          <w:color w:val="000000"/>
          <w:sz w:val="28"/>
          <w:szCs w:val="28"/>
        </w:rPr>
      </w:pPr>
      <w:r>
        <w:rPr>
          <w:rFonts w:hint="eastAsia" w:ascii="仿宋" w:hAnsi="仿宋" w:eastAsia="仿宋" w:cs="Arial"/>
          <w:color w:val="000000"/>
          <w:sz w:val="28"/>
          <w:szCs w:val="28"/>
          <w:lang w:val="en-US" w:eastAsia="zh-CN"/>
        </w:rPr>
        <w:t xml:space="preserve">本项目</w:t>
      </w:r>
      <w:r>
        <w:rPr>
          <w:rFonts w:ascii="仿宋" w:hAnsi="仿宋" w:eastAsia="仿宋" w:cs="Arial"/>
          <w:color w:val="000000"/>
          <w:sz w:val="28"/>
          <w:szCs w:val="28"/>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912"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888" w:type="dxa"/>
            <w:vAlign w:val="top"/>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912" w:type="dxa"/>
            <w:vAlign w:val="top"/>
            <w:textDirection w:val="lrTb"/>
            <w:noWrap w:val="false"/>
          </w:tcPr>
          <w:p>
            <w:pPr>
              <w:pStyle w:val="963"/>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963"/>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963"/>
        <w:ind w:firstLine="560"/>
        <w:jc w:val="left"/>
        <w:spacing w:before="120" w:after="120"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1、小微型企业价格扣除</w:t>
      </w:r>
      <w:r>
        <w:rPr>
          <w:rFonts w:ascii="仿宋" w:hAnsi="仿宋" w:eastAsia="仿宋"/>
          <w:color w:val="000000"/>
          <w:sz w:val="28"/>
          <w:szCs w:val="28"/>
          <w:lang w:val="en-US" w:eastAsia="zh-CN"/>
        </w:rPr>
      </w:r>
      <w:r/>
    </w:p>
    <w:p>
      <w:pPr>
        <w:pStyle w:val="963"/>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的扣除价格，用扣除后的价格参与评审。</w:t>
      </w:r>
      <w:r>
        <w:rPr>
          <w:rFonts w:hint="eastAsia" w:ascii="仿宋" w:hAnsi="仿宋" w:eastAsia="仿宋"/>
          <w:color w:val="000000"/>
          <w:sz w:val="28"/>
          <w:szCs w:val="28"/>
        </w:rPr>
      </w:r>
      <w:r/>
    </w:p>
    <w:p>
      <w:pPr>
        <w:pStyle w:val="963"/>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963"/>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963"/>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963"/>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963"/>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963"/>
        <w:ind w:firstLine="551"/>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、根据《江苏省政府采购信用管理暂行办法》的规定，供应商信用评价结果为三星的扣2分，评价结果为二星的扣3分，评价结果为一星的扣4分。</w:t>
      </w:r>
      <w:r>
        <w:rPr>
          <w:rFonts w:hint="eastAsia" w:ascii="仿宋" w:hAnsi="仿宋" w:eastAsia="仿宋"/>
          <w:color w:val="000000"/>
          <w:sz w:val="28"/>
          <w:szCs w:val="28"/>
        </w:rPr>
      </w:r>
      <w:r/>
    </w:p>
    <w:p>
      <w:pPr>
        <w:pStyle w:val="963"/>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51"/>
        <w:numPr>
          <w:ilvl w:val="0"/>
          <w:numId w:val="50"/>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1051"/>
        <w:numPr>
          <w:ilvl w:val="0"/>
          <w:numId w:val="0"/>
        </w:numPr>
        <w:ind w:firstLine="562"/>
        <w:keepLines w:val="0"/>
        <w:keepNext w:val="0"/>
        <w:pageBreakBefore w:val="0"/>
        <w:spacing w:line="480" w:lineRule="exact"/>
        <w:widowControl w:val="off"/>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b/>
          <w:sz w:val="28"/>
          <w:szCs w:val="28"/>
          <w:highlight w:val="none"/>
        </w:rPr>
      </w:r>
      <w:r/>
    </w:p>
    <w:p>
      <w:pPr>
        <w:pStyle w:val="1051"/>
        <w:numPr>
          <w:ilvl w:val="0"/>
          <w:numId w:val="0"/>
        </w:numPr>
        <w:ind w:firstLine="562"/>
        <w:keepLines w:val="0"/>
        <w:keepNext w:val="0"/>
        <w:pageBreakBefore w:val="0"/>
        <w:spacing w:line="480" w:lineRule="exact"/>
        <w:widowControl w:val="off"/>
        <w:rPr>
          <w:rFonts w:hint="eastAsia" w:ascii="仿宋" w:hAnsi="仿宋" w:eastAsia="仿宋"/>
          <w:b/>
          <w:sz w:val="28"/>
          <w:szCs w:val="28"/>
          <w:highlight w:val="none"/>
        </w:rPr>
      </w:pPr>
      <w:r>
        <w:rPr>
          <w:rFonts w:hint="eastAsia" w:ascii="仿宋" w:hAnsi="仿宋" w:eastAsia="仿宋" w:cs="Times New Roman"/>
          <w:b/>
          <w:sz w:val="28"/>
          <w:szCs w:val="28"/>
          <w:highlight w:val="none"/>
        </w:rPr>
        <w:t xml:space="preserve">投标报价得分=（评标基准价/投标报价）×价格权值×100</w:t>
      </w:r>
      <w:r>
        <w:rPr>
          <w:rFonts w:hint="eastAsia" w:ascii="仿宋" w:hAnsi="仿宋" w:eastAsia="仿宋"/>
          <w:b/>
          <w:sz w:val="28"/>
          <w:szCs w:val="28"/>
          <w:highlight w:val="none"/>
        </w:rPr>
      </w:r>
      <w:r/>
    </w:p>
    <w:p>
      <w:pPr>
        <w:pStyle w:val="963"/>
        <w:numPr>
          <w:ilvl w:val="0"/>
          <w:numId w:val="50"/>
        </w:numPr>
        <w:ind w:firstLine="562"/>
        <w:jc w:val="left"/>
        <w:spacing w:before="120" w:after="120" w:line="480" w:lineRule="exact"/>
        <w:tabs>
          <w:tab w:val="left" w:pos="312" w:leader="none"/>
        </w:tabs>
        <w:rPr>
          <w:rFonts w:ascii="仿宋" w:hAnsi="仿宋" w:eastAsia="仿宋"/>
          <w:b/>
          <w:sz w:val="28"/>
          <w:szCs w:val="28"/>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ascii="仿宋" w:hAnsi="仿宋" w:eastAsia="仿宋"/>
          <w:b/>
          <w:sz w:val="28"/>
          <w:szCs w:val="28"/>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2835"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110"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w:t>
            </w:r>
            <w:r>
              <w:rPr>
                <w:rFonts w:hint="eastAsia"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需求响应</w:t>
            </w:r>
            <w:r>
              <w:rPr>
                <w:rFonts w:ascii="仿宋" w:hAnsi="仿宋" w:eastAsia="仿宋"/>
                <w:b/>
                <w:color w:val="000000"/>
                <w:sz w:val="28"/>
                <w:szCs w:val="28"/>
              </w:rPr>
            </w:r>
            <w:r/>
          </w:p>
        </w:tc>
        <w:tc>
          <w:tcPr>
            <w:tcW w:w="2835" w:type="dxa"/>
            <w:vAlign w:val="center"/>
            <w:textDirection w:val="lrTb"/>
            <w:noWrap w:val="false"/>
          </w:tcPr>
          <w:p>
            <w:pPr>
              <w:pStyle w:val="963"/>
              <w:numPr>
                <w:ilvl w:val="0"/>
                <w:numId w:val="51"/>
              </w:numPr>
              <w:rPr>
                <w:rFonts w:hint="eastAsia" w:ascii="宋体" w:hAnsi="宋体" w:cs="宋体"/>
                <w:color w:val="000000"/>
                <w:szCs w:val="21"/>
              </w:rPr>
            </w:pPr>
            <w:r>
              <w:rPr>
                <w:rFonts w:hint="eastAsia" w:ascii="宋体" w:hAnsi="宋体" w:cs="宋体"/>
                <w:color w:val="000000"/>
                <w:szCs w:val="21"/>
              </w:rPr>
              <w:t xml:space="preserve">完全满足招标文件“采购需求”中技术规格要求的得30分；</w:t>
            </w:r>
            <w:r>
              <w:rPr>
                <w:rFonts w:hint="eastAsia" w:ascii="宋体" w:hAnsi="宋体" w:cs="宋体"/>
                <w:color w:val="000000"/>
                <w:szCs w:val="21"/>
              </w:rPr>
            </w:r>
            <w:r/>
          </w:p>
          <w:p>
            <w:pPr>
              <w:pStyle w:val="963"/>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pacing w:val="-16"/>
                <w:szCs w:val="21"/>
              </w:rPr>
              <w:t xml:space="preserve">参数中不带</w:t>
            </w:r>
            <w:r>
              <w:rPr>
                <w:rFonts w:hint="eastAsia" w:ascii="宋体" w:hAnsi="宋体" w:cs="宋体"/>
                <w:color w:val="000000"/>
                <w:szCs w:val="21"/>
              </w:rPr>
              <w:t xml:space="preserve">▲</w:t>
            </w:r>
            <w:r>
              <w:rPr>
                <w:rFonts w:hint="eastAsia" w:ascii="宋体" w:hAnsi="宋体" w:cs="宋体"/>
                <w:color w:val="000000"/>
                <w:spacing w:val="-16"/>
                <w:szCs w:val="21"/>
              </w:rPr>
              <w:t xml:space="preserve">项的为基本技术参数，每有一项负偏离扣1</w:t>
            </w:r>
            <w:r>
              <w:rPr>
                <w:rFonts w:hint="eastAsia" w:ascii="宋体" w:hAnsi="宋体" w:cs="宋体"/>
                <w:color w:val="000000"/>
                <w:szCs w:val="21"/>
              </w:rPr>
              <w:t xml:space="preserve">分，扣完为止；</w:t>
            </w:r>
            <w:r>
              <w:rPr>
                <w:rFonts w:hint="eastAsia" w:ascii="宋体" w:hAnsi="宋体" w:cs="宋体"/>
                <w:color w:val="000000"/>
                <w:szCs w:val="21"/>
              </w:rPr>
            </w:r>
            <w:r/>
          </w:p>
          <w:p>
            <w:pPr>
              <w:pStyle w:val="963"/>
              <w:jc w:val="left"/>
              <w:spacing w:before="120" w:after="120" w:line="480" w:lineRule="exact"/>
              <w:rPr>
                <w:rFonts w:ascii="仿宋" w:hAnsi="仿宋" w:eastAsia="仿宋"/>
                <w:b/>
                <w:color w:val="000000"/>
                <w:sz w:val="28"/>
                <w:szCs w:val="28"/>
              </w:rPr>
            </w:pPr>
            <w:r>
              <w:rPr>
                <w:rFonts w:hint="eastAsia" w:ascii="宋体" w:hAnsi="宋体" w:cs="宋体"/>
                <w:color w:val="000000"/>
                <w:spacing w:val="-1"/>
                <w:szCs w:val="21"/>
              </w:rPr>
              <w:t xml:space="preserve">3、技术参数中带“</w:t>
            </w:r>
            <w:r>
              <w:rPr>
                <w:rFonts w:hint="eastAsia" w:ascii="宋体" w:hAnsi="宋体" w:cs="宋体"/>
                <w:color w:val="000000"/>
                <w:szCs w:val="21"/>
              </w:rPr>
              <w:t xml:space="preserve">▲</w:t>
            </w:r>
            <w:r>
              <w:rPr>
                <w:rFonts w:hint="eastAsia" w:ascii="宋体" w:hAnsi="宋体" w:cs="宋体"/>
                <w:color w:val="000000"/>
                <w:spacing w:val="-1"/>
                <w:szCs w:val="21"/>
              </w:rPr>
              <w:t xml:space="preserve">”项为重要参数，若出现负偏离的，每一项扣</w:t>
            </w:r>
            <w:r>
              <w:rPr>
                <w:rFonts w:hint="eastAsia" w:ascii="宋体" w:hAnsi="宋体" w:cs="宋体"/>
                <w:color w:val="000000"/>
                <w:spacing w:val="-27"/>
                <w:szCs w:val="21"/>
              </w:rPr>
              <w:t xml:space="preserve">除2</w:t>
            </w:r>
            <w:r>
              <w:rPr>
                <w:rFonts w:hint="eastAsia" w:ascii="宋体" w:hAnsi="宋体" w:cs="宋体"/>
                <w:color w:val="000000"/>
                <w:spacing w:val="-8"/>
                <w:szCs w:val="21"/>
              </w:rPr>
              <w:t xml:space="preserve">分，扣完为止。</w:t>
            </w:r>
            <w:r>
              <w:rPr>
                <w:rFonts w:hint="eastAsia" w:ascii="宋体" w:hAnsi="宋体" w:eastAsia="宋体" w:cs="宋体"/>
                <w:b/>
                <w:bCs/>
                <w:color w:val="000000"/>
                <w:spacing w:val="-1"/>
                <w:szCs w:val="21"/>
                <w:lang w:val="zh-CN"/>
              </w:rPr>
              <w:t xml:space="preserve">（</w:t>
            </w:r>
            <w:r>
              <w:rPr>
                <w:rFonts w:hint="eastAsia" w:ascii="宋体" w:hAnsi="宋体" w:eastAsia="宋体" w:cs="宋体"/>
                <w:b/>
                <w:bCs/>
                <w:color w:val="000000"/>
                <w:spacing w:val="-1"/>
                <w:szCs w:val="21"/>
                <w:lang w:val="en-US" w:eastAsia="zh-CN"/>
              </w:rPr>
              <w:t xml:space="preserve">注：</w:t>
            </w:r>
            <w:r>
              <w:rPr>
                <w:rFonts w:hint="eastAsia" w:ascii="宋体" w:hAnsi="宋体" w:eastAsia="宋体" w:cs="宋体"/>
                <w:b/>
                <w:bCs/>
                <w:color w:val="000000"/>
                <w:spacing w:val="-1"/>
                <w:szCs w:val="21"/>
                <w:lang w:val="zh-CN"/>
              </w:rPr>
              <w:t xml:space="preserve">标记“</w:t>
            </w:r>
            <w:r>
              <w:rPr>
                <w:rFonts w:hint="eastAsia" w:ascii="宋体" w:hAnsi="宋体" w:eastAsia="宋体" w:cs="宋体"/>
                <w:b/>
                <w:bCs/>
                <w:color w:val="000000"/>
                <w:spacing w:val="-1"/>
                <w:szCs w:val="21"/>
              </w:rPr>
              <w:t xml:space="preserve">▲</w:t>
            </w:r>
            <w:r>
              <w:rPr>
                <w:rFonts w:hint="eastAsia" w:ascii="宋体" w:hAnsi="宋体" w:eastAsia="宋体" w:cs="宋体"/>
                <w:b/>
                <w:bCs/>
                <w:color w:val="000000"/>
                <w:spacing w:val="-1"/>
                <w:szCs w:val="21"/>
                <w:lang w:val="zh-CN"/>
              </w:rPr>
              <w:t xml:space="preserve">”为重点参数，</w:t>
            </w:r>
            <w:r>
              <w:rPr>
                <w:rFonts w:hint="eastAsia" w:ascii="宋体" w:hAnsi="宋体" w:eastAsia="宋体" w:cs="宋体"/>
                <w:b/>
                <w:bCs/>
                <w:color w:val="000000"/>
                <w:spacing w:val="-1"/>
                <w:szCs w:val="21"/>
              </w:rPr>
              <w:t xml:space="preserve">须根据要求提供功能证明截图。）</w:t>
            </w:r>
            <w:r>
              <w:rPr>
                <w:rFonts w:ascii="仿宋" w:hAnsi="仿宋" w:eastAsia="仿宋"/>
                <w:b/>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30</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bl>
    <w:p>
      <w:pPr>
        <w:pStyle w:val="963"/>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63"/>
        <w:numPr>
          <w:ilvl w:val="0"/>
          <w:numId w:val="50"/>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8</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2835"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110" w:type="dxa"/>
            <w:vAlign w:val="center"/>
            <w:textDirection w:val="lrTb"/>
            <w:noWrap w:val="false"/>
          </w:tcPr>
          <w:p>
            <w:pPr>
              <w:pStyle w:val="963"/>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ff"/>
                <w:sz w:val="28"/>
                <w:szCs w:val="28"/>
              </w:rPr>
            </w:pPr>
            <w:r>
              <w:rPr>
                <w:rFonts w:hint="eastAsia" w:ascii="仿宋" w:hAnsi="仿宋" w:eastAsia="仿宋"/>
                <w:b/>
                <w:color w:val="000000"/>
                <w:sz w:val="28"/>
                <w:szCs w:val="28"/>
              </w:rPr>
              <w:t xml:space="preserve">1</w:t>
            </w:r>
            <w:r>
              <w:rPr>
                <w:rFonts w:hint="eastAsia" w:ascii="仿宋" w:hAnsi="仿宋" w:eastAsia="仿宋"/>
                <w:b/>
                <w:color w:val="0000ff"/>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设计方案</w:t>
            </w:r>
            <w:r>
              <w:rPr>
                <w:rFonts w:ascii="仿宋" w:hAnsi="仿宋" w:eastAsia="仿宋"/>
                <w:b/>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63"/>
              <w:jc w:val="left"/>
              <w:spacing w:before="120" w:after="120" w:line="480" w:lineRule="exact"/>
              <w:rPr>
                <w:rFonts w:hint="eastAsia" w:ascii="宋体" w:hAnsi="宋体" w:cs="宋体"/>
                <w:color w:val="000000"/>
                <w:szCs w:val="21"/>
              </w:rPr>
            </w:pPr>
            <w:r>
              <w:rPr>
                <w:rFonts w:hint="eastAsia" w:ascii="宋体" w:hAnsi="宋体" w:cs="宋体"/>
                <w:color w:val="000000"/>
                <w:szCs w:val="21"/>
              </w:rPr>
              <w:t xml:space="preserve">投标供应商根据本项目的具体情况提供针对本项目设计方案（①需求调研，②功能设计，③系统架构，④实现思路，⑤关键技术)，评委会根据投标人提供的方案进行综合评审；</w:t>
            </w:r>
            <w:r>
              <w:rPr>
                <w:rFonts w:hint="eastAsia" w:ascii="宋体" w:hAnsi="宋体" w:cs="宋体"/>
                <w:color w:val="000000"/>
                <w:szCs w:val="21"/>
              </w:rPr>
              <w:br w:type="textWrapping" w:clear="all"/>
            </w:r>
            <w:r>
              <w:rPr>
                <w:rFonts w:hint="eastAsia" w:ascii="宋体" w:hAnsi="宋体" w:cs="宋体"/>
                <w:color w:val="000000"/>
                <w:szCs w:val="21"/>
              </w:rPr>
              <w:t xml:space="preserve">响应方案包含上述所列全部内容，且阐述清晰完整、科学合理、相关内容符合国家或行业规范标准的得8分；响应方案中上述内容缺项或表述模糊、方案执行措施不足的得4分；没有提供设计方案，得0分。</w:t>
            </w:r>
            <w:r>
              <w:rPr>
                <w:rFonts w:hint="eastAsia" w:ascii="宋体" w:hAnsi="宋体" w:cs="宋体"/>
                <w:color w:val="000000"/>
                <w:szCs w:val="21"/>
              </w:rPr>
            </w:r>
            <w:r/>
          </w:p>
          <w:p>
            <w:pPr>
              <w:pStyle w:val="1084"/>
              <w:rPr>
                <w:rFonts w:hint="eastAsia" w:eastAsia="宋体"/>
                <w:color w:val="000000"/>
              </w:rPr>
            </w:pPr>
            <w:r>
              <w:rPr>
                <w:rFonts w:hint="eastAsia" w:eastAsia="宋体"/>
                <w:color w:val="000000"/>
              </w:rPr>
            </w:r>
            <w:r/>
          </w:p>
        </w:tc>
        <w:tc>
          <w:tcPr>
            <w:tcW w:w="1241"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8</w:t>
            </w:r>
            <w:r>
              <w:rPr>
                <w:rFonts w:hint="eastAsia"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rHeight w:val="4175"/>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hint="eastAsia"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实施方案</w:t>
            </w:r>
            <w:r>
              <w:rPr>
                <w:rFonts w:ascii="仿宋" w:hAnsi="仿宋" w:eastAsia="仿宋"/>
                <w:b/>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cs="宋体"/>
                <w:color w:val="000000"/>
                <w:szCs w:val="21"/>
              </w:rPr>
            </w:pPr>
            <w:r>
              <w:rPr>
                <w:rFonts w:hint="eastAsia" w:ascii="宋体" w:hAnsi="宋体" w:cs="宋体"/>
                <w:color w:val="000000"/>
                <w:szCs w:val="21"/>
              </w:rPr>
              <w:t xml:space="preserve">投标供应商根据本项目的具体情况提供针对本项目实施方案（必须包含以下内容：①项目进度计划，②项目实施方案，③拟投入本项目的主要技术人员情况、④安全生产管理制度，⑤货物安装、调试及验收⑥产品安装使用说明书），响应方案包含上述所列全部内容，且阐述清晰完整、科学合理、相关内容符合国家或行业规范标准的得6分；响应方案中上述内容缺项或表述模糊、方案执行措施不足的得4分；没有提供实施及培训方案，得0分。</w:t>
            </w:r>
            <w:r>
              <w:rPr>
                <w:rFonts w:hint="eastAsia" w:ascii="宋体" w:hAnsi="宋体" w:cs="宋体"/>
                <w:color w:val="000000"/>
                <w:szCs w:val="21"/>
              </w:rPr>
            </w:r>
            <w:r/>
          </w:p>
          <w:p>
            <w:pPr>
              <w:pStyle w:val="963"/>
              <w:jc w:val="left"/>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r>
            <w:r/>
          </w:p>
        </w:tc>
        <w:tc>
          <w:tcPr>
            <w:tcW w:w="1241"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ascii="仿宋" w:hAnsi="仿宋" w:eastAsia="仿宋"/>
                <w:b/>
                <w:color w:val="000000"/>
                <w:sz w:val="28"/>
                <w:szCs w:val="28"/>
              </w:rPr>
              <w:t xml:space="preserve">6</w:t>
            </w:r>
            <w:r>
              <w:rPr>
                <w:rFonts w:hint="eastAsia"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3</w:t>
            </w:r>
            <w:r>
              <w:rPr>
                <w:rFonts w:hint="eastAsia"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项目人员资质</w:t>
            </w:r>
            <w:r>
              <w:rPr>
                <w:rFonts w:ascii="仿宋" w:hAnsi="仿宋" w:eastAsia="仿宋"/>
                <w:b/>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项目团队人员中有具备中级或中级以上系统架构设计师证书得1.5分；注册信息安全专业人员（CISP）证书得1.5分。</w:t>
            </w:r>
            <w:r>
              <w:rPr>
                <w:rFonts w:hint="eastAsia" w:ascii="宋体" w:hAnsi="宋体" w:eastAsia="宋体" w:cs="宋体"/>
                <w:color w:val="000000"/>
                <w:szCs w:val="21"/>
              </w:rPr>
            </w:r>
            <w:r/>
          </w:p>
          <w:p>
            <w:pPr>
              <w:pStyle w:val="963"/>
              <w:jc w:val="left"/>
              <w:spacing w:before="120" w:after="120" w:line="480" w:lineRule="exact"/>
              <w:rPr>
                <w:rFonts w:ascii="仿宋" w:hAnsi="仿宋" w:eastAsia="仿宋"/>
                <w:b/>
                <w:color w:val="000000"/>
                <w:sz w:val="28"/>
                <w:szCs w:val="28"/>
              </w:rPr>
            </w:pPr>
            <w:r>
              <w:rPr>
                <w:rFonts w:hint="eastAsia" w:ascii="宋体" w:hAnsi="宋体" w:eastAsia="宋体" w:cs="宋体"/>
                <w:color w:val="000000"/>
                <w:szCs w:val="21"/>
              </w:rPr>
              <w:t xml:space="preserve">(需在投标文件中提供证书电子扫描件及近一年内任意一个月内的投标人为持证人缴纳社保的证明)</w:t>
            </w:r>
            <w:r>
              <w:rPr>
                <w:rFonts w:ascii="仿宋" w:hAnsi="仿宋" w:eastAsia="仿宋"/>
                <w:b/>
                <w:color w:val="000000"/>
                <w:sz w:val="28"/>
                <w:szCs w:val="28"/>
              </w:rPr>
            </w:r>
            <w:r/>
          </w:p>
        </w:tc>
        <w:tc>
          <w:tcPr>
            <w:tcW w:w="1241"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3</w:t>
            </w:r>
            <w:r>
              <w:rPr>
                <w:rFonts w:hint="eastAsia"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4</w:t>
            </w:r>
            <w:r>
              <w:rPr>
                <w:rFonts w:hint="eastAsia"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宋体" w:hAnsi="宋体" w:cs="宋体"/>
                <w:color w:val="000000"/>
                <w:sz w:val="28"/>
                <w:szCs w:val="28"/>
              </w:rPr>
              <w:t xml:space="preserve">公司及产品实力</w:t>
            </w:r>
            <w:r>
              <w:rPr>
                <w:rFonts w:ascii="仿宋" w:hAnsi="仿宋" w:eastAsia="仿宋"/>
                <w:b/>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（1）投标人具备ISO9001质量管理体系证书得1分。（需在投标文件中提供证书的电子扫描件）</w:t>
            </w:r>
            <w:r>
              <w:rPr>
                <w:rFonts w:hint="eastAsia" w:ascii="宋体" w:hAnsi="宋体" w:eastAsia="宋体" w:cs="宋体"/>
                <w:color w:val="000000"/>
                <w:szCs w:val="21"/>
              </w:rPr>
            </w:r>
            <w:r/>
          </w:p>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（2）投标人具备ISO20000信息技术服务管理体系认证证书得1分（需在投标文件中提供证书的电子扫描件）</w:t>
            </w:r>
            <w:r>
              <w:rPr>
                <w:rFonts w:hint="eastAsia" w:ascii="宋体" w:hAnsi="宋体" w:eastAsia="宋体" w:cs="宋体"/>
                <w:color w:val="000000"/>
                <w:szCs w:val="21"/>
              </w:rPr>
            </w:r>
            <w:r/>
          </w:p>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（3）投标人具备CCRC信息安全服务资质认证证书得2分（需在投标文件中提供证书的电子扫描件）</w:t>
            </w:r>
            <w:r>
              <w:rPr>
                <w:rFonts w:hint="eastAsia" w:ascii="宋体" w:hAnsi="宋体" w:eastAsia="宋体" w:cs="宋体"/>
                <w:color w:val="000000"/>
                <w:szCs w:val="21"/>
              </w:rPr>
            </w:r>
            <w:r/>
          </w:p>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（4）投标人的投标产品中有具备信息技术应用创新适配报告的得2分（需在投标文件中提供证书电子扫描件的关键页，包括封面、首页、测试结果和适配结论页、报告信息查询的二维码页）</w:t>
            </w:r>
            <w:r>
              <w:rPr>
                <w:rFonts w:hint="eastAsia" w:ascii="宋体" w:hAnsi="宋体" w:eastAsia="宋体" w:cs="宋体"/>
                <w:color w:val="000000"/>
                <w:szCs w:val="21"/>
              </w:rPr>
            </w:r>
            <w:r/>
          </w:p>
          <w:p>
            <w:pPr>
              <w:pStyle w:val="963"/>
              <w:jc w:val="left"/>
              <w:spacing w:before="120" w:after="120"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5）投标人具备住院医生规范化培训管理系统的网络安全等级保护评测报告（云服务模式IaaS）的，得2分。（需在投标文件中提供评测报告关键页的电子扫描件，可证明保护等级为三级，且符合云服务模式IaaS）。</w:t>
            </w:r>
            <w:r>
              <w:rPr>
                <w:rFonts w:hint="eastAsia" w:ascii="宋体" w:hAnsi="宋体" w:eastAsia="宋体" w:cs="宋体"/>
                <w:color w:val="000000"/>
                <w:szCs w:val="21"/>
              </w:rPr>
            </w:r>
            <w:r/>
          </w:p>
          <w:p>
            <w:pPr>
              <w:pStyle w:val="963"/>
              <w:jc w:val="left"/>
              <w:spacing w:before="120" w:after="120" w:line="480" w:lineRule="exact"/>
              <w:rPr>
                <w:rFonts w:ascii="仿宋" w:hAnsi="仿宋" w:eastAsia="仿宋"/>
                <w:b/>
                <w:color w:val="000000"/>
                <w:sz w:val="28"/>
                <w:szCs w:val="28"/>
              </w:rPr>
            </w:pPr>
            <w:r>
              <w:rPr>
                <w:rFonts w:hint="eastAsia" w:ascii="宋体" w:hAnsi="宋体" w:eastAsia="宋体" w:cs="宋体"/>
                <w:color w:val="000000"/>
                <w:szCs w:val="21"/>
              </w:rPr>
              <w:t xml:space="preserve">（6）投标人具备公安部门出具的住院医师规范化培训管理系统的信息系统安全等级（第三级）保护备案证明的，得2分（需在投标文件中提供备案证明的电子扫描件）</w:t>
            </w:r>
            <w:r>
              <w:rPr>
                <w:rFonts w:ascii="仿宋" w:hAnsi="仿宋" w:eastAsia="仿宋"/>
                <w:b/>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10</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5</w:t>
            </w:r>
            <w:r>
              <w:rPr>
                <w:rFonts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售后服务方案</w:t>
            </w:r>
            <w:r>
              <w:rPr>
                <w:rFonts w:hint="eastAsia" w:ascii="宋体" w:hAnsi="宋体" w:cs="宋体"/>
                <w:color w:val="000000"/>
                <w:sz w:val="28"/>
                <w:szCs w:val="28"/>
              </w:rPr>
            </w:r>
            <w:r/>
          </w:p>
        </w:tc>
        <w:tc>
          <w:tcPr>
            <w:tcW w:w="2835" w:type="dxa"/>
            <w:vAlign w:val="center"/>
            <w:textDirection w:val="lrTb"/>
            <w:noWrap w:val="false"/>
          </w:tcPr>
          <w:p>
            <w:pPr>
              <w:pStyle w:val="963"/>
              <w:jc w:val="left"/>
              <w:spacing w:before="120" w:after="120" w:line="480" w:lineRule="exact"/>
              <w:widowControl/>
              <w:rPr>
                <w:rFonts w:ascii="宋体" w:hAnsi="宋体" w:cs="宋体"/>
                <w:color w:val="000000"/>
                <w:sz w:val="28"/>
                <w:szCs w:val="28"/>
              </w:rPr>
            </w:pPr>
            <w:r>
              <w:rPr>
                <w:rFonts w:hint="eastAsia" w:ascii="宋体" w:hAnsi="宋体" w:eastAsia="宋体" w:cs="宋体"/>
                <w:color w:val="000000"/>
                <w:szCs w:val="21"/>
              </w:rPr>
              <w:t xml:space="preserve">提供详细售后服务方案，内容中明确包括售后服务内容、服务体系及服务范围、响应时间及处理措施、售后服务队伍、应急预案、培训方案等得4分，内容不明确、不全的的2分，内容不合理或未有内容体现的不得分。</w:t>
            </w:r>
            <w:r>
              <w:rPr>
                <w:rFonts w:ascii="宋体" w:hAnsi="宋体" w:cs="宋体"/>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4</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主观</w:t>
            </w:r>
            <w:r>
              <w:rPr>
                <w:rFonts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6</w:t>
            </w:r>
            <w:r>
              <w:rPr>
                <w:rFonts w:hint="eastAsia"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质保期</w:t>
            </w:r>
            <w:r>
              <w:rPr>
                <w:rFonts w:hint="eastAsia" w:ascii="宋体" w:hAnsi="宋体" w:cs="宋体"/>
                <w:color w:val="000000"/>
                <w:sz w:val="28"/>
                <w:szCs w:val="28"/>
              </w:rPr>
            </w:r>
            <w:r/>
          </w:p>
        </w:tc>
        <w:tc>
          <w:tcPr>
            <w:tcW w:w="2835" w:type="dxa"/>
            <w:vAlign w:val="center"/>
            <w:textDirection w:val="lrTb"/>
            <w:noWrap w:val="false"/>
          </w:tcPr>
          <w:p>
            <w:pPr>
              <w:pStyle w:val="963"/>
              <w:jc w:val="left"/>
              <w:spacing w:before="120" w:after="120" w:line="480" w:lineRule="exact"/>
              <w:widowControl/>
              <w:rPr>
                <w:rFonts w:hint="eastAsia" w:ascii="仿宋" w:hAnsi="仿宋" w:eastAsia="仿宋" w:cs="仿宋"/>
                <w:color w:val="000000"/>
                <w:sz w:val="28"/>
                <w:szCs w:val="28"/>
              </w:rPr>
            </w:pPr>
            <w:r>
              <w:rPr>
                <w:rFonts w:hint="eastAsia" w:ascii="宋体" w:hAnsi="宋体" w:eastAsia="宋体" w:cs="宋体"/>
                <w:color w:val="000000"/>
                <w:szCs w:val="21"/>
              </w:rPr>
              <w:t xml:space="preserve">供应商在免费服务期须满足采购文件要求，在此基础上供应商承诺每增加一年免费服务期的得0.5分，最高得1分。提供承诺函并加盖公章。</w:t>
            </w:r>
            <w:r>
              <w:rPr>
                <w:rFonts w:hint="eastAsia" w:ascii="仿宋" w:hAnsi="仿宋" w:eastAsia="仿宋" w:cs="仿宋"/>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0</w:t>
            </w:r>
            <w:r>
              <w:rPr>
                <w:rFonts w:hint="eastAsia"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客观</w:t>
            </w:r>
            <w:r>
              <w:rPr>
                <w:rFonts w:hint="eastAsia"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7</w:t>
            </w:r>
            <w:r>
              <w:rPr>
                <w:rFonts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项目案例</w:t>
            </w:r>
            <w:r>
              <w:rPr>
                <w:rFonts w:hint="eastAsia" w:ascii="宋体" w:hAnsi="宋体" w:cs="宋体"/>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cs="宋体"/>
                <w:color w:val="000000"/>
                <w:sz w:val="28"/>
                <w:szCs w:val="28"/>
              </w:rPr>
            </w:pPr>
            <w:r>
              <w:rPr>
                <w:rFonts w:hint="eastAsia" w:ascii="宋体" w:hAnsi="宋体" w:eastAsia="宋体" w:cs="宋体"/>
                <w:color w:val="000000"/>
                <w:szCs w:val="21"/>
              </w:rPr>
              <w:t xml:space="preserve">根据各投标人2021年起至本次投标截止时间为止（以投标人提供的项目合同时间为准）的同类项目经验情况进行评分。投标人需在投标文件中提供项目合同或中标通知书。每提供1份案例证明材料得1分，满分3分。</w:t>
            </w:r>
            <w:r>
              <w:rPr>
                <w:rFonts w:hint="eastAsia" w:ascii="宋体" w:hAnsi="宋体" w:cs="宋体"/>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客观</w:t>
            </w:r>
            <w:r>
              <w:rPr>
                <w:rFonts w:ascii="仿宋" w:hAnsi="仿宋" w:eastAsia="仿宋"/>
                <w:b/>
                <w:color w:val="000000"/>
                <w:sz w:val="28"/>
                <w:szCs w:val="28"/>
              </w:rPr>
            </w:r>
            <w:r/>
          </w:p>
        </w:tc>
      </w:tr>
      <w:tr>
        <w:trPr/>
        <w:tc>
          <w:tcPr>
            <w:tcW w:w="959"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8</w:t>
            </w:r>
            <w:r>
              <w:rPr>
                <w:rFonts w:ascii="仿宋" w:hAnsi="仿宋" w:eastAsia="仿宋"/>
                <w:b/>
                <w:color w:val="000000"/>
                <w:sz w:val="28"/>
                <w:szCs w:val="28"/>
              </w:rPr>
            </w:r>
            <w:r/>
          </w:p>
        </w:tc>
        <w:tc>
          <w:tcPr>
            <w:tcW w:w="1701" w:type="dxa"/>
            <w:vAlign w:val="center"/>
            <w:textDirection w:val="lrTb"/>
            <w:noWrap w:val="false"/>
          </w:tcPr>
          <w:p>
            <w:pPr>
              <w:pStyle w:val="963"/>
              <w:jc w:val="center"/>
              <w:spacing w:before="120" w:after="120" w:line="480" w:lineRule="exact"/>
              <w:rPr>
                <w:rFonts w:hint="eastAsia" w:ascii="宋体" w:hAnsi="宋体" w:cs="宋体"/>
                <w:color w:val="000000"/>
                <w:sz w:val="28"/>
                <w:szCs w:val="28"/>
              </w:rPr>
            </w:pPr>
            <w:r>
              <w:rPr>
                <w:rFonts w:hint="eastAsia" w:ascii="宋体" w:hAnsi="宋体" w:cs="宋体"/>
                <w:color w:val="000000"/>
                <w:sz w:val="28"/>
                <w:szCs w:val="28"/>
              </w:rPr>
              <w:t xml:space="preserve">用户满意度</w:t>
            </w:r>
            <w:r>
              <w:rPr>
                <w:rFonts w:hint="eastAsia" w:ascii="宋体" w:hAnsi="宋体" w:cs="宋体"/>
                <w:color w:val="000000"/>
                <w:sz w:val="28"/>
                <w:szCs w:val="28"/>
              </w:rPr>
            </w:r>
            <w:r/>
          </w:p>
        </w:tc>
        <w:tc>
          <w:tcPr>
            <w:tcW w:w="2835" w:type="dxa"/>
            <w:vAlign w:val="center"/>
            <w:textDirection w:val="lrTb"/>
            <w:noWrap w:val="false"/>
          </w:tcPr>
          <w:p>
            <w:pPr>
              <w:pStyle w:val="963"/>
              <w:jc w:val="left"/>
              <w:spacing w:before="120" w:after="120" w:line="480" w:lineRule="exact"/>
              <w:rPr>
                <w:rFonts w:hint="eastAsia" w:ascii="宋体" w:hAnsi="宋体" w:cs="宋体"/>
                <w:color w:val="000000"/>
                <w:sz w:val="28"/>
                <w:szCs w:val="28"/>
              </w:rPr>
            </w:pPr>
            <w:r>
              <w:rPr>
                <w:rFonts w:hint="eastAsia" w:ascii="宋体" w:hAnsi="宋体" w:eastAsia="宋体" w:cs="宋体"/>
                <w:color w:val="000000"/>
                <w:szCs w:val="21"/>
              </w:rPr>
              <w:t xml:space="preserve">投标人提供与本项目类似的教学管理信息化项目的相关用户出具的满意度报告或工作反馈报告，可证明用户对投标人工作满意认可的，每提供1份报告的得1分，最高得3分。</w:t>
            </w:r>
            <w:r>
              <w:rPr>
                <w:rFonts w:hint="eastAsia" w:ascii="宋体" w:hAnsi="宋体" w:cs="宋体"/>
                <w:color w:val="000000"/>
                <w:sz w:val="28"/>
                <w:szCs w:val="28"/>
              </w:rPr>
            </w:r>
            <w:r/>
          </w:p>
        </w:tc>
        <w:tc>
          <w:tcPr>
            <w:tcW w:w="1241"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3</w:t>
            </w:r>
            <w:r>
              <w:rPr>
                <w:rFonts w:ascii="仿宋" w:hAnsi="仿宋" w:eastAsia="仿宋"/>
                <w:b/>
                <w:color w:val="000000"/>
                <w:sz w:val="28"/>
                <w:szCs w:val="28"/>
              </w:rPr>
            </w:r>
            <w:r/>
          </w:p>
        </w:tc>
        <w:tc>
          <w:tcPr>
            <w:tcW w:w="1110"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0</w:t>
            </w:r>
            <w:r>
              <w:rPr>
                <w:rFonts w:ascii="仿宋" w:hAnsi="仿宋" w:eastAsia="仿宋"/>
                <w:b/>
                <w:color w:val="000000"/>
                <w:sz w:val="28"/>
                <w:szCs w:val="28"/>
              </w:rPr>
            </w:r>
            <w:r/>
          </w:p>
        </w:tc>
        <w:tc>
          <w:tcPr>
            <w:tcW w:w="1618" w:type="dxa"/>
            <w:vAlign w:val="center"/>
            <w:textDirection w:val="lrTb"/>
            <w:noWrap w:val="false"/>
          </w:tcPr>
          <w:p>
            <w:pPr>
              <w:pStyle w:val="963"/>
              <w:jc w:val="center"/>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客观</w:t>
            </w:r>
            <w:r>
              <w:rPr>
                <w:rFonts w:ascii="仿宋" w:hAnsi="仿宋" w:eastAsia="仿宋"/>
                <w:b/>
                <w:color w:val="000000"/>
                <w:sz w:val="28"/>
                <w:szCs w:val="28"/>
              </w:rPr>
            </w:r>
            <w:r/>
          </w:p>
        </w:tc>
      </w:tr>
    </w:tbl>
    <w:p>
      <w:pPr>
        <w:pStyle w:val="963"/>
        <w:ind w:firstLine="560"/>
        <w:spacing w:before="120" w:after="120" w:line="480" w:lineRule="exact"/>
        <w:rPr>
          <w:rFonts w:ascii="仿宋" w:hAnsi="仿宋" w:eastAsia="仿宋"/>
          <w:color w:val="000000"/>
          <w:sz w:val="28"/>
          <w:szCs w:val="28"/>
        </w:rPr>
      </w:pPr>
      <w:r>
        <w:rPr>
          <w:rFonts w:hint="eastAsia" w:ascii="仿宋" w:hAnsi="仿宋" w:eastAsia="仿宋"/>
          <w:color w:val="000000"/>
          <w:sz w:val="28"/>
          <w:szCs w:val="28"/>
        </w:rPr>
        <w:t xml:space="preserve">（六）节能环保（2分）</w:t>
      </w:r>
      <w:r>
        <w:rPr>
          <w:rFonts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仿宋" w:hAnsi="仿宋" w:eastAsia="仿宋"/>
          <w:color w:val="000000"/>
          <w:sz w:val="28"/>
          <w:szCs w:val="28"/>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rPr>
          <w:rFonts w:hint="eastAsia" w:ascii="Times New Roman" w:hAnsi="Times New Roman"/>
          <w:color w:val="000000"/>
          <w:szCs w:val="21"/>
        </w:rPr>
      </w:pPr>
      <w:r>
        <w:rPr>
          <w:rFonts w:hint="eastAsia" w:ascii="Times New Roman" w:hAnsi="Times New Roman"/>
          <w:color w:val="000000"/>
          <w:szCs w:val="21"/>
        </w:rPr>
      </w:r>
      <w:r/>
    </w:p>
    <w:p>
      <w:pPr>
        <w:pStyle w:val="963"/>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963"/>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963"/>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963"/>
        <w:keepNext/>
        <w:rPr>
          <w:rFonts w:ascii="黑体" w:hAnsi="Times New Roman" w:eastAsia="黑体"/>
          <w:bCs/>
          <w:color w:val="000000"/>
          <w:sz w:val="44"/>
          <w:szCs w:val="28"/>
        </w:rPr>
        <w:outlineLvl w:val="9"/>
      </w:pPr>
      <w:r>
        <w:rPr>
          <w:rFonts w:ascii="黑体" w:hAnsi="Times New Roman" w:eastAsia="黑体"/>
          <w:bCs/>
          <w:color w:val="000000"/>
          <w:sz w:val="44"/>
          <w:szCs w:val="28"/>
        </w:rPr>
      </w:r>
      <w:r/>
    </w:p>
    <w:p>
      <w:pPr>
        <w:pStyle w:val="965"/>
        <w:keepLines/>
        <w:keepNext/>
        <w:pageBreakBefore/>
        <w:spacing w:line="416" w:lineRule="auto"/>
        <w:widowControl w:val="off"/>
        <w:rPr>
          <w:rFonts w:hint="eastAsia"/>
        </w:rPr>
        <w:outlineLvl w:val="0"/>
      </w:pPr>
      <w:r/>
      <w:bookmarkStart w:id="225" w:name="_Toc20703"/>
      <w:r/>
      <w:bookmarkStart w:id="226" w:name="_Toc15799"/>
      <w:r/>
      <w:bookmarkStart w:id="227" w:name="_Toc13794"/>
      <w:r/>
      <w:bookmarkStart w:id="228" w:name="_Toc21150"/>
      <w:r>
        <w:rPr>
          <w:rFonts w:hint="eastAsia"/>
        </w:rPr>
        <w:t xml:space="preserve">第六章  投标</w:t>
      </w:r>
      <w:bookmarkEnd w:id="218"/>
      <w:r/>
      <w:bookmarkEnd w:id="219"/>
      <w:r/>
      <w:bookmarkEnd w:id="220"/>
      <w:r>
        <w:rPr>
          <w:rFonts w:hint="eastAsia"/>
        </w:rPr>
        <w:t xml:space="preserve">文件格式</w:t>
      </w:r>
      <w:bookmarkEnd w:id="225"/>
      <w:r/>
      <w:bookmarkEnd w:id="226"/>
      <w:r/>
      <w:bookmarkEnd w:id="227"/>
      <w:r/>
      <w:bookmarkEnd w:id="228"/>
      <w:r>
        <w:rPr>
          <w:rFonts w:hint="eastAsia"/>
        </w:rPr>
        <w:t xml:space="preserve"> </w:t>
      </w:r>
      <w:r>
        <w:rPr>
          <w:rFonts w:hint="eastAsia"/>
        </w:rPr>
      </w:r>
      <w:r/>
    </w:p>
    <w:p>
      <w:pPr>
        <w:pStyle w:val="963"/>
        <w:jc w:val="center"/>
        <w:rPr>
          <w:rFonts w:hint="eastAsia" w:ascii="宋体" w:hAnsi="宋体"/>
          <w:b/>
          <w:color w:val="000000"/>
          <w:sz w:val="72"/>
          <w:szCs w:val="21"/>
        </w:rPr>
      </w:pPr>
      <w:r/>
      <w:bookmarkStart w:id="229" w:name="_Hlt26671244"/>
      <w:r/>
      <w:bookmarkEnd w:id="229"/>
      <w:r/>
      <w:bookmarkStart w:id="230" w:name="_Hlt26955039"/>
      <w:r/>
      <w:bookmarkEnd w:id="230"/>
      <w:r/>
      <w:bookmarkStart w:id="231" w:name="_Toc26554094"/>
      <w:r/>
      <w:bookmarkStart w:id="232" w:name="_Toc120614282"/>
      <w:r/>
      <w:bookmarkStart w:id="233" w:name="_Toc49090576"/>
      <w:r>
        <w:rPr>
          <w:rFonts w:hint="eastAsia" w:ascii="宋体" w:hAnsi="宋体"/>
          <w:b/>
          <w:color w:val="000000"/>
          <w:sz w:val="72"/>
          <w:szCs w:val="21"/>
        </w:rPr>
      </w:r>
      <w:r/>
    </w:p>
    <w:p>
      <w:pPr>
        <w:pStyle w:val="963"/>
        <w:jc w:val="center"/>
        <w:rPr>
          <w:rFonts w:hint="eastAsia" w:ascii="宋体" w:hAnsi="宋体"/>
          <w:b/>
          <w:color w:val="000000"/>
          <w:sz w:val="72"/>
          <w:szCs w:val="21"/>
        </w:rPr>
        <w:outlineLvl w:val="0"/>
      </w:pPr>
      <w:r/>
      <w:bookmarkStart w:id="234" w:name="_Toc21505"/>
      <w:r/>
      <w:bookmarkStart w:id="235" w:name="_Toc29543"/>
      <w:r/>
      <w:bookmarkStart w:id="236" w:name="_Toc10578"/>
      <w:r/>
      <w:bookmarkStart w:id="237" w:name="_Toc2120"/>
      <w:r/>
      <w:bookmarkStart w:id="238" w:name="_Toc32129"/>
      <w:r>
        <w:rPr>
          <w:rFonts w:hint="eastAsia" w:ascii="宋体" w:hAnsi="宋体"/>
          <w:b/>
          <w:color w:val="000000"/>
          <w:sz w:val="72"/>
          <w:szCs w:val="21"/>
        </w:rPr>
        <w:t xml:space="preserve">投  标  文  件</w:t>
      </w:r>
      <w:bookmarkEnd w:id="234"/>
      <w:r/>
      <w:bookmarkEnd w:id="235"/>
      <w:r/>
      <w:bookmarkEnd w:id="236"/>
      <w:r/>
      <w:bookmarkEnd w:id="237"/>
      <w:r/>
      <w:bookmarkEnd w:id="238"/>
      <w:r>
        <w:rPr>
          <w:rFonts w:hint="eastAsia" w:ascii="宋体" w:hAnsi="宋体"/>
          <w:b/>
          <w:color w:val="000000"/>
          <w:sz w:val="72"/>
          <w:szCs w:val="21"/>
        </w:rPr>
      </w:r>
      <w:r/>
    </w:p>
    <w:p>
      <w:pPr>
        <w:pStyle w:val="963"/>
        <w:jc w:val="center"/>
        <w:rPr>
          <w:rFonts w:hint="eastAsia" w:ascii="宋体" w:hAnsi="宋体"/>
          <w:b/>
          <w:color w:val="000000"/>
          <w:sz w:val="72"/>
          <w:szCs w:val="21"/>
        </w:rPr>
      </w:pPr>
      <w:r>
        <w:rPr>
          <w:rFonts w:hint="eastAsia" w:ascii="宋体" w:hAnsi="宋体"/>
          <w:b/>
          <w:color w:val="000000"/>
          <w:sz w:val="72"/>
          <w:szCs w:val="21"/>
        </w:rPr>
      </w:r>
      <w:r/>
    </w:p>
    <w:p>
      <w:pPr>
        <w:pStyle w:val="963"/>
        <w:jc w:val="center"/>
        <w:rPr>
          <w:rFonts w:hint="eastAsia" w:ascii="宋体" w:hAnsi="宋体"/>
          <w:b/>
          <w:color w:val="000000"/>
          <w:sz w:val="72"/>
          <w:szCs w:val="21"/>
        </w:rPr>
      </w:pPr>
      <w:r>
        <w:rPr>
          <w:rFonts w:hint="eastAsia" w:ascii="宋体" w:hAnsi="宋体"/>
          <w:b/>
          <w:color w:val="000000"/>
          <w:sz w:val="72"/>
          <w:szCs w:val="21"/>
        </w:rPr>
      </w:r>
      <w:r/>
    </w:p>
    <w:p>
      <w:pPr>
        <w:pStyle w:val="963"/>
        <w:jc w:val="center"/>
        <w:rPr>
          <w:rFonts w:hint="eastAsia" w:ascii="宋体" w:hAnsi="宋体"/>
          <w:b/>
          <w:color w:val="000000"/>
          <w:sz w:val="36"/>
          <w:szCs w:val="21"/>
        </w:rPr>
      </w:pPr>
      <w:r>
        <w:rPr>
          <w:rFonts w:hint="eastAsia" w:ascii="宋体" w:hAnsi="宋体"/>
          <w:b/>
          <w:color w:val="000000"/>
          <w:sz w:val="36"/>
          <w:szCs w:val="21"/>
        </w:rPr>
      </w:r>
      <w:r/>
    </w:p>
    <w:p>
      <w:pPr>
        <w:pStyle w:val="963"/>
        <w:jc w:val="center"/>
        <w:rPr>
          <w:rFonts w:hint="eastAsia" w:ascii="宋体" w:hAnsi="宋体"/>
          <w:b/>
          <w:color w:val="000000"/>
          <w:sz w:val="36"/>
          <w:szCs w:val="21"/>
        </w:rPr>
      </w:pPr>
      <w:r>
        <w:rPr>
          <w:rFonts w:hint="eastAsia" w:ascii="宋体" w:hAnsi="宋体"/>
          <w:b/>
          <w:color w:val="000000"/>
          <w:sz w:val="36"/>
          <w:szCs w:val="21"/>
        </w:rPr>
      </w:r>
      <w:r/>
    </w:p>
    <w:p>
      <w:pPr>
        <w:pStyle w:val="963"/>
        <w:jc w:val="center"/>
        <w:rPr>
          <w:rFonts w:hint="eastAsia" w:ascii="宋体" w:hAnsi="宋体"/>
          <w:b/>
          <w:color w:val="000000"/>
          <w:sz w:val="36"/>
          <w:szCs w:val="21"/>
        </w:rPr>
      </w:pPr>
      <w:r>
        <w:rPr>
          <w:rFonts w:hint="eastAsia" w:ascii="宋体" w:hAnsi="宋体"/>
          <w:b/>
          <w:color w:val="000000"/>
          <w:sz w:val="36"/>
          <w:szCs w:val="21"/>
        </w:rPr>
      </w:r>
      <w:r/>
    </w:p>
    <w:p>
      <w:pPr>
        <w:pStyle w:val="963"/>
        <w:ind w:firstLine="1084"/>
        <w:rPr>
          <w:rFonts w:hint="eastAsia" w:ascii="宋体" w:hAnsi="宋体"/>
          <w:b/>
          <w:color w:val="000000"/>
          <w:sz w:val="36"/>
          <w:szCs w:val="21"/>
        </w:rPr>
        <w:outlineLvl w:val="0"/>
      </w:pPr>
      <w:r/>
      <w:bookmarkStart w:id="239" w:name="_Toc3333"/>
      <w:r/>
      <w:bookmarkStart w:id="240" w:name="_Toc24026"/>
      <w:r/>
      <w:bookmarkStart w:id="241" w:name="_Toc12248"/>
      <w:r/>
      <w:bookmarkStart w:id="242" w:name="_Toc21484"/>
      <w:r/>
      <w:bookmarkStart w:id="243" w:name="_Toc21721"/>
      <w:r>
        <w:rPr>
          <w:rFonts w:hint="eastAsia" w:ascii="宋体" w:hAnsi="宋体"/>
          <w:b/>
          <w:color w:val="000000"/>
          <w:sz w:val="36"/>
          <w:szCs w:val="21"/>
        </w:rPr>
        <w:t xml:space="preserve">项 目 名 称：</w:t>
      </w:r>
      <w:bookmarkEnd w:id="239"/>
      <w:r/>
      <w:bookmarkEnd w:id="240"/>
      <w:r/>
      <w:bookmarkEnd w:id="241"/>
      <w:r/>
      <w:bookmarkEnd w:id="242"/>
      <w:r/>
      <w:bookmarkEnd w:id="243"/>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63"/>
        <w:ind w:firstLine="1084"/>
        <w:rPr>
          <w:rFonts w:hint="eastAsia" w:ascii="宋体" w:hAnsi="宋体"/>
          <w:b/>
          <w:color w:val="000000"/>
          <w:sz w:val="36"/>
          <w:szCs w:val="21"/>
          <w:u w:val="single"/>
        </w:rPr>
        <w:outlineLvl w:val="0"/>
      </w:pPr>
      <w:r/>
      <w:bookmarkStart w:id="244" w:name="_Toc20267"/>
      <w:r/>
      <w:bookmarkStart w:id="245" w:name="_Toc10236"/>
      <w:r/>
      <w:bookmarkStart w:id="246" w:name="_Toc18631"/>
      <w:r/>
      <w:bookmarkStart w:id="247" w:name="_Toc7779"/>
      <w:r/>
      <w:bookmarkStart w:id="248" w:name="_Toc16308"/>
      <w:r>
        <w:rPr>
          <w:rFonts w:hint="eastAsia" w:ascii="宋体" w:hAnsi="宋体"/>
          <w:b/>
          <w:color w:val="000000"/>
          <w:sz w:val="36"/>
          <w:szCs w:val="21"/>
        </w:rPr>
        <w:t xml:space="preserve">项 目 编 号：</w:t>
      </w:r>
      <w:bookmarkEnd w:id="244"/>
      <w:r/>
      <w:bookmarkEnd w:id="245"/>
      <w:r/>
      <w:bookmarkEnd w:id="246"/>
      <w:r/>
      <w:bookmarkEnd w:id="247"/>
      <w:r/>
      <w:bookmarkEnd w:id="248"/>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63"/>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249" w:name="_Toc23599"/>
      <w:r/>
      <w:bookmarkStart w:id="250" w:name="_Toc6457"/>
      <w:r/>
      <w:bookmarkStart w:id="251" w:name="_Toc30216"/>
      <w:r/>
      <w:bookmarkStart w:id="252" w:name="_Toc25415"/>
      <w:r/>
      <w:bookmarkStart w:id="253" w:name="_Toc1226"/>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249"/>
      <w:r/>
      <w:bookmarkEnd w:id="250"/>
      <w:r/>
      <w:bookmarkEnd w:id="251"/>
      <w:r/>
      <w:bookmarkEnd w:id="252"/>
      <w:r/>
      <w:bookmarkEnd w:id="253"/>
      <w:r>
        <w:rPr>
          <w:rFonts w:hint="eastAsia" w:ascii="宋体" w:hAnsi="宋体"/>
          <w:b/>
          <w:color w:val="000000"/>
          <w:sz w:val="36"/>
          <w:szCs w:val="21"/>
          <w:u w:val="single"/>
        </w:rPr>
      </w:r>
      <w:r/>
    </w:p>
    <w:p>
      <w:pPr>
        <w:pStyle w:val="963"/>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254" w:name="_Toc23374"/>
      <w:r/>
      <w:bookmarkStart w:id="255" w:name="_Toc10536"/>
      <w:r/>
      <w:bookmarkStart w:id="256" w:name="_Toc12124"/>
      <w:r/>
      <w:bookmarkStart w:id="257" w:name="_Toc31918"/>
      <w:r/>
      <w:bookmarkStart w:id="258" w:name="_Toc22267"/>
      <w:r>
        <w:rPr>
          <w:rFonts w:hint="eastAsia" w:ascii="宋体" w:hAnsi="宋体"/>
          <w:b/>
          <w:color w:val="000000"/>
          <w:sz w:val="36"/>
          <w:szCs w:val="21"/>
        </w:rPr>
        <w:t xml:space="preserve">日      期 ：</w:t>
      </w:r>
      <w:bookmarkEnd w:id="254"/>
      <w:r/>
      <w:bookmarkEnd w:id="255"/>
      <w:r/>
      <w:bookmarkEnd w:id="256"/>
      <w:r/>
      <w:bookmarkEnd w:id="257"/>
      <w:r/>
      <w:bookmarkEnd w:id="258"/>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6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3"/>
        <w:spacing w:line="440" w:lineRule="exact"/>
        <w:rPr>
          <w:rFonts w:ascii="宋体" w:hAnsi="宋体"/>
          <w:color w:val="000000"/>
          <w:szCs w:val="21"/>
        </w:rPr>
      </w:pPr>
      <w:r>
        <w:rPr>
          <w:rFonts w:ascii="宋体" w:hAnsi="宋体"/>
          <w:color w:val="000000"/>
          <w:szCs w:val="21"/>
        </w:rPr>
      </w:r>
      <w:r/>
    </w:p>
    <w:p>
      <w:pPr>
        <w:pStyle w:val="963"/>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963"/>
        <w:jc w:val="center"/>
        <w:spacing w:line="440" w:lineRule="exact"/>
        <w:rPr>
          <w:rFonts w:ascii="宋体" w:hAnsi="宋体" w:eastAsia="宋体"/>
          <w:b/>
          <w:bCs/>
          <w:color w:val="000000"/>
          <w:sz w:val="32"/>
          <w:szCs w:val="32"/>
          <w:lang w:val="en-US" w:eastAsia="zh-CN"/>
        </w:rPr>
        <w:outlineLvl w:val="0"/>
      </w:pPr>
      <w:r/>
      <w:bookmarkStart w:id="259" w:name="_Toc6606"/>
      <w:r/>
      <w:bookmarkStart w:id="260" w:name="_Toc24242"/>
      <w:r/>
      <w:bookmarkStart w:id="261" w:name="_Toc24928"/>
      <w:r/>
      <w:bookmarkStart w:id="262" w:name="_Toc586"/>
      <w:r/>
      <w:bookmarkStart w:id="263" w:name="_Toc26371"/>
      <w:r>
        <w:rPr>
          <w:rFonts w:hint="eastAsia" w:ascii="宋体" w:hAnsi="宋体"/>
          <w:b/>
          <w:bCs/>
          <w:color w:val="000000"/>
          <w:sz w:val="32"/>
          <w:szCs w:val="32"/>
        </w:rPr>
        <w:t xml:space="preserve">投标文件目录</w:t>
      </w:r>
      <w:bookmarkEnd w:id="259"/>
      <w:r/>
      <w:bookmarkEnd w:id="260"/>
      <w:r/>
      <w:bookmarkEnd w:id="261"/>
      <w:r/>
      <w:bookmarkEnd w:id="262"/>
      <w:r/>
      <w:bookmarkEnd w:id="263"/>
      <w:r>
        <w:rPr>
          <w:rFonts w:ascii="宋体" w:hAnsi="宋体" w:eastAsia="宋体"/>
          <w:b/>
          <w:bCs/>
          <w:color w:val="000000"/>
          <w:sz w:val="32"/>
          <w:szCs w:val="32"/>
          <w:lang w:val="en-US" w:eastAsia="zh-CN"/>
        </w:rPr>
      </w:r>
      <w:r/>
    </w:p>
    <w:p>
      <w:pPr>
        <w:pStyle w:val="96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3"/>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63"/>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63"/>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left="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2、3</w:t>
      </w:r>
      <w:r>
        <w:rPr>
          <w:rFonts w:hint="eastAsia" w:ascii="仿宋" w:hAnsi="仿宋" w:eastAsia="仿宋"/>
          <w:color w:val="000000"/>
          <w:sz w:val="28"/>
          <w:szCs w:val="28"/>
        </w:rPr>
        <w:t xml:space="preserve">条投标人必须在投标文件中提供相关材料，否则作无效投标处理。</w:t>
      </w:r>
      <w:r>
        <w:rPr>
          <w:rFonts w:ascii="仿宋" w:hAnsi="仿宋" w:eastAsia="仿宋"/>
          <w:color w:val="000000"/>
          <w:sz w:val="28"/>
          <w:szCs w:val="28"/>
        </w:rPr>
      </w:r>
      <w:r/>
    </w:p>
    <w:p>
      <w:pPr>
        <w:pStyle w:val="96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63"/>
        <w:ind w:firstLine="560"/>
        <w:spacing w:line="48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b/>
          <w:bCs/>
          <w:color w:val="000000"/>
          <w:sz w:val="28"/>
          <w:szCs w:val="28"/>
        </w:rPr>
      </w:r>
      <w:r/>
    </w:p>
    <w:p>
      <w:pPr>
        <w:pStyle w:val="963"/>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1031"/>
        <w:rPr>
          <w:rFonts w:eastAsia="仿宋"/>
          <w:lang w:val="en-US" w:eastAsia="zh-CN"/>
        </w:rPr>
      </w:pPr>
      <w:r>
        <w:rPr>
          <w:rFonts w:hint="eastAsia" w:ascii="仿宋" w:hAnsi="仿宋" w:eastAsia="仿宋"/>
          <w:color w:val="000000"/>
          <w:sz w:val="28"/>
          <w:szCs w:val="28"/>
          <w:lang w:val="en-US" w:eastAsia="zh-CN"/>
        </w:rPr>
        <w:t xml:space="preserve">3.监狱和戒毒企业证明材料</w:t>
      </w:r>
      <w:r>
        <w:rPr>
          <w:rFonts w:eastAsia="仿宋"/>
          <w:lang w:val="en-US" w:eastAsia="zh-CN"/>
        </w:rPr>
      </w:r>
      <w:r/>
    </w:p>
    <w:p>
      <w:pPr>
        <w:pStyle w:val="1031"/>
        <w:rPr>
          <w:rFonts w:hint="eastAsia"/>
        </w:rPr>
      </w:pPr>
      <w:r>
        <w:rPr>
          <w:rFonts w:hint="eastAsia"/>
        </w:rPr>
      </w:r>
      <w:r/>
    </w:p>
    <w:p>
      <w:pPr>
        <w:pStyle w:val="963"/>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bookmarkStart w:id="264" w:name="_Toc28457"/>
      <w:r/>
      <w:bookmarkStart w:id="265" w:name="_Toc25833"/>
      <w:r/>
      <w:bookmarkStart w:id="266" w:name="_Toc10693"/>
      <w:r/>
      <w:bookmarkStart w:id="267" w:name="_Toc10851"/>
      <w:r/>
      <w:bookmarkStart w:id="268" w:name="_Toc8752"/>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both"/>
        <w:spacing w:line="480" w:lineRule="exact"/>
        <w:rPr>
          <w:rFonts w:hint="eastAsia" w:ascii="仿宋" w:hAnsi="仿宋" w:eastAsia="仿宋"/>
          <w:b/>
          <w:color w:val="000000"/>
          <w:sz w:val="28"/>
          <w:szCs w:val="28"/>
          <w:lang w:val="en-US" w:eastAsia="zh-CN"/>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bookmarkEnd w:id="264"/>
      <w:r/>
      <w:bookmarkEnd w:id="265"/>
      <w:r/>
      <w:bookmarkEnd w:id="266"/>
      <w:r/>
      <w:bookmarkEnd w:id="267"/>
      <w:r/>
      <w:bookmarkEnd w:id="268"/>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lang w:val="en-US" w:eastAsia="zh-CN"/>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975"/>
        <w:rPr>
          <w:rFonts w:hint="eastAsia"/>
        </w:rPr>
      </w:pPr>
      <w:r>
        <w:rPr>
          <w:rFonts w:hint="eastAsia"/>
        </w:rPr>
      </w:r>
      <w:r/>
    </w:p>
    <w:p>
      <w:pPr>
        <w:pStyle w:val="963"/>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63"/>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63"/>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3"/>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63"/>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63"/>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63"/>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63"/>
        <w:jc w:val="center"/>
        <w:spacing w:line="480" w:lineRule="exact"/>
        <w:rPr>
          <w:rFonts w:hint="eastAsia" w:ascii="宋体" w:hAnsi="宋体"/>
          <w:sz w:val="24"/>
          <w:szCs w:val="24"/>
        </w:rPr>
      </w:pPr>
      <w:r>
        <w:rPr>
          <w:rFonts w:hint="eastAsia" w:ascii="宋体" w:hAnsi="宋体"/>
          <w:sz w:val="24"/>
          <w:szCs w:val="24"/>
        </w:rPr>
      </w:r>
      <w:r/>
    </w:p>
    <w:p>
      <w:pPr>
        <w:pStyle w:val="963"/>
        <w:jc w:val="right"/>
        <w:spacing w:line="480" w:lineRule="exact"/>
        <w:rPr>
          <w:rFonts w:ascii="仿宋" w:hAnsi="仿宋" w:eastAsia="仿宋"/>
          <w:color w:val="000000"/>
          <w:sz w:val="28"/>
          <w:szCs w:val="28"/>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仿宋" w:hAnsi="仿宋" w:eastAsia="仿宋"/>
          <w:color w:val="000000"/>
          <w:sz w:val="28"/>
          <w:szCs w:val="28"/>
        </w:rPr>
      </w:r>
      <w:r/>
    </w:p>
    <w:p>
      <w:pPr>
        <w:pStyle w:val="963"/>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63"/>
        <w:jc w:val="right"/>
        <w:spacing w:line="480" w:lineRule="exact"/>
        <w:rPr>
          <w:rFonts w:ascii="仿宋" w:hAnsi="仿宋" w:eastAsia="仿宋"/>
          <w:color w:val="000000"/>
          <w:sz w:val="28"/>
          <w:szCs w:val="28"/>
        </w:rPr>
      </w:pPr>
      <w:r/>
      <w:bookmarkStart w:id="269" w:name="_Toc5739"/>
      <w:r/>
      <w:bookmarkStart w:id="270" w:name="_Toc30015"/>
      <w:r/>
      <w:bookmarkStart w:id="271" w:name="_Toc6721"/>
      <w:r/>
      <w:bookmarkStart w:id="272" w:name="_Toc16084"/>
      <w:r/>
      <w:bookmarkStart w:id="273" w:name="_Toc22666"/>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75"/>
        <w:rPr>
          <w:rFonts w:ascii="仿宋" w:hAnsi="仿宋" w:eastAsia="仿宋"/>
          <w:color w:val="000000"/>
          <w:sz w:val="28"/>
          <w:szCs w:val="28"/>
        </w:rPr>
      </w:pPr>
      <w:r>
        <w:rPr>
          <w:rFonts w:ascii="仿宋" w:hAnsi="仿宋" w:eastAsia="仿宋"/>
          <w:color w:val="000000"/>
          <w:sz w:val="28"/>
          <w:szCs w:val="28"/>
        </w:rPr>
      </w:r>
      <w:r/>
    </w:p>
    <w:p>
      <w:pPr>
        <w:pStyle w:val="963"/>
        <w:jc w:val="both"/>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left"/>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bookmarkEnd w:id="269"/>
      <w:r/>
      <w:bookmarkEnd w:id="270"/>
      <w:r/>
      <w:bookmarkEnd w:id="271"/>
      <w:r/>
      <w:bookmarkEnd w:id="272"/>
      <w:r/>
      <w:bookmarkEnd w:id="273"/>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货物</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63"/>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1031"/>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31"/>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963"/>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63"/>
        <w:jc w:val="left"/>
        <w:spacing w:line="480" w:lineRule="exact"/>
        <w:rPr>
          <w:rFonts w:hint="eastAsia" w:ascii="仿宋" w:hAnsi="仿宋" w:eastAsia="仿宋"/>
          <w:b/>
          <w:color w:val="000000"/>
          <w:sz w:val="28"/>
          <w:szCs w:val="28"/>
        </w:rPr>
        <w:outlineLvl w:val="0"/>
      </w:pPr>
      <w:r/>
      <w:bookmarkStart w:id="274" w:name="_Toc530"/>
      <w:r/>
      <w:bookmarkStart w:id="275" w:name="_Toc10016"/>
      <w:r/>
      <w:bookmarkStart w:id="276" w:name="_Toc2984"/>
      <w:r/>
      <w:bookmarkStart w:id="277" w:name="_Toc18251"/>
      <w:r/>
      <w:bookmarkStart w:id="278" w:name="_Toc18597"/>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w:t>
      </w:r>
      <w:bookmarkEnd w:id="274"/>
      <w:r/>
      <w:bookmarkEnd w:id="275"/>
      <w:r/>
      <w:bookmarkEnd w:id="276"/>
      <w:r/>
      <w:bookmarkEnd w:id="277"/>
      <w:r/>
      <w:bookmarkEnd w:id="278"/>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63"/>
        <w:spacing w:line="480" w:lineRule="exact"/>
        <w:rPr>
          <w:rFonts w:hint="eastAsia" w:ascii="仿宋" w:hAnsi="仿宋" w:eastAsia="仿宋"/>
          <w:color w:val="000000"/>
          <w:sz w:val="28"/>
          <w:szCs w:val="28"/>
        </w:rPr>
        <w:outlineLvl w:val="0"/>
      </w:pPr>
      <w:r/>
      <w:bookmarkStart w:id="279" w:name="_Toc27942"/>
      <w:r/>
      <w:bookmarkStart w:id="280" w:name="_Toc4145"/>
      <w:r/>
      <w:bookmarkStart w:id="281" w:name="_Toc14066"/>
      <w:r/>
      <w:bookmarkStart w:id="282" w:name="_Toc11012"/>
      <w:r/>
      <w:bookmarkStart w:id="283" w:name="_Toc17519"/>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79"/>
      <w:r/>
      <w:bookmarkEnd w:id="280"/>
      <w:r/>
      <w:bookmarkEnd w:id="281"/>
      <w:r/>
      <w:bookmarkEnd w:id="282"/>
      <w:r/>
      <w:bookmarkEnd w:id="283"/>
      <w:r>
        <w:rPr>
          <w:rFonts w:hint="eastAsia"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63"/>
        <w:jc w:val="center"/>
        <w:spacing w:line="480" w:lineRule="exact"/>
        <w:rPr>
          <w:rFonts w:hint="eastAsia" w:ascii="仿宋" w:hAnsi="仿宋" w:eastAsia="仿宋"/>
          <w:b/>
          <w:color w:val="000000"/>
          <w:sz w:val="28"/>
          <w:szCs w:val="28"/>
        </w:rPr>
        <w:outlineLvl w:val="0"/>
      </w:pPr>
      <w:r/>
      <w:bookmarkStart w:id="284" w:name="_Toc22480"/>
      <w:r/>
      <w:bookmarkStart w:id="285" w:name="_Toc20997"/>
      <w:r/>
      <w:bookmarkStart w:id="286" w:name="_Toc8957"/>
      <w:r/>
      <w:bookmarkStart w:id="287" w:name="_Toc24519"/>
      <w:r/>
      <w:bookmarkStart w:id="288" w:name="_Toc22885"/>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963"/>
        <w:jc w:val="left"/>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w:t>
      </w:r>
      <w:bookmarkEnd w:id="284"/>
      <w:r/>
      <w:bookmarkEnd w:id="285"/>
      <w:r/>
      <w:bookmarkEnd w:id="286"/>
      <w:r/>
      <w:bookmarkEnd w:id="287"/>
      <w:r/>
      <w:bookmarkEnd w:id="288"/>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6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63"/>
        <w:spacing w:line="480" w:lineRule="exact"/>
        <w:rPr>
          <w:rFonts w:hint="eastAsia" w:ascii="仿宋" w:hAnsi="仿宋" w:eastAsia="仿宋"/>
          <w:color w:val="000000"/>
          <w:sz w:val="28"/>
          <w:szCs w:val="28"/>
        </w:rPr>
        <w:outlineLvl w:val="0"/>
      </w:pPr>
      <w:r/>
      <w:bookmarkStart w:id="289" w:name="_Toc11985"/>
      <w:r/>
      <w:bookmarkStart w:id="290" w:name="_Toc16927"/>
      <w:r/>
      <w:bookmarkStart w:id="291" w:name="_Toc3831"/>
      <w:r/>
      <w:bookmarkStart w:id="292" w:name="_Toc24768"/>
      <w:r/>
      <w:bookmarkStart w:id="293" w:name="_Toc8940"/>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89"/>
      <w:r/>
      <w:bookmarkEnd w:id="290"/>
      <w:r/>
      <w:bookmarkEnd w:id="291"/>
      <w:r/>
      <w:bookmarkEnd w:id="292"/>
      <w:r/>
      <w:bookmarkEnd w:id="293"/>
      <w:r>
        <w:rPr>
          <w:rFonts w:hint="eastAsia"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63"/>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63"/>
        <w:ind w:left="480"/>
        <w:spacing w:line="480" w:lineRule="exact"/>
        <w:rPr>
          <w:rFonts w:hint="eastAsia" w:ascii="仿宋" w:hAnsi="仿宋" w:eastAsia="仿宋"/>
          <w:b/>
          <w:color w:val="000000"/>
          <w:sz w:val="28"/>
          <w:szCs w:val="28"/>
          <w:highlight w:val="green"/>
        </w:rPr>
        <w:outlineLvl w:val="0"/>
      </w:pPr>
      <w:r/>
      <w:bookmarkStart w:id="294" w:name="_Toc11709"/>
      <w:r/>
      <w:bookmarkStart w:id="295" w:name="_Toc5624"/>
      <w:r/>
      <w:bookmarkStart w:id="296" w:name="_Toc10386"/>
      <w:r/>
      <w:bookmarkStart w:id="297" w:name="_Toc13278"/>
      <w:r/>
      <w:bookmarkStart w:id="298" w:name="_Toc22668"/>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63"/>
        <w:ind w:left="480"/>
        <w:spacing w:line="48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bookmarkEnd w:id="294"/>
      <w:r/>
      <w:bookmarkEnd w:id="295"/>
      <w:r/>
      <w:bookmarkEnd w:id="296"/>
      <w:r/>
      <w:bookmarkEnd w:id="297"/>
      <w:r/>
      <w:bookmarkEnd w:id="298"/>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63"/>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963"/>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63"/>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63"/>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63"/>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63"/>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63"/>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63"/>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63"/>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63"/>
        <w:ind w:firstLine="482"/>
        <w:spacing w:line="500" w:lineRule="exact"/>
        <w:rPr>
          <w:rFonts w:hint="eastAsia" w:ascii="宋体" w:hAnsi="宋体"/>
          <w:color w:val="000000"/>
          <w:sz w:val="24"/>
        </w:rPr>
      </w:pPr>
      <w:r>
        <w:rPr>
          <w:rFonts w:hint="eastAsia" w:ascii="宋体" w:hAnsi="宋体"/>
          <w:color w:val="000000"/>
          <w:sz w:val="24"/>
        </w:rPr>
      </w:r>
      <w:r/>
    </w:p>
    <w:p>
      <w:pPr>
        <w:pStyle w:val="963"/>
        <w:spacing w:line="500" w:lineRule="exact"/>
        <w:rPr>
          <w:rFonts w:hint="eastAsia" w:ascii="宋体" w:hAnsi="宋体"/>
          <w:color w:val="000000"/>
          <w:sz w:val="24"/>
        </w:rPr>
      </w:pPr>
      <w:r>
        <w:rPr>
          <w:rFonts w:hint="eastAsia" w:ascii="宋体" w:hAnsi="宋体"/>
          <w:color w:val="000000"/>
          <w:sz w:val="24"/>
        </w:rPr>
      </w:r>
      <w:r/>
    </w:p>
    <w:p>
      <w:pPr>
        <w:pStyle w:val="963"/>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3"/>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3"/>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63"/>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63"/>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63"/>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63"/>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63"/>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63"/>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63"/>
        <w:ind w:firstLine="480"/>
        <w:spacing w:line="480" w:lineRule="exact"/>
        <w:rPr>
          <w:rFonts w:hint="eastAsia" w:ascii="仿宋" w:hAnsi="仿宋" w:eastAsia="仿宋"/>
          <w:b/>
          <w:color w:val="000000"/>
          <w:sz w:val="28"/>
          <w:szCs w:val="28"/>
        </w:rPr>
        <w:outlineLvl w:val="0"/>
      </w:pPr>
      <w:r/>
      <w:bookmarkStart w:id="299" w:name="_Toc30585"/>
      <w:r/>
      <w:bookmarkStart w:id="300" w:name="_Toc26787"/>
      <w:r/>
      <w:bookmarkStart w:id="301" w:name="_Toc30562"/>
      <w:r/>
      <w:bookmarkStart w:id="302" w:name="_Toc17861"/>
      <w:r/>
      <w:bookmarkStart w:id="303" w:name="_Toc24995"/>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bookmarkEnd w:id="299"/>
      <w:r/>
      <w:bookmarkEnd w:id="300"/>
      <w:r/>
      <w:bookmarkEnd w:id="301"/>
      <w:r/>
      <w:bookmarkEnd w:id="302"/>
      <w:r/>
      <w:bookmarkEnd w:id="303"/>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63"/>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63"/>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63"/>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63"/>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63"/>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63"/>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63"/>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63"/>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63"/>
        <w:keepLines/>
        <w:keepNext/>
        <w:spacing w:before="260" w:after="260" w:line="480" w:lineRule="exact"/>
        <w:rPr>
          <w:rFonts w:ascii="仿宋" w:hAnsi="仿宋" w:eastAsia="仿宋"/>
          <w:b/>
          <w:i/>
          <w:color w:val="000000"/>
          <w:sz w:val="28"/>
          <w:szCs w:val="28"/>
          <w:u w:val="single"/>
        </w:rPr>
        <w:outlineLvl w:val="0"/>
      </w:pPr>
      <w:r>
        <w:rPr>
          <w:rFonts w:ascii="仿宋" w:hAnsi="仿宋" w:eastAsia="仿宋" w:cs="Arial"/>
          <w:b/>
          <w:color w:val="000000"/>
          <w:sz w:val="28"/>
          <w:szCs w:val="28"/>
        </w:rPr>
        <w:br w:type="page" w:clear="all"/>
      </w:r>
      <w:bookmarkStart w:id="304" w:name="_Toc6030"/>
      <w:r/>
      <w:bookmarkStart w:id="305" w:name="_Toc26540"/>
      <w:r/>
      <w:bookmarkStart w:id="306" w:name="_Toc11506"/>
      <w:r/>
      <w:bookmarkStart w:id="307" w:name="_Toc29115"/>
      <w:r/>
      <w:bookmarkStart w:id="308" w:name="_Toc20534"/>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bookmarkEnd w:id="304"/>
      <w:r/>
      <w:bookmarkEnd w:id="305"/>
      <w:r/>
      <w:bookmarkEnd w:id="306"/>
      <w:r/>
      <w:bookmarkEnd w:id="307"/>
      <w:r/>
      <w:bookmarkEnd w:id="308"/>
      <w:r>
        <w:rPr>
          <w:rFonts w:ascii="仿宋" w:hAnsi="仿宋" w:eastAsia="仿宋"/>
          <w:b/>
          <w:i/>
          <w:color w:val="000000"/>
          <w:sz w:val="28"/>
          <w:szCs w:val="28"/>
          <w:u w:val="single"/>
        </w:rPr>
      </w:r>
      <w:r/>
    </w:p>
    <w:p>
      <w:pPr>
        <w:pStyle w:val="963"/>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963"/>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hint="eastAsia" w:ascii="仿宋" w:hAnsi="仿宋" w:eastAsia="仿宋"/>
          <w:color w:val="000000"/>
          <w:sz w:val="28"/>
          <w:szCs w:val="28"/>
          <w:lang w:val="en-US" w:eastAsia="zh-CN"/>
        </w:rPr>
        <w:t xml:space="preserve">被授权人</w:t>
      </w:r>
      <w:r>
        <w:rPr>
          <w:rFonts w:hint="eastAsia" w:ascii="仿宋" w:hAnsi="仿宋" w:eastAsia="仿宋"/>
          <w:color w:val="000000"/>
          <w:sz w:val="28"/>
          <w:szCs w:val="28"/>
        </w:rPr>
        <w:t xml:space="preserve">姓名)代表我方_______（投标人的名称），全权处理本次项目投标的有关事宜。</w:t>
      </w:r>
      <w:r>
        <w:rPr>
          <w:rFonts w:hint="eastAsia" w:ascii="仿宋" w:hAnsi="仿宋" w:eastAsia="仿宋"/>
          <w:color w:val="000000"/>
          <w:sz w:val="28"/>
          <w:szCs w:val="28"/>
        </w:rPr>
      </w:r>
      <w:r/>
    </w:p>
    <w:p>
      <w:pPr>
        <w:pStyle w:val="963"/>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被授权人签字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963"/>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63"/>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63"/>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63"/>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63"/>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63"/>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63"/>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63"/>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63"/>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63"/>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63"/>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63"/>
        <w:ind w:firstLine="281"/>
        <w:jc w:val="left"/>
        <w:spacing w:line="480" w:lineRule="exact"/>
        <w:rPr>
          <w:rFonts w:hint="eastAsia" w:ascii="仿宋" w:hAnsi="仿宋" w:eastAsia="仿宋"/>
          <w:b/>
          <w:color w:val="000000"/>
          <w:sz w:val="28"/>
          <w:szCs w:val="28"/>
        </w:rPr>
        <w:outlineLvl w:val="0"/>
      </w:pPr>
      <w:r/>
      <w:bookmarkStart w:id="309" w:name="_Toc9443"/>
      <w:r/>
      <w:bookmarkStart w:id="310" w:name="_Toc5906"/>
      <w:r/>
      <w:bookmarkStart w:id="311" w:name="_Toc4043"/>
      <w:r/>
      <w:bookmarkStart w:id="312" w:name="_Toc18124"/>
      <w:r/>
      <w:bookmarkStart w:id="313" w:name="_Toc12577"/>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bookmarkEnd w:id="309"/>
      <w:r/>
      <w:bookmarkEnd w:id="310"/>
      <w:r/>
      <w:bookmarkEnd w:id="311"/>
      <w:r/>
      <w:bookmarkEnd w:id="312"/>
      <w:r/>
      <w:bookmarkEnd w:id="313"/>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63"/>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63"/>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63"/>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63"/>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63"/>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63"/>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63"/>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63"/>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63"/>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63"/>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63"/>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63"/>
        <w:spacing w:line="480" w:lineRule="exact"/>
        <w:rPr>
          <w:rFonts w:hint="eastAsia" w:ascii="仿宋" w:hAnsi="仿宋" w:eastAsia="仿宋"/>
          <w:b/>
          <w:color w:val="ff0000"/>
          <w:sz w:val="28"/>
          <w:szCs w:val="28"/>
        </w:rPr>
        <w:outlineLvl w:val="0"/>
      </w:pPr>
      <w:r/>
      <w:bookmarkStart w:id="314" w:name="_Toc16661"/>
      <w:r/>
      <w:bookmarkStart w:id="315" w:name="_Toc4161"/>
      <w:r/>
      <w:bookmarkStart w:id="316" w:name="_Toc22116"/>
      <w:r/>
      <w:bookmarkStart w:id="317" w:name="_Toc5708"/>
      <w:r/>
      <w:bookmarkStart w:id="318" w:name="_Toc24888"/>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963"/>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bookmarkEnd w:id="314"/>
      <w:r/>
      <w:bookmarkEnd w:id="315"/>
      <w:r/>
      <w:bookmarkEnd w:id="316"/>
      <w:r/>
      <w:bookmarkEnd w:id="317"/>
      <w:r/>
      <w:bookmarkEnd w:id="318"/>
      <w:r>
        <w:rPr>
          <w:rFonts w:hint="eastAsia" w:ascii="仿宋" w:hAnsi="仿宋" w:eastAsia="仿宋"/>
          <w:b/>
          <w:color w:val="000000"/>
          <w:sz w:val="28"/>
          <w:szCs w:val="28"/>
          <w:lang w:eastAsia="zh-CN"/>
        </w:rPr>
      </w:r>
      <w:r/>
    </w:p>
    <w:p>
      <w:pPr>
        <w:pStyle w:val="963"/>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63"/>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63"/>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6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63"/>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63"/>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63"/>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63"/>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63"/>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63"/>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63"/>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ascii="仿宋" w:hAnsi="仿宋" w:eastAsia="仿宋"/>
          <w:color w:val="000000"/>
          <w:sz w:val="28"/>
          <w:szCs w:val="28"/>
        </w:rPr>
      </w:r>
      <w:r/>
    </w:p>
    <w:p>
      <w:pPr>
        <w:pStyle w:val="963"/>
        <w:spacing w:line="480" w:lineRule="exact"/>
        <w:rPr>
          <w:rFonts w:hint="eastAsia" w:ascii="仿宋" w:hAnsi="仿宋" w:eastAsia="仿宋" w:cs="仿宋"/>
          <w:b/>
          <w:bCs/>
          <w:color w:val="000000"/>
          <w:sz w:val="28"/>
          <w:szCs w:val="28"/>
        </w:rPr>
      </w:pPr>
      <w:r/>
      <w:bookmarkEnd w:id="215"/>
      <w:r/>
      <w:bookmarkEnd w:id="216"/>
      <w:r/>
      <w:bookmarkEnd w:id="231"/>
      <w:r/>
      <w:bookmarkEnd w:id="232"/>
      <w:r/>
      <w:bookmarkEnd w:id="233"/>
      <w:r>
        <w:rPr>
          <w:rFonts w:hint="eastAsia" w:ascii="仿宋" w:hAnsi="仿宋" w:eastAsia="仿宋" w:cs="仿宋"/>
          <w:b/>
          <w:bCs/>
          <w:color w:val="000000"/>
          <w:sz w:val="28"/>
          <w:szCs w:val="28"/>
        </w:rPr>
      </w:r>
      <w:r/>
    </w:p>
    <w:p>
      <w:pPr>
        <w:pStyle w:val="963"/>
        <w:jc w:val="center"/>
        <w:spacing w:line="480" w:lineRule="exact"/>
        <w:rPr>
          <w:rFonts w:ascii="仿宋" w:hAnsi="仿宋" w:eastAsia="仿宋" w:cs="仿宋"/>
          <w:b/>
          <w:bCs/>
          <w:color w:val="000000"/>
          <w:sz w:val="28"/>
          <w:szCs w:val="28"/>
        </w:rPr>
        <w:outlineLvl w:val="0"/>
      </w:pPr>
      <w:r/>
      <w:bookmarkStart w:id="319" w:name="_Toc12891"/>
      <w:r/>
      <w:bookmarkStart w:id="320" w:name="_Toc3589"/>
      <w:r/>
      <w:bookmarkStart w:id="321" w:name="_Toc22636"/>
      <w:r/>
      <w:bookmarkStart w:id="322" w:name="_Toc29393"/>
      <w:r/>
      <w:bookmarkStart w:id="323" w:name="_Toc21360"/>
      <w:r>
        <w:rPr>
          <w:rFonts w:hint="eastAsia" w:ascii="仿宋" w:hAnsi="仿宋" w:eastAsia="仿宋" w:cs="仿宋"/>
          <w:b/>
          <w:bCs/>
          <w:color w:val="000000"/>
          <w:sz w:val="28"/>
          <w:szCs w:val="28"/>
        </w:rPr>
        <w:t xml:space="preserve">质疑函范本</w:t>
      </w:r>
      <w:bookmarkEnd w:id="319"/>
      <w:r/>
      <w:bookmarkEnd w:id="320"/>
      <w:r/>
      <w:bookmarkEnd w:id="321"/>
      <w:r/>
      <w:bookmarkEnd w:id="322"/>
      <w:r/>
      <w:bookmarkEnd w:id="323"/>
      <w:r>
        <w:rPr>
          <w:rFonts w:ascii="仿宋" w:hAnsi="仿宋" w:eastAsia="仿宋" w:cs="仿宋"/>
          <w:b/>
          <w:bCs/>
          <w:color w:val="000000"/>
          <w:sz w:val="28"/>
          <w:szCs w:val="28"/>
        </w:rPr>
      </w:r>
      <w:r/>
    </w:p>
    <w:p>
      <w:pPr>
        <w:pStyle w:val="963"/>
        <w:spacing w:before="290" w:line="480" w:lineRule="exact"/>
        <w:rPr>
          <w:rFonts w:ascii="仿宋" w:hAnsi="仿宋" w:eastAsia="仿宋" w:cs="仿宋"/>
          <w:bCs/>
          <w:color w:val="000000"/>
          <w:sz w:val="28"/>
          <w:szCs w:val="28"/>
        </w:rPr>
        <w:outlineLvl w:val="0"/>
      </w:pPr>
      <w:r/>
      <w:bookmarkStart w:id="324" w:name="_Toc9988"/>
      <w:r/>
      <w:bookmarkStart w:id="325" w:name="_Toc14457"/>
      <w:r/>
      <w:bookmarkStart w:id="326" w:name="_Toc14544"/>
      <w:r/>
      <w:bookmarkStart w:id="327" w:name="_Toc13068"/>
      <w:r/>
      <w:bookmarkStart w:id="328" w:name="_Toc20940"/>
      <w:r>
        <w:rPr>
          <w:rFonts w:hint="eastAsia" w:ascii="仿宋" w:hAnsi="仿宋" w:eastAsia="仿宋" w:cs="仿宋"/>
          <w:bCs/>
          <w:color w:val="000000"/>
          <w:sz w:val="28"/>
          <w:szCs w:val="28"/>
        </w:rPr>
        <w:t xml:space="preserve">一、质疑供应商基本信息</w:t>
      </w:r>
      <w:bookmarkEnd w:id="324"/>
      <w:r/>
      <w:bookmarkEnd w:id="325"/>
      <w:r/>
      <w:bookmarkEnd w:id="326"/>
      <w:r/>
      <w:bookmarkEnd w:id="327"/>
      <w:r/>
      <w:bookmarkEnd w:id="328"/>
      <w:r>
        <w:rPr>
          <w:rFonts w:ascii="仿宋" w:hAnsi="仿宋" w:eastAsia="仿宋" w:cs="仿宋"/>
          <w:bCs/>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bCs/>
          <w:color w:val="000000"/>
          <w:sz w:val="28"/>
          <w:szCs w:val="28"/>
        </w:rPr>
        <w:outlineLvl w:val="0"/>
      </w:pPr>
      <w:r/>
      <w:bookmarkStart w:id="329" w:name="_Toc14260"/>
      <w:r/>
      <w:bookmarkStart w:id="330" w:name="_Toc15652"/>
      <w:r/>
      <w:bookmarkStart w:id="331" w:name="_Toc6840"/>
      <w:r/>
      <w:bookmarkStart w:id="332" w:name="_Toc15880"/>
      <w:r/>
      <w:bookmarkStart w:id="333" w:name="_Toc7717"/>
      <w:r>
        <w:rPr>
          <w:rFonts w:hint="eastAsia" w:ascii="仿宋" w:hAnsi="仿宋" w:eastAsia="仿宋" w:cs="仿宋"/>
          <w:bCs/>
          <w:color w:val="000000"/>
          <w:sz w:val="28"/>
          <w:szCs w:val="28"/>
        </w:rPr>
        <w:t xml:space="preserve">二、质疑项目基本情况</w:t>
      </w:r>
      <w:bookmarkEnd w:id="329"/>
      <w:r/>
      <w:bookmarkEnd w:id="330"/>
      <w:r/>
      <w:bookmarkEnd w:id="331"/>
      <w:r/>
      <w:bookmarkEnd w:id="332"/>
      <w:r/>
      <w:bookmarkEnd w:id="333"/>
      <w:r>
        <w:rPr>
          <w:rFonts w:ascii="仿宋" w:hAnsi="仿宋" w:eastAsia="仿宋" w:cs="仿宋"/>
          <w:bCs/>
          <w:color w:val="000000"/>
          <w:sz w:val="28"/>
          <w:szCs w:val="28"/>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bCs/>
          <w:color w:val="000000"/>
          <w:sz w:val="28"/>
          <w:szCs w:val="28"/>
        </w:rPr>
        <w:outlineLvl w:val="0"/>
      </w:pPr>
      <w:r/>
      <w:bookmarkStart w:id="334" w:name="_Toc10271"/>
      <w:r/>
      <w:bookmarkStart w:id="335" w:name="_Toc10885"/>
      <w:r/>
      <w:bookmarkStart w:id="336" w:name="_Toc31051"/>
      <w:r/>
      <w:bookmarkStart w:id="337" w:name="_Toc8997"/>
      <w:r/>
      <w:bookmarkStart w:id="338" w:name="_Toc15182"/>
      <w:r>
        <w:rPr>
          <w:rFonts w:hint="eastAsia" w:ascii="仿宋" w:hAnsi="仿宋" w:eastAsia="仿宋" w:cs="仿宋"/>
          <w:bCs/>
          <w:color w:val="000000"/>
          <w:sz w:val="28"/>
          <w:szCs w:val="28"/>
        </w:rPr>
        <w:t xml:space="preserve">三、质疑事项具体内容</w:t>
      </w:r>
      <w:bookmarkEnd w:id="334"/>
      <w:r/>
      <w:bookmarkEnd w:id="335"/>
      <w:r/>
      <w:bookmarkEnd w:id="336"/>
      <w:r/>
      <w:bookmarkEnd w:id="337"/>
      <w:r/>
      <w:bookmarkEnd w:id="338"/>
      <w:r>
        <w:rPr>
          <w:rFonts w:ascii="仿宋" w:hAnsi="仿宋" w:eastAsia="仿宋" w:cs="仿宋"/>
          <w:bCs/>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63"/>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63"/>
        <w:spacing w:line="480" w:lineRule="exact"/>
        <w:rPr>
          <w:rFonts w:ascii="仿宋" w:hAnsi="仿宋" w:eastAsia="仿宋" w:cs="仿宋"/>
          <w:bCs/>
          <w:color w:val="000000"/>
          <w:sz w:val="28"/>
          <w:szCs w:val="28"/>
        </w:rPr>
        <w:outlineLvl w:val="0"/>
      </w:pPr>
      <w:r/>
      <w:bookmarkStart w:id="339" w:name="_Toc1865"/>
      <w:r/>
      <w:bookmarkStart w:id="340" w:name="_Toc24269"/>
      <w:r/>
      <w:bookmarkStart w:id="341" w:name="_Toc11532"/>
      <w:r/>
      <w:bookmarkStart w:id="342" w:name="_Toc20028"/>
      <w:r/>
      <w:bookmarkStart w:id="343" w:name="_Toc12478"/>
      <w:r>
        <w:rPr>
          <w:rFonts w:hint="eastAsia" w:ascii="仿宋" w:hAnsi="仿宋" w:eastAsia="仿宋" w:cs="仿宋"/>
          <w:bCs/>
          <w:color w:val="000000"/>
          <w:sz w:val="28"/>
          <w:szCs w:val="28"/>
        </w:rPr>
        <w:t xml:space="preserve">四、与质疑事项相关的质疑请求</w:t>
      </w:r>
      <w:bookmarkEnd w:id="339"/>
      <w:r/>
      <w:bookmarkEnd w:id="340"/>
      <w:r/>
      <w:bookmarkEnd w:id="341"/>
      <w:r/>
      <w:bookmarkEnd w:id="342"/>
      <w:r/>
      <w:bookmarkEnd w:id="343"/>
      <w:r>
        <w:rPr>
          <w:rFonts w:ascii="仿宋" w:hAnsi="仿宋" w:eastAsia="仿宋" w:cs="仿宋"/>
          <w:bCs/>
          <w:color w:val="000000"/>
          <w:sz w:val="28"/>
          <w:szCs w:val="28"/>
        </w:rPr>
      </w:r>
      <w:r/>
    </w:p>
    <w:p>
      <w:pPr>
        <w:pStyle w:val="963"/>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63"/>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63"/>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63"/>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63"/>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63"/>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Fonts w:ascii="宋体" w:hAnsi="宋体"/>
      </w:rPr>
      <w:framePr w:wrap="around" w:vAnchor="text" w:hAnchor="margin" w:xAlign="center" w:y="1"/>
    </w:pPr>
    <w:r>
      <w:rPr>
        <w:rFonts w:ascii="宋体" w:hAnsi="宋体"/>
      </w:rPr>
      <w:fldChar w:fldCharType="begin"/>
    </w:r>
    <w:r>
      <w:rPr>
        <w:rStyle w:val="1037"/>
        <w:rFonts w:ascii="宋体" w:hAnsi="宋体"/>
      </w:rPr>
      <w:instrText xml:space="preserve">PAGE  </w:instrText>
    </w:r>
    <w:r>
      <w:rPr>
        <w:rFonts w:ascii="宋体" w:hAnsi="宋体"/>
      </w:rPr>
      <w:fldChar w:fldCharType="separate"/>
    </w:r>
    <w:r>
      <w:rPr>
        <w:rStyle w:val="1037"/>
        <w:rFonts w:ascii="宋体" w:hAnsi="宋体"/>
      </w:rPr>
      <w:t xml:space="preserve">１７</w:t>
    </w:r>
    <w:r>
      <w:rPr>
        <w:rFonts w:ascii="宋体" w:hAnsi="宋体"/>
      </w:rPr>
      <w:fldChar w:fldCharType="end"/>
    </w:r>
    <w:r>
      <w:rPr>
        <w:rStyle w:val="1037"/>
        <w:rFonts w:ascii="宋体" w:hAnsi="宋体"/>
      </w:rPr>
    </w:r>
    <w:r/>
  </w:p>
  <w:p>
    <w:pPr>
      <w:pStyle w:val="10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rPr>
        <w:rStyle w:val="1037"/>
      </w:rPr>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9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3">
    <w:multiLevelType w:val="hybridMultilevel"/>
    <w:lvl w:ilvl="0">
      <w:start w:val="1"/>
      <w:numFmt w:val="decimal"/>
      <w:pStyle w:val="1083"/>
      <w:isLgl w:val="false"/>
      <w:suff w:val="tab"/>
      <w:lvlText w:val="%1."/>
      <w:lvlJc w:val="left"/>
      <w:pPr>
        <w:pStyle w:val="963"/>
        <w:ind w:left="360" w:hanging="36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4">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18">
    <w:multiLevelType w:val="hybridMultilevel"/>
    <w:lvl w:ilvl="0">
      <w:start w:val="4"/>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2">
    <w:multiLevelType w:val="hybridMultilevel"/>
    <w:lvl w:ilvl="0">
      <w:start w:val="1"/>
      <w:numFmt w:val="upperLetter"/>
      <w:pStyle w:val="1043"/>
      <w:isLgl w:val="false"/>
      <w:suff w:val="tab"/>
      <w:lvlText w:val="附录%1."/>
      <w:lvlJc w:val="left"/>
      <w:pPr>
        <w:pStyle w:val="9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pStyle w:val="963"/>
        <w:ind w:left="1275" w:hanging="425"/>
      </w:pPr>
    </w:lvl>
    <w:lvl w:ilvl="1">
      <w:start w:val="1"/>
      <w:numFmt w:val="bullet"/>
      <w:isLgl w:val="false"/>
      <w:suff w:val="tab"/>
      <w:lvlText w:val="o"/>
      <w:lvlJc w:val="left"/>
      <w:pPr>
        <w:pStyle w:val="963"/>
        <w:ind w:left="2290" w:hanging="360"/>
      </w:pPr>
      <w:rPr>
        <w:rFonts w:ascii="Courier New" w:hAnsi="Courier New" w:eastAsia="Courier New" w:cs="Courier New"/>
      </w:rPr>
    </w:lvl>
    <w:lvl w:ilvl="2">
      <w:start w:val="1"/>
      <w:numFmt w:val="bullet"/>
      <w:isLgl w:val="false"/>
      <w:suff w:val="tab"/>
      <w:lvlText w:val="§"/>
      <w:lvlJc w:val="left"/>
      <w:pPr>
        <w:pStyle w:val="963"/>
        <w:ind w:left="3010" w:hanging="360"/>
      </w:pPr>
      <w:rPr>
        <w:rFonts w:ascii="Wingdings" w:hAnsi="Wingdings" w:eastAsia="Wingdings" w:cs="Wingdings"/>
      </w:rPr>
    </w:lvl>
    <w:lvl w:ilvl="3">
      <w:start w:val="1"/>
      <w:numFmt w:val="bullet"/>
      <w:isLgl w:val="false"/>
      <w:suff w:val="tab"/>
      <w:lvlText w:val="·"/>
      <w:lvlJc w:val="left"/>
      <w:pPr>
        <w:pStyle w:val="963"/>
        <w:ind w:left="3730" w:hanging="360"/>
      </w:pPr>
      <w:rPr>
        <w:rFonts w:ascii="Symbol" w:hAnsi="Symbol" w:eastAsia="Symbol" w:cs="Symbol"/>
      </w:rPr>
    </w:lvl>
    <w:lvl w:ilvl="4">
      <w:start w:val="1"/>
      <w:numFmt w:val="bullet"/>
      <w:isLgl w:val="false"/>
      <w:suff w:val="tab"/>
      <w:lvlText w:val="o"/>
      <w:lvlJc w:val="left"/>
      <w:pPr>
        <w:pStyle w:val="963"/>
        <w:ind w:left="4450" w:hanging="360"/>
      </w:pPr>
      <w:rPr>
        <w:rFonts w:ascii="Courier New" w:hAnsi="Courier New" w:eastAsia="Courier New" w:cs="Courier New"/>
      </w:rPr>
    </w:lvl>
    <w:lvl w:ilvl="5">
      <w:start w:val="1"/>
      <w:numFmt w:val="bullet"/>
      <w:isLgl w:val="false"/>
      <w:suff w:val="tab"/>
      <w:lvlText w:val="§"/>
      <w:lvlJc w:val="left"/>
      <w:pPr>
        <w:pStyle w:val="963"/>
        <w:ind w:left="5170" w:hanging="360"/>
      </w:pPr>
      <w:rPr>
        <w:rFonts w:ascii="Wingdings" w:hAnsi="Wingdings" w:eastAsia="Wingdings" w:cs="Wingdings"/>
      </w:rPr>
    </w:lvl>
    <w:lvl w:ilvl="6">
      <w:start w:val="1"/>
      <w:numFmt w:val="bullet"/>
      <w:isLgl w:val="false"/>
      <w:suff w:val="tab"/>
      <w:lvlText w:val="·"/>
      <w:lvlJc w:val="left"/>
      <w:pPr>
        <w:pStyle w:val="963"/>
        <w:ind w:left="5890" w:hanging="360"/>
      </w:pPr>
      <w:rPr>
        <w:rFonts w:ascii="Symbol" w:hAnsi="Symbol" w:eastAsia="Symbol" w:cs="Symbol"/>
      </w:rPr>
    </w:lvl>
    <w:lvl w:ilvl="7">
      <w:start w:val="1"/>
      <w:numFmt w:val="bullet"/>
      <w:isLgl w:val="false"/>
      <w:suff w:val="tab"/>
      <w:lvlText w:val="o"/>
      <w:lvlJc w:val="left"/>
      <w:pPr>
        <w:pStyle w:val="963"/>
        <w:ind w:left="6610" w:hanging="360"/>
      </w:pPr>
      <w:rPr>
        <w:rFonts w:ascii="Courier New" w:hAnsi="Courier New" w:eastAsia="Courier New" w:cs="Courier New"/>
      </w:rPr>
    </w:lvl>
    <w:lvl w:ilvl="8">
      <w:start w:val="1"/>
      <w:numFmt w:val="bullet"/>
      <w:isLgl w:val="false"/>
      <w:suff w:val="tab"/>
      <w:lvlText w:val="§"/>
      <w:lvlJc w:val="left"/>
      <w:pPr>
        <w:pStyle w:val="963"/>
        <w:ind w:left="733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2">
    <w:multiLevelType w:val="hybridMultilevel"/>
    <w:lvl w:ilvl="0">
      <w:start w:val="1"/>
      <w:numFmt w:val="decimal"/>
      <w:pStyle w:val="1060"/>
      <w:isLgl w:val="false"/>
      <w:suff w:val="tab"/>
      <w:lvlText w:val="%1."/>
      <w:lvlJc w:val="left"/>
      <w:pPr>
        <w:pStyle w:val="963"/>
        <w:ind w:left="709" w:hanging="709"/>
        <w:tabs>
          <w:tab w:val="num" w:pos="709" w:leader="none"/>
        </w:tabs>
      </w:pPr>
      <w:rPr>
        <w:rFonts w:hint="eastAsia"/>
      </w:rPr>
    </w:lvl>
    <w:lvl w:ilvl="1">
      <w:start w:val="1"/>
      <w:numFmt w:val="decimal"/>
      <w:isLgl w:val="false"/>
      <w:suff w:val="tab"/>
      <w:lvlText w:val="%1.%2"/>
      <w:lvlJc w:val="left"/>
      <w:pPr>
        <w:pStyle w:val="963"/>
        <w:ind w:left="709" w:hanging="709"/>
        <w:tabs>
          <w:tab w:val="num" w:pos="709" w:leader="none"/>
        </w:tabs>
      </w:pPr>
      <w:rPr>
        <w:rFonts w:hint="eastAsia"/>
      </w:rPr>
    </w:lvl>
    <w:lvl w:ilvl="2">
      <w:start w:val="1"/>
      <w:numFmt w:val="decimal"/>
      <w:isLgl w:val="false"/>
      <w:suff w:val="tab"/>
      <w:lvlText w:val="%1.%2.%3."/>
      <w:lvlJc w:val="left"/>
      <w:pPr>
        <w:pStyle w:val="963"/>
        <w:ind w:left="425" w:hanging="425"/>
        <w:tabs>
          <w:tab w:val="num" w:pos="425" w:leader="none"/>
        </w:tabs>
      </w:pPr>
      <w:rPr>
        <w:rFonts w:hint="eastAsia"/>
      </w:rPr>
    </w:lvl>
    <w:lvl w:ilvl="3">
      <w:start w:val="1"/>
      <w:numFmt w:val="decimal"/>
      <w:isLgl w:val="false"/>
      <w:suff w:val="tab"/>
      <w:lvlText w:val="%1.%2.%3.%4."/>
      <w:lvlJc w:val="left"/>
      <w:pPr>
        <w:pStyle w:val="963"/>
        <w:ind w:left="851" w:hanging="851"/>
        <w:tabs>
          <w:tab w:val="num" w:pos="851" w:leader="none"/>
        </w:tabs>
      </w:pPr>
      <w:rPr>
        <w:rFonts w:hint="eastAsia"/>
      </w:rPr>
    </w:lvl>
    <w:lvl w:ilvl="4">
      <w:start w:val="1"/>
      <w:numFmt w:val="decimal"/>
      <w:isLgl w:val="false"/>
      <w:suff w:val="tab"/>
      <w:lvlText w:val="%1.%2.%3.%4.%5."/>
      <w:lvlJc w:val="left"/>
      <w:pPr>
        <w:pStyle w:val="963"/>
        <w:ind w:left="992" w:hanging="992"/>
        <w:tabs>
          <w:tab w:val="num" w:pos="992" w:leader="none"/>
        </w:tabs>
      </w:pPr>
      <w:rPr>
        <w:rFonts w:hint="eastAsia"/>
      </w:rPr>
    </w:lvl>
    <w:lvl w:ilvl="5">
      <w:start w:val="1"/>
      <w:numFmt w:val="decimal"/>
      <w:isLgl w:val="false"/>
      <w:suff w:val="tab"/>
      <w:lvlText w:val="%1.%2.%3.%4.%5.%6."/>
      <w:lvlJc w:val="left"/>
      <w:pPr>
        <w:pStyle w:val="963"/>
        <w:ind w:left="1134" w:hanging="1134"/>
        <w:tabs>
          <w:tab w:val="num" w:pos="1134" w:leader="none"/>
        </w:tabs>
      </w:pPr>
      <w:rPr>
        <w:rFonts w:hint="eastAsia"/>
      </w:rPr>
    </w:lvl>
    <w:lvl w:ilvl="6">
      <w:start w:val="1"/>
      <w:numFmt w:val="decimal"/>
      <w:isLgl w:val="false"/>
      <w:suff w:val="tab"/>
      <w:lvlText w:val="%1.%2.%3.%4.%5.%6.%7."/>
      <w:lvlJc w:val="left"/>
      <w:pPr>
        <w:pStyle w:val="963"/>
        <w:ind w:left="1276" w:hanging="1276"/>
        <w:tabs>
          <w:tab w:val="num" w:pos="1276" w:leader="none"/>
        </w:tabs>
      </w:pPr>
      <w:rPr>
        <w:rFonts w:hint="eastAsia"/>
      </w:rPr>
    </w:lvl>
    <w:lvl w:ilvl="7">
      <w:start w:val="1"/>
      <w:numFmt w:val="decimal"/>
      <w:isLgl w:val="false"/>
      <w:suff w:val="tab"/>
      <w:lvlText w:val="%1.%2.%3.%4.%5.%6.%7.%8."/>
      <w:lvlJc w:val="left"/>
      <w:pPr>
        <w:pStyle w:val="963"/>
        <w:ind w:left="1418" w:hanging="1418"/>
        <w:tabs>
          <w:tab w:val="num" w:pos="1418" w:leader="none"/>
        </w:tabs>
      </w:pPr>
      <w:rPr>
        <w:rFonts w:hint="eastAsia"/>
      </w:rPr>
    </w:lvl>
    <w:lvl w:ilvl="8">
      <w:start w:val="1"/>
      <w:numFmt w:val="decimal"/>
      <w:isLgl w:val="false"/>
      <w:suff w:val="tab"/>
      <w:lvlText w:val="%1.%2.%3.%4.%5.%6.%7.%8.%9."/>
      <w:lvlJc w:val="left"/>
      <w:pPr>
        <w:pStyle w:val="963"/>
        <w:ind w:left="1559" w:hanging="1559"/>
        <w:tabs>
          <w:tab w:val="num" w:pos="1559" w:leader="none"/>
        </w:tabs>
      </w:pPr>
      <w:rPr>
        <w:rFonts w:hint="eastAsia"/>
      </w:rPr>
    </w:lvl>
  </w:abstractNum>
  <w:abstractNum w:abstractNumId="33">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0">
    <w:multiLevelType w:val="hybridMultilevel"/>
    <w:lvl w:ilvl="0">
      <w:start w:val="1"/>
      <w:numFmt w:val="chineseCountingThousand"/>
      <w:isLgl w:val="false"/>
      <w:suff w:val="nothing"/>
      <w:lvlText w:val="第%1章 "/>
      <w:lvlJc w:val="left"/>
      <w:pPr>
        <w:pStyle w:val="963"/>
        <w:ind w:left="0" w:firstLine="0"/>
      </w:pPr>
      <w:rPr>
        <w:rFonts w:hint="eastAsia"/>
      </w:rPr>
    </w:lvl>
    <w:lvl w:ilvl="1">
      <w:start w:val="1"/>
      <w:numFmt w:val="decimal"/>
      <w:isLgl w:val="false"/>
      <w:suff w:val="nothing"/>
      <w:lvlText w:val="%2、"/>
      <w:lvlJc w:val="left"/>
      <w:pPr>
        <w:pStyle w:val="963"/>
        <w:ind w:left="0" w:firstLine="0"/>
      </w:pPr>
      <w:rPr>
        <w:rFonts w:hint="eastAsia"/>
      </w:rPr>
    </w:lvl>
    <w:lvl w:ilvl="2">
      <w:start w:val="1"/>
      <w:numFmt w:val="decimal"/>
      <w:isLgl w:val="false"/>
      <w:suff w:val="nothing"/>
      <w:lvlText w:val="%2.%3 "/>
      <w:lvlJc w:val="left"/>
      <w:pPr>
        <w:pStyle w:val="963"/>
        <w:ind w:left="0" w:firstLine="0"/>
      </w:pPr>
      <w:rPr>
        <w:rFonts w:hint="eastAsia"/>
      </w:rPr>
    </w:lvl>
    <w:lvl w:ilvl="3">
      <w:start w:val="1"/>
      <w:numFmt w:val="decimal"/>
      <w:isLgl w:val="false"/>
      <w:suff w:val="nothing"/>
      <w:lvlText w:val="%2.%3.%4 "/>
      <w:lvlJc w:val="left"/>
      <w:pPr>
        <w:pStyle w:val="963"/>
        <w:ind w:left="0" w:firstLine="0"/>
      </w:pPr>
      <w:rPr>
        <w:rFonts w:hint="eastAsia"/>
      </w:rPr>
    </w:lvl>
    <w:lvl w:ilvl="4">
      <w:start w:val="1"/>
      <w:numFmt w:val="decimal"/>
      <w:isLgl w:val="false"/>
      <w:suff w:val="nothing"/>
      <w:lvlText w:val="%2.%3.%4.%5 "/>
      <w:lvlJc w:val="left"/>
      <w:pPr>
        <w:pStyle w:val="963"/>
        <w:ind w:left="0" w:firstLine="0"/>
      </w:pPr>
      <w:rPr>
        <w:rFonts w:hint="eastAsia"/>
      </w:rPr>
    </w:lvl>
    <w:lvl w:ilvl="5">
      <w:start w:val="1"/>
      <w:numFmt w:val="decimal"/>
      <w:pStyle w:val="969"/>
      <w:isLgl w:val="false"/>
      <w:suff w:val="nothing"/>
      <w:lvlText w:val=""/>
      <w:lvlJc w:val="left"/>
      <w:pPr>
        <w:pStyle w:val="963"/>
        <w:ind w:left="0" w:firstLine="0"/>
      </w:pPr>
      <w:rPr>
        <w:rFonts w:hint="eastAsia"/>
      </w:rPr>
    </w:lvl>
    <w:lvl w:ilvl="6">
      <w:start w:val="1"/>
      <w:numFmt w:val="decimal"/>
      <w:pStyle w:val="970"/>
      <w:isLgl w:val="false"/>
      <w:suff w:val="nothing"/>
      <w:lvlText w:val=""/>
      <w:lvlJc w:val="left"/>
      <w:pPr>
        <w:pStyle w:val="963"/>
        <w:ind w:left="0" w:firstLine="0"/>
      </w:pPr>
      <w:rPr>
        <w:rFonts w:hint="eastAsia"/>
      </w:rPr>
    </w:lvl>
    <w:lvl w:ilvl="7">
      <w:start w:val="1"/>
      <w:numFmt w:val="decimal"/>
      <w:pStyle w:val="971"/>
      <w:isLgl w:val="false"/>
      <w:suff w:val="nothing"/>
      <w:lvlText w:val=""/>
      <w:lvlJc w:val="left"/>
      <w:pPr>
        <w:pStyle w:val="963"/>
        <w:ind w:left="0" w:firstLine="0"/>
      </w:pPr>
      <w:rPr>
        <w:rFonts w:hint="eastAsia"/>
      </w:rPr>
    </w:lvl>
    <w:lvl w:ilvl="8">
      <w:start w:val="1"/>
      <w:numFmt w:val="decimal"/>
      <w:pStyle w:val="972"/>
      <w:isLgl w:val="false"/>
      <w:suff w:val="nothing"/>
      <w:lvlText w:val=""/>
      <w:lvlJc w:val="left"/>
      <w:pPr>
        <w:pStyle w:val="963"/>
        <w:ind w:left="0" w:firstLine="0"/>
      </w:pPr>
      <w:rPr>
        <w:rFonts w:hint="eastAsia"/>
      </w:rPr>
    </w:lvl>
  </w:abstractNum>
  <w:abstractNum w:abstractNumId="41">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2">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5">
    <w:multiLevelType w:val="hybridMultilevel"/>
    <w:lvl w:ilvl="0">
      <w:start w:val="1"/>
      <w:numFmt w:val="decimal"/>
      <w:isLgl w:val="false"/>
      <w:suff w:val="tab"/>
      <w:lvlText w:val="%1."/>
      <w:lvlJc w:val="left"/>
      <w:pPr>
        <w:pStyle w:val="963"/>
        <w:tabs>
          <w:tab w:val="num" w:pos="312" w:leader="none"/>
        </w:tabs>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6">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8">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abstractNum w:abstractNumId="5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pStyle w:val="963"/>
        <w:ind w:left="1440" w:hanging="360"/>
      </w:pPr>
      <w:rPr>
        <w:rFonts w:ascii="Courier New" w:hAnsi="Courier New" w:eastAsia="Courier New" w:cs="Courier New"/>
      </w:rPr>
    </w:lvl>
    <w:lvl w:ilvl="2">
      <w:start w:val="1"/>
      <w:numFmt w:val="bullet"/>
      <w:isLgl w:val="false"/>
      <w:suff w:val="tab"/>
      <w:lvlText w:val="§"/>
      <w:lvlJc w:val="left"/>
      <w:pPr>
        <w:pStyle w:val="963"/>
        <w:ind w:left="2160" w:hanging="360"/>
      </w:pPr>
      <w:rPr>
        <w:rFonts w:ascii="Wingdings" w:hAnsi="Wingdings" w:eastAsia="Wingdings" w:cs="Wingdings"/>
      </w:rPr>
    </w:lvl>
    <w:lvl w:ilvl="3">
      <w:start w:val="1"/>
      <w:numFmt w:val="bullet"/>
      <w:isLgl w:val="false"/>
      <w:suff w:val="tab"/>
      <w:lvlText w:val="·"/>
      <w:lvlJc w:val="left"/>
      <w:pPr>
        <w:pStyle w:val="963"/>
        <w:ind w:left="2880" w:hanging="360"/>
      </w:pPr>
      <w:rPr>
        <w:rFonts w:ascii="Symbol" w:hAnsi="Symbol" w:eastAsia="Symbol" w:cs="Symbol"/>
      </w:rPr>
    </w:lvl>
    <w:lvl w:ilvl="4">
      <w:start w:val="1"/>
      <w:numFmt w:val="bullet"/>
      <w:isLgl w:val="false"/>
      <w:suff w:val="tab"/>
      <w:lvlText w:val="o"/>
      <w:lvlJc w:val="left"/>
      <w:pPr>
        <w:pStyle w:val="963"/>
        <w:ind w:left="3600" w:hanging="360"/>
      </w:pPr>
      <w:rPr>
        <w:rFonts w:ascii="Courier New" w:hAnsi="Courier New" w:eastAsia="Courier New" w:cs="Courier New"/>
      </w:rPr>
    </w:lvl>
    <w:lvl w:ilvl="5">
      <w:start w:val="1"/>
      <w:numFmt w:val="bullet"/>
      <w:isLgl w:val="false"/>
      <w:suff w:val="tab"/>
      <w:lvlText w:val="§"/>
      <w:lvlJc w:val="left"/>
      <w:pPr>
        <w:pStyle w:val="963"/>
        <w:ind w:left="4320" w:hanging="360"/>
      </w:pPr>
      <w:rPr>
        <w:rFonts w:ascii="Wingdings" w:hAnsi="Wingdings" w:eastAsia="Wingdings" w:cs="Wingdings"/>
      </w:rPr>
    </w:lvl>
    <w:lvl w:ilvl="6">
      <w:start w:val="1"/>
      <w:numFmt w:val="bullet"/>
      <w:isLgl w:val="false"/>
      <w:suff w:val="tab"/>
      <w:lvlText w:val="·"/>
      <w:lvlJc w:val="left"/>
      <w:pPr>
        <w:pStyle w:val="963"/>
        <w:ind w:left="5040" w:hanging="360"/>
      </w:pPr>
      <w:rPr>
        <w:rFonts w:ascii="Symbol" w:hAnsi="Symbol" w:eastAsia="Symbol" w:cs="Symbol"/>
      </w:rPr>
    </w:lvl>
    <w:lvl w:ilvl="7">
      <w:start w:val="1"/>
      <w:numFmt w:val="bullet"/>
      <w:isLgl w:val="false"/>
      <w:suff w:val="tab"/>
      <w:lvlText w:val="o"/>
      <w:lvlJc w:val="left"/>
      <w:pPr>
        <w:pStyle w:val="963"/>
        <w:ind w:left="5760" w:hanging="360"/>
      </w:pPr>
      <w:rPr>
        <w:rFonts w:ascii="Courier New" w:hAnsi="Courier New" w:eastAsia="Courier New" w:cs="Courier New"/>
      </w:rPr>
    </w:lvl>
    <w:lvl w:ilvl="8">
      <w:start w:val="1"/>
      <w:numFmt w:val="bullet"/>
      <w:isLgl w:val="false"/>
      <w:suff w:val="tab"/>
      <w:lvlText w:val="§"/>
      <w:lvlJc w:val="left"/>
      <w:pPr>
        <w:pStyle w:val="963"/>
        <w:ind w:left="6480" w:hanging="360"/>
      </w:pPr>
      <w:rPr>
        <w:rFonts w:ascii="Wingdings" w:hAnsi="Wingdings" w:eastAsia="Wingdings" w:cs="Wingdings"/>
      </w:rPr>
    </w:lvl>
  </w:abstractNum>
  <w:num w:numId="1">
    <w:abstractNumId w:val="40"/>
  </w:num>
  <w:num w:numId="2">
    <w:abstractNumId w:val="22"/>
  </w:num>
  <w:num w:numId="3">
    <w:abstractNumId w:val="32"/>
  </w:num>
  <w:num w:numId="4">
    <w:abstractNumId w:val="13"/>
  </w:num>
  <w:num w:numId="5">
    <w:abstractNumId w:val="18"/>
  </w:num>
  <w:num w:numId="6">
    <w:abstractNumId w:val="21"/>
  </w:num>
  <w:num w:numId="7">
    <w:abstractNumId w:val="5"/>
  </w:num>
  <w:num w:numId="8">
    <w:abstractNumId w:val="28"/>
  </w:num>
  <w:num w:numId="9">
    <w:abstractNumId w:val="39"/>
  </w:num>
  <w:num w:numId="10">
    <w:abstractNumId w:val="14"/>
  </w:num>
  <w:num w:numId="11">
    <w:abstractNumId w:val="36"/>
  </w:num>
  <w:num w:numId="12">
    <w:abstractNumId w:val="19"/>
  </w:num>
  <w:num w:numId="13">
    <w:abstractNumId w:val="27"/>
  </w:num>
  <w:num w:numId="14">
    <w:abstractNumId w:val="16"/>
  </w:num>
  <w:num w:numId="15">
    <w:abstractNumId w:val="15"/>
  </w:num>
  <w:num w:numId="16">
    <w:abstractNumId w:val="7"/>
  </w:num>
  <w:num w:numId="17">
    <w:abstractNumId w:val="34"/>
  </w:num>
  <w:num w:numId="18">
    <w:abstractNumId w:val="43"/>
  </w:num>
  <w:num w:numId="19">
    <w:abstractNumId w:val="24"/>
  </w:num>
  <w:num w:numId="20">
    <w:abstractNumId w:val="33"/>
  </w:num>
  <w:num w:numId="21">
    <w:abstractNumId w:val="9"/>
  </w:num>
  <w:num w:numId="22">
    <w:abstractNumId w:val="49"/>
  </w:num>
  <w:num w:numId="23">
    <w:abstractNumId w:val="47"/>
  </w:num>
  <w:num w:numId="24">
    <w:abstractNumId w:val="12"/>
  </w:num>
  <w:num w:numId="25">
    <w:abstractNumId w:val="44"/>
  </w:num>
  <w:num w:numId="26">
    <w:abstractNumId w:val="6"/>
  </w:num>
  <w:num w:numId="27">
    <w:abstractNumId w:val="31"/>
  </w:num>
  <w:num w:numId="28">
    <w:abstractNumId w:val="2"/>
  </w:num>
  <w:num w:numId="29">
    <w:abstractNumId w:val="38"/>
  </w:num>
  <w:num w:numId="30">
    <w:abstractNumId w:val="50"/>
  </w:num>
  <w:num w:numId="31">
    <w:abstractNumId w:val="0"/>
  </w:num>
  <w:num w:numId="32">
    <w:abstractNumId w:val="26"/>
  </w:num>
  <w:num w:numId="33">
    <w:abstractNumId w:val="37"/>
  </w:num>
  <w:num w:numId="34">
    <w:abstractNumId w:val="20"/>
  </w:num>
  <w:num w:numId="35">
    <w:abstractNumId w:val="17"/>
  </w:num>
  <w:num w:numId="36">
    <w:abstractNumId w:val="29"/>
  </w:num>
  <w:num w:numId="37">
    <w:abstractNumId w:val="48"/>
  </w:num>
  <w:num w:numId="38">
    <w:abstractNumId w:val="11"/>
  </w:num>
  <w:num w:numId="39">
    <w:abstractNumId w:val="4"/>
  </w:num>
  <w:num w:numId="40">
    <w:abstractNumId w:val="10"/>
  </w:num>
  <w:num w:numId="41">
    <w:abstractNumId w:val="41"/>
  </w:num>
  <w:num w:numId="42">
    <w:abstractNumId w:val="1"/>
  </w:num>
  <w:num w:numId="43">
    <w:abstractNumId w:val="25"/>
  </w:num>
  <w:num w:numId="44">
    <w:abstractNumId w:val="3"/>
  </w:num>
  <w:num w:numId="45">
    <w:abstractNumId w:val="42"/>
  </w:num>
  <w:num w:numId="46">
    <w:abstractNumId w:val="46"/>
  </w:num>
  <w:num w:numId="47">
    <w:abstractNumId w:val="35"/>
  </w:num>
  <w:num w:numId="48">
    <w:abstractNumId w:val="30"/>
  </w:num>
  <w:num w:numId="49">
    <w:abstractNumId w:val="45"/>
  </w:num>
  <w:num w:numId="50">
    <w:abstractNumId w:val="8"/>
  </w:num>
  <w:num w:numId="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5"/>
    <w:link w:val="963"/>
    <w:qFormat/>
    <w:pPr>
      <w:jc w:val="both"/>
      <w:widowControl w:val="off"/>
    </w:pPr>
    <w:rPr>
      <w:sz w:val="21"/>
      <w:szCs w:val="22"/>
      <w:lang w:val="en-US" w:eastAsia="zh-CN" w:bidi="ar-SA"/>
    </w:rPr>
  </w:style>
  <w:style w:type="paragraph" w:styleId="964">
    <w:name w:val="标题 1"/>
    <w:basedOn w:val="963"/>
    <w:next w:val="963"/>
    <w:link w:val="977"/>
    <w:qFormat/>
    <w:pPr>
      <w:jc w:val="center"/>
      <w:keepNext/>
      <w:outlineLvl w:val="0"/>
    </w:pPr>
    <w:rPr>
      <w:rFonts w:ascii="楷体_GB2312" w:hAnsi="Times New Roman" w:eastAsia="楷体_GB2312"/>
      <w:sz w:val="28"/>
      <w:szCs w:val="28"/>
    </w:rPr>
  </w:style>
  <w:style w:type="paragraph" w:styleId="965">
    <w:name w:val="标题 2"/>
    <w:basedOn w:val="963"/>
    <w:next w:val="979"/>
    <w:link w:val="978"/>
    <w:qFormat/>
    <w:pPr>
      <w:jc w:val="center"/>
      <w:keepLines/>
      <w:keepNext/>
      <w:spacing w:before="260" w:after="260" w:line="416" w:lineRule="auto"/>
      <w:outlineLvl w:val="1"/>
    </w:pPr>
    <w:rPr>
      <w:rFonts w:ascii="Arial" w:hAnsi="Arial" w:eastAsia="幼圆"/>
      <w:b/>
      <w:bCs/>
      <w:sz w:val="44"/>
      <w:szCs w:val="44"/>
    </w:rPr>
  </w:style>
  <w:style w:type="paragraph" w:styleId="966">
    <w:name w:val="标题 3"/>
    <w:basedOn w:val="963"/>
    <w:next w:val="979"/>
    <w:link w:val="981"/>
    <w:qFormat/>
    <w:pPr>
      <w:keepLines/>
      <w:keepNext/>
      <w:spacing w:before="260" w:after="260" w:line="416" w:lineRule="auto"/>
      <w:outlineLvl w:val="2"/>
    </w:pPr>
    <w:rPr>
      <w:rFonts w:ascii="Times New Roman" w:hAnsi="Times New Roman"/>
      <w:b/>
      <w:bCs/>
      <w:sz w:val="32"/>
      <w:szCs w:val="32"/>
    </w:rPr>
  </w:style>
  <w:style w:type="paragraph" w:styleId="967">
    <w:name w:val="标题 4"/>
    <w:basedOn w:val="963"/>
    <w:next w:val="979"/>
    <w:link w:val="982"/>
    <w:qFormat/>
    <w:pPr>
      <w:keepLines/>
      <w:keepNext/>
      <w:spacing w:before="280" w:after="290" w:line="376" w:lineRule="auto"/>
      <w:outlineLvl w:val="3"/>
    </w:pPr>
    <w:rPr>
      <w:rFonts w:ascii="Arial" w:hAnsi="Arial" w:eastAsia="黑体"/>
      <w:b/>
      <w:bCs/>
      <w:sz w:val="28"/>
      <w:szCs w:val="28"/>
    </w:rPr>
  </w:style>
  <w:style w:type="paragraph" w:styleId="968">
    <w:name w:val="标题 5"/>
    <w:basedOn w:val="963"/>
    <w:next w:val="979"/>
    <w:link w:val="983"/>
    <w:qFormat/>
    <w:pPr>
      <w:keepNext/>
      <w:outlineLvl w:val="4"/>
    </w:pPr>
    <w:rPr>
      <w:rFonts w:ascii="宋体" w:hAnsi="Times New Roman"/>
      <w:color w:val="000000"/>
      <w:sz w:val="28"/>
      <w:szCs w:val="28"/>
    </w:rPr>
  </w:style>
  <w:style w:type="paragraph" w:styleId="969">
    <w:name w:val="标题 6"/>
    <w:basedOn w:val="963"/>
    <w:next w:val="963"/>
    <w:link w:val="984"/>
    <w:qFormat/>
    <w:pPr>
      <w:numPr>
        <w:ilvl w:val="5"/>
        <w:numId w:val="1"/>
      </w:numPr>
      <w:keepLines/>
      <w:keepNext/>
      <w:spacing w:before="240" w:after="64" w:line="320" w:lineRule="auto"/>
      <w:outlineLvl w:val="5"/>
    </w:pPr>
    <w:rPr>
      <w:rFonts w:ascii="Arial" w:hAnsi="Arial" w:eastAsia="黑体"/>
      <w:b/>
      <w:bCs/>
      <w:sz w:val="24"/>
      <w:szCs w:val="24"/>
    </w:rPr>
  </w:style>
  <w:style w:type="paragraph" w:styleId="970">
    <w:name w:val="标题 7"/>
    <w:basedOn w:val="963"/>
    <w:next w:val="963"/>
    <w:link w:val="98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1">
    <w:name w:val="标题 8"/>
    <w:basedOn w:val="963"/>
    <w:next w:val="963"/>
    <w:link w:val="986"/>
    <w:qFormat/>
    <w:pPr>
      <w:numPr>
        <w:ilvl w:val="7"/>
        <w:numId w:val="1"/>
      </w:numPr>
      <w:keepLines/>
      <w:keepNext/>
      <w:spacing w:before="240" w:after="64" w:line="320" w:lineRule="auto"/>
      <w:outlineLvl w:val="7"/>
    </w:pPr>
    <w:rPr>
      <w:rFonts w:ascii="Arial" w:hAnsi="Arial" w:eastAsia="黑体"/>
      <w:sz w:val="24"/>
      <w:szCs w:val="24"/>
    </w:rPr>
  </w:style>
  <w:style w:type="paragraph" w:styleId="972">
    <w:name w:val="标题 9"/>
    <w:basedOn w:val="963"/>
    <w:next w:val="963"/>
    <w:link w:val="987"/>
    <w:qFormat/>
    <w:pPr>
      <w:numPr>
        <w:ilvl w:val="8"/>
        <w:numId w:val="1"/>
      </w:numPr>
      <w:keepLines/>
      <w:keepNext/>
      <w:spacing w:before="240" w:after="64" w:line="320" w:lineRule="auto"/>
      <w:outlineLvl w:val="8"/>
    </w:pPr>
    <w:rPr>
      <w:rFonts w:ascii="Arial" w:hAnsi="Arial" w:eastAsia="黑体"/>
      <w:sz w:val="20"/>
      <w:szCs w:val="21"/>
    </w:rPr>
  </w:style>
  <w:style w:type="character" w:styleId="973">
    <w:name w:val="默认段落字体"/>
    <w:next w:val="973"/>
    <w:link w:val="963"/>
    <w:uiPriority w:val="1"/>
    <w:unhideWhenUsed/>
  </w:style>
  <w:style w:type="table" w:styleId="974">
    <w:name w:val="普通表格"/>
    <w:next w:val="974"/>
    <w:link w:val="963"/>
    <w:uiPriority w:val="99"/>
    <w:unhideWhenUsed/>
    <w:tblPr/>
  </w:style>
  <w:style w:type="paragraph" w:styleId="975">
    <w:name w:val="正文首行缩进 21"/>
    <w:basedOn w:val="976"/>
    <w:next w:val="975"/>
    <w:link w:val="963"/>
    <w:qFormat/>
    <w:pPr>
      <w:ind w:left="0" w:firstLine="420"/>
      <w:spacing w:after="0" w:line="360" w:lineRule="auto"/>
    </w:pPr>
    <w:rPr>
      <w:rFonts w:ascii="宋体" w:hAnsi="宋体"/>
      <w:sz w:val="20"/>
      <w:szCs w:val="20"/>
    </w:rPr>
  </w:style>
  <w:style w:type="paragraph" w:styleId="976">
    <w:name w:val="正文文本缩进1"/>
    <w:basedOn w:val="963"/>
    <w:next w:val="976"/>
    <w:link w:val="963"/>
    <w:uiPriority w:val="99"/>
    <w:unhideWhenUsed/>
    <w:qFormat/>
    <w:pPr>
      <w:ind w:left="420"/>
      <w:spacing w:after="120"/>
    </w:pPr>
  </w:style>
  <w:style w:type="character" w:styleId="977">
    <w:name w:val="标题 1 Char"/>
    <w:next w:val="977"/>
    <w:link w:val="964"/>
    <w:rPr>
      <w:rFonts w:ascii="楷体_GB2312" w:hAnsi="Times New Roman" w:eastAsia="楷体_GB2312" w:cs="Times New Roman"/>
      <w:sz w:val="28"/>
      <w:szCs w:val="28"/>
    </w:rPr>
  </w:style>
  <w:style w:type="character" w:styleId="978">
    <w:name w:val="标题 2 Char"/>
    <w:next w:val="978"/>
    <w:link w:val="965"/>
    <w:rPr>
      <w:rFonts w:ascii="Arial" w:hAnsi="Arial" w:eastAsia="幼圆" w:cs="Arial"/>
      <w:b/>
      <w:bCs/>
      <w:sz w:val="44"/>
      <w:szCs w:val="44"/>
    </w:rPr>
  </w:style>
  <w:style w:type="paragraph" w:styleId="979">
    <w:name w:val="正文缩进"/>
    <w:basedOn w:val="963"/>
    <w:next w:val="979"/>
    <w:link w:val="980"/>
    <w:pPr>
      <w:ind w:firstLine="420"/>
    </w:pPr>
    <w:rPr>
      <w:sz w:val="20"/>
      <w:szCs w:val="21"/>
    </w:rPr>
  </w:style>
  <w:style w:type="character" w:styleId="980">
    <w:name w:val="正文缩进 Char"/>
    <w:next w:val="980"/>
    <w:link w:val="979"/>
    <w:rPr>
      <w:szCs w:val="21"/>
    </w:rPr>
  </w:style>
  <w:style w:type="character" w:styleId="981">
    <w:name w:val="标题 3 Char"/>
    <w:next w:val="981"/>
    <w:link w:val="966"/>
    <w:rPr>
      <w:rFonts w:ascii="Times New Roman" w:hAnsi="Times New Roman" w:eastAsia="宋体" w:cs="Times New Roman"/>
      <w:b/>
      <w:bCs/>
      <w:sz w:val="32"/>
      <w:szCs w:val="32"/>
    </w:rPr>
  </w:style>
  <w:style w:type="character" w:styleId="982">
    <w:name w:val="标题 4 Char"/>
    <w:next w:val="982"/>
    <w:link w:val="967"/>
    <w:rPr>
      <w:rFonts w:ascii="Arial" w:hAnsi="Arial" w:eastAsia="黑体" w:cs="Arial"/>
      <w:b/>
      <w:bCs/>
      <w:sz w:val="28"/>
      <w:szCs w:val="28"/>
    </w:rPr>
  </w:style>
  <w:style w:type="character" w:styleId="983">
    <w:name w:val="标题 5 Char"/>
    <w:next w:val="983"/>
    <w:link w:val="968"/>
    <w:rPr>
      <w:rFonts w:ascii="宋体" w:hAnsi="Times New Roman" w:eastAsia="宋体" w:cs="Times New Roman"/>
      <w:color w:val="000000"/>
      <w:sz w:val="28"/>
      <w:szCs w:val="28"/>
    </w:rPr>
  </w:style>
  <w:style w:type="character" w:styleId="984">
    <w:name w:val="标题 6 Char"/>
    <w:next w:val="984"/>
    <w:link w:val="969"/>
    <w:rPr>
      <w:rFonts w:ascii="Arial" w:hAnsi="Arial" w:eastAsia="黑体" w:cs="Times New Roman"/>
      <w:b/>
      <w:bCs/>
      <w:sz w:val="24"/>
      <w:szCs w:val="24"/>
    </w:rPr>
  </w:style>
  <w:style w:type="character" w:styleId="985">
    <w:name w:val="标题 7 Char"/>
    <w:next w:val="985"/>
    <w:link w:val="970"/>
    <w:rPr>
      <w:rFonts w:ascii="Times New Roman" w:hAnsi="Times New Roman" w:eastAsia="宋体" w:cs="Times New Roman"/>
      <w:b/>
      <w:bCs/>
      <w:sz w:val="24"/>
      <w:szCs w:val="24"/>
    </w:rPr>
  </w:style>
  <w:style w:type="character" w:styleId="986">
    <w:name w:val="标题 8 Char"/>
    <w:next w:val="986"/>
    <w:link w:val="971"/>
    <w:rPr>
      <w:rFonts w:ascii="Arial" w:hAnsi="Arial" w:eastAsia="黑体" w:cs="Times New Roman"/>
      <w:sz w:val="24"/>
      <w:szCs w:val="24"/>
    </w:rPr>
  </w:style>
  <w:style w:type="character" w:styleId="987">
    <w:name w:val="标题 9 Char"/>
    <w:next w:val="987"/>
    <w:link w:val="972"/>
    <w:rPr>
      <w:rFonts w:ascii="Arial" w:hAnsi="Arial" w:eastAsia="黑体" w:cs="Times New Roman"/>
      <w:szCs w:val="21"/>
    </w:rPr>
  </w:style>
  <w:style w:type="paragraph" w:styleId="988">
    <w:name w:val="列表 3"/>
    <w:basedOn w:val="963"/>
    <w:next w:val="988"/>
    <w:link w:val="963"/>
    <w:pPr>
      <w:ind w:left="100" w:hanging="200"/>
    </w:pPr>
    <w:rPr>
      <w:rFonts w:ascii="Times New Roman" w:hAnsi="Times New Roman" w:eastAsia="宋体" w:cs="Times New Roman"/>
      <w:szCs w:val="21"/>
    </w:rPr>
  </w:style>
  <w:style w:type="paragraph" w:styleId="989">
    <w:name w:val="目录 7"/>
    <w:basedOn w:val="963"/>
    <w:next w:val="963"/>
    <w:link w:val="963"/>
    <w:semiHidden/>
    <w:pPr>
      <w:ind w:left="1260"/>
      <w:jc w:val="left"/>
    </w:pPr>
    <w:rPr>
      <w:rFonts w:ascii="Times New Roman" w:hAnsi="Times New Roman" w:eastAsia="宋体" w:cs="Times New Roman"/>
      <w:szCs w:val="21"/>
    </w:rPr>
  </w:style>
  <w:style w:type="paragraph" w:styleId="990">
    <w:name w:val="文档结构图"/>
    <w:basedOn w:val="963"/>
    <w:next w:val="990"/>
    <w:link w:val="991"/>
    <w:semiHidden/>
    <w:pPr>
      <w:shd w:val="clear" w:color="auto" w:fill="000080"/>
    </w:pPr>
    <w:rPr>
      <w:rFonts w:ascii="Times New Roman" w:hAnsi="Times New Roman"/>
      <w:sz w:val="20"/>
      <w:szCs w:val="21"/>
    </w:rPr>
  </w:style>
  <w:style w:type="character" w:styleId="991">
    <w:name w:val="文档结构图 Char"/>
    <w:next w:val="991"/>
    <w:link w:val="990"/>
    <w:semiHidden/>
    <w:rPr>
      <w:rFonts w:ascii="Times New Roman" w:hAnsi="Times New Roman" w:eastAsia="宋体" w:cs="Times New Roman"/>
      <w:szCs w:val="21"/>
      <w:shd w:val="clear" w:color="auto" w:fill="000080"/>
    </w:rPr>
  </w:style>
  <w:style w:type="paragraph" w:styleId="992">
    <w:name w:val="批注文字"/>
    <w:basedOn w:val="963"/>
    <w:next w:val="992"/>
    <w:link w:val="993"/>
    <w:unhideWhenUsed/>
    <w:pPr>
      <w:jc w:val="left"/>
    </w:pPr>
  </w:style>
  <w:style w:type="character" w:styleId="993">
    <w:name w:val="批注文字 Char"/>
    <w:basedOn w:val="973"/>
    <w:next w:val="993"/>
    <w:link w:val="992"/>
    <w:uiPriority w:val="99"/>
    <w:semiHidden/>
  </w:style>
  <w:style w:type="paragraph" w:styleId="994">
    <w:name w:val="正文文本 3"/>
    <w:basedOn w:val="963"/>
    <w:next w:val="994"/>
    <w:link w:val="995"/>
    <w:rPr>
      <w:rFonts w:ascii="仿宋_GB2312" w:hAnsi="Arial" w:eastAsia="仿宋_GB2312"/>
      <w:sz w:val="32"/>
      <w:szCs w:val="32"/>
    </w:rPr>
  </w:style>
  <w:style w:type="character" w:styleId="995">
    <w:name w:val="正文文本 3 Char"/>
    <w:next w:val="995"/>
    <w:link w:val="994"/>
    <w:rPr>
      <w:rFonts w:ascii="仿宋_GB2312" w:hAnsi="Arial" w:eastAsia="仿宋_GB2312" w:cs="Times New Roman"/>
      <w:sz w:val="32"/>
      <w:szCs w:val="32"/>
    </w:rPr>
  </w:style>
  <w:style w:type="paragraph" w:styleId="996">
    <w:name w:val="正文文本"/>
    <w:basedOn w:val="963"/>
    <w:next w:val="963"/>
    <w:link w:val="997"/>
    <w:rPr>
      <w:rFonts w:ascii="楷体_GB2312" w:hAnsi="Arial" w:eastAsia="楷体_GB2312"/>
      <w:sz w:val="28"/>
      <w:szCs w:val="28"/>
    </w:rPr>
  </w:style>
  <w:style w:type="character" w:styleId="997">
    <w:name w:val="正文文本 Char"/>
    <w:next w:val="997"/>
    <w:link w:val="996"/>
    <w:rPr>
      <w:rFonts w:ascii="楷体_GB2312" w:hAnsi="Arial" w:eastAsia="楷体_GB2312" w:cs="Times New Roman"/>
      <w:sz w:val="28"/>
      <w:szCs w:val="28"/>
    </w:rPr>
  </w:style>
  <w:style w:type="paragraph" w:styleId="998">
    <w:name w:val="正文文本缩进"/>
    <w:basedOn w:val="963"/>
    <w:next w:val="998"/>
    <w:link w:val="999"/>
    <w:unhideWhenUsed/>
    <w:pPr>
      <w:ind w:left="420"/>
      <w:spacing w:after="120"/>
    </w:pPr>
  </w:style>
  <w:style w:type="character" w:styleId="999">
    <w:name w:val="正文文本缩进 Char"/>
    <w:basedOn w:val="973"/>
    <w:next w:val="999"/>
    <w:link w:val="998"/>
    <w:uiPriority w:val="99"/>
    <w:semiHidden/>
  </w:style>
  <w:style w:type="paragraph" w:styleId="1000">
    <w:name w:val="列表 2"/>
    <w:basedOn w:val="963"/>
    <w:next w:val="1000"/>
    <w:link w:val="963"/>
    <w:pPr>
      <w:ind w:left="100" w:hanging="200"/>
    </w:pPr>
    <w:rPr>
      <w:rFonts w:ascii="Times New Roman" w:hAnsi="Times New Roman" w:eastAsia="宋体" w:cs="Times New Roman"/>
      <w:szCs w:val="21"/>
    </w:rPr>
  </w:style>
  <w:style w:type="paragraph" w:styleId="1001">
    <w:name w:val="目录 5"/>
    <w:basedOn w:val="963"/>
    <w:next w:val="963"/>
    <w:link w:val="963"/>
    <w:semiHidden/>
    <w:pPr>
      <w:ind w:left="840"/>
      <w:jc w:val="left"/>
    </w:pPr>
    <w:rPr>
      <w:rFonts w:ascii="Times New Roman" w:hAnsi="Times New Roman" w:eastAsia="宋体" w:cs="Times New Roman"/>
      <w:szCs w:val="21"/>
    </w:rPr>
  </w:style>
  <w:style w:type="paragraph" w:styleId="1002">
    <w:name w:val="目录 3"/>
    <w:basedOn w:val="963"/>
    <w:next w:val="963"/>
    <w:link w:val="963"/>
    <w:semiHidden/>
    <w:pPr>
      <w:ind w:left="420"/>
      <w:jc w:val="left"/>
    </w:pPr>
    <w:rPr>
      <w:rFonts w:ascii="Times New Roman" w:hAnsi="Times New Roman" w:eastAsia="宋体" w:cs="Times New Roman"/>
      <w:i/>
      <w:iCs/>
      <w:szCs w:val="24"/>
    </w:rPr>
  </w:style>
  <w:style w:type="paragraph" w:styleId="1003">
    <w:name w:val="纯文本"/>
    <w:basedOn w:val="963"/>
    <w:next w:val="1003"/>
    <w:link w:val="1004"/>
    <w:rPr>
      <w:rFonts w:ascii="宋体" w:hAnsi="Courier New"/>
      <w:sz w:val="20"/>
      <w:szCs w:val="21"/>
    </w:rPr>
  </w:style>
  <w:style w:type="character" w:styleId="1004">
    <w:name w:val="纯文本 Char"/>
    <w:next w:val="1004"/>
    <w:link w:val="1003"/>
    <w:rPr>
      <w:rFonts w:ascii="宋体" w:hAnsi="Courier New" w:eastAsia="宋体" w:cs="Courier New"/>
      <w:szCs w:val="21"/>
    </w:rPr>
  </w:style>
  <w:style w:type="paragraph" w:styleId="1005">
    <w:name w:val="目录 8"/>
    <w:basedOn w:val="963"/>
    <w:next w:val="963"/>
    <w:link w:val="963"/>
    <w:semiHidden/>
    <w:pPr>
      <w:ind w:left="1470"/>
      <w:jc w:val="left"/>
    </w:pPr>
    <w:rPr>
      <w:rFonts w:ascii="Times New Roman" w:hAnsi="Times New Roman" w:eastAsia="宋体" w:cs="Times New Roman"/>
      <w:szCs w:val="21"/>
    </w:rPr>
  </w:style>
  <w:style w:type="paragraph" w:styleId="1006">
    <w:name w:val="日期"/>
    <w:basedOn w:val="963"/>
    <w:next w:val="963"/>
    <w:link w:val="1007"/>
    <w:rPr>
      <w:rFonts w:ascii="Times New Roman" w:hAnsi="Times New Roman"/>
      <w:sz w:val="24"/>
      <w:szCs w:val="24"/>
    </w:rPr>
  </w:style>
  <w:style w:type="character" w:styleId="1007">
    <w:name w:val="日期 Char"/>
    <w:next w:val="1007"/>
    <w:link w:val="1006"/>
    <w:rPr>
      <w:rFonts w:ascii="Times New Roman" w:hAnsi="Times New Roman" w:eastAsia="宋体" w:cs="Times New Roman"/>
      <w:sz w:val="24"/>
      <w:szCs w:val="24"/>
    </w:rPr>
  </w:style>
  <w:style w:type="paragraph" w:styleId="1008">
    <w:name w:val="正文文本缩进 2"/>
    <w:basedOn w:val="963"/>
    <w:next w:val="1008"/>
    <w:link w:val="1009"/>
    <w:pPr>
      <w:ind w:left="630" w:firstLine="645"/>
    </w:pPr>
    <w:rPr>
      <w:rFonts w:ascii="Arial" w:hAnsi="Arial" w:eastAsia="仿宋_GB2312"/>
      <w:sz w:val="32"/>
      <w:szCs w:val="32"/>
    </w:rPr>
  </w:style>
  <w:style w:type="character" w:styleId="1009">
    <w:name w:val="正文文本缩进 2 Char"/>
    <w:next w:val="1009"/>
    <w:link w:val="1008"/>
    <w:rPr>
      <w:rFonts w:ascii="Arial" w:hAnsi="Arial" w:eastAsia="仿宋_GB2312" w:cs="Arial"/>
      <w:sz w:val="32"/>
      <w:szCs w:val="32"/>
    </w:rPr>
  </w:style>
  <w:style w:type="paragraph" w:styleId="1010">
    <w:name w:val="批注框文本"/>
    <w:basedOn w:val="963"/>
    <w:next w:val="1010"/>
    <w:link w:val="1011"/>
    <w:semiHidden/>
    <w:rPr>
      <w:rFonts w:ascii="Times New Roman" w:hAnsi="Times New Roman"/>
      <w:sz w:val="18"/>
      <w:szCs w:val="18"/>
    </w:rPr>
  </w:style>
  <w:style w:type="character" w:styleId="1011">
    <w:name w:val="批注框文本 Char"/>
    <w:next w:val="1011"/>
    <w:link w:val="1010"/>
    <w:semiHidden/>
    <w:rPr>
      <w:rFonts w:ascii="Times New Roman" w:hAnsi="Times New Roman" w:eastAsia="宋体" w:cs="Times New Roman"/>
      <w:sz w:val="18"/>
      <w:szCs w:val="18"/>
    </w:rPr>
  </w:style>
  <w:style w:type="paragraph" w:styleId="1012">
    <w:name w:val="页脚"/>
    <w:basedOn w:val="963"/>
    <w:next w:val="1012"/>
    <w:link w:val="1013"/>
    <w:pPr>
      <w:jc w:val="left"/>
      <w:tabs>
        <w:tab w:val="center" w:pos="4153" w:leader="none"/>
        <w:tab w:val="right" w:pos="8306" w:leader="none"/>
      </w:tabs>
    </w:pPr>
    <w:rPr>
      <w:rFonts w:ascii="Times New Roman" w:hAnsi="Times New Roman"/>
      <w:sz w:val="18"/>
      <w:szCs w:val="18"/>
    </w:rPr>
  </w:style>
  <w:style w:type="character" w:styleId="1013">
    <w:name w:val="页脚 Char"/>
    <w:next w:val="1013"/>
    <w:link w:val="1012"/>
    <w:rPr>
      <w:rFonts w:ascii="Times New Roman" w:hAnsi="Times New Roman" w:eastAsia="宋体" w:cs="Times New Roman"/>
      <w:sz w:val="18"/>
      <w:szCs w:val="18"/>
    </w:rPr>
  </w:style>
  <w:style w:type="paragraph" w:styleId="1014">
    <w:name w:val="页眉"/>
    <w:basedOn w:val="963"/>
    <w:next w:val="1014"/>
    <w:link w:val="101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5">
    <w:name w:val="页眉 Char"/>
    <w:next w:val="1015"/>
    <w:link w:val="1014"/>
    <w:rPr>
      <w:rFonts w:ascii="Times New Roman" w:hAnsi="Times New Roman" w:eastAsia="宋体" w:cs="Times New Roman"/>
      <w:sz w:val="18"/>
      <w:szCs w:val="18"/>
    </w:rPr>
  </w:style>
  <w:style w:type="paragraph" w:styleId="1016">
    <w:name w:val="目录 1"/>
    <w:basedOn w:val="963"/>
    <w:next w:val="963"/>
    <w:link w:val="96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7">
    <w:name w:val="目录 4"/>
    <w:basedOn w:val="963"/>
    <w:next w:val="963"/>
    <w:link w:val="963"/>
    <w:semiHidden/>
    <w:pPr>
      <w:ind w:left="630"/>
      <w:jc w:val="left"/>
    </w:pPr>
    <w:rPr>
      <w:rFonts w:ascii="Times New Roman" w:hAnsi="Times New Roman" w:eastAsia="宋体" w:cs="Times New Roman"/>
      <w:szCs w:val="21"/>
    </w:rPr>
  </w:style>
  <w:style w:type="paragraph" w:styleId="1018">
    <w:name w:val="列表"/>
    <w:basedOn w:val="963"/>
    <w:next w:val="1018"/>
    <w:link w:val="963"/>
    <w:pPr>
      <w:ind w:left="200" w:hanging="200"/>
    </w:pPr>
    <w:rPr>
      <w:rFonts w:ascii="Times New Roman" w:hAnsi="Times New Roman" w:eastAsia="宋体" w:cs="Times New Roman"/>
      <w:szCs w:val="21"/>
    </w:rPr>
  </w:style>
  <w:style w:type="paragraph" w:styleId="1019">
    <w:name w:val="目录 6"/>
    <w:basedOn w:val="963"/>
    <w:next w:val="963"/>
    <w:link w:val="963"/>
    <w:semiHidden/>
    <w:pPr>
      <w:ind w:left="1050"/>
      <w:jc w:val="left"/>
    </w:pPr>
    <w:rPr>
      <w:rFonts w:ascii="Times New Roman" w:hAnsi="Times New Roman" w:eastAsia="宋体" w:cs="Times New Roman"/>
      <w:szCs w:val="21"/>
    </w:rPr>
  </w:style>
  <w:style w:type="paragraph" w:styleId="1020">
    <w:name w:val="正文文本缩进 3"/>
    <w:basedOn w:val="963"/>
    <w:next w:val="1020"/>
    <w:link w:val="1021"/>
    <w:pPr>
      <w:ind w:left="645" w:firstLine="645"/>
    </w:pPr>
    <w:rPr>
      <w:rFonts w:ascii="Arial" w:hAnsi="Arial" w:eastAsia="仿宋_GB2312"/>
      <w:color w:val="ffff00"/>
      <w:sz w:val="32"/>
      <w:szCs w:val="32"/>
    </w:rPr>
  </w:style>
  <w:style w:type="character" w:styleId="1021">
    <w:name w:val="正文文本缩进 3 Char"/>
    <w:next w:val="1021"/>
    <w:link w:val="1020"/>
    <w:rPr>
      <w:rFonts w:ascii="Arial" w:hAnsi="Arial" w:eastAsia="仿宋_GB2312" w:cs="Arial"/>
      <w:color w:val="ffff00"/>
      <w:sz w:val="32"/>
      <w:szCs w:val="32"/>
    </w:rPr>
  </w:style>
  <w:style w:type="paragraph" w:styleId="1022">
    <w:name w:val="图表目录"/>
    <w:basedOn w:val="963"/>
    <w:next w:val="963"/>
    <w:link w:val="963"/>
    <w:semiHidden/>
    <w:pPr>
      <w:ind w:left="840" w:hanging="420"/>
    </w:pPr>
    <w:rPr>
      <w:rFonts w:ascii="Times New Roman" w:hAnsi="Times New Roman" w:eastAsia="宋体" w:cs="Times New Roman"/>
      <w:szCs w:val="21"/>
    </w:rPr>
  </w:style>
  <w:style w:type="paragraph" w:styleId="1023">
    <w:name w:val="目录 2"/>
    <w:basedOn w:val="963"/>
    <w:next w:val="963"/>
    <w:link w:val="963"/>
    <w:semiHidden/>
    <w:pPr>
      <w:ind w:left="210"/>
      <w:jc w:val="left"/>
    </w:pPr>
    <w:rPr>
      <w:rFonts w:ascii="Times New Roman" w:hAnsi="Times New Roman" w:eastAsia="宋体" w:cs="Times New Roman"/>
      <w:smallCaps/>
      <w:szCs w:val="24"/>
    </w:rPr>
  </w:style>
  <w:style w:type="paragraph" w:styleId="1024">
    <w:name w:val="目录 9"/>
    <w:basedOn w:val="963"/>
    <w:next w:val="963"/>
    <w:link w:val="963"/>
    <w:semiHidden/>
    <w:pPr>
      <w:ind w:left="1680"/>
      <w:jc w:val="left"/>
    </w:pPr>
    <w:rPr>
      <w:rFonts w:ascii="Times New Roman" w:hAnsi="Times New Roman" w:eastAsia="宋体" w:cs="Times New Roman"/>
      <w:szCs w:val="21"/>
    </w:rPr>
  </w:style>
  <w:style w:type="paragraph" w:styleId="1025">
    <w:name w:val="正文文本 2"/>
    <w:basedOn w:val="963"/>
    <w:next w:val="1025"/>
    <w:link w:val="1026"/>
    <w:pPr>
      <w:jc w:val="center"/>
      <w:widowControl/>
    </w:pPr>
    <w:rPr>
      <w:rFonts w:ascii="楷体_GB2312" w:hAnsi="Times New Roman" w:eastAsia="楷体_GB2312"/>
      <w:sz w:val="28"/>
      <w:szCs w:val="28"/>
    </w:rPr>
  </w:style>
  <w:style w:type="character" w:styleId="1026">
    <w:name w:val="正文文本 2 Char"/>
    <w:next w:val="1026"/>
    <w:link w:val="1025"/>
    <w:rPr>
      <w:rFonts w:ascii="楷体_GB2312" w:hAnsi="Times New Roman" w:eastAsia="楷体_GB2312" w:cs="Times New Roman"/>
      <w:sz w:val="28"/>
      <w:szCs w:val="28"/>
    </w:rPr>
  </w:style>
  <w:style w:type="paragraph" w:styleId="1027">
    <w:name w:val="普通(网站)"/>
    <w:basedOn w:val="963"/>
    <w:next w:val="1027"/>
    <w:link w:val="963"/>
    <w:uiPriority w:val="99"/>
    <w:pPr>
      <w:jc w:val="left"/>
      <w:spacing w:before="100" w:beforeAutospacing="1" w:after="100" w:afterAutospacing="1"/>
      <w:widowControl/>
    </w:pPr>
    <w:rPr>
      <w:rFonts w:ascii="宋体" w:hAnsi="宋体" w:eastAsia="宋体" w:cs="宋体"/>
      <w:sz w:val="24"/>
      <w:szCs w:val="24"/>
    </w:rPr>
  </w:style>
  <w:style w:type="paragraph" w:styleId="1028">
    <w:name w:val="索引 1"/>
    <w:basedOn w:val="963"/>
    <w:next w:val="963"/>
    <w:link w:val="963"/>
    <w:semiHidden/>
    <w:pPr>
      <w:spacing w:line="240" w:lineRule="atLeast"/>
    </w:pPr>
    <w:rPr>
      <w:rFonts w:ascii="Times New Roman" w:hAnsi="Times New Roman" w:eastAsia="宋体" w:cs="Times New Roman"/>
      <w:b/>
      <w:bCs/>
      <w:szCs w:val="21"/>
    </w:rPr>
  </w:style>
  <w:style w:type="paragraph" w:styleId="1029">
    <w:name w:val="批注主题"/>
    <w:basedOn w:val="992"/>
    <w:next w:val="992"/>
    <w:link w:val="1030"/>
    <w:semiHidden/>
    <w:rPr>
      <w:rFonts w:ascii="Times New Roman" w:hAnsi="Times New Roman"/>
      <w:b/>
      <w:bCs/>
      <w:sz w:val="20"/>
      <w:szCs w:val="21"/>
    </w:rPr>
  </w:style>
  <w:style w:type="character" w:styleId="1030">
    <w:name w:val="批注主题 Char"/>
    <w:next w:val="1030"/>
    <w:link w:val="1029"/>
    <w:semiHidden/>
    <w:rPr>
      <w:rFonts w:ascii="Times New Roman" w:hAnsi="Times New Roman" w:eastAsia="宋体" w:cs="Times New Roman"/>
      <w:b/>
      <w:bCs/>
      <w:szCs w:val="21"/>
    </w:rPr>
  </w:style>
  <w:style w:type="paragraph" w:styleId="1031">
    <w:name w:val="正文首行缩进"/>
    <w:basedOn w:val="996"/>
    <w:next w:val="1031"/>
    <w:link w:val="1032"/>
    <w:pPr>
      <w:ind w:firstLine="200"/>
      <w:spacing w:line="360" w:lineRule="auto"/>
    </w:pPr>
    <w:rPr>
      <w:rFonts w:ascii="仿宋_GB2312" w:hAnsi="Times New Roman" w:eastAsia="仿宋_GB2312"/>
      <w:sz w:val="30"/>
      <w:szCs w:val="30"/>
    </w:rPr>
  </w:style>
  <w:style w:type="character" w:styleId="1032">
    <w:name w:val="正文首行缩进 Char"/>
    <w:next w:val="1032"/>
    <w:link w:val="1031"/>
    <w:rPr>
      <w:rFonts w:ascii="仿宋_GB2312" w:hAnsi="Times New Roman" w:eastAsia="仿宋_GB2312" w:cs="Times New Roman"/>
      <w:sz w:val="30"/>
      <w:szCs w:val="30"/>
    </w:rPr>
  </w:style>
  <w:style w:type="paragraph" w:styleId="1033">
    <w:name w:val="正文首行缩进 2"/>
    <w:basedOn w:val="998"/>
    <w:next w:val="1033"/>
    <w:link w:val="1034"/>
    <w:pPr>
      <w:ind w:left="0" w:firstLine="420"/>
      <w:spacing w:after="0" w:line="360" w:lineRule="auto"/>
    </w:pPr>
    <w:rPr>
      <w:rFonts w:ascii="宋体" w:hAnsi="宋体"/>
      <w:sz w:val="20"/>
      <w:szCs w:val="20"/>
    </w:rPr>
  </w:style>
  <w:style w:type="character" w:styleId="1034">
    <w:name w:val="正文首行缩进 2 Char"/>
    <w:next w:val="1034"/>
    <w:link w:val="1033"/>
    <w:rPr>
      <w:rFonts w:ascii="宋体" w:hAnsi="宋体" w:eastAsia="宋体" w:cs="Times New Roman"/>
      <w:szCs w:val="20"/>
    </w:rPr>
  </w:style>
  <w:style w:type="table" w:styleId="1035">
    <w:name w:val="网格型"/>
    <w:basedOn w:val="974"/>
    <w:next w:val="1035"/>
    <w:link w:val="963"/>
    <w:pPr>
      <w:jc w:val="both"/>
      <w:widowControl w:val="off"/>
    </w:pPr>
    <w:rPr>
      <w:rFonts w:ascii="Times New Roman" w:hAnsi="Times New Roman" w:eastAsia="宋体" w:cs="Times New Roman"/>
      <w:sz w:val="20"/>
      <w:szCs w:val="20"/>
    </w:rPr>
    <w:tblPr/>
  </w:style>
  <w:style w:type="character" w:styleId="1036">
    <w:name w:val="要点"/>
    <w:next w:val="1036"/>
    <w:link w:val="963"/>
    <w:qFormat/>
    <w:rPr>
      <w:b/>
      <w:bCs/>
    </w:rPr>
  </w:style>
  <w:style w:type="character" w:styleId="1037">
    <w:name w:val="页码"/>
    <w:next w:val="1037"/>
    <w:link w:val="963"/>
  </w:style>
  <w:style w:type="character" w:styleId="1038">
    <w:name w:val="已访问的超链接"/>
    <w:next w:val="1038"/>
    <w:link w:val="963"/>
    <w:rPr>
      <w:color w:val="800080"/>
      <w:u w:val="single"/>
    </w:rPr>
  </w:style>
  <w:style w:type="character" w:styleId="1039">
    <w:name w:val="超链接"/>
    <w:next w:val="1039"/>
    <w:link w:val="963"/>
    <w:rPr>
      <w:color w:val="0000ff"/>
      <w:u w:val="single"/>
    </w:rPr>
  </w:style>
  <w:style w:type="character" w:styleId="1040">
    <w:name w:val="批注引用"/>
    <w:next w:val="1040"/>
    <w:link w:val="963"/>
    <w:semiHidden/>
    <w:rPr>
      <w:sz w:val="21"/>
      <w:szCs w:val="21"/>
    </w:rPr>
  </w:style>
  <w:style w:type="character" w:styleId="1041">
    <w:name w:val="font5 Char"/>
    <w:next w:val="1041"/>
    <w:link w:val="963"/>
    <w:rPr>
      <w:rFonts w:ascii="宋体" w:hAnsi="宋体" w:eastAsia="宋体"/>
      <w:sz w:val="28"/>
      <w:szCs w:val="28"/>
      <w:lang w:val="en-US" w:eastAsia="zh-CN" w:bidi="ar-SA"/>
    </w:rPr>
  </w:style>
  <w:style w:type="character" w:styleId="1042">
    <w:name w:val="二级目录 Char"/>
    <w:next w:val="1042"/>
    <w:link w:val="1043"/>
    <w:rPr>
      <w:b/>
      <w:sz w:val="30"/>
      <w:szCs w:val="28"/>
      <w:lang w:val="en-US" w:eastAsia="zh-CN" w:bidi="ar-SA"/>
    </w:rPr>
  </w:style>
  <w:style w:type="paragraph" w:styleId="1043">
    <w:name w:val="二级目录"/>
    <w:next w:val="963"/>
    <w:link w:val="1042"/>
    <w:pPr>
      <w:numPr>
        <w:ilvl w:val="0"/>
        <w:numId w:val="2"/>
      </w:numPr>
      <w:tabs>
        <w:tab w:val="left" w:pos="907" w:leader="none"/>
        <w:tab w:val="left" w:pos="1145" w:leader="none"/>
      </w:tabs>
      <w:outlineLvl w:val="1"/>
    </w:pPr>
    <w:rPr>
      <w:b/>
      <w:sz w:val="30"/>
      <w:szCs w:val="28"/>
      <w:lang w:val="en-US" w:eastAsia="zh-CN" w:bidi="ar-SA"/>
    </w:rPr>
  </w:style>
  <w:style w:type="character" w:styleId="1044">
    <w:name w:val="列出段落 Char,Bullet List Char,numbered Char,FooterText Char,List Paragraph1 Char,Paragraphe de liste1 Char"/>
    <w:next w:val="1044"/>
    <w:link w:val="1045"/>
    <w:rPr>
      <w:rFonts w:ascii="Calibri" w:hAnsi="Calibri"/>
      <w:sz w:val="24"/>
      <w:szCs w:val="24"/>
      <w:lang w:eastAsia="en-US" w:bidi="en-US"/>
    </w:rPr>
  </w:style>
  <w:style w:type="paragraph" w:styleId="1045">
    <w:name w:val="列出段落1"/>
    <w:basedOn w:val="963"/>
    <w:next w:val="1045"/>
    <w:link w:val="1044"/>
    <w:qFormat/>
    <w:pPr>
      <w:contextualSpacing/>
      <w:ind w:left="720"/>
      <w:jc w:val="left"/>
      <w:widowControl/>
    </w:pPr>
    <w:rPr>
      <w:sz w:val="24"/>
      <w:szCs w:val="24"/>
      <w:lang w:eastAsia="en-US" w:bidi="en-US"/>
    </w:rPr>
  </w:style>
  <w:style w:type="paragraph" w:styleId="1046">
    <w:name w:val="Body Text(ch)"/>
    <w:basedOn w:val="963"/>
    <w:next w:val="996"/>
    <w:link w:val="963"/>
    <w:pPr>
      <w:spacing w:after="120"/>
    </w:pPr>
    <w:rPr>
      <w:rFonts w:ascii="宋体" w:hAnsi="Arial" w:eastAsia="宋体" w:cs="Times New Roman"/>
      <w:bCs/>
      <w:iCs/>
      <w:szCs w:val="24"/>
    </w:rPr>
  </w:style>
  <w:style w:type="paragraph" w:styleId="1047">
    <w:name w:val="xl27"/>
    <w:basedOn w:val="963"/>
    <w:next w:val="1047"/>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xl26"/>
    <w:basedOn w:val="963"/>
    <w:next w:val="1048"/>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9">
    <w:name w:val="Char"/>
    <w:basedOn w:val="963"/>
    <w:next w:val="1049"/>
    <w:link w:val="963"/>
    <w:pPr>
      <w:ind w:firstLine="200"/>
      <w:tabs>
        <w:tab w:val="left" w:pos="360" w:leader="none"/>
      </w:tabs>
    </w:pPr>
    <w:rPr>
      <w:rFonts w:ascii="Times New Roman" w:hAnsi="Times New Roman" w:eastAsia="宋体" w:cs="Times New Roman"/>
      <w:sz w:val="28"/>
      <w:szCs w:val="30"/>
    </w:rPr>
  </w:style>
  <w:style w:type="paragraph" w:styleId="1050">
    <w:name w:val=" Char"/>
    <w:basedOn w:val="990"/>
    <w:next w:val="1050"/>
    <w:link w:val="963"/>
    <w:rPr>
      <w:rFonts w:ascii="Tahoma" w:hAnsi="Tahoma"/>
      <w:sz w:val="24"/>
      <w:szCs w:val="24"/>
    </w:rPr>
  </w:style>
  <w:style w:type="paragraph" w:styleId="1051">
    <w:name w:val="普通正文"/>
    <w:basedOn w:val="963"/>
    <w:next w:val="1051"/>
    <w:link w:val="963"/>
    <w:pPr>
      <w:ind w:firstLine="480"/>
      <w:jc w:val="left"/>
      <w:spacing w:before="120" w:after="120" w:line="360" w:lineRule="auto"/>
    </w:pPr>
    <w:rPr>
      <w:rFonts w:ascii="Arial" w:hAnsi="Arial" w:eastAsia="宋体" w:cs="Times New Roman"/>
      <w:sz w:val="24"/>
      <w:szCs w:val="24"/>
    </w:rPr>
  </w:style>
  <w:style w:type="paragraph" w:styleId="1052">
    <w:name w:val="table_lines"/>
    <w:basedOn w:val="963"/>
    <w:next w:val="1052"/>
    <w:link w:val="963"/>
    <w:pPr>
      <w:jc w:val="left"/>
      <w:widowControl/>
    </w:pPr>
    <w:rPr>
      <w:rFonts w:ascii="Times New Roman" w:hAnsi="Times New Roman" w:eastAsia="宋体" w:cs="Times New Roman"/>
      <w:sz w:val="20"/>
      <w:szCs w:val="20"/>
      <w:lang w:val="de-DE" w:eastAsia="de-DE"/>
    </w:rPr>
  </w:style>
  <w:style w:type="paragraph" w:styleId="1053">
    <w:name w:val="附录1"/>
    <w:next w:val="1053"/>
    <w:link w:val="963"/>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54">
    <w:name w:val="font7"/>
    <w:basedOn w:val="963"/>
    <w:next w:val="1054"/>
    <w:link w:val="963"/>
    <w:pPr>
      <w:jc w:val="left"/>
      <w:spacing w:before="100" w:beforeAutospacing="1" w:after="100" w:afterAutospacing="1"/>
      <w:widowControl/>
    </w:pPr>
    <w:rPr>
      <w:rFonts w:hint="eastAsia" w:ascii="宋体" w:hAnsi="宋体" w:eastAsia="宋体" w:cs="Times New Roman"/>
      <w:sz w:val="18"/>
      <w:szCs w:val="18"/>
    </w:rPr>
  </w:style>
  <w:style w:type="paragraph" w:styleId="1055">
    <w:name w:val=" Char Char Char Char"/>
    <w:basedOn w:val="990"/>
    <w:next w:val="1055"/>
    <w:link w:val="963"/>
    <w:pPr>
      <w:spacing w:line="360" w:lineRule="auto"/>
    </w:pPr>
    <w:rPr>
      <w:rFonts w:ascii="Tahoma" w:hAnsi="Tahoma"/>
      <w:sz w:val="24"/>
      <w:szCs w:val="24"/>
    </w:rPr>
  </w:style>
  <w:style w:type="paragraph" w:styleId="1056">
    <w:name w:val="列出段落"/>
    <w:basedOn w:val="963"/>
    <w:next w:val="1056"/>
    <w:link w:val="963"/>
    <w:qFormat/>
    <w:pPr>
      <w:contextualSpacing/>
      <w:ind w:left="720"/>
      <w:jc w:val="left"/>
      <w:widowControl/>
    </w:pPr>
    <w:rPr>
      <w:rFonts w:ascii="Calibri" w:hAnsi="Calibri" w:eastAsia="宋体" w:cs="Times New Roman"/>
      <w:sz w:val="24"/>
      <w:szCs w:val="24"/>
      <w:lang w:eastAsia="en-US" w:bidi="en-US"/>
    </w:rPr>
  </w:style>
  <w:style w:type="paragraph" w:styleId="1057">
    <w:name w:val="4"/>
    <w:basedOn w:val="963"/>
    <w:next w:val="1020"/>
    <w:link w:val="963"/>
    <w:pPr>
      <w:ind w:firstLine="420"/>
      <w:spacing w:line="360" w:lineRule="auto"/>
    </w:pPr>
    <w:rPr>
      <w:rFonts w:ascii="Times New Roman" w:hAnsi="Times New Roman" w:eastAsia="宋体" w:cs="Times New Roman"/>
      <w:color w:val="ff0000"/>
      <w:sz w:val="24"/>
      <w:szCs w:val="24"/>
    </w:rPr>
  </w:style>
  <w:style w:type="paragraph" w:styleId="1058">
    <w:name w:val="普通 (Web)"/>
    <w:basedOn w:val="963"/>
    <w:next w:val="1058"/>
    <w:link w:val="963"/>
    <w:pPr>
      <w:jc w:val="left"/>
      <w:spacing w:before="100" w:beforeAutospacing="1" w:after="100" w:afterAutospacing="1"/>
      <w:widowControl/>
    </w:pPr>
    <w:rPr>
      <w:rFonts w:ascii="宋体" w:hAnsi="宋体" w:eastAsia="宋体" w:cs="Times New Roman"/>
      <w:sz w:val="24"/>
      <w:szCs w:val="24"/>
    </w:rPr>
  </w:style>
  <w:style w:type="paragraph" w:styleId="1059">
    <w:name w:val=" Char Char Char Char Char Char Char Char Char Char"/>
    <w:basedOn w:val="963"/>
    <w:next w:val="1059"/>
    <w:link w:val="963"/>
    <w:pPr>
      <w:spacing w:line="360" w:lineRule="auto"/>
    </w:pPr>
    <w:rPr>
      <w:rFonts w:ascii="Times New Roman" w:hAnsi="Times New Roman" w:eastAsia="宋体" w:cs="Times New Roman"/>
      <w:sz w:val="24"/>
      <w:szCs w:val="20"/>
    </w:rPr>
  </w:style>
  <w:style w:type="paragraph" w:styleId="1060">
    <w:name w:val="样式1"/>
    <w:basedOn w:val="963"/>
    <w:next w:val="1060"/>
    <w:link w:val="963"/>
    <w:pPr>
      <w:numPr>
        <w:ilvl w:val="0"/>
        <w:numId w:val="3"/>
      </w:numPr>
      <w:tabs>
        <w:tab w:val="left" w:pos="709" w:leader="none"/>
      </w:tabs>
    </w:pPr>
    <w:rPr>
      <w:rFonts w:ascii="宋体" w:hAnsi="宋体" w:eastAsia="宋体" w:cs="Times New Roman"/>
      <w:szCs w:val="21"/>
    </w:rPr>
  </w:style>
  <w:style w:type="paragraph" w:styleId="1061">
    <w:name w:val="font6"/>
    <w:basedOn w:val="963"/>
    <w:next w:val="1061"/>
    <w:link w:val="963"/>
    <w:pPr>
      <w:jc w:val="left"/>
      <w:spacing w:before="100" w:beforeAutospacing="1" w:after="100" w:afterAutospacing="1"/>
      <w:widowControl/>
    </w:pPr>
    <w:rPr>
      <w:rFonts w:hint="eastAsia" w:ascii="宋体" w:hAnsi="宋体" w:eastAsia="宋体" w:cs="Times New Roman"/>
      <w:sz w:val="28"/>
      <w:szCs w:val="28"/>
      <w:u w:val="single"/>
    </w:rPr>
  </w:style>
  <w:style w:type="paragraph" w:styleId="1062">
    <w:name w:val="xl25"/>
    <w:basedOn w:val="963"/>
    <w:next w:val="1062"/>
    <w:link w:val="9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name w:val="图标"/>
    <w:basedOn w:val="963"/>
    <w:next w:val="963"/>
    <w:link w:val="96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4">
    <w:name w:val="标题3"/>
    <w:basedOn w:val="963"/>
    <w:next w:val="963"/>
    <w:link w:val="963"/>
    <w:pPr>
      <w:ind w:firstLine="624"/>
      <w:spacing w:line="590" w:lineRule="atLeast"/>
    </w:pPr>
    <w:rPr>
      <w:rFonts w:ascii="方正黑体_GBK" w:hAnsi="Times New Roman" w:eastAsia="方正黑体_GBK" w:cs="Times New Roman"/>
      <w:sz w:val="32"/>
      <w:szCs w:val="32"/>
    </w:rPr>
  </w:style>
  <w:style w:type="paragraph" w:styleId="1065">
    <w:name w:val="xl24"/>
    <w:basedOn w:val="963"/>
    <w:next w:val="1065"/>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6">
    <w:name w:val="xl29"/>
    <w:basedOn w:val="963"/>
    <w:next w:val="1066"/>
    <w:link w:val="96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7">
    <w:name w:val="Char Char Char Char Char Char Char Char"/>
    <w:basedOn w:val="963"/>
    <w:next w:val="1067"/>
    <w:link w:val="963"/>
    <w:pPr>
      <w:jc w:val="left"/>
      <w:spacing w:after="160" w:line="240" w:lineRule="exact"/>
      <w:widowControl/>
    </w:pPr>
    <w:rPr>
      <w:rFonts w:ascii="Verdana" w:hAnsi="Verdana" w:eastAsia="宋体" w:cs="Times New Roman"/>
      <w:sz w:val="20"/>
      <w:szCs w:val="20"/>
      <w:lang w:eastAsia="en-US"/>
    </w:rPr>
  </w:style>
  <w:style w:type="paragraph" w:styleId="1068">
    <w:name w:val="xl28"/>
    <w:basedOn w:val="963"/>
    <w:next w:val="1068"/>
    <w:link w:val="9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9">
    <w:name w:val=" Char Char Char Char Char Char Char Char"/>
    <w:basedOn w:val="963"/>
    <w:next w:val="1069"/>
    <w:link w:val="963"/>
    <w:pPr>
      <w:jc w:val="left"/>
      <w:spacing w:after="160" w:line="240" w:lineRule="exact"/>
      <w:widowControl/>
    </w:pPr>
    <w:rPr>
      <w:rFonts w:ascii="Verdana" w:hAnsi="Verdana" w:eastAsia="宋体" w:cs="Times New Roman"/>
      <w:sz w:val="20"/>
      <w:szCs w:val="20"/>
      <w:lang w:eastAsia="en-US"/>
    </w:rPr>
  </w:style>
  <w:style w:type="paragraph" w:styleId="1070">
    <w:name w:val="xl30"/>
    <w:basedOn w:val="963"/>
    <w:next w:val="1070"/>
    <w:link w:val="963"/>
    <w:pPr>
      <w:jc w:val="center"/>
      <w:spacing w:before="100" w:beforeAutospacing="1" w:after="100" w:afterAutospacing="1"/>
      <w:widowControl/>
    </w:pPr>
    <w:rPr>
      <w:rFonts w:ascii="宋体" w:hAnsi="宋体" w:eastAsia="宋体" w:cs="Times New Roman"/>
      <w:b/>
      <w:bCs/>
      <w:sz w:val="36"/>
      <w:szCs w:val="36"/>
    </w:rPr>
  </w:style>
  <w:style w:type="paragraph" w:styleId="1071">
    <w:name w:val="Char Char Char Char"/>
    <w:basedOn w:val="990"/>
    <w:next w:val="1071"/>
    <w:link w:val="963"/>
    <w:pPr>
      <w:spacing w:line="360" w:lineRule="auto"/>
    </w:pPr>
    <w:rPr>
      <w:rFonts w:ascii="Tahoma" w:hAnsi="Tahoma"/>
      <w:sz w:val="24"/>
      <w:szCs w:val="24"/>
    </w:rPr>
  </w:style>
  <w:style w:type="paragraph" w:styleId="1072">
    <w:name w:val="table_1stline"/>
    <w:basedOn w:val="963"/>
    <w:next w:val="1072"/>
    <w:link w:val="963"/>
    <w:pPr>
      <w:jc w:val="left"/>
      <w:spacing w:before="120"/>
      <w:widowControl/>
    </w:pPr>
    <w:rPr>
      <w:rFonts w:ascii="Times New Roman" w:hAnsi="Times New Roman" w:eastAsia="宋体" w:cs="Times New Roman"/>
      <w:bCs/>
      <w:sz w:val="20"/>
      <w:szCs w:val="20"/>
      <w:lang w:val="de-DE" w:eastAsia="de-DE"/>
    </w:rPr>
  </w:style>
  <w:style w:type="paragraph" w:styleId="1073">
    <w:name w:val="font5"/>
    <w:basedOn w:val="963"/>
    <w:next w:val="1073"/>
    <w:link w:val="963"/>
    <w:pPr>
      <w:jc w:val="left"/>
      <w:spacing w:before="100" w:beforeAutospacing="1" w:after="100" w:afterAutospacing="1"/>
      <w:widowControl/>
    </w:pPr>
    <w:rPr>
      <w:rFonts w:hint="eastAsia" w:ascii="宋体" w:hAnsi="宋体" w:eastAsia="宋体" w:cs="Times New Roman"/>
      <w:sz w:val="28"/>
      <w:szCs w:val="28"/>
    </w:rPr>
  </w:style>
  <w:style w:type="paragraph" w:styleId="1074">
    <w:name w:val="标题1"/>
    <w:basedOn w:val="963"/>
    <w:next w:val="963"/>
    <w:link w:val="96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5">
    <w:name w:val="修订"/>
    <w:next w:val="1075"/>
    <w:link w:val="963"/>
    <w:uiPriority w:val="99"/>
    <w:semiHidden/>
    <w:rPr>
      <w:rFonts w:ascii="Times New Roman" w:hAnsi="Times New Roman"/>
      <w:sz w:val="21"/>
      <w:szCs w:val="21"/>
      <w:lang w:val="en-US" w:eastAsia="zh-CN" w:bidi="ar-SA"/>
    </w:rPr>
  </w:style>
  <w:style w:type="paragraph" w:styleId="1076">
    <w:name w:val="无间隔"/>
    <w:next w:val="1076"/>
    <w:link w:val="963"/>
    <w:uiPriority w:val="99"/>
    <w:qFormat/>
    <w:pPr>
      <w:jc w:val="both"/>
      <w:widowControl w:val="off"/>
    </w:pPr>
    <w:rPr>
      <w:rFonts w:ascii="Times New Roman" w:hAnsi="Times New Roman"/>
      <w:sz w:val="21"/>
      <w:szCs w:val="21"/>
      <w:lang w:val="en-US" w:eastAsia="zh-CN" w:bidi="ar-SA"/>
    </w:rPr>
  </w:style>
  <w:style w:type="paragraph" w:styleId="1077">
    <w:name w:val="引文目录标题1"/>
    <w:basedOn w:val="963"/>
    <w:next w:val="963"/>
    <w:link w:val="963"/>
    <w:qFormat/>
    <w:pPr>
      <w:spacing w:before="120"/>
    </w:pPr>
    <w:rPr>
      <w:rFonts w:ascii="Arial" w:hAnsi="Arial"/>
      <w:sz w:val="24"/>
    </w:rPr>
  </w:style>
  <w:style w:type="paragraph" w:styleId="1078">
    <w:name w:val="WPSOffice手动目录 1"/>
    <w:next w:val="1078"/>
    <w:link w:val="963"/>
    <w:rPr>
      <w:sz w:val="20"/>
      <w:szCs w:val="20"/>
    </w:rPr>
  </w:style>
  <w:style w:type="paragraph" w:styleId="1079">
    <w:name w:val="批注文字1"/>
    <w:basedOn w:val="963"/>
    <w:next w:val="1079"/>
    <w:link w:val="963"/>
    <w:uiPriority w:val="99"/>
    <w:unhideWhenUsed/>
    <w:qFormat/>
    <w:pPr>
      <w:jc w:val="left"/>
    </w:pPr>
  </w:style>
  <w:style w:type="paragraph" w:styleId="1080">
    <w:name w:val="普通(网站) Char"/>
    <w:basedOn w:val="963"/>
    <w:next w:val="1080"/>
    <w:link w:val="963"/>
    <w:qFormat/>
    <w:pPr>
      <w:jc w:val="left"/>
      <w:spacing w:before="100" w:beforeAutospacing="1" w:after="100" w:afterAutospacing="1"/>
      <w:widowControl/>
    </w:pPr>
    <w:rPr>
      <w:rFonts w:ascii="宋体" w:hAnsi="宋体" w:eastAsia="宋体" w:cs="宋体"/>
      <w:sz w:val="24"/>
      <w:szCs w:val="24"/>
    </w:rPr>
  </w:style>
  <w:style w:type="paragraph" w:styleId="1081">
    <w:name w:val="普通(网站)1"/>
    <w:basedOn w:val="963"/>
    <w:next w:val="1081"/>
    <w:link w:val="963"/>
    <w:qFormat/>
    <w:pPr>
      <w:jc w:val="left"/>
      <w:spacing w:before="100" w:beforeAutospacing="1" w:after="100" w:afterAutospacing="1"/>
      <w:widowControl/>
    </w:pPr>
    <w:rPr>
      <w:rFonts w:ascii="宋体" w:hAnsi="宋体" w:eastAsia="宋体" w:cs="宋体"/>
      <w:sz w:val="24"/>
      <w:szCs w:val="24"/>
    </w:rPr>
  </w:style>
  <w:style w:type="paragraph" w:styleId="1082">
    <w:name w:val="Table Text"/>
    <w:basedOn w:val="963"/>
    <w:next w:val="1082"/>
    <w:link w:val="963"/>
    <w:semiHidden/>
    <w:qFormat/>
    <w:rPr>
      <w:rFonts w:ascii="宋体" w:hAnsi="宋体" w:eastAsia="宋体" w:cs="宋体"/>
      <w:sz w:val="19"/>
      <w:szCs w:val="19"/>
      <w:lang w:val="en-US" w:eastAsia="en-US" w:bidi="ar-SA"/>
    </w:rPr>
  </w:style>
  <w:style w:type="paragraph" w:styleId="1083">
    <w:name w:val="表格内的列表"/>
    <w:basedOn w:val="1056"/>
    <w:next w:val="1083"/>
    <w:link w:val="963"/>
    <w:qFormat/>
    <w:pPr>
      <w:numPr>
        <w:ilvl w:val="0"/>
        <w:numId w:val="4"/>
      </w:numPr>
      <w:ind w:firstLine="0"/>
      <w:spacing w:line="360" w:lineRule="auto"/>
    </w:pPr>
    <w:rPr>
      <w:rFonts w:ascii="宋体" w:hAnsi="宋体"/>
      <w:color w:val="000000"/>
      <w:sz w:val="20"/>
      <w:szCs w:val="20"/>
    </w:rPr>
  </w:style>
  <w:style w:type="paragraph" w:styleId="1084">
    <w:name w:val="正文首行缩进1"/>
    <w:basedOn w:val="1085"/>
    <w:next w:val="1084"/>
    <w:link w:val="963"/>
    <w:qFormat/>
    <w:pPr>
      <w:ind w:firstLine="200"/>
      <w:spacing w:line="360" w:lineRule="auto"/>
    </w:pPr>
    <w:rPr>
      <w:rFonts w:ascii="仿宋_GB2312" w:hAnsi="Times New Roman" w:eastAsia="仿宋_GB2312"/>
      <w:sz w:val="30"/>
      <w:szCs w:val="30"/>
    </w:rPr>
  </w:style>
  <w:style w:type="paragraph" w:styleId="1085">
    <w:name w:val="正文文本11"/>
    <w:basedOn w:val="963"/>
    <w:next w:val="963"/>
    <w:link w:val="963"/>
    <w:qFormat/>
    <w:rPr>
      <w:rFonts w:ascii="楷体_GB2312" w:hAnsi="Arial" w:eastAsia="楷体_GB2312"/>
      <w:sz w:val="28"/>
      <w:szCs w:val="28"/>
    </w:rPr>
  </w:style>
  <w:style w:type="paragraph" w:styleId="1086">
    <w:name w:val="正文文本缩进 31"/>
    <w:basedOn w:val="963"/>
    <w:next w:val="1086"/>
    <w:link w:val="963"/>
    <w:qFormat/>
    <w:pPr>
      <w:ind w:left="645" w:firstLine="645"/>
    </w:pPr>
    <w:rPr>
      <w:rFonts w:ascii="Arial" w:hAnsi="Arial" w:eastAsia="仿宋_GB2312"/>
      <w:color w:val="ffff00"/>
      <w:sz w:val="32"/>
      <w:szCs w:val="32"/>
    </w:rPr>
  </w:style>
  <w:style w:type="paragraph" w:styleId="1087">
    <w:name w:val="纯文本1"/>
    <w:basedOn w:val="963"/>
    <w:next w:val="1087"/>
    <w:link w:val="963"/>
    <w:qFormat/>
    <w:rPr>
      <w:rFonts w:ascii="宋体" w:hAnsi="Courier New"/>
      <w:sz w:val="20"/>
      <w:szCs w:val="21"/>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7</cp:revision>
  <dcterms:created xsi:type="dcterms:W3CDTF">2023-12-25T07:48:00Z</dcterms:created>
  <dcterms:modified xsi:type="dcterms:W3CDTF">2024-07-02T02:47:23Z</dcterms:modified>
</cp:coreProperties>
</file>