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eastAsia="宋体"/>
          <w:b/>
          <w:color w:val="auto"/>
          <w:sz w:val="48"/>
          <w:szCs w:val="48"/>
          <w:highlight w:val="none"/>
        </w:rPr>
      </w:pPr>
      <w:r>
        <w:rPr>
          <w:rFonts w:ascii="宋体" w:hAnsi="宋体" w:eastAsia="宋体"/>
          <w:b/>
          <w:color w:val="auto"/>
          <w:sz w:val="48"/>
          <w:szCs w:val="48"/>
          <w:highlight w:val="none"/>
        </w:rPr>
      </w:r>
      <w:r/>
    </w:p>
    <w:p>
      <w:pPr>
        <w:jc w:val="center"/>
        <w:spacing w:line="360" w:lineRule="auto"/>
        <w:rPr>
          <w:rFonts w:ascii="宋体" w:hAnsi="宋体" w:eastAsia="宋体"/>
          <w:b/>
          <w:color w:val="auto"/>
          <w:sz w:val="72"/>
          <w:szCs w:val="72"/>
          <w:highlight w:val="none"/>
        </w:rPr>
      </w:pPr>
      <w:r>
        <w:rPr>
          <w:rFonts w:hint="eastAsia" w:ascii="宋体" w:hAnsi="宋体" w:eastAsia="宋体"/>
          <w:b/>
          <w:color w:val="auto"/>
          <w:sz w:val="72"/>
          <w:szCs w:val="72"/>
          <w:highlight w:val="none"/>
        </w:rPr>
        <w:t xml:space="preserve">苏州市姑苏区政府采购</w:t>
      </w:r>
      <w:r/>
    </w:p>
    <w:p>
      <w:pPr>
        <w:jc w:val="center"/>
        <w:spacing w:line="360" w:lineRule="auto"/>
        <w:rPr>
          <w:rFonts w:ascii="宋体" w:hAnsi="宋体" w:eastAsia="宋体"/>
          <w:b/>
          <w:color w:val="auto"/>
          <w:sz w:val="72"/>
          <w:szCs w:val="72"/>
          <w:highlight w:val="none"/>
        </w:rPr>
      </w:pPr>
      <w:r>
        <w:rPr>
          <w:rFonts w:hint="eastAsia" w:ascii="宋体" w:hAnsi="宋体" w:eastAsia="宋体"/>
          <w:b/>
          <w:color w:val="auto"/>
          <w:sz w:val="72"/>
          <w:szCs w:val="72"/>
          <w:highlight w:val="none"/>
        </w:rPr>
        <w:t xml:space="preserve">招标文件</w:t>
      </w:r>
      <w:r/>
    </w:p>
    <w:p>
      <w:pPr>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spacing w:line="360" w:lineRule="auto"/>
        <w:rPr>
          <w:rFonts w:ascii="宋体" w:hAnsi="宋体" w:eastAsia="宋体"/>
          <w:color w:val="auto"/>
          <w:sz w:val="30"/>
          <w:szCs w:val="30"/>
          <w:highlight w:val="none"/>
        </w:rPr>
      </w:pPr>
      <w:r>
        <w:rPr>
          <w:rFonts w:ascii="宋体" w:hAnsi="宋体" w:eastAsia="宋体"/>
          <w:color w:val="auto"/>
          <w:sz w:val="30"/>
          <w:szCs w:val="30"/>
          <w:highlight w:val="none"/>
        </w:rPr>
      </w:r>
      <w:r/>
    </w:p>
    <w:p>
      <w:pPr>
        <w:ind w:firstLine="2108"/>
        <w:spacing w:line="360" w:lineRule="auto"/>
        <w:rPr>
          <w:rFonts w:hint="eastAsia" w:ascii="宋体" w:hAnsi="宋体" w:eastAsia="宋体"/>
          <w:b/>
          <w:bCs/>
          <w:color w:val="auto"/>
          <w:sz w:val="30"/>
          <w:szCs w:val="30"/>
          <w:highlight w:val="none"/>
        </w:rPr>
      </w:pPr>
      <w:r>
        <w:rPr>
          <w:rFonts w:hint="eastAsia" w:ascii="宋体" w:hAnsi="宋体" w:eastAsia="宋体"/>
          <w:b/>
          <w:bCs/>
          <w:color w:val="auto"/>
          <w:sz w:val="30"/>
          <w:szCs w:val="30"/>
          <w:highlight w:val="none"/>
        </w:rPr>
        <w:t xml:space="preserve">项目编号：</w:t>
      </w:r>
      <w:r>
        <w:rPr>
          <w:rFonts w:ascii="宋体" w:hAnsi="宋体" w:eastAsia="宋体"/>
          <w:b/>
          <w:bCs/>
          <w:color w:val="auto"/>
          <w:sz w:val="30"/>
          <w:szCs w:val="30"/>
          <w:highlight w:val="none"/>
        </w:rPr>
        <w:t xml:space="preserve">JSZC-320508-SZMK-G2024-0006</w:t>
      </w:r>
      <w:r/>
    </w:p>
    <w:p>
      <w:pPr>
        <w:ind w:firstLine="2108"/>
        <w:spacing w:line="360" w:lineRule="auto"/>
        <w:rPr>
          <w:rFonts w:ascii="宋体" w:hAnsi="宋体" w:eastAsia="宋体"/>
          <w:b/>
          <w:bCs/>
          <w:color w:val="auto"/>
          <w:sz w:val="30"/>
          <w:szCs w:val="30"/>
          <w:highlight w:val="none"/>
        </w:rPr>
      </w:pPr>
      <w:r>
        <w:rPr>
          <w:rFonts w:hint="eastAsia" w:ascii="宋体" w:hAnsi="宋体" w:eastAsia="宋体"/>
          <w:b/>
          <w:bCs/>
          <w:color w:val="auto"/>
          <w:sz w:val="30"/>
          <w:szCs w:val="30"/>
          <w:highlight w:val="none"/>
        </w:rPr>
        <w:t xml:space="preserve">采购单位：苏州市金阊实验中学校</w:t>
      </w:r>
      <w:r/>
    </w:p>
    <w:p>
      <w:pPr>
        <w:ind w:firstLine="2108"/>
        <w:spacing w:line="360" w:lineRule="auto"/>
        <w:rPr>
          <w:rFonts w:ascii="宋体" w:hAnsi="宋体" w:eastAsia="宋体"/>
          <w:b/>
          <w:bCs/>
          <w:color w:val="auto"/>
          <w:sz w:val="30"/>
          <w:szCs w:val="30"/>
          <w:highlight w:val="none"/>
        </w:rPr>
      </w:pPr>
      <w:r>
        <w:rPr>
          <w:rFonts w:hint="eastAsia" w:ascii="宋体" w:hAnsi="宋体" w:eastAsia="宋体"/>
          <w:b/>
          <w:bCs/>
          <w:color w:val="auto"/>
          <w:sz w:val="30"/>
          <w:szCs w:val="30"/>
          <w:highlight w:val="none"/>
        </w:rPr>
        <w:t xml:space="preserve">采购类别：货物类</w:t>
      </w:r>
      <w:r/>
    </w:p>
    <w:p>
      <w:pPr>
        <w:ind w:firstLine="2108"/>
        <w:spacing w:line="360" w:lineRule="auto"/>
        <w:rPr>
          <w:rFonts w:ascii="宋体" w:hAnsi="宋体" w:eastAsia="宋体"/>
          <w:b/>
          <w:bCs/>
          <w:color w:val="auto"/>
          <w:sz w:val="30"/>
          <w:szCs w:val="30"/>
          <w:highlight w:val="none"/>
        </w:rPr>
      </w:pPr>
      <w:r>
        <w:rPr>
          <w:rFonts w:hint="eastAsia" w:ascii="宋体" w:hAnsi="宋体" w:eastAsia="宋体"/>
          <w:b/>
          <w:bCs/>
          <w:color w:val="auto"/>
          <w:sz w:val="30"/>
          <w:szCs w:val="30"/>
          <w:highlight w:val="none"/>
        </w:rPr>
        <w:t xml:space="preserve">采购内容: 智慧安防达标升级项目</w:t>
      </w:r>
      <w:r/>
    </w:p>
    <w:p>
      <w:pPr>
        <w:spacing w:line="360" w:lineRule="auto"/>
        <w:rPr>
          <w:rFonts w:ascii="宋体" w:hAnsi="宋体" w:eastAsia="宋体"/>
          <w:b/>
          <w:color w:val="auto"/>
          <w:sz w:val="30"/>
          <w:szCs w:val="30"/>
          <w:highlight w:val="none"/>
        </w:rPr>
      </w:pPr>
      <w:r>
        <w:rPr>
          <w:rFonts w:ascii="宋体" w:hAnsi="宋体" w:eastAsia="宋体"/>
          <w:b/>
          <w:color w:val="auto"/>
          <w:sz w:val="30"/>
          <w:szCs w:val="30"/>
          <w:highlight w:val="none"/>
        </w:rPr>
      </w:r>
      <w:r/>
    </w:p>
    <w:p>
      <w:pPr>
        <w:jc w:val="center"/>
        <w:spacing w:line="360" w:lineRule="auto"/>
        <w:rPr>
          <w:rFonts w:ascii="宋体" w:hAnsi="宋体" w:eastAsia="宋体"/>
          <w:b/>
          <w:color w:val="auto"/>
          <w:sz w:val="30"/>
          <w:szCs w:val="30"/>
          <w:highlight w:val="none"/>
        </w:rPr>
      </w:pPr>
      <w:r>
        <w:rPr>
          <w:rFonts w:hint="eastAsia" w:ascii="宋体" w:hAnsi="宋体" w:cs="宋体"/>
          <w:color w:val="auto"/>
          <w:highlight w:val="none"/>
        </w:rPr>
        <mc:AlternateContent>
          <mc:Choice Requires="wpg">
            <w:drawing>
              <wp:inline xmlns:wp="http://schemas.openxmlformats.org/drawingml/2006/wordprocessingDrawing" distT="0" distB="0" distL="0" distR="0">
                <wp:extent cx="2047875" cy="1480820"/>
                <wp:effectExtent l="0" t="0" r="0" b="0"/>
                <wp:docPr id="3" name="图片 1" descr="公司门牌0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公司门牌02-04"/>
                        <pic:cNvPicPr>
                          <a:picLocks noChangeAspect="1"/>
                        </pic:cNvPicPr>
                        <pic:nvPr/>
                      </pic:nvPicPr>
                      <pic:blipFill>
                        <a:blip r:embed="rId17"/>
                        <a:stretch/>
                      </pic:blipFill>
                      <pic:spPr bwMode="auto">
                        <a:xfrm>
                          <a:off x="0" y="0"/>
                          <a:ext cx="2047875" cy="14808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61.2pt;height:116.6pt;mso-wrap-distance-left:0.0pt;mso-wrap-distance-top:0.0pt;mso-wrap-distance-right:0.0pt;mso-wrap-distance-bottom:0.0pt;" stroked="f">
                <v:path textboxrect="0,0,0,0"/>
                <v:imagedata r:id="rId17" o:title=""/>
              </v:shape>
            </w:pict>
          </mc:Fallback>
        </mc:AlternateContent>
      </w:r>
      <w:bookmarkStart w:id="16" w:name="_GoBack"/>
      <w:r/>
      <w:bookmarkEnd w:id="16"/>
      <w:r/>
      <w:r/>
    </w:p>
    <w:p>
      <w:pPr>
        <w:pStyle w:val="994"/>
        <w:ind w:firstLine="480"/>
        <w:rPr>
          <w:color w:val="auto"/>
          <w:highlight w:val="none"/>
        </w:rPr>
      </w:pPr>
      <w:r>
        <w:rPr>
          <w:color w:val="auto"/>
          <w:highlight w:val="none"/>
        </w:rPr>
      </w:r>
      <w:r/>
    </w:p>
    <w:p>
      <w:pPr>
        <w:jc w:val="center"/>
        <w:spacing w:line="360" w:lineRule="auto"/>
        <w:rPr>
          <w:rFonts w:ascii="宋体" w:hAnsi="宋体" w:eastAsia="宋体"/>
          <w:b/>
          <w:color w:val="auto"/>
          <w:sz w:val="30"/>
          <w:szCs w:val="30"/>
          <w:highlight w:val="none"/>
        </w:rPr>
      </w:pPr>
      <w:r>
        <w:rPr>
          <w:rFonts w:hint="eastAsia" w:ascii="宋体" w:hAnsi="宋体" w:eastAsia="宋体"/>
          <w:b/>
          <w:color w:val="auto"/>
          <w:sz w:val="30"/>
          <w:szCs w:val="30"/>
          <w:highlight w:val="none"/>
        </w:rPr>
        <w:t xml:space="preserve">苏州铭坤招投标咨询服务有限公司</w:t>
      </w:r>
      <w:r/>
    </w:p>
    <w:p>
      <w:pPr>
        <w:jc w:val="center"/>
        <w:spacing w:line="360" w:lineRule="auto"/>
        <w:rPr>
          <w:rFonts w:eastAsia="宋体"/>
          <w:color w:val="auto"/>
          <w:sz w:val="30"/>
          <w:szCs w:val="30"/>
          <w:highlight w:val="none"/>
        </w:rPr>
        <w:sectPr>
          <w:headerReference w:type="default" r:id="rId9"/>
          <w:headerReference w:type="first" r:id="rId10"/>
          <w:footerReference w:type="default" r:id="rId11"/>
          <w:footerReference w:type="even" r:id="rId12"/>
          <w:footnotePr/>
          <w:endnotePr/>
          <w:type w:val="nextPage"/>
          <w:pgSz w:w="11906" w:h="16838" w:orient="portrait"/>
          <w:pgMar w:top="1134" w:right="1113" w:bottom="1134" w:left="1506" w:header="851" w:footer="601" w:gutter="0"/>
          <w:pgNumType w:start="0"/>
          <w:cols w:num="1" w:sep="0" w:space="720" w:equalWidth="1"/>
          <w:docGrid w:linePitch="360"/>
          <w:titlePg/>
        </w:sectPr>
      </w:pPr>
      <w:r>
        <w:rPr>
          <w:rFonts w:hint="eastAsia" w:ascii="宋体" w:hAnsi="宋体" w:eastAsia="宋体"/>
          <w:b/>
          <w:color w:val="auto"/>
          <w:sz w:val="30"/>
          <w:szCs w:val="30"/>
          <w:highlight w:val="none"/>
        </w:rPr>
        <w:t xml:space="preserve">2024年7月</w:t>
      </w:r>
      <w:r/>
    </w:p>
    <w:p>
      <w:pPr>
        <w:jc w:val="center"/>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前附表</w:t>
      </w:r>
      <w:r/>
    </w:p>
    <w:tbl>
      <w:tblPr>
        <w:tblStyle w:val="800"/>
        <w:tblW w:w="9191" w:type="dxa"/>
        <w:tblInd w:w="-14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53"/>
        <w:gridCol w:w="8438"/>
      </w:tblGrid>
      <w:tr>
        <w:trPr/>
        <w:tc>
          <w:tcPr>
            <w:tcBorders>
              <w:bottom w:val="single" w:color="auto" w:sz="6" w:space="0"/>
            </w:tcBorders>
            <w:tcW w:w="753" w:type="dxa"/>
            <w:vAlign w:val="center"/>
            <w:textDirection w:val="lrTb"/>
            <w:noWrap w:val="false"/>
          </w:tcPr>
          <w:p>
            <w:pPr>
              <w:jc w:val="center"/>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项号</w:t>
            </w:r>
            <w:r/>
          </w:p>
        </w:tc>
        <w:tc>
          <w:tcPr>
            <w:tcBorders>
              <w:bottom w:val="single" w:color="auto" w:sz="6" w:space="0"/>
            </w:tcBorders>
            <w:tcW w:w="8438" w:type="dxa"/>
            <w:vAlign w:val="center"/>
            <w:textDirection w:val="lrTb"/>
            <w:noWrap w:val="false"/>
          </w:tcPr>
          <w:p>
            <w:pPr>
              <w:jc w:val="center"/>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内容规定</w:t>
            </w:r>
            <w:r/>
          </w:p>
        </w:tc>
      </w:tr>
      <w:tr>
        <w:trPr>
          <w:trHeight w:val="271"/>
        </w:trPr>
        <w:tc>
          <w:tcPr>
            <w:tcBorders>
              <w:bottom w:val="single" w:color="auto" w:sz="6" w:space="0"/>
            </w:tcBorders>
            <w:tcW w:w="753" w:type="dxa"/>
            <w:vAlign w:val="center"/>
            <w:textDirection w:val="lrTb"/>
            <w:noWrap w:val="false"/>
          </w:tcPr>
          <w:p>
            <w:pPr>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w:t>
            </w:r>
            <w:r/>
          </w:p>
        </w:tc>
        <w:tc>
          <w:tcPr>
            <w:tcBorders>
              <w:bottom w:val="single" w:color="auto" w:sz="6" w:space="0"/>
            </w:tcBorders>
            <w:tcW w:w="8438" w:type="dxa"/>
            <w:vAlign w:val="center"/>
            <w:textDirection w:val="lrTb"/>
            <w:noWrap w:val="false"/>
          </w:tcPr>
          <w:p>
            <w:pPr>
              <w:spacing w:line="360" w:lineRule="auto"/>
              <w:rPr>
                <w:rFonts w:eastAsia="宋体"/>
                <w:color w:val="auto"/>
                <w:highlight w:val="none"/>
              </w:rPr>
            </w:pPr>
            <w:r>
              <w:rPr>
                <w:rFonts w:hint="eastAsia" w:ascii="宋体" w:hAnsi="宋体" w:eastAsia="宋体" w:cs="宋体"/>
                <w:bCs/>
                <w:color w:val="auto"/>
                <w:sz w:val="21"/>
                <w:szCs w:val="21"/>
                <w:highlight w:val="none"/>
              </w:rPr>
              <w:t xml:space="preserve">采购内容：智慧安防达标升级项目</w:t>
            </w:r>
            <w:r/>
          </w:p>
        </w:tc>
      </w:tr>
      <w:tr>
        <w:trPr>
          <w:trHeight w:val="271"/>
        </w:trPr>
        <w:tc>
          <w:tcPr>
            <w:tcBorders>
              <w:top w:val="single" w:color="auto" w:sz="6" w:space="0"/>
              <w:bottom w:val="single" w:color="auto" w:sz="6" w:space="0"/>
              <w:right w:val="single" w:color="auto" w:sz="6" w:space="0"/>
            </w:tcBorders>
            <w:tcW w:w="753" w:type="dxa"/>
            <w:vAlign w:val="center"/>
            <w:textDirection w:val="lrTb"/>
            <w:noWrap w:val="false"/>
          </w:tcPr>
          <w:p>
            <w:pPr>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w:t>
            </w:r>
            <w:r/>
          </w:p>
        </w:tc>
        <w:tc>
          <w:tcPr>
            <w:tcBorders>
              <w:top w:val="single" w:color="auto" w:sz="6" w:space="0"/>
              <w:left w:val="single" w:color="auto" w:sz="6" w:space="0"/>
              <w:bottom w:val="single" w:color="auto" w:sz="6" w:space="0"/>
              <w:right w:val="single" w:color="auto" w:sz="6" w:space="0"/>
            </w:tcBorders>
            <w:tcW w:w="8438" w:type="dxa"/>
            <w:vAlign w:val="center"/>
            <w:textDirection w:val="lrTb"/>
            <w:noWrap w:val="false"/>
          </w:tcPr>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采购数量：1项</w:t>
            </w:r>
            <w:r/>
          </w:p>
        </w:tc>
      </w:tr>
      <w:tr>
        <w:trPr>
          <w:trHeight w:val="323"/>
        </w:trPr>
        <w:tc>
          <w:tcPr>
            <w:tcBorders>
              <w:top w:val="single" w:color="auto" w:sz="6" w:space="0"/>
            </w:tcBorders>
            <w:tcW w:w="753" w:type="dxa"/>
            <w:vAlign w:val="center"/>
            <w:textDirection w:val="lrTb"/>
            <w:noWrap w:val="false"/>
          </w:tcPr>
          <w:p>
            <w:pPr>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p>
        </w:tc>
        <w:tc>
          <w:tcPr>
            <w:tcBorders>
              <w:top w:val="single" w:color="auto" w:sz="6" w:space="0"/>
            </w:tcBorders>
            <w:tcW w:w="8438" w:type="dxa"/>
            <w:vAlign w:val="center"/>
            <w:textDirection w:val="lrTb"/>
            <w:noWrap w:val="false"/>
          </w:tcPr>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投标有效期为九十天（日历日）</w:t>
            </w:r>
            <w:r/>
          </w:p>
        </w:tc>
      </w:tr>
      <w:tr>
        <w:trPr/>
        <w:tc>
          <w:tcPr>
            <w:tcW w:w="753" w:type="dxa"/>
            <w:vAlign w:val="center"/>
            <w:textDirection w:val="lrTb"/>
            <w:noWrap w:val="false"/>
          </w:tcPr>
          <w:p>
            <w:pPr>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w:t>
            </w:r>
            <w:r/>
          </w:p>
        </w:tc>
        <w:tc>
          <w:tcPr>
            <w:tcW w:w="8438" w:type="dxa"/>
            <w:vAlign w:val="bottom"/>
            <w:textDirection w:val="lrTb"/>
            <w:noWrap w:val="false"/>
          </w:tcPr>
          <w:p>
            <w:pPr>
              <w:spacing w:line="360" w:lineRule="auto"/>
              <w:rPr>
                <w:rFonts w:ascii="宋体" w:hAnsi="宋体" w:eastAsia="宋体"/>
                <w:color w:val="auto"/>
                <w:sz w:val="21"/>
                <w:szCs w:val="21"/>
                <w:highlight w:val="none"/>
              </w:rPr>
            </w:pPr>
            <w:r>
              <w:rPr>
                <w:rFonts w:hint="eastAsia" w:ascii="宋体" w:hAnsi="宋体" w:eastAsia="宋体" w:cs="宋体"/>
                <w:bCs/>
                <w:color w:val="auto"/>
                <w:sz w:val="21"/>
                <w:szCs w:val="21"/>
                <w:highlight w:val="none"/>
              </w:rPr>
              <w:t xml:space="preserve">本次项目采购预算为：</w:t>
            </w:r>
            <w:r>
              <w:rPr>
                <w:rFonts w:hint="eastAsia" w:ascii="宋体" w:hAnsi="宋体" w:eastAsia="宋体"/>
                <w:color w:val="auto"/>
                <w:sz w:val="21"/>
                <w:szCs w:val="21"/>
                <w:highlight w:val="none"/>
              </w:rPr>
              <w:t xml:space="preserve">人民币柒拾柒万贰仟元整（￥：772000.00）</w:t>
            </w:r>
            <w:r/>
          </w:p>
          <w:p>
            <w:pPr>
              <w:pStyle w:val="997"/>
              <w:ind w:left="0" w:firstLine="0"/>
              <w:rPr>
                <w:color w:val="auto"/>
                <w:highlight w:val="none"/>
              </w:rPr>
            </w:pPr>
            <w:r>
              <w:rPr>
                <w:rFonts w:hint="eastAsia" w:eastAsia="宋体" w:cs="宋体"/>
                <w:b/>
                <w:bCs/>
                <w:color w:val="auto"/>
                <w:sz w:val="21"/>
                <w:szCs w:val="21"/>
                <w:highlight w:val="none"/>
              </w:rPr>
              <w:t xml:space="preserve">投标保证金数额：根据《江苏省财政厅文件苏财购【2020】52号》相关规定，本项目无须支付保证金</w:t>
            </w:r>
            <w:r/>
          </w:p>
        </w:tc>
      </w:tr>
      <w:tr>
        <w:trPr/>
        <w:tc>
          <w:tcPr>
            <w:tcW w:w="753" w:type="dxa"/>
            <w:vAlign w:val="center"/>
            <w:textDirection w:val="lrTb"/>
            <w:noWrap w:val="false"/>
          </w:tcPr>
          <w:p>
            <w:pPr>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w:t>
            </w:r>
            <w:r/>
          </w:p>
        </w:tc>
        <w:tc>
          <w:tcPr>
            <w:tcW w:w="8438" w:type="dxa"/>
            <w:vAlign w:val="bottom"/>
            <w:textDirection w:val="lrTb"/>
            <w:noWrap w:val="false"/>
          </w:tcPr>
          <w:p>
            <w:pPr>
              <w:jc w:val="left"/>
              <w:spacing w:line="360" w:lineRule="auto"/>
              <w:rPr>
                <w:b/>
                <w:color w:val="auto"/>
                <w:highlight w:val="none"/>
              </w:rPr>
            </w:pPr>
            <w:r>
              <w:rPr>
                <w:rFonts w:ascii="宋体" w:hAnsi="宋体" w:eastAsia="宋体"/>
                <w:color w:val="auto"/>
                <w:sz w:val="21"/>
                <w:szCs w:val="21"/>
                <w:highlight w:val="none"/>
              </w:rPr>
              <w:t xml:space="preserve">投标单位对招标文件如有疑问，请根据中华人民共和国财政部令第94号进行递交；供应商在法定质疑期内一次性提出针对同一采购程序环节的质疑。</w:t>
            </w:r>
            <w:r>
              <w:rPr>
                <w:rFonts w:ascii="宋体" w:hAnsi="宋体" w:eastAsia="宋体" w:cs="宋体"/>
                <w:color w:val="auto"/>
                <w:sz w:val="21"/>
                <w:szCs w:val="21"/>
                <w:highlight w:val="none"/>
              </w:rPr>
              <w:t xml:space="preserve">质疑函</w:t>
            </w:r>
            <w:r>
              <w:rPr>
                <w:rFonts w:hint="eastAsia" w:ascii="宋体" w:hAnsi="宋体" w:eastAsia="宋体" w:cs="宋体"/>
                <w:color w:val="auto"/>
                <w:sz w:val="21"/>
                <w:szCs w:val="21"/>
                <w:highlight w:val="none"/>
              </w:rPr>
              <w:t xml:space="preserve">（必须附网上报名的《投标供应商确认函》）</w:t>
            </w:r>
            <w:r>
              <w:rPr>
                <w:rFonts w:ascii="宋体" w:hAnsi="宋体" w:eastAsia="宋体" w:cs="宋体"/>
                <w:color w:val="auto"/>
                <w:sz w:val="21"/>
                <w:szCs w:val="21"/>
                <w:highlight w:val="none"/>
              </w:rPr>
              <w:t xml:space="preserve">现场提交或邮寄至本公司</w:t>
            </w:r>
            <w:r>
              <w:rPr>
                <w:rFonts w:hint="eastAsia" w:ascii="宋体" w:hAnsi="宋体" w:eastAsia="宋体" w:cs="宋体"/>
                <w:color w:val="auto"/>
                <w:sz w:val="21"/>
                <w:szCs w:val="21"/>
                <w:highlight w:val="none"/>
              </w:rPr>
              <w:t xml:space="preserve">。</w:t>
            </w:r>
            <w:r/>
          </w:p>
        </w:tc>
      </w:tr>
      <w:tr>
        <w:trPr/>
        <w:tc>
          <w:tcPr>
            <w:tcW w:w="753" w:type="dxa"/>
            <w:vAlign w:val="center"/>
            <w:textDirection w:val="lrTb"/>
            <w:noWrap w:val="false"/>
          </w:tcPr>
          <w:p>
            <w:pPr>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w:t>
            </w:r>
            <w:r/>
          </w:p>
        </w:tc>
        <w:tc>
          <w:tcPr>
            <w:tcW w:w="8438" w:type="dxa"/>
            <w:vAlign w:val="center"/>
            <w:textDirection w:val="lrTb"/>
            <w:noWrap w:val="false"/>
          </w:tcPr>
          <w:p>
            <w:pPr>
              <w:spacing w:line="360" w:lineRule="auto"/>
              <w:rPr>
                <w:rFonts w:ascii="宋体" w:hAnsi="宋体" w:eastAsia="宋体"/>
                <w:color w:val="auto"/>
                <w:sz w:val="21"/>
                <w:szCs w:val="21"/>
                <w:highlight w:val="none"/>
              </w:rPr>
            </w:pPr>
            <w:r>
              <w:rPr>
                <w:rFonts w:hint="eastAsia" w:ascii="宋体" w:hAnsi="宋体" w:eastAsia="宋体"/>
                <w:b/>
                <w:bCs/>
                <w:color w:val="auto"/>
                <w:sz w:val="21"/>
                <w:szCs w:val="21"/>
                <w:highlight w:val="none"/>
              </w:rPr>
              <w:t xml:space="preserve">本次公开招标采购开标过程采用电子化招投标模式，投标人须网上提交投标文件，无需递交纸质响应文件，并可通过远程开标方式完成开标。</w:t>
            </w:r>
            <w:r/>
          </w:p>
        </w:tc>
      </w:tr>
      <w:tr>
        <w:trPr>
          <w:trHeight w:val="538"/>
        </w:trPr>
        <w:tc>
          <w:tcPr>
            <w:tcW w:w="753" w:type="dxa"/>
            <w:vAlign w:val="center"/>
            <w:textDirection w:val="lrTb"/>
            <w:noWrap w:val="false"/>
          </w:tcPr>
          <w:p>
            <w:pPr>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w:t>
            </w:r>
            <w:r/>
          </w:p>
        </w:tc>
        <w:tc>
          <w:tcPr>
            <w:tcW w:w="8438" w:type="dxa"/>
            <w:vAlign w:val="center"/>
            <w:textDirection w:val="lrTb"/>
            <w:noWrap w:val="false"/>
          </w:tcPr>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网上响应文件接收截止时间：2024年08月13日09：</w:t>
            </w:r>
            <w:r>
              <w:rPr>
                <w:rFonts w:ascii="宋体" w:hAnsi="宋体" w:eastAsia="宋体"/>
                <w:color w:val="auto"/>
                <w:sz w:val="21"/>
                <w:szCs w:val="21"/>
                <w:highlight w:val="none"/>
              </w:rPr>
              <w:t xml:space="preserve">30</w:t>
            </w:r>
            <w:r>
              <w:rPr>
                <w:rFonts w:hint="eastAsia" w:ascii="宋体" w:hAnsi="宋体" w:eastAsia="宋体"/>
                <w:color w:val="auto"/>
                <w:sz w:val="21"/>
                <w:szCs w:val="21"/>
                <w:highlight w:val="none"/>
              </w:rPr>
              <w:t xml:space="preserve">（北京时间）</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远程签到起止时间：2024年08月13日09：00至09：30（北京时间）</w:t>
            </w:r>
            <w:r/>
          </w:p>
        </w:tc>
      </w:tr>
      <w:tr>
        <w:trPr>
          <w:trHeight w:val="90"/>
        </w:trPr>
        <w:tc>
          <w:tcPr>
            <w:tcW w:w="753" w:type="dxa"/>
            <w:vAlign w:val="center"/>
            <w:textDirection w:val="lrTb"/>
            <w:noWrap w:val="false"/>
          </w:tcPr>
          <w:p>
            <w:pPr>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8</w:t>
            </w:r>
            <w:r/>
          </w:p>
        </w:tc>
        <w:tc>
          <w:tcPr>
            <w:tcW w:w="8438" w:type="dxa"/>
            <w:vAlign w:val="center"/>
            <w:textDirection w:val="lrTb"/>
            <w:noWrap w:val="false"/>
          </w:tcPr>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远程开标时间：2024年08月13日09：30（北京时间）</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远程CA预解密时间：2024年08月13日09：30至09：50（北京时间）</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开标地点：“苏采云”系统（网址：http://jszfcg.jsczt.cn/）</w:t>
            </w:r>
            <w:r/>
          </w:p>
        </w:tc>
      </w:tr>
      <w:tr>
        <w:trPr>
          <w:trHeight w:val="388"/>
        </w:trPr>
        <w:tc>
          <w:tcPr>
            <w:tcW w:w="753"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W w:w="8438" w:type="dxa"/>
            <w:textDirection w:val="lrTb"/>
            <w:noWrap w:val="false"/>
          </w:tcPr>
          <w:p>
            <w:pPr>
              <w:pStyle w:val="811"/>
              <w:ind w:left="0"/>
              <w:jc w:val="left"/>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成交服务费：</w:t>
            </w:r>
            <w:r>
              <w:rPr>
                <w:rFonts w:hint="eastAsia" w:ascii="宋体" w:hAnsi="宋体" w:eastAsia="宋体" w:cs="宋体"/>
                <w:color w:val="auto"/>
                <w:sz w:val="21"/>
                <w:szCs w:val="21"/>
                <w:highlight w:val="none"/>
              </w:rPr>
              <w:t xml:space="preserve">取成交通知书时供应商向招标代理机构一次性付清。由成交供应商支付，</w:t>
            </w:r>
            <w:r>
              <w:rPr>
                <w:rFonts w:hint="eastAsia" w:ascii="宋体" w:hAnsi="宋体" w:eastAsia="宋体" w:cs="宋体"/>
                <w:color w:val="auto"/>
                <w:sz w:val="21"/>
                <w:szCs w:val="21"/>
                <w:highlight w:val="none"/>
                <w:lang w:val="zh-CN"/>
              </w:rPr>
              <w:t xml:space="preserve">按照采购预算</w:t>
            </w:r>
            <w:r>
              <w:rPr>
                <w:rFonts w:ascii="宋体" w:hAnsi="宋体" w:eastAsia="宋体" w:cs="宋体"/>
                <w:color w:val="auto"/>
                <w:sz w:val="21"/>
                <w:szCs w:val="21"/>
                <w:highlight w:val="none"/>
              </w:rPr>
              <w:t xml:space="preserve">100万元以内1.</w:t>
            </w:r>
            <w:r>
              <w:rPr>
                <w:rFonts w:hint="eastAsia" w:ascii="宋体" w:hAnsi="宋体" w:eastAsia="宋体" w:cs="宋体"/>
                <w:color w:val="auto"/>
                <w:sz w:val="21"/>
                <w:szCs w:val="21"/>
                <w:highlight w:val="none"/>
              </w:rPr>
              <w:t xml:space="preserve">5</w:t>
            </w:r>
            <w:r>
              <w:rPr>
                <w:rFonts w:ascii="宋体" w:hAnsi="宋体" w:eastAsia="宋体" w:cs="宋体"/>
                <w:color w:val="auto"/>
                <w:sz w:val="21"/>
                <w:szCs w:val="21"/>
                <w:highlight w:val="none"/>
              </w:rPr>
              <w:t xml:space="preserve">%、100～500万元以</w:t>
            </w:r>
            <w:r>
              <w:rPr>
                <w:rFonts w:hint="eastAsia" w:ascii="宋体" w:hAnsi="宋体" w:eastAsia="宋体" w:cs="宋体"/>
                <w:color w:val="auto"/>
                <w:sz w:val="21"/>
                <w:szCs w:val="21"/>
                <w:highlight w:val="none"/>
              </w:rPr>
              <w:t xml:space="preserve">1.1</w:t>
            </w:r>
            <w:r>
              <w:rPr>
                <w:rFonts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、500~1000万元以0.8%，</w:t>
            </w:r>
            <w:r>
              <w:rPr>
                <w:rFonts w:ascii="宋体" w:hAnsi="宋体" w:eastAsia="宋体" w:cs="宋体"/>
                <w:color w:val="auto"/>
                <w:sz w:val="21"/>
                <w:szCs w:val="21"/>
                <w:highlight w:val="none"/>
              </w:rPr>
              <w:t xml:space="preserve">差额定率累进法计算并支付</w:t>
            </w:r>
            <w:r>
              <w:rPr>
                <w:rFonts w:hint="eastAsia" w:ascii="宋体" w:hAnsi="宋体" w:eastAsia="宋体" w:cs="宋体"/>
                <w:color w:val="auto"/>
                <w:sz w:val="21"/>
                <w:szCs w:val="21"/>
                <w:highlight w:val="none"/>
              </w:rPr>
              <w:t xml:space="preserve">成交</w:t>
            </w:r>
            <w:r>
              <w:rPr>
                <w:rFonts w:ascii="宋体" w:hAnsi="宋体" w:eastAsia="宋体" w:cs="宋体"/>
                <w:color w:val="auto"/>
                <w:sz w:val="21"/>
                <w:szCs w:val="21"/>
                <w:highlight w:val="none"/>
              </w:rPr>
              <w:t xml:space="preserve">服务费。</w:t>
            </w:r>
            <w:r>
              <w:rPr>
                <w:rFonts w:hint="eastAsia" w:ascii="宋体" w:hAnsi="宋体" w:eastAsia="宋体" w:cs="宋体"/>
                <w:color w:val="auto"/>
                <w:sz w:val="21"/>
                <w:szCs w:val="21"/>
                <w:highlight w:val="none"/>
              </w:rPr>
              <w:t xml:space="preserve">本项目代理服务费按人民币11580.00计收。</w:t>
            </w:r>
            <w:r/>
          </w:p>
          <w:p>
            <w:pPr>
              <w:pStyle w:val="811"/>
              <w:ind w:left="0"/>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账户名：苏州铭坤招投标咨询服务有限公司</w:t>
            </w:r>
            <w:r/>
          </w:p>
          <w:p>
            <w:pPr>
              <w:pStyle w:val="811"/>
              <w:ind w:left="0"/>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帐号：504070117536</w:t>
            </w:r>
            <w:r/>
          </w:p>
          <w:p>
            <w:pPr>
              <w:pStyle w:val="811"/>
              <w:ind w:left="0"/>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开户银行：中国银行苏州沧浪支行</w:t>
            </w:r>
            <w:r/>
          </w:p>
        </w:tc>
      </w:tr>
      <w:tr>
        <w:trPr>
          <w:trHeight w:val="384"/>
        </w:trPr>
        <w:tc>
          <w:tcPr>
            <w:tcW w:w="753" w:type="dxa"/>
            <w:vAlign w:val="center"/>
            <w:textDirection w:val="lrTb"/>
            <w:noWrap w:val="false"/>
          </w:tcPr>
          <w:p>
            <w:pPr>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10</w:t>
            </w:r>
            <w:r/>
          </w:p>
        </w:tc>
        <w:tc>
          <w:tcPr>
            <w:tcW w:w="8438" w:type="dxa"/>
            <w:vAlign w:val="center"/>
            <w:textDirection w:val="lrTb"/>
            <w:noWrap w:val="false"/>
          </w:tcPr>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评分标准：详见第六章</w:t>
            </w:r>
            <w:r/>
          </w:p>
        </w:tc>
      </w:tr>
    </w:tbl>
    <w:p>
      <w:pPr>
        <w:jc w:val="center"/>
        <w:spacing w:line="360" w:lineRule="auto"/>
        <w:rPr>
          <w:rFonts w:ascii="宋体" w:hAnsi="宋体" w:eastAsia="宋体"/>
          <w:b/>
          <w:color w:val="auto"/>
          <w:sz w:val="21"/>
          <w:szCs w:val="21"/>
          <w:highlight w:val="none"/>
        </w:rPr>
      </w:pPr>
      <w:r>
        <w:rPr>
          <w:rFonts w:ascii="宋体" w:hAnsi="宋体" w:eastAsia="宋体"/>
          <w:b/>
          <w:color w:val="auto"/>
          <w:sz w:val="21"/>
          <w:szCs w:val="21"/>
          <w:highlight w:val="none"/>
        </w:rPr>
      </w:r>
      <w:r/>
    </w:p>
    <w:p>
      <w:pPr>
        <w:jc w:val="center"/>
        <w:spacing w:line="360" w:lineRule="auto"/>
        <w:rPr>
          <w:rFonts w:ascii="宋体" w:hAnsi="宋体" w:eastAsia="宋体"/>
          <w:b/>
          <w:color w:val="auto"/>
          <w:sz w:val="21"/>
          <w:szCs w:val="21"/>
          <w:highlight w:val="none"/>
        </w:rPr>
      </w:pPr>
      <w:r>
        <w:rPr>
          <w:rFonts w:ascii="宋体" w:hAnsi="宋体" w:eastAsia="宋体"/>
          <w:b/>
          <w:color w:val="auto"/>
          <w:sz w:val="21"/>
          <w:szCs w:val="21"/>
          <w:highlight w:val="none"/>
        </w:rPr>
      </w:r>
      <w:r/>
    </w:p>
    <w:p>
      <w:pPr>
        <w:jc w:val="center"/>
        <w:spacing w:line="360" w:lineRule="auto"/>
        <w:rPr>
          <w:rFonts w:ascii="宋体" w:hAnsi="宋体" w:eastAsia="宋体"/>
          <w:b/>
          <w:color w:val="auto"/>
          <w:sz w:val="21"/>
          <w:szCs w:val="21"/>
          <w:highlight w:val="none"/>
        </w:rPr>
      </w:pPr>
      <w:r>
        <w:rPr>
          <w:rFonts w:ascii="宋体" w:hAnsi="宋体" w:eastAsia="宋体"/>
          <w:b/>
          <w:color w:val="auto"/>
          <w:sz w:val="21"/>
          <w:szCs w:val="21"/>
          <w:highlight w:val="none"/>
        </w:rPr>
      </w:r>
      <w:r/>
    </w:p>
    <w:p>
      <w:pPr>
        <w:pStyle w:val="801"/>
        <w:ind w:firstLine="1040"/>
        <w:spacing w:line="360" w:lineRule="auto"/>
        <w:rPr>
          <w:color w:val="auto"/>
          <w:sz w:val="52"/>
          <w:szCs w:val="52"/>
          <w:highlight w:val="none"/>
          <w:lang w:val="en-US"/>
        </w:rPr>
      </w:pPr>
      <w:r>
        <w:rPr>
          <w:color w:val="auto"/>
          <w:sz w:val="52"/>
          <w:szCs w:val="52"/>
          <w:highlight w:val="none"/>
          <w:lang w:val="en-US"/>
        </w:rPr>
      </w:r>
      <w:r/>
    </w:p>
    <w:p>
      <w:pPr>
        <w:jc w:val="center"/>
        <w:spacing w:line="360" w:lineRule="auto"/>
        <w:rPr>
          <w:rFonts w:ascii="宋体" w:hAnsi="宋体" w:eastAsia="宋体"/>
          <w:b/>
          <w:color w:val="auto"/>
          <w:sz w:val="52"/>
          <w:szCs w:val="52"/>
          <w:highlight w:val="none"/>
        </w:rPr>
      </w:pPr>
      <w:r>
        <w:rPr>
          <w:rFonts w:hint="eastAsia" w:ascii="宋体" w:hAnsi="宋体" w:eastAsia="宋体"/>
          <w:b/>
          <w:color w:val="auto"/>
          <w:sz w:val="52"/>
          <w:szCs w:val="52"/>
          <w:highlight w:val="none"/>
        </w:rPr>
        <w:t xml:space="preserve">总目录</w:t>
      </w:r>
      <w:r/>
    </w:p>
    <w:p>
      <w:pPr>
        <w:jc w:val="center"/>
        <w:spacing w:line="360" w:lineRule="auto"/>
        <w:rPr>
          <w:rFonts w:ascii="宋体" w:hAnsi="宋体" w:eastAsia="宋体"/>
          <w:color w:val="auto"/>
          <w:sz w:val="36"/>
          <w:szCs w:val="36"/>
          <w:highlight w:val="none"/>
        </w:rPr>
      </w:pPr>
      <w:r>
        <w:rPr>
          <w:rFonts w:ascii="宋体" w:hAnsi="宋体" w:eastAsia="宋体"/>
          <w:color w:val="auto"/>
          <w:sz w:val="36"/>
          <w:szCs w:val="36"/>
          <w:highlight w:val="none"/>
        </w:rPr>
      </w:r>
      <w:r/>
    </w:p>
    <w:p>
      <w:pPr>
        <w:jc w:val="center"/>
        <w:spacing w:line="360" w:lineRule="auto"/>
        <w:rPr>
          <w:rFonts w:ascii="宋体" w:hAnsi="宋体" w:eastAsia="宋体"/>
          <w:color w:val="auto"/>
          <w:sz w:val="36"/>
          <w:szCs w:val="36"/>
          <w:highlight w:val="none"/>
        </w:rPr>
      </w:pPr>
      <w:r>
        <w:rPr>
          <w:rFonts w:ascii="宋体" w:hAnsi="宋体" w:eastAsia="宋体"/>
          <w:color w:val="auto"/>
          <w:sz w:val="36"/>
          <w:szCs w:val="36"/>
          <w:highlight w:val="none"/>
        </w:rPr>
      </w:r>
      <w:r/>
    </w:p>
    <w:p>
      <w:pPr>
        <w:pStyle w:val="825"/>
        <w:spacing w:line="360" w:lineRule="auto"/>
        <w:tabs>
          <w:tab w:val="right" w:pos="9026" w:leader="dot"/>
        </w:tabs>
        <w:rPr>
          <w:rFonts w:eastAsia="宋体"/>
          <w:color w:val="auto"/>
          <w:sz w:val="36"/>
          <w:szCs w:val="36"/>
          <w:highlight w:val="none"/>
        </w:rPr>
      </w:pPr>
      <w:r>
        <w:rPr>
          <w:rFonts w:ascii="宋体" w:hAnsi="宋体" w:eastAsia="宋体"/>
          <w:b/>
          <w:bCs/>
          <w:color w:val="auto"/>
          <w:sz w:val="36"/>
          <w:szCs w:val="36"/>
          <w:highlight w:val="none"/>
        </w:rPr>
        <w:fldChar w:fldCharType="begin"/>
      </w:r>
      <w:r>
        <w:rPr>
          <w:rFonts w:ascii="宋体" w:hAnsi="宋体" w:eastAsia="宋体"/>
          <w:b/>
          <w:bCs/>
          <w:color w:val="auto"/>
          <w:sz w:val="36"/>
          <w:szCs w:val="36"/>
          <w:highlight w:val="none"/>
        </w:rPr>
        <w:instrText xml:space="preserve"> TOC \o "1-1" </w:instrText>
      </w:r>
      <w:r>
        <w:rPr>
          <w:rFonts w:ascii="宋体" w:hAnsi="宋体" w:eastAsia="宋体"/>
          <w:b/>
          <w:bCs/>
          <w:color w:val="auto"/>
          <w:sz w:val="36"/>
          <w:szCs w:val="36"/>
          <w:highlight w:val="none"/>
        </w:rPr>
        <w:fldChar w:fldCharType="separate"/>
      </w:r>
      <w:r>
        <w:rPr>
          <w:rFonts w:hint="eastAsia" w:ascii="宋体" w:hAnsi="宋体" w:eastAsia="宋体"/>
          <w:color w:val="auto"/>
          <w:sz w:val="36"/>
          <w:szCs w:val="36"/>
          <w:highlight w:val="none"/>
        </w:rPr>
        <w:t xml:space="preserve">第一章投标邀请函</w:t>
      </w:r>
      <w:r/>
    </w:p>
    <w:p>
      <w:pPr>
        <w:pStyle w:val="825"/>
        <w:spacing w:line="360" w:lineRule="auto"/>
        <w:tabs>
          <w:tab w:val="right" w:pos="9026" w:leader="dot"/>
        </w:tabs>
        <w:rPr>
          <w:rFonts w:ascii="宋体" w:hAnsi="宋体" w:eastAsia="宋体"/>
          <w:color w:val="auto"/>
          <w:sz w:val="36"/>
          <w:szCs w:val="36"/>
          <w:highlight w:val="none"/>
        </w:rPr>
      </w:pPr>
      <w:r>
        <w:rPr>
          <w:rFonts w:hint="eastAsia" w:ascii="宋体" w:hAnsi="宋体" w:eastAsia="宋体"/>
          <w:color w:val="auto"/>
          <w:sz w:val="36"/>
          <w:szCs w:val="36"/>
          <w:highlight w:val="none"/>
        </w:rPr>
        <w:t xml:space="preserve">第二章投标人须知</w:t>
      </w:r>
      <w:r/>
    </w:p>
    <w:p>
      <w:pPr>
        <w:pStyle w:val="825"/>
        <w:spacing w:line="360" w:lineRule="auto"/>
        <w:tabs>
          <w:tab w:val="right" w:pos="9026" w:leader="dot"/>
        </w:tabs>
        <w:rPr>
          <w:rFonts w:eastAsia="宋体"/>
          <w:color w:val="auto"/>
          <w:sz w:val="36"/>
          <w:szCs w:val="36"/>
          <w:highlight w:val="none"/>
        </w:rPr>
      </w:pPr>
      <w:r>
        <w:rPr>
          <w:rFonts w:hint="eastAsia" w:ascii="宋体" w:hAnsi="宋体" w:eastAsia="宋体"/>
          <w:color w:val="auto"/>
          <w:sz w:val="36"/>
          <w:szCs w:val="36"/>
          <w:highlight w:val="none"/>
        </w:rPr>
        <w:t xml:space="preserve">第三章投标文件格式</w:t>
      </w:r>
      <w:r/>
    </w:p>
    <w:p>
      <w:pPr>
        <w:pStyle w:val="825"/>
        <w:spacing w:line="360" w:lineRule="auto"/>
        <w:tabs>
          <w:tab w:val="right" w:pos="9026" w:leader="dot"/>
        </w:tabs>
        <w:rPr>
          <w:rFonts w:eastAsia="宋体"/>
          <w:color w:val="auto"/>
          <w:sz w:val="36"/>
          <w:szCs w:val="36"/>
          <w:highlight w:val="none"/>
        </w:rPr>
      </w:pPr>
      <w:r>
        <w:rPr>
          <w:rFonts w:hint="eastAsia" w:ascii="宋体" w:hAnsi="宋体" w:eastAsia="宋体"/>
          <w:color w:val="auto"/>
          <w:sz w:val="36"/>
          <w:szCs w:val="36"/>
          <w:highlight w:val="none"/>
        </w:rPr>
        <w:t xml:space="preserve">第四章招标书</w:t>
      </w:r>
      <w:r/>
    </w:p>
    <w:p>
      <w:pPr>
        <w:pStyle w:val="825"/>
        <w:spacing w:line="360" w:lineRule="auto"/>
        <w:tabs>
          <w:tab w:val="right" w:pos="9026" w:leader="dot"/>
        </w:tabs>
        <w:rPr>
          <w:rFonts w:eastAsia="宋体"/>
          <w:color w:val="auto"/>
          <w:sz w:val="36"/>
          <w:szCs w:val="36"/>
          <w:highlight w:val="none"/>
        </w:rPr>
      </w:pPr>
      <w:r>
        <w:rPr>
          <w:rFonts w:hint="eastAsia" w:ascii="宋体" w:hAnsi="宋体" w:eastAsia="宋体"/>
          <w:color w:val="auto"/>
          <w:sz w:val="36"/>
          <w:szCs w:val="36"/>
          <w:highlight w:val="none"/>
        </w:rPr>
        <w:t xml:space="preserve">第五章合同主要条款</w:t>
      </w:r>
      <w:r/>
    </w:p>
    <w:p>
      <w:pPr>
        <w:pStyle w:val="825"/>
        <w:spacing w:line="360" w:lineRule="auto"/>
        <w:tabs>
          <w:tab w:val="right" w:pos="9026" w:leader="dot"/>
        </w:tabs>
        <w:rPr>
          <w:rFonts w:eastAsia="宋体"/>
          <w:color w:val="auto"/>
          <w:sz w:val="36"/>
          <w:szCs w:val="36"/>
          <w:highlight w:val="none"/>
        </w:rPr>
      </w:pPr>
      <w:r>
        <w:rPr>
          <w:rFonts w:hint="eastAsia" w:ascii="宋体" w:hAnsi="宋体" w:eastAsia="宋体"/>
          <w:color w:val="auto"/>
          <w:sz w:val="36"/>
          <w:szCs w:val="36"/>
          <w:highlight w:val="none"/>
        </w:rPr>
        <w:t xml:space="preserve">第六章评分标准</w:t>
      </w:r>
      <w:r/>
    </w:p>
    <w:p>
      <w:pPr>
        <w:jc w:val="center"/>
        <w:spacing w:line="360" w:lineRule="auto"/>
        <w:rPr>
          <w:rFonts w:ascii="宋体" w:hAnsi="宋体" w:eastAsia="宋体"/>
          <w:color w:val="auto"/>
          <w:sz w:val="21"/>
          <w:szCs w:val="21"/>
          <w:highlight w:val="none"/>
        </w:rPr>
      </w:pPr>
      <w:r>
        <w:rPr>
          <w:rFonts w:ascii="宋体" w:hAnsi="宋体" w:eastAsia="宋体"/>
          <w:b/>
          <w:bCs/>
          <w:color w:val="auto"/>
          <w:sz w:val="36"/>
          <w:szCs w:val="36"/>
          <w:highlight w:val="none"/>
        </w:rPr>
        <w:fldChar w:fldCharType="end"/>
      </w:r>
      <w:r/>
    </w:p>
    <w:p>
      <w:pPr>
        <w:spacing w:line="360" w:lineRule="auto"/>
        <w:rPr>
          <w:rFonts w:ascii="宋体" w:hAnsi="宋体" w:eastAsia="宋体"/>
          <w:b/>
          <w:color w:val="auto"/>
          <w:sz w:val="21"/>
          <w:szCs w:val="21"/>
          <w:highlight w:val="none"/>
        </w:rPr>
      </w:pPr>
      <w:r>
        <w:rPr>
          <w:rFonts w:ascii="宋体" w:hAnsi="宋体" w:eastAsia="宋体"/>
          <w:b/>
          <w:color w:val="auto"/>
          <w:sz w:val="21"/>
          <w:szCs w:val="21"/>
          <w:highlight w:val="none"/>
        </w:rPr>
      </w:r>
      <w:r/>
    </w:p>
    <w:p>
      <w:pPr>
        <w:pStyle w:val="994"/>
        <w:ind w:firstLine="480"/>
        <w:rPr>
          <w:color w:val="auto"/>
          <w:highlight w:val="none"/>
        </w:rPr>
      </w:pPr>
      <w:r>
        <w:rPr>
          <w:color w:val="auto"/>
          <w:highlight w:val="none"/>
        </w:rPr>
      </w:r>
      <w:r/>
    </w:p>
    <w:p>
      <w:pPr>
        <w:spacing w:line="360" w:lineRule="auto"/>
        <w:rPr>
          <w:color w:val="auto"/>
          <w:highlight w:val="none"/>
        </w:rPr>
      </w:pPr>
      <w:r>
        <w:rPr>
          <w:color w:val="auto"/>
          <w:highlight w:val="none"/>
        </w:rPr>
      </w:r>
      <w:r/>
    </w:p>
    <w:p>
      <w:pPr>
        <w:pStyle w:val="994"/>
        <w:ind w:firstLine="480"/>
        <w:rPr>
          <w:color w:val="auto"/>
          <w:highlight w:val="none"/>
        </w:rPr>
      </w:pPr>
      <w:r>
        <w:rPr>
          <w:color w:val="auto"/>
          <w:highlight w:val="none"/>
        </w:rPr>
      </w:r>
      <w:r/>
    </w:p>
    <w:p>
      <w:pPr>
        <w:spacing w:line="360" w:lineRule="auto"/>
        <w:rPr>
          <w:color w:val="auto"/>
          <w:highlight w:val="none"/>
        </w:rPr>
      </w:pPr>
      <w:r>
        <w:rPr>
          <w:color w:val="auto"/>
          <w:highlight w:val="none"/>
        </w:rPr>
      </w:r>
      <w:r/>
    </w:p>
    <w:p>
      <w:pPr>
        <w:pStyle w:val="790"/>
        <w:jc w:val="center"/>
        <w:spacing w:line="360" w:lineRule="auto"/>
        <w:rPr>
          <w:rFonts w:ascii="宋体" w:hAnsi="宋体" w:eastAsia="宋体"/>
          <w:color w:val="auto"/>
          <w:szCs w:val="44"/>
          <w:highlight w:val="none"/>
        </w:rPr>
      </w:pPr>
      <w:r/>
      <w:bookmarkStart w:id="0" w:name="_Toc325017294"/>
      <w:r>
        <w:rPr>
          <w:rFonts w:hint="eastAsia" w:ascii="宋体" w:hAnsi="宋体" w:eastAsia="宋体"/>
          <w:color w:val="auto"/>
          <w:szCs w:val="44"/>
          <w:highlight w:val="none"/>
        </w:rPr>
        <w:t xml:space="preserve">第一章投标邀请函</w:t>
      </w:r>
      <w:bookmarkEnd w:id="0"/>
      <w:r/>
      <w:r/>
    </w:p>
    <w:p>
      <w:pPr>
        <w:jc w:val="left"/>
        <w:spacing w:line="360" w:lineRule="auto"/>
        <w:shd w:val="clear" w:color="auto" w:fill="ffffff"/>
        <w:widowControl/>
        <w:rPr>
          <w:rFonts w:ascii="宋体" w:hAnsi="宋体" w:eastAsia="宋体" w:cs="宋体"/>
          <w:color w:val="auto"/>
          <w:sz w:val="21"/>
          <w:szCs w:val="21"/>
          <w:highlight w:val="none"/>
        </w:rPr>
        <w:pBdr>
          <w:top w:val="single" w:color="auto" w:sz="8" w:space="1"/>
          <w:left w:val="single" w:color="auto" w:sz="8" w:space="4"/>
          <w:bottom w:val="single" w:color="auto" w:sz="8" w:space="1"/>
          <w:right w:val="single" w:color="auto" w:sz="8" w:space="4"/>
        </w:pBdr>
      </w:pPr>
      <w:r>
        <w:rPr>
          <w:rFonts w:hint="eastAsia" w:ascii="宋体" w:hAnsi="宋体" w:eastAsia="宋体" w:cs="宋体"/>
          <w:color w:val="auto"/>
          <w:sz w:val="21"/>
          <w:szCs w:val="21"/>
          <w:highlight w:val="none"/>
          <w:shd w:val="clear" w:color="auto" w:fill="ffffff"/>
        </w:rPr>
        <w:t xml:space="preserve">项目概况</w:t>
      </w:r>
      <w:r/>
    </w:p>
    <w:p>
      <w:pPr>
        <w:jc w:val="left"/>
        <w:spacing w:line="360" w:lineRule="auto"/>
        <w:shd w:val="clear" w:color="auto" w:fill="ffffff"/>
        <w:widowControl/>
        <w:rPr>
          <w:rFonts w:ascii="宋体" w:hAnsi="宋体" w:eastAsia="宋体" w:cs="宋体"/>
          <w:color w:val="auto"/>
          <w:sz w:val="21"/>
          <w:szCs w:val="21"/>
          <w:highlight w:val="none"/>
        </w:rPr>
        <w:pBdr>
          <w:top w:val="single" w:color="auto" w:sz="8" w:space="1"/>
          <w:left w:val="single" w:color="auto" w:sz="8" w:space="4"/>
          <w:bottom w:val="single" w:color="auto" w:sz="8" w:space="1"/>
          <w:right w:val="single" w:color="auto" w:sz="8" w:space="4"/>
        </w:pBdr>
      </w:pPr>
      <w:r>
        <w:rPr>
          <w:rFonts w:hint="eastAsia" w:ascii="宋体" w:hAnsi="宋体" w:eastAsia="宋体" w:cs="宋体"/>
          <w:bCs/>
          <w:color w:val="auto"/>
          <w:sz w:val="21"/>
          <w:szCs w:val="21"/>
          <w:highlight w:val="none"/>
          <w:u w:val="single"/>
        </w:rPr>
        <w:t xml:space="preserve">智慧安防达标升级项目</w:t>
      </w:r>
      <w:r>
        <w:rPr>
          <w:rFonts w:hint="eastAsia" w:ascii="宋体" w:hAnsi="宋体" w:eastAsia="宋体" w:cs="宋体"/>
          <w:color w:val="auto"/>
          <w:sz w:val="21"/>
          <w:szCs w:val="21"/>
          <w:highlight w:val="none"/>
          <w:shd w:val="clear" w:color="auto" w:fill="ffffff"/>
        </w:rPr>
        <w:t xml:space="preserve">项目的潜在投标人应在</w:t>
      </w:r>
      <w:r>
        <w:rPr>
          <w:rFonts w:hint="eastAsia" w:ascii="宋体" w:hAnsi="宋体" w:eastAsia="宋体" w:cs="宋体"/>
          <w:color w:val="auto"/>
          <w:sz w:val="21"/>
          <w:szCs w:val="21"/>
          <w:highlight w:val="none"/>
          <w:u w:val="single"/>
          <w:shd w:val="clear" w:color="auto" w:fill="ffffff"/>
        </w:rPr>
        <w:t xml:space="preserve">“苏采云”系统</w:t>
      </w:r>
      <w:r>
        <w:rPr>
          <w:rFonts w:hint="eastAsia" w:ascii="宋体" w:hAnsi="宋体" w:eastAsia="宋体" w:cs="宋体"/>
          <w:color w:val="auto"/>
          <w:sz w:val="21"/>
          <w:szCs w:val="21"/>
          <w:highlight w:val="none"/>
          <w:shd w:val="clear" w:color="auto" w:fill="ffffff"/>
        </w:rPr>
        <w:t xml:space="preserve">中获取招标文件，并于</w:t>
      </w:r>
      <w:r>
        <w:rPr>
          <w:rFonts w:hint="eastAsia" w:ascii="宋体" w:hAnsi="宋体" w:eastAsia="宋体" w:cs="宋体"/>
          <w:color w:val="auto"/>
          <w:sz w:val="21"/>
          <w:szCs w:val="21"/>
          <w:highlight w:val="none"/>
          <w:u w:val="single"/>
          <w:shd w:val="clear" w:color="auto" w:fill="ffffff"/>
        </w:rPr>
        <w:t xml:space="preserve">2024年08月13日09：30</w:t>
      </w:r>
      <w:r>
        <w:rPr>
          <w:rFonts w:hint="eastAsia" w:ascii="宋体" w:hAnsi="宋体" w:eastAsia="宋体" w:cs="宋体"/>
          <w:color w:val="auto"/>
          <w:sz w:val="21"/>
          <w:szCs w:val="21"/>
          <w:highlight w:val="none"/>
          <w:shd w:val="clear" w:color="auto" w:fill="ffffff"/>
        </w:rPr>
        <w:t xml:space="preserve">（北京时间）前递交投标文件。</w:t>
      </w:r>
      <w:r/>
    </w:p>
    <w:p>
      <w:pPr>
        <w:jc w:val="left"/>
        <w:spacing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一、项目基本情况</w:t>
      </w:r>
      <w:r/>
    </w:p>
    <w:p>
      <w:pPr>
        <w:ind w:firstLine="420"/>
        <w:jc w:val="left"/>
        <w:spacing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项目编号：</w:t>
      </w:r>
      <w:r>
        <w:rPr>
          <w:rFonts w:ascii="宋体" w:hAnsi="宋体" w:eastAsia="宋体" w:cs="宋体"/>
          <w:color w:val="auto"/>
          <w:sz w:val="21"/>
          <w:szCs w:val="21"/>
          <w:highlight w:val="none"/>
          <w:shd w:val="clear" w:color="auto" w:fill="ffffff"/>
        </w:rPr>
        <w:t xml:space="preserve">JSZC-320508-SZMK-G2024-0006</w:t>
      </w:r>
      <w:r/>
    </w:p>
    <w:p>
      <w:pPr>
        <w:ind w:firstLine="420"/>
        <w:jc w:val="left"/>
        <w:spacing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项目名称：智慧安防达标升级项目</w:t>
      </w:r>
      <w:r/>
    </w:p>
    <w:p>
      <w:pPr>
        <w:ind w:firstLine="420"/>
        <w:jc w:val="left"/>
        <w:spacing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预算金额：</w:t>
      </w:r>
      <w:r>
        <w:rPr>
          <w:rFonts w:hint="eastAsia" w:ascii="宋体" w:hAnsi="宋体" w:eastAsia="宋体"/>
          <w:color w:val="auto"/>
          <w:sz w:val="21"/>
          <w:szCs w:val="21"/>
          <w:highlight w:val="none"/>
        </w:rPr>
        <w:t xml:space="preserve">人民币柒拾柒万贰仟元整（￥：772000.00）</w:t>
      </w:r>
      <w:r/>
    </w:p>
    <w:p>
      <w:pPr>
        <w:ind w:firstLine="420"/>
        <w:jc w:val="left"/>
        <w:spacing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采购需求：智慧安防达标升级项目（详见第四章招标书）</w:t>
      </w:r>
      <w:r/>
    </w:p>
    <w:p>
      <w:pPr>
        <w:ind w:firstLine="422"/>
        <w:jc w:val="left"/>
        <w:spacing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项目核心产品：</w:t>
      </w:r>
      <w:r>
        <w:rPr>
          <w:rFonts w:hint="eastAsia" w:ascii="宋体" w:hAnsi="宋体" w:eastAsia="宋体" w:cs="宋体"/>
          <w:color w:val="auto"/>
          <w:sz w:val="21"/>
          <w:szCs w:val="21"/>
          <w:highlight w:val="none"/>
        </w:rPr>
        <w:t xml:space="preserve">图像压缩编码器</w:t>
      </w:r>
      <w:r/>
    </w:p>
    <w:tbl>
      <w:tblPr>
        <w:tblStyle w:val="848"/>
        <w:tblW w:w="787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3631"/>
        <w:gridCol w:w="1181"/>
        <w:gridCol w:w="1181"/>
        <w:gridCol w:w="1181"/>
      </w:tblGrid>
      <w:tr>
        <w:trPr>
          <w:trHeight w:val="20"/>
        </w:trPr>
        <w:tc>
          <w:tcPr>
            <w:tcW w:w="699"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序号</w:t>
            </w:r>
            <w:r/>
          </w:p>
        </w:tc>
        <w:tc>
          <w:tcPr>
            <w:tcW w:w="363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名称</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单位</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数量</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备注</w:t>
            </w:r>
            <w:r/>
          </w:p>
        </w:tc>
      </w:tr>
      <w:tr>
        <w:trPr>
          <w:trHeight w:val="20"/>
        </w:trPr>
        <w:tc>
          <w:tcPr>
            <w:tcW w:w="699"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w:t>
            </w:r>
            <w:r/>
          </w:p>
        </w:tc>
        <w:tc>
          <w:tcPr>
            <w:tcW w:w="363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人脸抓拍摄像机</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台</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ascii="宋体" w:hAnsi="宋体" w:eastAsia="宋体" w:cs="宋体"/>
                <w:color w:val="auto"/>
                <w:sz w:val="21"/>
                <w:szCs w:val="21"/>
                <w:highlight w:val="none"/>
                <w:shd w:val="clear" w:color="auto" w:fill="ffffff"/>
              </w:rPr>
            </w:r>
            <w:r/>
          </w:p>
        </w:tc>
      </w:tr>
      <w:tr>
        <w:trPr>
          <w:trHeight w:val="20"/>
        </w:trPr>
        <w:tc>
          <w:tcPr>
            <w:tcW w:w="699"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2</w:t>
            </w:r>
            <w:r/>
          </w:p>
        </w:tc>
        <w:tc>
          <w:tcPr>
            <w:tcW w:w="363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跨域徘徊警戒摄像机</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台</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2</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ascii="宋体" w:hAnsi="宋体" w:eastAsia="宋体" w:cs="宋体"/>
                <w:color w:val="auto"/>
                <w:sz w:val="21"/>
                <w:szCs w:val="21"/>
                <w:highlight w:val="none"/>
                <w:shd w:val="clear" w:color="auto" w:fill="ffffff"/>
              </w:rPr>
            </w:r>
            <w:r/>
          </w:p>
        </w:tc>
      </w:tr>
      <w:tr>
        <w:trPr>
          <w:trHeight w:val="20"/>
        </w:trPr>
        <w:tc>
          <w:tcPr>
            <w:tcW w:w="699"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3</w:t>
            </w:r>
            <w:r/>
          </w:p>
        </w:tc>
        <w:tc>
          <w:tcPr>
            <w:tcW w:w="363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全局跟踪摄像机</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台</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2</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ascii="宋体" w:hAnsi="宋体" w:eastAsia="宋体" w:cs="宋体"/>
                <w:color w:val="auto"/>
                <w:sz w:val="21"/>
                <w:szCs w:val="21"/>
                <w:highlight w:val="none"/>
                <w:shd w:val="clear" w:color="auto" w:fill="ffffff"/>
              </w:rPr>
            </w:r>
            <w:r/>
          </w:p>
        </w:tc>
      </w:tr>
      <w:tr>
        <w:trPr>
          <w:trHeight w:val="20"/>
        </w:trPr>
        <w:tc>
          <w:tcPr>
            <w:tcW w:w="699"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4</w:t>
            </w:r>
            <w:r/>
          </w:p>
        </w:tc>
        <w:tc>
          <w:tcPr>
            <w:tcW w:w="363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抓拍摄像机</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台</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4</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ascii="宋体" w:hAnsi="宋体" w:eastAsia="宋体" w:cs="宋体"/>
                <w:color w:val="auto"/>
                <w:sz w:val="21"/>
                <w:szCs w:val="21"/>
                <w:highlight w:val="none"/>
                <w:shd w:val="clear" w:color="auto" w:fill="ffffff"/>
              </w:rPr>
            </w:r>
            <w:r/>
          </w:p>
        </w:tc>
      </w:tr>
      <w:tr>
        <w:trPr>
          <w:trHeight w:val="20"/>
        </w:trPr>
        <w:tc>
          <w:tcPr>
            <w:tcW w:w="699"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5</w:t>
            </w:r>
            <w:r/>
          </w:p>
        </w:tc>
        <w:tc>
          <w:tcPr>
            <w:tcW w:w="363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车辆抓拍主机</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台</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ascii="宋体" w:hAnsi="宋体" w:eastAsia="宋体" w:cs="宋体"/>
                <w:color w:val="auto"/>
                <w:sz w:val="21"/>
                <w:szCs w:val="21"/>
                <w:highlight w:val="none"/>
                <w:shd w:val="clear" w:color="auto" w:fill="ffffff"/>
              </w:rPr>
            </w:r>
            <w:r/>
          </w:p>
        </w:tc>
      </w:tr>
      <w:tr>
        <w:trPr>
          <w:trHeight w:val="20"/>
        </w:trPr>
        <w:tc>
          <w:tcPr>
            <w:tcW w:w="699"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6</w:t>
            </w:r>
            <w:r/>
          </w:p>
        </w:tc>
        <w:tc>
          <w:tcPr>
            <w:tcW w:w="363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摄像机支架1</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只</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55</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ascii="宋体" w:hAnsi="宋体" w:eastAsia="宋体" w:cs="宋体"/>
                <w:color w:val="auto"/>
                <w:sz w:val="21"/>
                <w:szCs w:val="21"/>
                <w:highlight w:val="none"/>
                <w:shd w:val="clear" w:color="auto" w:fill="ffffff"/>
              </w:rPr>
            </w:r>
            <w:r/>
          </w:p>
        </w:tc>
      </w:tr>
      <w:tr>
        <w:trPr>
          <w:trHeight w:val="20"/>
        </w:trPr>
        <w:tc>
          <w:tcPr>
            <w:tcW w:w="699"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7</w:t>
            </w:r>
            <w:r/>
          </w:p>
        </w:tc>
        <w:tc>
          <w:tcPr>
            <w:tcW w:w="363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智能出入口摄像机（可变焦）</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台</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2</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ascii="宋体" w:hAnsi="宋体" w:eastAsia="宋体" w:cs="宋体"/>
                <w:color w:val="auto"/>
                <w:sz w:val="21"/>
                <w:szCs w:val="21"/>
                <w:highlight w:val="none"/>
                <w:shd w:val="clear" w:color="auto" w:fill="ffffff"/>
              </w:rPr>
            </w:r>
            <w:r/>
          </w:p>
        </w:tc>
      </w:tr>
      <w:tr>
        <w:trPr>
          <w:trHeight w:val="20"/>
        </w:trPr>
        <w:tc>
          <w:tcPr>
            <w:tcW w:w="699"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8</w:t>
            </w:r>
            <w:r/>
          </w:p>
        </w:tc>
        <w:tc>
          <w:tcPr>
            <w:tcW w:w="363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支架</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根</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2</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ascii="宋体" w:hAnsi="宋体" w:eastAsia="宋体" w:cs="宋体"/>
                <w:color w:val="auto"/>
                <w:sz w:val="21"/>
                <w:szCs w:val="21"/>
                <w:highlight w:val="none"/>
                <w:shd w:val="clear" w:color="auto" w:fill="ffffff"/>
              </w:rPr>
            </w:r>
            <w:r/>
          </w:p>
        </w:tc>
      </w:tr>
      <w:tr>
        <w:trPr>
          <w:trHeight w:val="20"/>
        </w:trPr>
        <w:tc>
          <w:tcPr>
            <w:tcW w:w="699"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9</w:t>
            </w:r>
            <w:r/>
          </w:p>
        </w:tc>
        <w:tc>
          <w:tcPr>
            <w:tcW w:w="363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2*1.0电源线1</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米</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60</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ascii="宋体" w:hAnsi="宋体" w:eastAsia="宋体" w:cs="宋体"/>
                <w:color w:val="auto"/>
                <w:sz w:val="21"/>
                <w:szCs w:val="21"/>
                <w:highlight w:val="none"/>
                <w:shd w:val="clear" w:color="auto" w:fill="ffffff"/>
              </w:rPr>
            </w:r>
            <w:r/>
          </w:p>
        </w:tc>
      </w:tr>
      <w:tr>
        <w:trPr>
          <w:trHeight w:val="20"/>
        </w:trPr>
        <w:tc>
          <w:tcPr>
            <w:tcW w:w="699"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10</w:t>
            </w:r>
            <w:r/>
          </w:p>
        </w:tc>
        <w:tc>
          <w:tcPr>
            <w:tcW w:w="363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超五类网线1</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米</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60</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ascii="宋体" w:hAnsi="宋体" w:eastAsia="宋体" w:cs="宋体"/>
                <w:color w:val="auto"/>
                <w:sz w:val="21"/>
                <w:szCs w:val="21"/>
                <w:highlight w:val="none"/>
                <w:shd w:val="clear" w:color="auto" w:fill="ffffff"/>
              </w:rPr>
            </w:r>
            <w:r/>
          </w:p>
        </w:tc>
      </w:tr>
      <w:tr>
        <w:trPr>
          <w:trHeight w:val="20"/>
        </w:trPr>
        <w:tc>
          <w:tcPr>
            <w:tcW w:w="699"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11</w:t>
            </w:r>
            <w:r/>
          </w:p>
        </w:tc>
        <w:tc>
          <w:tcPr>
            <w:tcW w:w="363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PVC管1</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米</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40</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ascii="宋体" w:hAnsi="宋体" w:eastAsia="宋体" w:cs="宋体"/>
                <w:color w:val="auto"/>
                <w:sz w:val="21"/>
                <w:szCs w:val="21"/>
                <w:highlight w:val="none"/>
                <w:shd w:val="clear" w:color="auto" w:fill="ffffff"/>
              </w:rPr>
            </w:r>
            <w:r/>
          </w:p>
        </w:tc>
      </w:tr>
      <w:tr>
        <w:trPr>
          <w:trHeight w:val="20"/>
        </w:trPr>
        <w:tc>
          <w:tcPr>
            <w:tcW w:w="699"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12</w:t>
            </w:r>
            <w:r/>
          </w:p>
        </w:tc>
        <w:tc>
          <w:tcPr>
            <w:tcW w:w="363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轨迹抓拍摄像机</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台</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19</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ascii="宋体" w:hAnsi="宋体" w:eastAsia="宋体" w:cs="宋体"/>
                <w:color w:val="auto"/>
                <w:sz w:val="21"/>
                <w:szCs w:val="21"/>
                <w:highlight w:val="none"/>
                <w:shd w:val="clear" w:color="auto" w:fill="ffffff"/>
              </w:rPr>
            </w:r>
            <w:r/>
          </w:p>
        </w:tc>
      </w:tr>
      <w:tr>
        <w:trPr>
          <w:trHeight w:val="20"/>
        </w:trPr>
        <w:tc>
          <w:tcPr>
            <w:tcW w:w="699"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13</w:t>
            </w:r>
            <w:r/>
          </w:p>
        </w:tc>
        <w:tc>
          <w:tcPr>
            <w:tcW w:w="363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红外数字高清枪式摄像机</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台</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22</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ascii="宋体" w:hAnsi="宋体" w:eastAsia="宋体" w:cs="宋体"/>
                <w:color w:val="auto"/>
                <w:sz w:val="21"/>
                <w:szCs w:val="21"/>
                <w:highlight w:val="none"/>
                <w:shd w:val="clear" w:color="auto" w:fill="ffffff"/>
              </w:rPr>
            </w:r>
            <w:r/>
          </w:p>
        </w:tc>
      </w:tr>
      <w:tr>
        <w:trPr>
          <w:trHeight w:val="20"/>
        </w:trPr>
        <w:tc>
          <w:tcPr>
            <w:tcW w:w="699"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14</w:t>
            </w:r>
            <w:r/>
          </w:p>
        </w:tc>
        <w:tc>
          <w:tcPr>
            <w:tcW w:w="363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低照度摄像机</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台</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10</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ascii="宋体" w:hAnsi="宋体" w:eastAsia="宋体" w:cs="宋体"/>
                <w:color w:val="auto"/>
                <w:sz w:val="21"/>
                <w:szCs w:val="21"/>
                <w:highlight w:val="none"/>
                <w:shd w:val="clear" w:color="auto" w:fill="ffffff"/>
              </w:rPr>
            </w:r>
            <w:r/>
          </w:p>
        </w:tc>
      </w:tr>
      <w:tr>
        <w:trPr>
          <w:trHeight w:val="20"/>
        </w:trPr>
        <w:tc>
          <w:tcPr>
            <w:tcW w:w="699"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15</w:t>
            </w:r>
            <w:r/>
          </w:p>
        </w:tc>
        <w:tc>
          <w:tcPr>
            <w:tcW w:w="363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低照度摄像机镜头</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台</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10</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ascii="宋体" w:hAnsi="宋体" w:eastAsia="宋体" w:cs="宋体"/>
                <w:color w:val="auto"/>
                <w:sz w:val="21"/>
                <w:szCs w:val="21"/>
                <w:highlight w:val="none"/>
                <w:shd w:val="clear" w:color="auto" w:fill="ffffff"/>
              </w:rPr>
            </w:r>
            <w:r/>
          </w:p>
        </w:tc>
      </w:tr>
      <w:tr>
        <w:trPr>
          <w:trHeight w:val="20"/>
        </w:trPr>
        <w:tc>
          <w:tcPr>
            <w:tcW w:w="699"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16</w:t>
            </w:r>
            <w:r/>
          </w:p>
        </w:tc>
        <w:tc>
          <w:tcPr>
            <w:tcW w:w="363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低照度摄像机护罩</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台</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10</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ascii="宋体" w:hAnsi="宋体" w:eastAsia="宋体" w:cs="宋体"/>
                <w:color w:val="auto"/>
                <w:sz w:val="21"/>
                <w:szCs w:val="21"/>
                <w:highlight w:val="none"/>
                <w:shd w:val="clear" w:color="auto" w:fill="ffffff"/>
              </w:rPr>
            </w:r>
            <w:r/>
          </w:p>
        </w:tc>
      </w:tr>
      <w:tr>
        <w:trPr>
          <w:trHeight w:val="20"/>
        </w:trPr>
        <w:tc>
          <w:tcPr>
            <w:tcW w:w="699"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17</w:t>
            </w:r>
            <w:r/>
          </w:p>
        </w:tc>
        <w:tc>
          <w:tcPr>
            <w:tcW w:w="363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拥挤防范摄像机</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台</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6</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ascii="宋体" w:hAnsi="宋体" w:eastAsia="宋体" w:cs="宋体"/>
                <w:color w:val="auto"/>
                <w:sz w:val="21"/>
                <w:szCs w:val="21"/>
                <w:highlight w:val="none"/>
                <w:shd w:val="clear" w:color="auto" w:fill="ffffff"/>
              </w:rPr>
            </w:r>
            <w:r/>
          </w:p>
        </w:tc>
      </w:tr>
      <w:tr>
        <w:trPr>
          <w:trHeight w:val="20"/>
        </w:trPr>
        <w:tc>
          <w:tcPr>
            <w:tcW w:w="699"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18</w:t>
            </w:r>
            <w:r/>
          </w:p>
        </w:tc>
        <w:tc>
          <w:tcPr>
            <w:tcW w:w="363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摄像机支架2</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只</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9</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ascii="宋体" w:hAnsi="宋体" w:eastAsia="宋体" w:cs="宋体"/>
                <w:color w:val="auto"/>
                <w:sz w:val="21"/>
                <w:szCs w:val="21"/>
                <w:highlight w:val="none"/>
                <w:shd w:val="clear" w:color="auto" w:fill="ffffff"/>
              </w:rPr>
            </w:r>
            <w:r/>
          </w:p>
        </w:tc>
      </w:tr>
      <w:tr>
        <w:trPr>
          <w:trHeight w:val="20"/>
        </w:trPr>
        <w:tc>
          <w:tcPr>
            <w:tcW w:w="699"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19</w:t>
            </w:r>
            <w:r/>
          </w:p>
        </w:tc>
        <w:tc>
          <w:tcPr>
            <w:tcW w:w="363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180度全景摄像机</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台</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ascii="宋体" w:hAnsi="宋体" w:eastAsia="宋体" w:cs="宋体"/>
                <w:color w:val="auto"/>
                <w:sz w:val="21"/>
                <w:szCs w:val="21"/>
                <w:highlight w:val="none"/>
                <w:shd w:val="clear" w:color="auto" w:fill="ffffff"/>
              </w:rPr>
            </w:r>
            <w:r/>
          </w:p>
        </w:tc>
      </w:tr>
      <w:tr>
        <w:trPr>
          <w:trHeight w:val="20"/>
        </w:trPr>
        <w:tc>
          <w:tcPr>
            <w:tcW w:w="699"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20</w:t>
            </w:r>
            <w:r/>
          </w:p>
        </w:tc>
        <w:tc>
          <w:tcPr>
            <w:tcW w:w="363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图像压缩编码器</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台</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ascii="宋体" w:hAnsi="宋体" w:eastAsia="宋体" w:cs="宋体"/>
                <w:color w:val="auto"/>
                <w:sz w:val="21"/>
                <w:szCs w:val="21"/>
                <w:highlight w:val="none"/>
                <w:shd w:val="clear" w:color="auto" w:fill="ffffff"/>
              </w:rPr>
            </w:r>
            <w:r/>
          </w:p>
        </w:tc>
      </w:tr>
      <w:tr>
        <w:trPr>
          <w:trHeight w:val="20"/>
        </w:trPr>
        <w:tc>
          <w:tcPr>
            <w:tcW w:w="699"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21</w:t>
            </w:r>
            <w:r/>
          </w:p>
        </w:tc>
        <w:tc>
          <w:tcPr>
            <w:tcW w:w="363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荧光灯</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只</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8</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节能产品</w:t>
            </w:r>
            <w:r/>
          </w:p>
        </w:tc>
      </w:tr>
      <w:tr>
        <w:trPr>
          <w:trHeight w:val="20"/>
        </w:trPr>
        <w:tc>
          <w:tcPr>
            <w:tcW w:w="699"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22</w:t>
            </w:r>
            <w:r/>
          </w:p>
        </w:tc>
        <w:tc>
          <w:tcPr>
            <w:tcW w:w="363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12路高清解码器</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台</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ascii="宋体" w:hAnsi="宋体" w:eastAsia="宋体" w:cs="宋体"/>
                <w:color w:val="auto"/>
                <w:sz w:val="21"/>
                <w:szCs w:val="21"/>
                <w:highlight w:val="none"/>
                <w:shd w:val="clear" w:color="auto" w:fill="ffffff"/>
              </w:rPr>
            </w:r>
            <w:r/>
          </w:p>
        </w:tc>
      </w:tr>
      <w:tr>
        <w:trPr>
          <w:trHeight w:val="20"/>
        </w:trPr>
        <w:tc>
          <w:tcPr>
            <w:tcW w:w="699"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23</w:t>
            </w:r>
            <w:r/>
          </w:p>
        </w:tc>
        <w:tc>
          <w:tcPr>
            <w:tcW w:w="363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64路硬盘录像机</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台</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4</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ascii="宋体" w:hAnsi="宋体" w:eastAsia="宋体" w:cs="宋体"/>
                <w:color w:val="auto"/>
                <w:sz w:val="21"/>
                <w:szCs w:val="21"/>
                <w:highlight w:val="none"/>
                <w:shd w:val="clear" w:color="auto" w:fill="ffffff"/>
              </w:rPr>
            </w:r>
            <w:r/>
          </w:p>
        </w:tc>
      </w:tr>
      <w:tr>
        <w:trPr>
          <w:trHeight w:val="20"/>
        </w:trPr>
        <w:tc>
          <w:tcPr>
            <w:tcW w:w="699"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24</w:t>
            </w:r>
            <w:r/>
          </w:p>
        </w:tc>
        <w:tc>
          <w:tcPr>
            <w:tcW w:w="363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人脸分析终端</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台</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ascii="宋体" w:hAnsi="宋体" w:eastAsia="宋体" w:cs="宋体"/>
                <w:color w:val="auto"/>
                <w:sz w:val="21"/>
                <w:szCs w:val="21"/>
                <w:highlight w:val="none"/>
                <w:shd w:val="clear" w:color="auto" w:fill="ffffff"/>
              </w:rPr>
            </w:r>
            <w:r/>
          </w:p>
        </w:tc>
      </w:tr>
      <w:tr>
        <w:trPr>
          <w:trHeight w:val="20"/>
        </w:trPr>
        <w:tc>
          <w:tcPr>
            <w:tcW w:w="699"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25</w:t>
            </w:r>
            <w:r/>
          </w:p>
        </w:tc>
        <w:tc>
          <w:tcPr>
            <w:tcW w:w="363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数据对接</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项</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ascii="宋体" w:hAnsi="宋体" w:eastAsia="宋体" w:cs="宋体"/>
                <w:color w:val="auto"/>
                <w:sz w:val="21"/>
                <w:szCs w:val="21"/>
                <w:highlight w:val="none"/>
                <w:shd w:val="clear" w:color="auto" w:fill="ffffff"/>
              </w:rPr>
            </w:r>
            <w:r/>
          </w:p>
        </w:tc>
      </w:tr>
      <w:tr>
        <w:trPr>
          <w:trHeight w:val="20"/>
        </w:trPr>
        <w:tc>
          <w:tcPr>
            <w:tcW w:w="699"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26</w:t>
            </w:r>
            <w:r/>
          </w:p>
        </w:tc>
        <w:tc>
          <w:tcPr>
            <w:tcW w:w="363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监控专用硬盘</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块</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62</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ascii="宋体" w:hAnsi="宋体" w:eastAsia="宋体" w:cs="宋体"/>
                <w:color w:val="auto"/>
                <w:sz w:val="21"/>
                <w:szCs w:val="21"/>
                <w:highlight w:val="none"/>
                <w:shd w:val="clear" w:color="auto" w:fill="ffffff"/>
              </w:rPr>
            </w:r>
            <w:r/>
          </w:p>
        </w:tc>
      </w:tr>
      <w:tr>
        <w:trPr>
          <w:trHeight w:val="20"/>
        </w:trPr>
        <w:tc>
          <w:tcPr>
            <w:tcW w:w="699"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27</w:t>
            </w:r>
            <w:r/>
          </w:p>
        </w:tc>
        <w:tc>
          <w:tcPr>
            <w:tcW w:w="363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服务器机柜</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台</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2</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ascii="宋体" w:hAnsi="宋体" w:eastAsia="宋体" w:cs="宋体"/>
                <w:color w:val="auto"/>
                <w:sz w:val="21"/>
                <w:szCs w:val="21"/>
                <w:highlight w:val="none"/>
                <w:shd w:val="clear" w:color="auto" w:fill="ffffff"/>
              </w:rPr>
            </w:r>
            <w:r/>
          </w:p>
        </w:tc>
      </w:tr>
      <w:tr>
        <w:trPr>
          <w:trHeight w:val="20"/>
        </w:trPr>
        <w:tc>
          <w:tcPr>
            <w:tcW w:w="699"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28</w:t>
            </w:r>
            <w:r/>
          </w:p>
        </w:tc>
        <w:tc>
          <w:tcPr>
            <w:tcW w:w="363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电池</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块</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32</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ascii="宋体" w:hAnsi="宋体" w:eastAsia="宋体" w:cs="宋体"/>
                <w:color w:val="auto"/>
                <w:sz w:val="21"/>
                <w:szCs w:val="21"/>
                <w:highlight w:val="none"/>
                <w:shd w:val="clear" w:color="auto" w:fill="ffffff"/>
              </w:rPr>
            </w:r>
            <w:r/>
          </w:p>
        </w:tc>
      </w:tr>
      <w:tr>
        <w:trPr>
          <w:trHeight w:val="20"/>
        </w:trPr>
        <w:tc>
          <w:tcPr>
            <w:tcW w:w="699"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29</w:t>
            </w:r>
            <w:r/>
          </w:p>
        </w:tc>
        <w:tc>
          <w:tcPr>
            <w:tcW w:w="363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电池柜</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台</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ascii="宋体" w:hAnsi="宋体" w:eastAsia="宋体" w:cs="宋体"/>
                <w:color w:val="auto"/>
                <w:sz w:val="21"/>
                <w:szCs w:val="21"/>
                <w:highlight w:val="none"/>
                <w:shd w:val="clear" w:color="auto" w:fill="ffffff"/>
              </w:rPr>
            </w:r>
            <w:r/>
          </w:p>
        </w:tc>
      </w:tr>
      <w:tr>
        <w:trPr>
          <w:trHeight w:val="20"/>
        </w:trPr>
        <w:tc>
          <w:tcPr>
            <w:tcW w:w="699"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30</w:t>
            </w:r>
            <w:r/>
          </w:p>
        </w:tc>
        <w:tc>
          <w:tcPr>
            <w:tcW w:w="363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报警通信主机</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台</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ascii="宋体" w:hAnsi="宋体" w:eastAsia="宋体" w:cs="宋体"/>
                <w:color w:val="auto"/>
                <w:sz w:val="21"/>
                <w:szCs w:val="21"/>
                <w:highlight w:val="none"/>
                <w:shd w:val="clear" w:color="auto" w:fill="ffffff"/>
              </w:rPr>
            </w:r>
            <w:r/>
          </w:p>
        </w:tc>
      </w:tr>
      <w:tr>
        <w:trPr>
          <w:trHeight w:val="20"/>
        </w:trPr>
        <w:tc>
          <w:tcPr>
            <w:tcW w:w="699"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31</w:t>
            </w:r>
            <w:r/>
          </w:p>
        </w:tc>
        <w:tc>
          <w:tcPr>
            <w:tcW w:w="363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接入交换机</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台</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16</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ascii="宋体" w:hAnsi="宋体" w:eastAsia="宋体" w:cs="宋体"/>
                <w:color w:val="auto"/>
                <w:sz w:val="21"/>
                <w:szCs w:val="21"/>
                <w:highlight w:val="none"/>
                <w:shd w:val="clear" w:color="auto" w:fill="ffffff"/>
              </w:rPr>
            </w:r>
            <w:r/>
          </w:p>
        </w:tc>
      </w:tr>
      <w:tr>
        <w:trPr>
          <w:trHeight w:val="20"/>
        </w:trPr>
        <w:tc>
          <w:tcPr>
            <w:tcW w:w="699"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32</w:t>
            </w:r>
            <w:r/>
          </w:p>
        </w:tc>
        <w:tc>
          <w:tcPr>
            <w:tcW w:w="363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汇集交换机</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台</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ascii="宋体" w:hAnsi="宋体" w:eastAsia="宋体" w:cs="宋体"/>
                <w:color w:val="auto"/>
                <w:sz w:val="21"/>
                <w:szCs w:val="21"/>
                <w:highlight w:val="none"/>
                <w:shd w:val="clear" w:color="auto" w:fill="ffffff"/>
              </w:rPr>
            </w:r>
            <w:r/>
          </w:p>
        </w:tc>
      </w:tr>
      <w:tr>
        <w:trPr>
          <w:trHeight w:val="20"/>
        </w:trPr>
        <w:tc>
          <w:tcPr>
            <w:tcW w:w="699"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33</w:t>
            </w:r>
            <w:r/>
          </w:p>
        </w:tc>
        <w:tc>
          <w:tcPr>
            <w:tcW w:w="363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工业级接入交换机</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台</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12</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ascii="宋体" w:hAnsi="宋体" w:eastAsia="宋体" w:cs="宋体"/>
                <w:color w:val="auto"/>
                <w:sz w:val="21"/>
                <w:szCs w:val="21"/>
                <w:highlight w:val="none"/>
                <w:shd w:val="clear" w:color="auto" w:fill="ffffff"/>
              </w:rPr>
            </w:r>
            <w:r/>
          </w:p>
        </w:tc>
      </w:tr>
      <w:tr>
        <w:trPr>
          <w:trHeight w:val="20"/>
        </w:trPr>
        <w:tc>
          <w:tcPr>
            <w:tcW w:w="699"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34</w:t>
            </w:r>
            <w:r/>
          </w:p>
        </w:tc>
        <w:tc>
          <w:tcPr>
            <w:tcW w:w="363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千兆光模块</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台</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56</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ascii="宋体" w:hAnsi="宋体" w:eastAsia="宋体" w:cs="宋体"/>
                <w:color w:val="auto"/>
                <w:sz w:val="21"/>
                <w:szCs w:val="21"/>
                <w:highlight w:val="none"/>
                <w:shd w:val="clear" w:color="auto" w:fill="ffffff"/>
              </w:rPr>
            </w:r>
            <w:r/>
          </w:p>
        </w:tc>
      </w:tr>
      <w:tr>
        <w:trPr>
          <w:trHeight w:val="20"/>
        </w:trPr>
        <w:tc>
          <w:tcPr>
            <w:tcW w:w="699"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35</w:t>
            </w:r>
            <w:r/>
          </w:p>
        </w:tc>
        <w:tc>
          <w:tcPr>
            <w:tcW w:w="363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万兆光模块</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块</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2</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ascii="宋体" w:hAnsi="宋体" w:eastAsia="宋体" w:cs="宋体"/>
                <w:color w:val="auto"/>
                <w:sz w:val="21"/>
                <w:szCs w:val="21"/>
                <w:highlight w:val="none"/>
                <w:shd w:val="clear" w:color="auto" w:fill="ffffff"/>
              </w:rPr>
            </w:r>
            <w:r/>
          </w:p>
        </w:tc>
      </w:tr>
      <w:tr>
        <w:trPr>
          <w:trHeight w:val="20"/>
        </w:trPr>
        <w:tc>
          <w:tcPr>
            <w:tcW w:w="699"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36</w:t>
            </w:r>
            <w:r/>
          </w:p>
        </w:tc>
        <w:tc>
          <w:tcPr>
            <w:tcW w:w="363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光纤跳线</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根</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58</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ascii="宋体" w:hAnsi="宋体" w:eastAsia="宋体" w:cs="宋体"/>
                <w:color w:val="auto"/>
                <w:sz w:val="21"/>
                <w:szCs w:val="21"/>
                <w:highlight w:val="none"/>
                <w:shd w:val="clear" w:color="auto" w:fill="ffffff"/>
              </w:rPr>
            </w:r>
            <w:r/>
          </w:p>
        </w:tc>
      </w:tr>
      <w:tr>
        <w:trPr>
          <w:trHeight w:val="20"/>
        </w:trPr>
        <w:tc>
          <w:tcPr>
            <w:tcW w:w="699"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37</w:t>
            </w:r>
            <w:r/>
          </w:p>
        </w:tc>
        <w:tc>
          <w:tcPr>
            <w:tcW w:w="363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防雷器</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台</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52</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ascii="宋体" w:hAnsi="宋体" w:eastAsia="宋体" w:cs="宋体"/>
                <w:color w:val="auto"/>
                <w:sz w:val="21"/>
                <w:szCs w:val="21"/>
                <w:highlight w:val="none"/>
                <w:shd w:val="clear" w:color="auto" w:fill="ffffff"/>
              </w:rPr>
            </w:r>
            <w:r/>
          </w:p>
        </w:tc>
      </w:tr>
      <w:tr>
        <w:trPr>
          <w:trHeight w:val="20"/>
        </w:trPr>
        <w:tc>
          <w:tcPr>
            <w:tcW w:w="699"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38</w:t>
            </w:r>
            <w:r/>
          </w:p>
        </w:tc>
        <w:tc>
          <w:tcPr>
            <w:tcW w:w="363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3.5立杆</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根</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7</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ascii="宋体" w:hAnsi="宋体" w:eastAsia="宋体" w:cs="宋体"/>
                <w:color w:val="auto"/>
                <w:sz w:val="21"/>
                <w:szCs w:val="21"/>
                <w:highlight w:val="none"/>
                <w:shd w:val="clear" w:color="auto" w:fill="ffffff"/>
              </w:rPr>
            </w:r>
            <w:r/>
          </w:p>
        </w:tc>
      </w:tr>
      <w:tr>
        <w:trPr>
          <w:trHeight w:val="20"/>
        </w:trPr>
        <w:tc>
          <w:tcPr>
            <w:tcW w:w="699"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39</w:t>
            </w:r>
            <w:r/>
          </w:p>
        </w:tc>
        <w:tc>
          <w:tcPr>
            <w:tcW w:w="363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立杆基础</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座</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7</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ascii="宋体" w:hAnsi="宋体" w:eastAsia="宋体" w:cs="宋体"/>
                <w:color w:val="auto"/>
                <w:sz w:val="21"/>
                <w:szCs w:val="21"/>
                <w:highlight w:val="none"/>
                <w:shd w:val="clear" w:color="auto" w:fill="ffffff"/>
              </w:rPr>
            </w:r>
            <w:r/>
          </w:p>
        </w:tc>
      </w:tr>
      <w:tr>
        <w:trPr>
          <w:trHeight w:val="20"/>
        </w:trPr>
        <w:tc>
          <w:tcPr>
            <w:tcW w:w="699"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40</w:t>
            </w:r>
            <w:r/>
          </w:p>
        </w:tc>
        <w:tc>
          <w:tcPr>
            <w:tcW w:w="363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挂壁立杆箱</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只</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7</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ascii="宋体" w:hAnsi="宋体" w:eastAsia="宋体" w:cs="宋体"/>
                <w:color w:val="auto"/>
                <w:sz w:val="21"/>
                <w:szCs w:val="21"/>
                <w:highlight w:val="none"/>
                <w:shd w:val="clear" w:color="auto" w:fill="ffffff"/>
              </w:rPr>
            </w:r>
            <w:r/>
          </w:p>
        </w:tc>
      </w:tr>
      <w:tr>
        <w:trPr>
          <w:trHeight w:val="20"/>
        </w:trPr>
        <w:tc>
          <w:tcPr>
            <w:tcW w:w="699"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41</w:t>
            </w:r>
            <w:r/>
          </w:p>
        </w:tc>
        <w:tc>
          <w:tcPr>
            <w:tcW w:w="363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室外光纤</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米</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1350</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ascii="宋体" w:hAnsi="宋体" w:eastAsia="宋体" w:cs="宋体"/>
                <w:color w:val="auto"/>
                <w:sz w:val="21"/>
                <w:szCs w:val="21"/>
                <w:highlight w:val="none"/>
                <w:shd w:val="clear" w:color="auto" w:fill="ffffff"/>
              </w:rPr>
            </w:r>
            <w:r/>
          </w:p>
        </w:tc>
      </w:tr>
      <w:tr>
        <w:trPr>
          <w:trHeight w:val="20"/>
        </w:trPr>
        <w:tc>
          <w:tcPr>
            <w:tcW w:w="699"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42</w:t>
            </w:r>
            <w:r/>
          </w:p>
        </w:tc>
        <w:tc>
          <w:tcPr>
            <w:tcW w:w="363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2*2.5电源线</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米</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1350</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ascii="宋体" w:hAnsi="宋体" w:eastAsia="宋体" w:cs="宋体"/>
                <w:color w:val="auto"/>
                <w:sz w:val="21"/>
                <w:szCs w:val="21"/>
                <w:highlight w:val="none"/>
                <w:shd w:val="clear" w:color="auto" w:fill="ffffff"/>
              </w:rPr>
            </w:r>
            <w:r/>
          </w:p>
        </w:tc>
      </w:tr>
      <w:tr>
        <w:trPr>
          <w:trHeight w:val="20"/>
        </w:trPr>
        <w:tc>
          <w:tcPr>
            <w:tcW w:w="699"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43</w:t>
            </w:r>
            <w:r/>
          </w:p>
        </w:tc>
        <w:tc>
          <w:tcPr>
            <w:tcW w:w="363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2*1.0电源线2</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米</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1700</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ascii="宋体" w:hAnsi="宋体" w:eastAsia="宋体" w:cs="宋体"/>
                <w:color w:val="auto"/>
                <w:sz w:val="21"/>
                <w:szCs w:val="21"/>
                <w:highlight w:val="none"/>
                <w:shd w:val="clear" w:color="auto" w:fill="ffffff"/>
              </w:rPr>
            </w:r>
            <w:r/>
          </w:p>
        </w:tc>
      </w:tr>
      <w:tr>
        <w:trPr>
          <w:trHeight w:val="20"/>
        </w:trPr>
        <w:tc>
          <w:tcPr>
            <w:tcW w:w="699"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44</w:t>
            </w:r>
            <w:r/>
          </w:p>
        </w:tc>
        <w:tc>
          <w:tcPr>
            <w:tcW w:w="363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超五类网线2</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箱</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12</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ascii="宋体" w:hAnsi="宋体" w:eastAsia="宋体" w:cs="宋体"/>
                <w:color w:val="auto"/>
                <w:sz w:val="21"/>
                <w:szCs w:val="21"/>
                <w:highlight w:val="none"/>
                <w:shd w:val="clear" w:color="auto" w:fill="ffffff"/>
              </w:rPr>
            </w:r>
            <w:r/>
          </w:p>
        </w:tc>
      </w:tr>
      <w:tr>
        <w:trPr>
          <w:trHeight w:val="20"/>
        </w:trPr>
        <w:tc>
          <w:tcPr>
            <w:tcW w:w="699"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45</w:t>
            </w:r>
            <w:r/>
          </w:p>
        </w:tc>
        <w:tc>
          <w:tcPr>
            <w:tcW w:w="363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室内网线</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箱</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10</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ascii="宋体" w:hAnsi="宋体" w:eastAsia="宋体" w:cs="宋体"/>
                <w:color w:val="auto"/>
                <w:sz w:val="21"/>
                <w:szCs w:val="21"/>
                <w:highlight w:val="none"/>
                <w:shd w:val="clear" w:color="auto" w:fill="ffffff"/>
              </w:rPr>
            </w:r>
            <w:r/>
          </w:p>
        </w:tc>
      </w:tr>
      <w:tr>
        <w:trPr>
          <w:trHeight w:val="20"/>
        </w:trPr>
        <w:tc>
          <w:tcPr>
            <w:tcW w:w="699"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46</w:t>
            </w:r>
            <w:r/>
          </w:p>
        </w:tc>
        <w:tc>
          <w:tcPr>
            <w:tcW w:w="363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室内外防水箱</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台</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15</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ascii="宋体" w:hAnsi="宋体" w:eastAsia="宋体" w:cs="宋体"/>
                <w:color w:val="auto"/>
                <w:sz w:val="21"/>
                <w:szCs w:val="21"/>
                <w:highlight w:val="none"/>
                <w:shd w:val="clear" w:color="auto" w:fill="ffffff"/>
              </w:rPr>
            </w:r>
            <w:r/>
          </w:p>
        </w:tc>
      </w:tr>
      <w:tr>
        <w:trPr>
          <w:trHeight w:val="20"/>
        </w:trPr>
        <w:tc>
          <w:tcPr>
            <w:tcW w:w="699"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47</w:t>
            </w:r>
            <w:r/>
          </w:p>
        </w:tc>
        <w:tc>
          <w:tcPr>
            <w:tcW w:w="363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摄像机电源</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台</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26</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ascii="宋体" w:hAnsi="宋体" w:eastAsia="宋体" w:cs="宋体"/>
                <w:color w:val="auto"/>
                <w:sz w:val="21"/>
                <w:szCs w:val="21"/>
                <w:highlight w:val="none"/>
                <w:shd w:val="clear" w:color="auto" w:fill="ffffff"/>
              </w:rPr>
            </w:r>
            <w:r/>
          </w:p>
        </w:tc>
      </w:tr>
      <w:tr>
        <w:trPr>
          <w:trHeight w:val="20"/>
        </w:trPr>
        <w:tc>
          <w:tcPr>
            <w:tcW w:w="699"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48</w:t>
            </w:r>
            <w:r/>
          </w:p>
        </w:tc>
        <w:tc>
          <w:tcPr>
            <w:tcW w:w="363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硅芯管</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米</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1350</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ascii="宋体" w:hAnsi="宋体" w:eastAsia="宋体" w:cs="宋体"/>
                <w:color w:val="auto"/>
                <w:sz w:val="21"/>
                <w:szCs w:val="21"/>
                <w:highlight w:val="none"/>
                <w:shd w:val="clear" w:color="auto" w:fill="ffffff"/>
              </w:rPr>
            </w:r>
            <w:r/>
          </w:p>
        </w:tc>
      </w:tr>
      <w:tr>
        <w:trPr>
          <w:trHeight w:val="20"/>
        </w:trPr>
        <w:tc>
          <w:tcPr>
            <w:tcW w:w="699"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49</w:t>
            </w:r>
            <w:r/>
          </w:p>
        </w:tc>
        <w:tc>
          <w:tcPr>
            <w:tcW w:w="363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PVC管2</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米</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1700</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ascii="宋体" w:hAnsi="宋体" w:eastAsia="宋体" w:cs="宋体"/>
                <w:color w:val="auto"/>
                <w:sz w:val="21"/>
                <w:szCs w:val="21"/>
                <w:highlight w:val="none"/>
                <w:shd w:val="clear" w:color="auto" w:fill="ffffff"/>
              </w:rPr>
            </w:r>
            <w:r/>
          </w:p>
        </w:tc>
      </w:tr>
      <w:tr>
        <w:trPr>
          <w:trHeight w:val="20"/>
        </w:trPr>
        <w:tc>
          <w:tcPr>
            <w:tcW w:w="699"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50</w:t>
            </w:r>
            <w:r/>
          </w:p>
        </w:tc>
        <w:tc>
          <w:tcPr>
            <w:tcW w:w="363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24口光纤熔接盒</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套</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ascii="宋体" w:hAnsi="宋体" w:eastAsia="宋体" w:cs="宋体"/>
                <w:color w:val="auto"/>
                <w:sz w:val="21"/>
                <w:szCs w:val="21"/>
                <w:highlight w:val="none"/>
                <w:shd w:val="clear" w:color="auto" w:fill="ffffff"/>
              </w:rPr>
            </w:r>
            <w:r/>
          </w:p>
        </w:tc>
      </w:tr>
      <w:tr>
        <w:trPr>
          <w:trHeight w:val="20"/>
        </w:trPr>
        <w:tc>
          <w:tcPr>
            <w:tcW w:w="699"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51</w:t>
            </w:r>
            <w:r/>
          </w:p>
        </w:tc>
        <w:tc>
          <w:tcPr>
            <w:tcW w:w="363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8口光纤熔接盒</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套</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4</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ascii="宋体" w:hAnsi="宋体" w:eastAsia="宋体" w:cs="宋体"/>
                <w:color w:val="auto"/>
                <w:sz w:val="21"/>
                <w:szCs w:val="21"/>
                <w:highlight w:val="none"/>
                <w:shd w:val="clear" w:color="auto" w:fill="ffffff"/>
              </w:rPr>
            </w:r>
            <w:r/>
          </w:p>
        </w:tc>
      </w:tr>
      <w:tr>
        <w:trPr>
          <w:trHeight w:val="20"/>
        </w:trPr>
        <w:tc>
          <w:tcPr>
            <w:tcW w:w="699"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52</w:t>
            </w:r>
            <w:r/>
          </w:p>
        </w:tc>
        <w:tc>
          <w:tcPr>
            <w:tcW w:w="363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光缆熔接及配件</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点</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48</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ascii="宋体" w:hAnsi="宋体" w:eastAsia="宋体" w:cs="宋体"/>
                <w:color w:val="auto"/>
                <w:sz w:val="21"/>
                <w:szCs w:val="21"/>
                <w:highlight w:val="none"/>
                <w:shd w:val="clear" w:color="auto" w:fill="ffffff"/>
              </w:rPr>
            </w:r>
            <w:r/>
          </w:p>
        </w:tc>
      </w:tr>
      <w:tr>
        <w:trPr>
          <w:trHeight w:val="20"/>
        </w:trPr>
        <w:tc>
          <w:tcPr>
            <w:tcW w:w="699"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53</w:t>
            </w:r>
            <w:r/>
          </w:p>
        </w:tc>
        <w:tc>
          <w:tcPr>
            <w:tcW w:w="363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手井</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个</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4</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ascii="宋体" w:hAnsi="宋体" w:eastAsia="宋体" w:cs="宋体"/>
                <w:color w:val="auto"/>
                <w:sz w:val="21"/>
                <w:szCs w:val="21"/>
                <w:highlight w:val="none"/>
                <w:shd w:val="clear" w:color="auto" w:fill="ffffff"/>
              </w:rPr>
            </w:r>
            <w:r/>
          </w:p>
        </w:tc>
      </w:tr>
      <w:tr>
        <w:trPr>
          <w:trHeight w:val="20"/>
        </w:trPr>
        <w:tc>
          <w:tcPr>
            <w:tcW w:w="699"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54</w:t>
            </w:r>
            <w:r/>
          </w:p>
        </w:tc>
        <w:tc>
          <w:tcPr>
            <w:tcW w:w="363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室外绿化路面开挖及恢复</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米</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200</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ascii="宋体" w:hAnsi="宋体" w:eastAsia="宋体" w:cs="宋体"/>
                <w:color w:val="auto"/>
                <w:sz w:val="21"/>
                <w:szCs w:val="21"/>
                <w:highlight w:val="none"/>
                <w:shd w:val="clear" w:color="auto" w:fill="ffffff"/>
              </w:rPr>
            </w:r>
            <w:r/>
          </w:p>
        </w:tc>
      </w:tr>
      <w:tr>
        <w:trPr>
          <w:trHeight w:val="20"/>
        </w:trPr>
        <w:tc>
          <w:tcPr>
            <w:tcW w:w="699"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55</w:t>
            </w:r>
            <w:r/>
          </w:p>
        </w:tc>
        <w:tc>
          <w:tcPr>
            <w:tcW w:w="363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辅件</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项</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ascii="宋体" w:hAnsi="宋体" w:eastAsia="宋体" w:cs="宋体"/>
                <w:color w:val="auto"/>
                <w:sz w:val="21"/>
                <w:szCs w:val="21"/>
                <w:highlight w:val="none"/>
                <w:shd w:val="clear" w:color="auto" w:fill="ffffff"/>
              </w:rPr>
            </w:r>
            <w:r/>
          </w:p>
        </w:tc>
      </w:tr>
      <w:tr>
        <w:trPr>
          <w:trHeight w:val="20"/>
        </w:trPr>
        <w:tc>
          <w:tcPr>
            <w:tcW w:w="699"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56</w:t>
            </w:r>
            <w:r/>
          </w:p>
        </w:tc>
        <w:tc>
          <w:tcPr>
            <w:tcW w:w="363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系统集成</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项</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w:t>
            </w:r>
            <w:r/>
          </w:p>
        </w:tc>
        <w:tc>
          <w:tcPr>
            <w:tcW w:w="1181" w:type="dxa"/>
            <w:textDirection w:val="lrTb"/>
            <w:noWrap w:val="false"/>
          </w:tcPr>
          <w:p>
            <w:pPr>
              <w:jc w:val="left"/>
              <w:spacing w:after="0" w:line="360" w:lineRule="auto"/>
              <w:shd w:val="clear" w:color="auto" w:fill="ffffff"/>
              <w:widowControl/>
              <w:rPr>
                <w:rFonts w:ascii="宋体" w:hAnsi="宋体" w:eastAsia="宋体" w:cs="宋体"/>
                <w:color w:val="auto"/>
                <w:sz w:val="21"/>
                <w:szCs w:val="21"/>
                <w:highlight w:val="none"/>
                <w:shd w:val="clear" w:color="auto" w:fill="ffffff"/>
              </w:rPr>
            </w:pPr>
            <w:r>
              <w:rPr>
                <w:rFonts w:ascii="宋体" w:hAnsi="宋体" w:eastAsia="宋体" w:cs="宋体"/>
                <w:color w:val="auto"/>
                <w:sz w:val="21"/>
                <w:szCs w:val="21"/>
                <w:highlight w:val="none"/>
                <w:shd w:val="clear" w:color="auto" w:fill="ffffff"/>
              </w:rPr>
            </w:r>
            <w:r/>
          </w:p>
        </w:tc>
      </w:tr>
    </w:tbl>
    <w:p>
      <w:pPr>
        <w:ind w:firstLine="420"/>
        <w:jc w:val="left"/>
        <w:spacing w:line="360" w:lineRule="auto"/>
        <w:shd w:val="clear" w:color="auto" w:fill="ffffff"/>
        <w:widowControl/>
        <w:rPr>
          <w:rFonts w:ascii="宋体" w:hAnsi="宋体" w:eastAsia="宋体" w:cs="宋体"/>
          <w:color w:val="auto"/>
          <w:sz w:val="21"/>
          <w:szCs w:val="21"/>
          <w:highlight w:val="none"/>
          <w:shd w:val="clear" w:color="auto" w:fill="ffffff"/>
          <w:lang w:val="zh-CN"/>
        </w:rPr>
      </w:pPr>
      <w:r>
        <w:rPr>
          <w:rFonts w:hint="eastAsia" w:ascii="宋体" w:hAnsi="宋体" w:eastAsia="宋体" w:cs="宋体"/>
          <w:color w:val="auto"/>
          <w:sz w:val="21"/>
          <w:szCs w:val="21"/>
          <w:highlight w:val="none"/>
          <w:shd w:val="clear" w:color="auto" w:fill="ffffff"/>
          <w:lang w:val="zh-CN"/>
        </w:rPr>
        <w:t xml:space="preserve">完工时间：自合同签订起30天内安装调试完成并交付甲方使用。</w:t>
      </w:r>
      <w:r/>
    </w:p>
    <w:p>
      <w:pPr>
        <w:ind w:firstLine="420"/>
        <w:jc w:val="left"/>
        <w:spacing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安装地点：苏州市金阊实验中学校（采购方指定地点）</w:t>
      </w:r>
      <w:r/>
    </w:p>
    <w:p>
      <w:pPr>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二、申请人的资格要求：</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（一）.满足《中华人民共和国政府采购法》第二十二条规定：</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1.具有独立承担民事责任的能力；</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2.具有良好的商业信誉和健全的财务会计制度；</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3.具有履行合同所必需的设备和专业技术能力；</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4.有依法缴纳税收和社会保障资金的良好记录；</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5.参加政府采购活动近三年内，在经营活动中没有重大违法记录；</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6.法律、行政法规规定的其他条件。</w:t>
      </w:r>
      <w:r/>
    </w:p>
    <w:p>
      <w:pPr>
        <w:ind w:firstLine="420"/>
        <w:spacing w:line="360" w:lineRule="auto"/>
        <w:rPr>
          <w:rFonts w:ascii="宋体" w:hAnsi="宋体" w:eastAsia="宋体" w:cs="宋体"/>
          <w:color w:val="auto"/>
          <w:sz w:val="21"/>
          <w:szCs w:val="21"/>
          <w:highlight w:val="none"/>
        </w:rPr>
      </w:pPr>
      <w:r/>
      <w:bookmarkStart w:id="1" w:name="_Toc28359091"/>
      <w:r/>
      <w:bookmarkStart w:id="2" w:name="_Toc28359014"/>
      <w:r>
        <w:rPr>
          <w:rFonts w:hint="eastAsia" w:ascii="宋体" w:hAnsi="宋体" w:eastAsia="宋体" w:cs="宋体"/>
          <w:color w:val="auto"/>
          <w:sz w:val="21"/>
          <w:szCs w:val="21"/>
          <w:highlight w:val="none"/>
        </w:rPr>
        <w:t xml:space="preserve">（二）.本项目的特定资格要求：</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1.未被“信用中国”网站或“中国政府采购网”网站列入失信被执行人、重大税收违法案件当事人名单、政府采购严重失信行为记录名单；</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3.本项目不接受联合体响应、进口产品。</w:t>
      </w:r>
      <w:r/>
    </w:p>
    <w:p>
      <w:pPr>
        <w:pStyle w:val="994"/>
        <w:ind w:firstLine="420"/>
        <w:rPr>
          <w:color w:val="auto"/>
          <w:sz w:val="21"/>
          <w:szCs w:val="21"/>
          <w:highlight w:val="none"/>
        </w:rPr>
      </w:pPr>
      <w:r>
        <w:rPr>
          <w:rFonts w:hint="eastAsia" w:hAnsi="宋体" w:cs="宋体"/>
          <w:color w:val="auto"/>
          <w:sz w:val="21"/>
          <w:szCs w:val="21"/>
          <w:highlight w:val="none"/>
        </w:rPr>
        <w:t xml:space="preserve">4.</w:t>
      </w:r>
      <w:r>
        <w:rPr>
          <w:rFonts w:hint="eastAsia" w:hAnsi="宋体" w:cs="宋体"/>
          <w:color w:val="auto"/>
          <w:sz w:val="21"/>
          <w:szCs w:val="21"/>
          <w:highlight w:val="none"/>
          <w:shd w:val="clear" w:color="auto" w:fill="ffffff"/>
        </w:rPr>
        <w:t xml:space="preserve">本项目非专门面向中小企业采购；</w:t>
      </w:r>
      <w:bookmarkEnd w:id="1"/>
      <w:r/>
      <w:bookmarkEnd w:id="2"/>
      <w:r/>
      <w:r/>
    </w:p>
    <w:p>
      <w:pPr>
        <w:pStyle w:val="830"/>
        <w:ind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三、获取招标文件：</w:t>
      </w:r>
      <w:r/>
    </w:p>
    <w:p>
      <w:pPr>
        <w:ind w:firstLine="480"/>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1、本项目实行供应商网上报名，网上报名截止时间：2024年07月30日。</w:t>
      </w:r>
      <w:r/>
    </w:p>
    <w:p>
      <w:pPr>
        <w:pStyle w:val="994"/>
        <w:ind w:firstLine="420"/>
        <w:jc w:val="left"/>
        <w:rPr>
          <w:rFonts w:hAnsi="宋体" w:cs="宋体"/>
          <w:color w:val="auto"/>
          <w:sz w:val="21"/>
          <w:szCs w:val="21"/>
          <w:highlight w:val="none"/>
        </w:rPr>
      </w:pPr>
      <w:r>
        <w:rPr>
          <w:rFonts w:hint="eastAsia" w:hAnsi="宋体" w:cs="宋体"/>
          <w:color w:val="auto"/>
          <w:sz w:val="21"/>
          <w:szCs w:val="21"/>
          <w:highlight w:val="none"/>
        </w:rPr>
        <w:t xml:space="preserve">2、地点：</w:t>
      </w:r>
      <w:r>
        <w:rPr>
          <w:rFonts w:hint="eastAsia" w:hAnsi="宋体" w:cs="宋体"/>
          <w:bCs/>
          <w:color w:val="auto"/>
          <w:sz w:val="21"/>
          <w:szCs w:val="21"/>
          <w:highlight w:val="none"/>
        </w:rPr>
        <w:t xml:space="preserve">“苏采云”系统中</w:t>
      </w:r>
      <w:r>
        <w:rPr>
          <w:rFonts w:hint="eastAsia" w:hAnsi="宋体" w:cs="宋体"/>
          <w:color w:val="auto"/>
          <w:sz w:val="21"/>
          <w:szCs w:val="21"/>
          <w:highlight w:val="none"/>
        </w:rPr>
        <w:t xml:space="preserve">自行下载</w:t>
      </w:r>
      <w:r/>
    </w:p>
    <w:p>
      <w:pPr>
        <w:pStyle w:val="994"/>
        <w:ind w:firstLine="420"/>
        <w:jc w:val="left"/>
        <w:rPr>
          <w:rFonts w:hAnsi="宋体" w:cs="宋体"/>
          <w:color w:val="auto"/>
          <w:sz w:val="21"/>
          <w:szCs w:val="21"/>
          <w:highlight w:val="none"/>
        </w:rPr>
      </w:pPr>
      <w:r>
        <w:rPr>
          <w:rFonts w:hint="eastAsia" w:hAnsi="宋体" w:cs="宋体"/>
          <w:color w:val="auto"/>
          <w:sz w:val="21"/>
          <w:szCs w:val="21"/>
          <w:highlight w:val="none"/>
        </w:rPr>
        <w:t xml:space="preserve">3、方式：</w:t>
      </w:r>
      <w:r/>
    </w:p>
    <w:p>
      <w:pPr>
        <w:pStyle w:val="994"/>
        <w:ind w:firstLine="420"/>
        <w:jc w:val="left"/>
        <w:rPr>
          <w:rFonts w:hAnsi="宋体" w:cs="宋体"/>
          <w:color w:val="auto"/>
          <w:sz w:val="21"/>
          <w:szCs w:val="21"/>
          <w:highlight w:val="none"/>
        </w:rPr>
      </w:pPr>
      <w:r>
        <w:rPr>
          <w:rFonts w:hint="eastAsia" w:hAnsi="宋体" w:cs="宋体"/>
          <w:color w:val="auto"/>
          <w:sz w:val="21"/>
          <w:szCs w:val="21"/>
          <w:highlight w:val="none"/>
        </w:rPr>
        <w:t xml:space="preserve">（1）CA证书办理</w:t>
      </w:r>
      <w:r/>
    </w:p>
    <w:p>
      <w:pPr>
        <w:pStyle w:val="994"/>
        <w:ind w:firstLine="420"/>
        <w:jc w:val="left"/>
        <w:rPr>
          <w:rFonts w:hAnsi="宋体" w:cs="宋体"/>
          <w:color w:val="auto"/>
          <w:sz w:val="21"/>
          <w:szCs w:val="21"/>
          <w:highlight w:val="none"/>
        </w:rPr>
      </w:pPr>
      <w:r>
        <w:rPr>
          <w:rFonts w:hint="eastAsia" w:hAnsi="宋体" w:cs="宋体"/>
          <w:color w:val="auto"/>
          <w:sz w:val="21"/>
          <w:szCs w:val="21"/>
          <w:highlight w:val="none"/>
        </w:rPr>
        <w:t xml:space="preserve">供应商</w:t>
      </w:r>
      <w:r>
        <w:rPr>
          <w:rFonts w:hint="eastAsia" w:hAnsi="宋体" w:cs="宋体"/>
          <w:color w:val="auto"/>
          <w:sz w:val="21"/>
          <w:szCs w:val="21"/>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pStyle w:val="994"/>
        <w:ind w:firstLine="420"/>
        <w:jc w:val="left"/>
        <w:rPr>
          <w:rFonts w:hAnsi="宋体" w:cs="宋体"/>
          <w:color w:val="auto"/>
          <w:sz w:val="21"/>
          <w:szCs w:val="21"/>
          <w:highlight w:val="none"/>
        </w:rPr>
      </w:pPr>
      <w:r>
        <w:rPr>
          <w:rFonts w:hint="eastAsia" w:hAnsi="宋体" w:cs="宋体"/>
          <w:color w:val="auto"/>
          <w:sz w:val="21"/>
          <w:szCs w:val="21"/>
          <w:highlight w:val="none"/>
        </w:rPr>
        <w:t xml:space="preserve">（2）参与采购活动</w:t>
      </w:r>
      <w:r/>
    </w:p>
    <w:p>
      <w:pPr>
        <w:pStyle w:val="994"/>
        <w:ind w:firstLine="420"/>
        <w:jc w:val="left"/>
        <w:rPr>
          <w:rFonts w:hAnsi="宋体" w:cs="宋体"/>
          <w:color w:val="auto"/>
          <w:sz w:val="21"/>
          <w:szCs w:val="21"/>
          <w:highlight w:val="none"/>
        </w:rPr>
      </w:pPr>
      <w:r>
        <w:rPr>
          <w:rFonts w:hint="eastAsia" w:hAnsi="宋体" w:cs="宋体"/>
          <w:color w:val="auto"/>
          <w:sz w:val="21"/>
          <w:szCs w:val="21"/>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994"/>
        <w:ind w:firstLine="420"/>
        <w:jc w:val="left"/>
        <w:rPr>
          <w:rFonts w:hAnsi="宋体" w:cs="宋体"/>
          <w:color w:val="auto"/>
          <w:sz w:val="21"/>
          <w:szCs w:val="21"/>
          <w:highlight w:val="none"/>
        </w:rPr>
      </w:pPr>
      <w:r>
        <w:rPr>
          <w:rFonts w:hint="eastAsia" w:hAnsi="宋体" w:cs="宋体"/>
          <w:color w:val="auto"/>
          <w:sz w:val="21"/>
          <w:szCs w:val="21"/>
          <w:highlight w:val="none"/>
        </w:rPr>
        <w:t xml:space="preserve">（3）电子投标准备</w:t>
      </w:r>
      <w:r/>
    </w:p>
    <w:p>
      <w:pPr>
        <w:pStyle w:val="994"/>
        <w:ind w:firstLine="420"/>
        <w:jc w:val="left"/>
        <w:rPr>
          <w:rFonts w:hAnsi="宋体" w:cs="宋体"/>
          <w:color w:val="auto"/>
          <w:sz w:val="21"/>
          <w:szCs w:val="21"/>
          <w:highlight w:val="none"/>
        </w:rPr>
      </w:pPr>
      <w:r>
        <w:rPr>
          <w:rFonts w:hint="eastAsia" w:hAnsi="宋体" w:cs="宋体"/>
          <w:color w:val="auto"/>
          <w:sz w:val="21"/>
          <w:szCs w:val="21"/>
          <w:highlight w:val="none"/>
        </w:rPr>
        <w:t xml:space="preserve">供应商在“苏采云”系统中操作成功参与项目后，必须在“已参与项目”界面中下载电子采购文件（后缀名为“.kedt”）并导入政府采购客户端工具后方可进行电子响应文件制作和提交（具体详见《苏采云系统供应商操作手册》，网址链接https://czju.suzhou.gov.cn/zfcg/html/content/20231220161910031.shtml）。</w:t>
      </w:r>
      <w:r/>
    </w:p>
    <w:p>
      <w:pPr>
        <w:pStyle w:val="994"/>
        <w:ind w:firstLine="420"/>
        <w:jc w:val="left"/>
        <w:rPr>
          <w:rFonts w:hAnsi="宋体" w:cs="宋体"/>
          <w:color w:val="auto"/>
          <w:sz w:val="21"/>
          <w:szCs w:val="21"/>
          <w:highlight w:val="none"/>
        </w:rPr>
      </w:pPr>
      <w:r>
        <w:rPr>
          <w:rFonts w:hint="eastAsia" w:hAnsi="宋体" w:cs="宋体"/>
          <w:color w:val="auto"/>
          <w:sz w:val="21"/>
          <w:szCs w:val="21"/>
          <w:highlight w:val="none"/>
        </w:rPr>
        <w:t xml:space="preserve">（4）补充通知（如有）：成功获取磋商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pStyle w:val="994"/>
        <w:ind w:firstLine="420"/>
        <w:jc w:val="left"/>
        <w:rPr>
          <w:rFonts w:hAnsi="宋体" w:cs="宋体"/>
          <w:color w:val="auto"/>
          <w:sz w:val="21"/>
          <w:szCs w:val="21"/>
          <w:highlight w:val="none"/>
        </w:rPr>
      </w:pPr>
      <w:r>
        <w:rPr>
          <w:rFonts w:hint="eastAsia" w:hAnsi="宋体" w:cs="宋体"/>
          <w:color w:val="auto"/>
          <w:sz w:val="21"/>
          <w:szCs w:val="21"/>
          <w:highlight w:val="none"/>
        </w:rPr>
        <w:t xml:space="preserve">考虑到熟悉“苏采云”系统、办理CA证书都需要一定的时间，请提早准备以免耽误招标采购活动。</w:t>
      </w:r>
      <w:r/>
    </w:p>
    <w:p>
      <w:pPr>
        <w:pStyle w:val="994"/>
        <w:ind w:firstLine="420"/>
        <w:jc w:val="left"/>
        <w:rPr>
          <w:rFonts w:hAnsi="宋体" w:cs="宋体"/>
          <w:color w:val="auto"/>
          <w:sz w:val="21"/>
          <w:szCs w:val="21"/>
          <w:highlight w:val="none"/>
        </w:rPr>
      </w:pPr>
      <w:r>
        <w:rPr>
          <w:rFonts w:hint="eastAsia" w:hAnsi="宋体" w:cs="宋体"/>
          <w:color w:val="auto"/>
          <w:sz w:val="21"/>
          <w:szCs w:val="21"/>
          <w:highlight w:val="none"/>
        </w:rPr>
        <w:t xml:space="preserve">4、在系统操作过程中如有疑问，请按以下方式联系：</w:t>
      </w:r>
      <w:r/>
    </w:p>
    <w:p>
      <w:pPr>
        <w:pStyle w:val="994"/>
        <w:ind w:firstLine="420"/>
        <w:jc w:val="left"/>
        <w:rPr>
          <w:rFonts w:hAnsi="宋体" w:cs="宋体"/>
          <w:color w:val="auto"/>
          <w:sz w:val="21"/>
          <w:szCs w:val="21"/>
          <w:highlight w:val="none"/>
        </w:rPr>
      </w:pPr>
      <w:r>
        <w:rPr>
          <w:rFonts w:hint="eastAsia" w:hAnsi="宋体" w:cs="宋体"/>
          <w:color w:val="auto"/>
          <w:sz w:val="21"/>
          <w:szCs w:val="21"/>
          <w:highlight w:val="none"/>
        </w:rPr>
        <w:t xml:space="preserve">注册咨询：18261002950；</w:t>
      </w:r>
      <w:r/>
    </w:p>
    <w:p>
      <w:pPr>
        <w:pStyle w:val="994"/>
        <w:ind w:firstLine="420"/>
        <w:jc w:val="left"/>
        <w:rPr>
          <w:rFonts w:hAnsi="宋体" w:cs="宋体"/>
          <w:color w:val="auto"/>
          <w:sz w:val="21"/>
          <w:szCs w:val="21"/>
          <w:highlight w:val="none"/>
        </w:rPr>
      </w:pPr>
      <w:r>
        <w:rPr>
          <w:rFonts w:hint="eastAsia" w:hAnsi="宋体" w:cs="宋体"/>
          <w:color w:val="auto"/>
          <w:sz w:val="21"/>
          <w:szCs w:val="21"/>
          <w:highlight w:val="none"/>
        </w:rPr>
        <w:t xml:space="preserve">CA技术咨询电话：400-608-6099；</w:t>
      </w:r>
      <w:r/>
    </w:p>
    <w:p>
      <w:pPr>
        <w:pStyle w:val="994"/>
        <w:ind w:firstLine="420"/>
        <w:jc w:val="left"/>
        <w:rPr>
          <w:rFonts w:hAnsi="宋体" w:cs="宋体"/>
          <w:color w:val="auto"/>
          <w:sz w:val="21"/>
          <w:szCs w:val="21"/>
          <w:highlight w:val="none"/>
        </w:rPr>
      </w:pPr>
      <w:r>
        <w:rPr>
          <w:rFonts w:hint="eastAsia" w:hAnsi="宋体" w:cs="宋体"/>
          <w:color w:val="auto"/>
          <w:sz w:val="21"/>
          <w:szCs w:val="21"/>
          <w:highlight w:val="none"/>
        </w:rPr>
        <w:t xml:space="preserve">签章使用问题：025-83633811、025-83633812、15380932027、15371015030；</w:t>
      </w:r>
      <w:r/>
    </w:p>
    <w:p>
      <w:pPr>
        <w:pStyle w:val="994"/>
        <w:ind w:firstLine="420"/>
        <w:jc w:val="left"/>
        <w:rPr>
          <w:rFonts w:hAnsi="宋体" w:cs="宋体"/>
          <w:b/>
          <w:bCs/>
          <w:color w:val="auto"/>
          <w:sz w:val="21"/>
          <w:szCs w:val="21"/>
          <w:highlight w:val="none"/>
        </w:rPr>
      </w:pPr>
      <w:r>
        <w:rPr>
          <w:rFonts w:hint="eastAsia" w:hAnsi="宋体" w:cs="宋体"/>
          <w:color w:val="auto"/>
          <w:sz w:val="21"/>
          <w:szCs w:val="21"/>
          <w:highlight w:val="none"/>
        </w:rPr>
        <w:t xml:space="preserve">系统使用指导与咨询：联系电话：18261002950；QQ：3048755361、1315179389、895706745。</w:t>
      </w:r>
      <w:r/>
    </w:p>
    <w:p>
      <w:pPr>
        <w:jc w:val="left"/>
        <w:spacing w:line="360" w:lineRule="auto"/>
        <w:shd w:val="clear" w:color="auto" w:fill="ffffff"/>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四、提交投标文件截止时间、开标时间和地点</w:t>
      </w:r>
      <w:r>
        <w:rPr>
          <w:rFonts w:hint="eastAsia" w:ascii="宋体" w:hAnsi="宋体" w:eastAsia="宋体" w:cs="宋体"/>
          <w:color w:val="auto"/>
          <w:sz w:val="21"/>
          <w:szCs w:val="21"/>
          <w:highlight w:val="none"/>
        </w:rPr>
        <w:t xml:space="preserve">：</w:t>
      </w:r>
      <w:r/>
    </w:p>
    <w:p>
      <w:pPr>
        <w:ind w:firstLine="420"/>
        <w:spacing w:line="360" w:lineRule="auto"/>
        <w:rPr>
          <w:rFonts w:ascii="宋体" w:hAnsi="宋体" w:eastAsia="宋体" w:cs="宋体"/>
          <w:bCs/>
          <w:color w:val="auto"/>
          <w:sz w:val="21"/>
          <w:szCs w:val="21"/>
          <w:highlight w:val="none"/>
        </w:rPr>
      </w:pPr>
      <w:r/>
      <w:bookmarkStart w:id="3" w:name="_Toc29387"/>
      <w:r/>
      <w:bookmarkStart w:id="4" w:name="_Toc325017295"/>
      <w:r>
        <w:rPr>
          <w:rFonts w:hint="eastAsia" w:ascii="宋体" w:hAnsi="宋体" w:eastAsia="宋体" w:cs="宋体"/>
          <w:bCs/>
          <w:color w:val="auto"/>
          <w:sz w:val="21"/>
          <w:szCs w:val="21"/>
          <w:highlight w:val="none"/>
        </w:rPr>
        <w:t xml:space="preserve">1、本次公开招标采购开标过程采用电子化招投标模式，投标人须网上提交投标文件，</w:t>
      </w:r>
      <w:r>
        <w:rPr>
          <w:rFonts w:hint="eastAsia" w:ascii="宋体" w:hAnsi="宋体" w:eastAsia="宋体" w:cs="宋体"/>
          <w:b/>
          <w:color w:val="auto"/>
          <w:sz w:val="21"/>
          <w:szCs w:val="21"/>
          <w:highlight w:val="none"/>
        </w:rPr>
        <w:t xml:space="preserve">无需递交纸质响应文件</w:t>
      </w:r>
      <w:r>
        <w:rPr>
          <w:rFonts w:hint="eastAsia" w:ascii="宋体" w:hAnsi="宋体" w:eastAsia="宋体" w:cs="宋体"/>
          <w:bCs/>
          <w:color w:val="auto"/>
          <w:sz w:val="21"/>
          <w:szCs w:val="21"/>
          <w:highlight w:val="none"/>
        </w:rPr>
        <w:t xml:space="preserve">，并可通过远程开标方式完成开标。</w:t>
      </w:r>
      <w:r/>
    </w:p>
    <w:p>
      <w:pPr>
        <w:ind w:firstLine="420"/>
        <w:spacing w:line="360" w:lineRule="auto"/>
        <w:rPr>
          <w:rFonts w:ascii="宋体" w:hAnsi="宋体" w:eastAsia="宋体"/>
          <w:bCs/>
          <w:color w:val="auto"/>
          <w:sz w:val="21"/>
          <w:szCs w:val="21"/>
          <w:highlight w:val="none"/>
          <w:u w:val="single"/>
        </w:rPr>
      </w:pPr>
      <w:r>
        <w:rPr>
          <w:rFonts w:hint="eastAsia" w:ascii="宋体" w:hAnsi="宋体" w:eastAsia="宋体" w:cs="宋体"/>
          <w:bCs/>
          <w:color w:val="auto"/>
          <w:sz w:val="21"/>
          <w:szCs w:val="21"/>
          <w:highlight w:val="none"/>
        </w:rPr>
        <w:t xml:space="preserve">2、网上响应文件接收截止时间：</w:t>
      </w:r>
      <w:r>
        <w:rPr>
          <w:rFonts w:hint="eastAsia" w:ascii="宋体" w:hAnsi="宋体" w:eastAsia="宋体"/>
          <w:bCs/>
          <w:color w:val="auto"/>
          <w:sz w:val="21"/>
          <w:szCs w:val="21"/>
          <w:highlight w:val="none"/>
          <w:u w:val="single"/>
        </w:rPr>
        <w:t xml:space="preserve">2024年08月13日09：</w:t>
      </w:r>
      <w:r>
        <w:rPr>
          <w:rFonts w:ascii="宋体" w:hAnsi="宋体" w:eastAsia="宋体"/>
          <w:bCs/>
          <w:color w:val="auto"/>
          <w:sz w:val="21"/>
          <w:szCs w:val="21"/>
          <w:highlight w:val="none"/>
          <w:u w:val="single"/>
        </w:rPr>
        <w:t xml:space="preserve">30</w:t>
      </w:r>
      <w:r>
        <w:rPr>
          <w:rFonts w:hint="eastAsia" w:ascii="宋体" w:hAnsi="宋体" w:eastAsia="宋体"/>
          <w:bCs/>
          <w:color w:val="auto"/>
          <w:sz w:val="21"/>
          <w:szCs w:val="21"/>
          <w:highlight w:val="none"/>
          <w:u w:val="single"/>
        </w:rPr>
        <w:t xml:space="preserve">（北京时间）</w:t>
      </w:r>
      <w:bookmarkEnd w:id="3"/>
      <w:r/>
      <w:r/>
    </w:p>
    <w:p>
      <w:pPr>
        <w:ind w:firstLine="630"/>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远程签到起止时间：2024年08月13日09：00至09：30（北京时间）</w:t>
      </w:r>
      <w:r/>
    </w:p>
    <w:p>
      <w:pPr>
        <w:ind w:firstLine="422"/>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注：投标供应商必须先签到才能进入文件解密环节，如未签到，不能进入文件解密环节。</w:t>
      </w:r>
      <w:r/>
    </w:p>
    <w:p>
      <w:pPr>
        <w:ind w:firstLine="420"/>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远程开标时间：2024年08月13日09：30（北京时间）</w:t>
      </w:r>
      <w:r/>
    </w:p>
    <w:p>
      <w:pPr>
        <w:ind w:firstLine="420"/>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远程CA预解密时间：2024年08月13日09：30至09：50（北京时间）</w:t>
      </w:r>
      <w:r/>
    </w:p>
    <w:p>
      <w:pPr>
        <w:ind w:firstLine="420"/>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开标地点：“苏采云”系统（网址：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Style w:val="845"/>
          <w:rFonts w:hint="eastAsia" w:ascii="宋体" w:hAnsi="宋体" w:eastAsia="宋体" w:cs="宋体"/>
          <w:bCs/>
          <w:color w:val="auto"/>
          <w:sz w:val="21"/>
          <w:szCs w:val="21"/>
          <w:highlight w:val="none"/>
        </w:rPr>
        <w:t xml:space="preserve">http://jszfcg.jsczt.cn/）</w:t>
      </w:r>
      <w:r>
        <w:rPr>
          <w:rStyle w:val="845"/>
          <w:rFonts w:hint="eastAsia" w:ascii="宋体" w:hAnsi="宋体" w:eastAsia="宋体" w:cs="宋体"/>
          <w:bCs/>
          <w:color w:val="auto"/>
          <w:sz w:val="21"/>
          <w:szCs w:val="21"/>
          <w:highlight w:val="none"/>
        </w:rPr>
        <w:fldChar w:fldCharType="end"/>
      </w:r>
      <w:r/>
    </w:p>
    <w:p>
      <w:pPr>
        <w:ind w:firstLine="48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1312"/>
        <w:ind w:firstLine="48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CA证书解密电子投标文件，如在系统规定的解密时间（投标文件提交截止时间后20分钟）内未能完成解密的视为放弃投标。</w:t>
      </w:r>
      <w:r/>
    </w:p>
    <w:p>
      <w:pPr>
        <w:pStyle w:val="1312"/>
        <w:ind w:firstLine="482"/>
        <w:spacing w:line="360" w:lineRule="auto"/>
        <w:rPr>
          <w:color w:val="auto"/>
          <w:highlight w:val="none"/>
        </w:rPr>
      </w:pPr>
      <w:r>
        <w:rPr>
          <w:rFonts w:hint="eastAsia" w:ascii="宋体" w:hAnsi="宋体" w:eastAsia="宋体" w:cs="宋体"/>
          <w:color w:val="auto"/>
          <w:sz w:val="21"/>
          <w:szCs w:val="21"/>
          <w:highlight w:val="none"/>
        </w:rPr>
        <w:t xml:space="preserve">请供应商确保电脑、系统及其他设备（视频输入输出设备等）无误，且开标直至项目结束始终保持系统在线状态。</w:t>
      </w:r>
      <w:r/>
    </w:p>
    <w:p>
      <w:pPr>
        <w:jc w:val="left"/>
        <w:spacing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五、公告期限：自本公告发布之日起5个工作日。</w:t>
      </w:r>
      <w:r/>
    </w:p>
    <w:p>
      <w:pPr>
        <w:jc w:val="left"/>
        <w:spacing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六、其他补充事宜</w:t>
      </w:r>
      <w:r/>
    </w:p>
    <w:p>
      <w:pPr>
        <w:ind w:firstLine="420"/>
        <w:jc w:val="left"/>
        <w:spacing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1.本采购信息公告媒体:江苏政府采购网、苏州市政府采购网。</w:t>
      </w:r>
      <w:r/>
    </w:p>
    <w:p>
      <w:pPr>
        <w:ind w:firstLine="420"/>
        <w:jc w:val="left"/>
        <w:spacing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2.苏州市姑苏区财政局政府采购监督电话：0512-68728409。</w:t>
      </w:r>
      <w:r/>
    </w:p>
    <w:p>
      <w:pPr>
        <w:ind w:firstLine="420"/>
        <w:jc w:val="left"/>
        <w:spacing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3、本项目获取采购文件截止日期之后仍可以下载采购文件，但截止日期之后下载的采购文件，视为非有效方式且不作为供应商权益受到损害的证明材料和依据。</w:t>
      </w:r>
      <w:r/>
    </w:p>
    <w:p>
      <w:pPr>
        <w:jc w:val="left"/>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七、对本次招标提出询问，请按以下方式联系。</w:t>
      </w:r>
      <w:r/>
    </w:p>
    <w:p>
      <w:pPr>
        <w:ind w:firstLine="420"/>
        <w:jc w:val="left"/>
        <w:spacing w:line="360" w:lineRule="auto"/>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1.采购人信息</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名称：苏州市金阊实验中学校</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地址：苏州市陆步桥街8号</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联系人：陈禹</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联系电话：</w:t>
      </w:r>
      <w:r>
        <w:rPr>
          <w:rFonts w:hint="eastAsia" w:ascii="宋体" w:hAnsi="宋体" w:cs="宋体"/>
          <w:color w:val="auto"/>
          <w:sz w:val="21"/>
          <w:szCs w:val="21"/>
          <w:highlight w:val="none"/>
        </w:rPr>
        <w:t xml:space="preserve">0512-69325162</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（二）采购代理机构信息</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名称：苏州铭坤招投标咨询服务有限公司</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地址：苏州市吴中区木渎镇熙金广场5幢903室</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联系方式：0512-65615552</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（三）项目联系方式</w:t>
      </w:r>
      <w:r/>
    </w:p>
    <w:p>
      <w:pPr>
        <w:ind w:firstLine="42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项目联系人：马燕</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联系电话：0512-65615552</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备注：请各单位获取本次招标采购文件后，认真阅读各项内容，进行必要准备工作，按文件的要求详细填写和编制响应文件，并按以上确定的时间、地点准时参加招标。</w:t>
      </w:r>
      <w:r/>
    </w:p>
    <w:p>
      <w:pPr>
        <w:pStyle w:val="823"/>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pStyle w:val="823"/>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pStyle w:val="823"/>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pStyle w:val="823"/>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pStyle w:val="823"/>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pStyle w:val="823"/>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rPr>
          <w:rFonts w:ascii="宋体" w:hAnsi="宋体" w:eastAsia="宋体"/>
          <w:color w:val="auto"/>
          <w:sz w:val="21"/>
          <w:szCs w:val="21"/>
          <w:highlight w:val="none"/>
        </w:rPr>
      </w:r>
    </w:p>
    <w:p>
      <w:pPr>
        <w:pStyle w:val="823"/>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jc w:val="center"/>
        <w:spacing w:line="360" w:lineRule="auto"/>
        <w:rPr>
          <w:rFonts w:ascii="宋体" w:hAnsi="宋体" w:eastAsia="宋体"/>
          <w:color w:val="auto"/>
          <w:szCs w:val="44"/>
          <w:highlight w:val="none"/>
        </w:rPr>
      </w:pPr>
      <w:r>
        <w:rPr>
          <w:rFonts w:hint="eastAsia" w:ascii="宋体" w:hAnsi="宋体" w:eastAsia="宋体"/>
          <w:b/>
          <w:color w:val="auto"/>
          <w:sz w:val="44"/>
          <w:szCs w:val="44"/>
          <w:highlight w:val="none"/>
        </w:rPr>
        <w:t xml:space="preserve">第二章投标人须知</w:t>
      </w:r>
      <w:bookmarkEnd w:id="4"/>
      <w:r/>
      <w:r/>
    </w:p>
    <w:p>
      <w:pPr>
        <w:spacing w:line="360" w:lineRule="auto"/>
        <w:rPr>
          <w:rFonts w:ascii="宋体" w:hAnsi="宋体" w:eastAsia="宋体" w:cs="宋体"/>
          <w:b/>
          <w:bCs/>
          <w:color w:val="auto"/>
          <w:sz w:val="21"/>
          <w:szCs w:val="21"/>
          <w:highlight w:val="none"/>
        </w:rPr>
      </w:pPr>
      <w:r/>
      <w:bookmarkStart w:id="5" w:name="_Toc325017296"/>
      <w:r>
        <w:rPr>
          <w:rFonts w:hint="eastAsia" w:ascii="宋体" w:hAnsi="宋体" w:eastAsia="宋体" w:cs="宋体"/>
          <w:b/>
          <w:bCs/>
          <w:color w:val="auto"/>
          <w:sz w:val="21"/>
          <w:szCs w:val="21"/>
          <w:highlight w:val="none"/>
          <w:lang w:val="zh-CN"/>
        </w:rPr>
        <w:t xml:space="preserve">一、说明和释义</w:t>
      </w:r>
      <w:r/>
    </w:p>
    <w:p>
      <w:pPr>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1. 说明</w:t>
      </w:r>
      <w:r/>
    </w:p>
    <w:p>
      <w:pPr>
        <w:ind w:firstLine="48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1.1本采购文件仅适用于</w:t>
      </w:r>
      <w:r>
        <w:rPr>
          <w:rFonts w:hint="eastAsia" w:ascii="宋体" w:hAnsi="宋体" w:eastAsia="宋体" w:cs="宋体"/>
          <w:color w:val="auto"/>
          <w:sz w:val="21"/>
          <w:szCs w:val="21"/>
          <w:highlight w:val="none"/>
          <w:u w:val="single"/>
          <w:lang w:val="zh-CN"/>
        </w:rPr>
        <w:t xml:space="preserve">苏州铭坤招投标咨询服务有限公司</w:t>
      </w:r>
      <w:r>
        <w:rPr>
          <w:rFonts w:hint="eastAsia" w:ascii="宋体" w:hAnsi="宋体" w:eastAsia="宋体" w:cs="宋体"/>
          <w:color w:val="auto"/>
          <w:sz w:val="21"/>
          <w:szCs w:val="21"/>
          <w:highlight w:val="none"/>
          <w:lang w:val="zh-CN"/>
        </w:rPr>
        <w:t xml:space="preserve">组织的采购活动。</w:t>
      </w:r>
      <w:r/>
    </w:p>
    <w:p>
      <w:pPr>
        <w:ind w:firstLine="48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1.2本次采购活动及因本次采购产生的合同受中国法律制约和保护。</w:t>
      </w:r>
      <w:r/>
    </w:p>
    <w:p>
      <w:pPr>
        <w:ind w:firstLine="48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1.3本采购文件的解释权属于</w:t>
      </w:r>
      <w:r>
        <w:rPr>
          <w:rFonts w:hint="eastAsia" w:ascii="宋体" w:hAnsi="宋体" w:eastAsia="宋体" w:cs="宋体"/>
          <w:color w:val="auto"/>
          <w:sz w:val="21"/>
          <w:szCs w:val="21"/>
          <w:highlight w:val="none"/>
          <w:u w:val="single"/>
          <w:lang w:val="zh-CN"/>
        </w:rPr>
        <w:t xml:space="preserve">苏州铭坤招投标咨询服务有限公司</w:t>
      </w:r>
      <w:r>
        <w:rPr>
          <w:rFonts w:hint="eastAsia" w:ascii="宋体" w:hAnsi="宋体" w:eastAsia="宋体" w:cs="宋体"/>
          <w:color w:val="auto"/>
          <w:sz w:val="21"/>
          <w:szCs w:val="21"/>
          <w:highlight w:val="none"/>
          <w:lang w:val="zh-CN"/>
        </w:rPr>
        <w:t xml:space="preserve">。</w:t>
      </w:r>
      <w:r/>
    </w:p>
    <w:p>
      <w:pPr>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2. 词语释义</w:t>
      </w:r>
      <w:r/>
    </w:p>
    <w:p>
      <w:pPr>
        <w:ind w:firstLine="471"/>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2.1采购人（甲方）：依法进行政府采购的国家机关、事业单位、团体组织。</w:t>
      </w:r>
      <w:r/>
    </w:p>
    <w:p>
      <w:pPr>
        <w:ind w:firstLine="471"/>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2.2采购代理机构：</w:t>
      </w:r>
      <w:r>
        <w:rPr>
          <w:rFonts w:hint="eastAsia" w:ascii="宋体" w:hAnsi="宋体" w:eastAsia="宋体" w:cs="宋体"/>
          <w:color w:val="auto"/>
          <w:sz w:val="21"/>
          <w:szCs w:val="21"/>
          <w:highlight w:val="none"/>
        </w:rPr>
        <w:t xml:space="preserve">依法接受采购人委托，从事货物、工程和服务等政府采购代理业务的社会中介机构。</w:t>
      </w:r>
      <w:r/>
    </w:p>
    <w:p>
      <w:pPr>
        <w:ind w:firstLine="471"/>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2.3投标人（供应商）：响应招标、参加投标竞争的法人、非法人组织或者自然人。</w:t>
      </w:r>
      <w:r/>
    </w:p>
    <w:p>
      <w:pPr>
        <w:ind w:firstLine="471"/>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潜在投标人（供应商）：以招标文件规定的方式获取本项目招标文件的法人、非法人组织或者自然人。</w:t>
      </w:r>
      <w:r/>
    </w:p>
    <w:p>
      <w:pPr>
        <w:ind w:firstLine="471"/>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2.4响应：投标人根据采购代理机构或采购代理机构发布的采购文件，编制投标文件并按规定投标的行为。</w:t>
      </w:r>
      <w:r/>
    </w:p>
    <w:p>
      <w:pPr>
        <w:ind w:firstLine="471"/>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2.5中标人（乙方）：经评标委员会评定产生、采购合同中规定的向采购方提供货物或服务的法人或其他组织和自然人（中标人）。</w:t>
      </w:r>
      <w:r/>
    </w:p>
    <w:p>
      <w:pPr>
        <w:ind w:firstLine="471"/>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firstLine="471"/>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zh-CN"/>
        </w:rPr>
        <w:t xml:space="preserve">服务：系指本次采购文件规定乙方应承担的</w:t>
      </w:r>
      <w:r>
        <w:rPr>
          <w:rFonts w:hint="eastAsia" w:ascii="宋体" w:hAnsi="宋体" w:eastAsia="宋体" w:cs="宋体"/>
          <w:color w:val="auto"/>
          <w:sz w:val="21"/>
          <w:szCs w:val="21"/>
          <w:highlight w:val="none"/>
        </w:rPr>
        <w:t xml:space="preserve">与提供货物和服务有关的辅助服务及合同中规定乙方应承担的其它义务。</w:t>
      </w:r>
      <w:r/>
    </w:p>
    <w:p>
      <w:pPr>
        <w:ind w:firstLine="471"/>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zh-CN"/>
        </w:rPr>
        <w:t xml:space="preserve">知识产权：指专利权、商标权、著作权等无形财产专有权的统称。</w:t>
      </w:r>
      <w:r/>
    </w:p>
    <w:p>
      <w:pPr>
        <w:ind w:firstLine="471"/>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9</w:t>
      </w:r>
      <w:r>
        <w:rPr>
          <w:rFonts w:hint="eastAsia" w:ascii="宋体" w:hAnsi="宋体" w:eastAsia="宋体" w:cs="宋体"/>
          <w:color w:val="auto"/>
          <w:sz w:val="21"/>
          <w:szCs w:val="21"/>
          <w:highlight w:val="none"/>
          <w:lang w:val="zh-CN"/>
        </w:rPr>
        <w:t xml:space="preserve">天：日历日。</w:t>
      </w:r>
      <w:r/>
    </w:p>
    <w:p>
      <w:pPr>
        <w:ind w:firstLine="471"/>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10</w:t>
      </w:r>
      <w:r>
        <w:rPr>
          <w:rFonts w:hint="eastAsia" w:ascii="宋体" w:hAnsi="宋体" w:eastAsia="宋体" w:cs="宋体"/>
          <w:color w:val="auto"/>
          <w:sz w:val="21"/>
          <w:szCs w:val="21"/>
          <w:highlight w:val="none"/>
          <w:lang w:val="zh-CN"/>
        </w:rPr>
        <w:t xml:space="preserve">服务（</w:t>
      </w:r>
      <w:r>
        <w:rPr>
          <w:rFonts w:hint="eastAsia" w:ascii="宋体" w:hAnsi="宋体" w:eastAsia="宋体" w:cs="宋体"/>
          <w:color w:val="auto"/>
          <w:sz w:val="21"/>
          <w:szCs w:val="21"/>
          <w:highlight w:val="none"/>
        </w:rPr>
        <w:t xml:space="preserve">交货</w:t>
      </w:r>
      <w:r>
        <w:rPr>
          <w:rFonts w:hint="eastAsia" w:ascii="宋体" w:hAnsi="宋体" w:eastAsia="宋体" w:cs="宋体"/>
          <w:color w:val="auto"/>
          <w:sz w:val="21"/>
          <w:szCs w:val="21"/>
          <w:highlight w:val="none"/>
          <w:lang w:val="zh-CN"/>
        </w:rPr>
        <w:t xml:space="preserve">）地点：合同中明确约定的</w:t>
      </w:r>
      <w:r>
        <w:rPr>
          <w:rFonts w:hint="eastAsia" w:ascii="宋体" w:hAnsi="宋体" w:eastAsia="宋体" w:cs="宋体"/>
          <w:color w:val="auto"/>
          <w:sz w:val="21"/>
          <w:szCs w:val="21"/>
          <w:highlight w:val="none"/>
        </w:rPr>
        <w:t xml:space="preserve">服务（交货）的项目所在地。</w:t>
      </w:r>
      <w:r/>
    </w:p>
    <w:p>
      <w:pPr>
        <w:ind w:firstLine="471"/>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11</w:t>
      </w:r>
      <w:r>
        <w:rPr>
          <w:rFonts w:hint="eastAsia" w:ascii="宋体" w:hAnsi="宋体" w:eastAsia="宋体" w:cs="宋体"/>
          <w:color w:val="auto"/>
          <w:sz w:val="21"/>
          <w:szCs w:val="21"/>
          <w:highlight w:val="none"/>
          <w:lang w:val="zh-CN"/>
        </w:rPr>
        <w:t xml:space="preserve">合同价款：根据合同规定，乙方在正确地履行合同义务后甲方应支付乙方的价款。</w:t>
      </w:r>
      <w:r/>
    </w:p>
    <w:p>
      <w:pPr>
        <w:ind w:firstLine="48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2.1</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不可抗力：不能预见、不能避免并且不能克服的客观情况。</w:t>
      </w:r>
      <w:r/>
    </w:p>
    <w:p>
      <w:pPr>
        <w:ind w:firstLine="480"/>
        <w:spacing w:line="360" w:lineRule="auto"/>
        <w:rPr>
          <w:rFonts w:ascii="宋体" w:hAnsi="宋体" w:eastAsia="宋体" w:cs="宋体"/>
          <w:color w:val="auto"/>
          <w:sz w:val="21"/>
          <w:szCs w:val="21"/>
          <w:highlight w:val="none"/>
          <w:lang w:val="zh-CN"/>
        </w:rPr>
      </w:pPr>
      <w:r>
        <w:rPr>
          <w:rFonts w:hint="eastAsia" w:ascii="宋体" w:hAnsi="宋体" w:eastAsia="宋体" w:cs="宋体"/>
          <w:bCs/>
          <w:color w:val="auto"/>
          <w:sz w:val="21"/>
          <w:szCs w:val="21"/>
          <w:highlight w:val="none"/>
        </w:rPr>
        <w:t xml:space="preserve">2.13实质响应：</w:t>
      </w:r>
      <w:r>
        <w:rPr>
          <w:rFonts w:hint="eastAsia" w:ascii="宋体" w:hAnsi="宋体" w:eastAsia="宋体" w:cs="宋体"/>
          <w:color w:val="auto"/>
          <w:sz w:val="21"/>
          <w:szCs w:val="21"/>
          <w:highlight w:val="none"/>
          <w:lang w:val="zh-CN"/>
        </w:rPr>
        <w:t xml:space="preserve">满足有关本项目服务的具体要求，包括服务内容、履行期限、履行地点和方式、违约责任和解决争议方法等要求。</w:t>
      </w:r>
      <w:r/>
    </w:p>
    <w:p>
      <w:pPr>
        <w:pStyle w:val="994"/>
        <w:ind w:firstLine="420"/>
        <w:rPr>
          <w:rFonts w:hAnsi="宋体" w:cs="宋体"/>
          <w:bCs/>
          <w:color w:val="auto"/>
          <w:sz w:val="21"/>
          <w:szCs w:val="21"/>
          <w:highlight w:val="none"/>
        </w:rPr>
      </w:pPr>
      <w:r>
        <w:rPr>
          <w:rFonts w:hint="eastAsia" w:hAnsi="宋体" w:cs="宋体"/>
          <w:bCs/>
          <w:color w:val="auto"/>
          <w:sz w:val="21"/>
          <w:szCs w:val="21"/>
          <w:highlight w:val="none"/>
        </w:rPr>
        <w:t xml:space="preserve">2.14进口产品：指通过中国海关报关验放进入中国境内且产自境外的产品。</w:t>
      </w:r>
      <w:r/>
    </w:p>
    <w:p>
      <w:pPr>
        <w:ind w:firstLine="480"/>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2.15书面形式：指书面文字、合同书、信件和传真等可以有形地表现所载内容的形式。</w:t>
      </w:r>
      <w:r/>
    </w:p>
    <w:p>
      <w:pPr>
        <w:ind w:firstLine="470"/>
        <w:spacing w:line="360" w:lineRule="auto"/>
        <w:rPr>
          <w:rFonts w:ascii="宋体" w:hAnsi="宋体" w:eastAsia="宋体" w:cs="宋体"/>
          <w:color w:val="auto"/>
          <w:sz w:val="21"/>
          <w:szCs w:val="21"/>
          <w:highlight w:val="none"/>
          <w:lang w:val="zh-CN"/>
        </w:rPr>
      </w:pPr>
      <w:r>
        <w:rPr>
          <w:rFonts w:hint="eastAsia" w:ascii="宋体" w:hAnsi="宋体" w:eastAsia="宋体" w:cs="宋体"/>
          <w:bCs/>
          <w:color w:val="auto"/>
          <w:sz w:val="21"/>
          <w:szCs w:val="21"/>
          <w:highlight w:val="none"/>
        </w:rPr>
        <w:t xml:space="preserve">2.16小微企业：</w:t>
      </w:r>
      <w:r>
        <w:rPr>
          <w:rFonts w:hint="eastAsia" w:ascii="宋体" w:hAnsi="宋体" w:eastAsia="宋体" w:cs="宋体"/>
          <w:color w:val="auto"/>
          <w:sz w:val="21"/>
          <w:szCs w:val="21"/>
          <w:highlight w:val="none"/>
          <w:lang w:val="zh-CN"/>
        </w:rPr>
        <w:t xml:space="preserve">小型企业且提供自有服务的，视同为小型企业。微型企业且提供自有服务的，视同为微型企业。</w:t>
      </w:r>
      <w:r/>
    </w:p>
    <w:p>
      <w:p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二、投标人（供应商）</w:t>
      </w:r>
      <w:r/>
    </w:p>
    <w:p>
      <w:p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3. 供应商资格要求</w:t>
      </w:r>
      <w:r/>
    </w:p>
    <w:p>
      <w:pPr>
        <w:ind w:firstLine="480"/>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3.1供应商应当具备下列一般条件：</w:t>
      </w:r>
      <w:r/>
    </w:p>
    <w:p>
      <w:pPr>
        <w:ind w:firstLine="480"/>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3.1.1具有独立承担民事责任的能力；</w:t>
      </w:r>
      <w:r/>
    </w:p>
    <w:p>
      <w:pPr>
        <w:ind w:firstLine="480"/>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3.1.2具有良好的商业信誉和健全的财务会计制度；</w:t>
      </w:r>
      <w:r/>
    </w:p>
    <w:p>
      <w:pPr>
        <w:ind w:firstLine="480"/>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3.1.3具有履行合同所必需的设备和专业技术能力；</w:t>
      </w:r>
      <w:r/>
    </w:p>
    <w:p>
      <w:pPr>
        <w:ind w:firstLine="480"/>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3.1.4有依法缴纳税收和社会保障资金的良好记录；</w:t>
      </w:r>
      <w:r/>
    </w:p>
    <w:p>
      <w:pPr>
        <w:ind w:firstLine="480"/>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3.1.5参加政府采购活动前三年内，在经营活动中没有重大违法记录；</w:t>
      </w:r>
      <w:r/>
    </w:p>
    <w:p>
      <w:pPr>
        <w:ind w:firstLine="480"/>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3.1.6法律、行政法规规定的其他条件；</w:t>
      </w:r>
      <w:r/>
    </w:p>
    <w:p>
      <w:pPr>
        <w:ind w:firstLine="48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3.2本项目落实政府采购政策需满足的资格要求：无</w:t>
      </w:r>
      <w:r/>
    </w:p>
    <w:p>
      <w:pPr>
        <w:ind w:firstLine="48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3.3本项目非专门面向中小企业采购。</w:t>
      </w:r>
      <w:r/>
    </w:p>
    <w:p>
      <w:pPr>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4、投标人代表</w:t>
      </w:r>
      <w:r/>
    </w:p>
    <w:p>
      <w:pPr>
        <w:ind w:firstLine="502"/>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4.1指全权代表投标人参加投标活动并签署投标文件的人，如果投标人代表不是法定代表人，须持有《授权委托书》（详见统一格式）。</w:t>
      </w:r>
      <w:r/>
    </w:p>
    <w:p>
      <w:p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5、投标费用</w:t>
      </w:r>
      <w:r/>
    </w:p>
    <w:p>
      <w:pPr>
        <w:ind w:firstLine="50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5.1无论投标过程中的做法和结果如何，投标人自行承担所有与参加投标有关的全部费用。</w:t>
      </w:r>
      <w:r/>
    </w:p>
    <w:p>
      <w:p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6、联合体投标</w:t>
      </w:r>
      <w:r/>
    </w:p>
    <w:p>
      <w:pPr>
        <w:ind w:firstLine="420"/>
        <w:spacing w:line="360" w:lineRule="auto"/>
        <w:rPr>
          <w:rFonts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本采购项目不接受联合体投标。</w:t>
      </w:r>
      <w:r/>
    </w:p>
    <w:p>
      <w:p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三、采购文件的说明</w:t>
      </w:r>
      <w:r/>
    </w:p>
    <w:p>
      <w:p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7、采购文件</w:t>
      </w:r>
      <w:r/>
    </w:p>
    <w:p>
      <w:pPr>
        <w:ind w:firstLine="420"/>
        <w:spacing w:line="360" w:lineRule="auto"/>
        <w:rPr>
          <w:rFonts w:ascii="宋体" w:hAnsi="宋体" w:eastAsia="宋体" w:cs="宋体"/>
          <w:bCs/>
          <w:color w:val="auto"/>
          <w:sz w:val="21"/>
          <w:szCs w:val="21"/>
          <w:highlight w:val="none"/>
          <w:lang w:val="zh-CN"/>
        </w:rPr>
      </w:pPr>
      <w:r>
        <w:rPr>
          <w:rFonts w:hint="eastAsia" w:ascii="宋体" w:hAnsi="宋体" w:eastAsia="宋体" w:cs="宋体"/>
          <w:color w:val="auto"/>
          <w:sz w:val="21"/>
          <w:szCs w:val="21"/>
          <w:highlight w:val="none"/>
          <w:lang w:val="zh-CN"/>
        </w:rPr>
        <w:t xml:space="preserve">采购文件由采购文件目录所列内容组成。投标人应详细阅读采购文件的全部内容，并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8、招标文件的澄清和修改</w:t>
      </w:r>
      <w:r/>
    </w:p>
    <w:p>
      <w:pPr>
        <w:ind w:firstLine="480"/>
        <w:spacing w:line="360" w:lineRule="auto"/>
        <w:rPr>
          <w:rFonts w:ascii="宋体" w:hAnsi="宋体" w:eastAsia="宋体" w:cs="宋体"/>
          <w:bCs/>
          <w:color w:val="auto"/>
          <w:sz w:val="21"/>
          <w:szCs w:val="21"/>
          <w:highlight w:val="none"/>
        </w:rPr>
        <w:outlineLvl w:val="0"/>
      </w:pPr>
      <w:r>
        <w:rPr>
          <w:rFonts w:hint="eastAsia" w:ascii="宋体" w:hAnsi="宋体" w:eastAsia="宋体" w:cs="宋体"/>
          <w:bCs/>
          <w:color w:val="auto"/>
          <w:sz w:val="21"/>
          <w:szCs w:val="21"/>
          <w:highlight w:val="none"/>
        </w:rPr>
        <w:t xml:space="preserve">8.1采购人或采购代理机构无论出于自己的考虑，还是出于对投标人提问的澄清，均可对已发出的招标文件用补充通知（包括更正公告）的方式进行澄清或者修改，并通过苏州市政府采购网对外进行发布。澄清或者修改的内容为招标文件的组成部分。</w:t>
      </w:r>
      <w:r/>
    </w:p>
    <w:p>
      <w:pPr>
        <w:ind w:firstLine="480"/>
        <w:spacing w:line="360" w:lineRule="auto"/>
        <w:rPr>
          <w:rFonts w:ascii="宋体" w:hAnsi="宋体" w:eastAsia="宋体" w:cs="宋体"/>
          <w:bCs/>
          <w:color w:val="auto"/>
          <w:sz w:val="21"/>
          <w:szCs w:val="21"/>
          <w:highlight w:val="none"/>
        </w:rPr>
        <w:outlineLvl w:val="0"/>
      </w:pPr>
      <w:r>
        <w:rPr>
          <w:rFonts w:hint="eastAsia" w:ascii="宋体" w:hAnsi="宋体" w:eastAsia="宋体" w:cs="宋体"/>
          <w:bCs/>
          <w:color w:val="auto"/>
          <w:sz w:val="21"/>
          <w:szCs w:val="21"/>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ind w:firstLine="480"/>
        <w:spacing w:line="360" w:lineRule="auto"/>
        <w:rPr>
          <w:rFonts w:ascii="宋体" w:hAnsi="宋体" w:eastAsia="宋体" w:cs="宋体"/>
          <w:color w:val="auto"/>
          <w:sz w:val="21"/>
          <w:szCs w:val="21"/>
          <w:highlight w:val="none"/>
        </w:rPr>
        <w:outlineLvl w:val="0"/>
      </w:pPr>
      <w:r>
        <w:rPr>
          <w:rFonts w:hint="eastAsia" w:ascii="宋体" w:hAnsi="宋体" w:eastAsia="宋体" w:cs="宋体"/>
          <w:bCs/>
          <w:color w:val="auto"/>
          <w:sz w:val="21"/>
          <w:szCs w:val="21"/>
          <w:highlight w:val="none"/>
        </w:rPr>
        <w:t xml:space="preserve">8.3</w:t>
      </w:r>
      <w:r>
        <w:rPr>
          <w:rFonts w:hint="eastAsia" w:ascii="宋体" w:hAnsi="宋体" w:eastAsia="宋体" w:cs="宋体"/>
          <w:color w:val="auto"/>
          <w:sz w:val="21"/>
          <w:szCs w:val="21"/>
          <w:highlight w:val="none"/>
        </w:rPr>
        <w:t xml:space="preserve">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补充通知（包括更正公告）将作为招标文件的组成部分，对所有投标人有约束力。</w:t>
      </w:r>
      <w:r/>
    </w:p>
    <w:p>
      <w:pPr>
        <w:ind w:firstLine="480"/>
        <w:spacing w:line="360" w:lineRule="auto"/>
        <w:rPr>
          <w:rFonts w:ascii="宋体" w:hAnsi="宋体" w:eastAsia="宋体" w:cs="宋体"/>
          <w:bCs/>
          <w:color w:val="auto"/>
          <w:sz w:val="21"/>
          <w:szCs w:val="21"/>
          <w:highlight w:val="none"/>
        </w:rPr>
        <w:outlineLvl w:val="0"/>
      </w:pPr>
      <w:r>
        <w:rPr>
          <w:rFonts w:hint="eastAsia" w:ascii="宋体" w:hAnsi="宋体" w:eastAsia="宋体" w:cs="宋体"/>
          <w:bCs/>
          <w:color w:val="auto"/>
          <w:sz w:val="21"/>
          <w:szCs w:val="21"/>
          <w:highlight w:val="none"/>
        </w:rPr>
        <w:t xml:space="preserve">8.4招标文件的澄清、修改、补充等内容均以苏州政府采购网上发布的内容为准。</w:t>
      </w:r>
      <w:r/>
    </w:p>
    <w:p>
      <w:pPr>
        <w:spacing w:line="360" w:lineRule="auto"/>
        <w:rPr>
          <w:rFonts w:ascii="宋体" w:hAnsi="宋体" w:eastAsia="宋体" w:cs="宋体"/>
          <w:bCs/>
          <w:color w:val="auto"/>
          <w:sz w:val="21"/>
          <w:szCs w:val="21"/>
          <w:highlight w:val="none"/>
        </w:rPr>
        <w:outlineLvl w:val="0"/>
      </w:pPr>
      <w:r>
        <w:rPr>
          <w:rFonts w:hint="eastAsia" w:ascii="宋体" w:hAnsi="宋体" w:eastAsia="宋体" w:cs="宋体"/>
          <w:bCs/>
          <w:color w:val="auto"/>
          <w:sz w:val="21"/>
          <w:szCs w:val="21"/>
          <w:highlight w:val="none"/>
        </w:rPr>
        <w:t xml:space="preserve">9、勘察现场（不涉及此条的忽略）</w:t>
      </w:r>
      <w:r/>
    </w:p>
    <w:p>
      <w:pPr>
        <w:ind w:firstLine="480"/>
        <w:spacing w:line="360" w:lineRule="auto"/>
        <w:rPr>
          <w:rFonts w:ascii="宋体" w:hAnsi="宋体" w:eastAsia="宋体" w:cs="宋体"/>
          <w:bCs/>
          <w:color w:val="auto"/>
          <w:sz w:val="21"/>
          <w:szCs w:val="21"/>
          <w:highlight w:val="none"/>
        </w:rPr>
        <w:outlineLvl w:val="0"/>
      </w:pPr>
      <w:r>
        <w:rPr>
          <w:rFonts w:hint="eastAsia" w:ascii="宋体" w:hAnsi="宋体" w:eastAsia="宋体" w:cs="宋体"/>
          <w:bCs/>
          <w:color w:val="auto"/>
          <w:sz w:val="21"/>
          <w:szCs w:val="21"/>
          <w:highlight w:val="none"/>
        </w:rPr>
        <w:t xml:space="preserve">9.1根据自身投标需要，投标人可对有关现场和周围环境进行勘察，以获取编制投标文件和签署合同所需的信息。勘察现场所发生的费用由投标人自己承担。</w:t>
      </w:r>
      <w:r/>
    </w:p>
    <w:p>
      <w:pPr>
        <w:ind w:firstLine="480"/>
        <w:spacing w:line="360" w:lineRule="auto"/>
        <w:rPr>
          <w:rFonts w:ascii="宋体" w:hAnsi="宋体" w:eastAsia="宋体" w:cs="宋体"/>
          <w:bCs/>
          <w:color w:val="auto"/>
          <w:sz w:val="21"/>
          <w:szCs w:val="21"/>
          <w:highlight w:val="none"/>
        </w:rPr>
        <w:outlineLvl w:val="0"/>
      </w:pPr>
      <w:r>
        <w:rPr>
          <w:rFonts w:hint="eastAsia" w:ascii="宋体" w:hAnsi="宋体" w:eastAsia="宋体" w:cs="宋体"/>
          <w:bCs/>
          <w:color w:val="auto"/>
          <w:sz w:val="21"/>
          <w:szCs w:val="21"/>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80"/>
        <w:spacing w:line="360" w:lineRule="auto"/>
        <w:rPr>
          <w:rFonts w:ascii="宋体" w:hAnsi="宋体" w:eastAsia="宋体" w:cs="宋体"/>
          <w:bCs/>
          <w:color w:val="auto"/>
          <w:sz w:val="21"/>
          <w:szCs w:val="21"/>
          <w:highlight w:val="none"/>
        </w:rPr>
        <w:outlineLvl w:val="0"/>
      </w:pPr>
      <w:r>
        <w:rPr>
          <w:rFonts w:hint="eastAsia" w:ascii="宋体" w:hAnsi="宋体" w:eastAsia="宋体" w:cs="宋体"/>
          <w:bCs/>
          <w:color w:val="auto"/>
          <w:sz w:val="21"/>
          <w:szCs w:val="21"/>
          <w:highlight w:val="none"/>
        </w:rPr>
        <w:t xml:space="preserve">9.3经采购人允许，投标人可为勘察目的进入采购人的项目现场，但投标人不得因此使采购人承担有关的责任和蒙受损失。投标人应承担勘察现场的责任和风险。</w:t>
      </w:r>
      <w:r/>
    </w:p>
    <w:p>
      <w:pPr>
        <w:ind w:firstLine="480"/>
        <w:spacing w:line="360" w:lineRule="auto"/>
        <w:rPr>
          <w:rFonts w:ascii="宋体" w:hAnsi="宋体" w:eastAsia="宋体" w:cs="宋体"/>
          <w:bCs/>
          <w:color w:val="auto"/>
          <w:sz w:val="21"/>
          <w:szCs w:val="21"/>
          <w:highlight w:val="none"/>
        </w:rPr>
        <w:outlineLvl w:val="0"/>
      </w:pPr>
      <w:r>
        <w:rPr>
          <w:rFonts w:hint="eastAsia" w:ascii="宋体" w:hAnsi="宋体" w:eastAsia="宋体" w:cs="宋体"/>
          <w:bCs/>
          <w:color w:val="auto"/>
          <w:sz w:val="21"/>
          <w:szCs w:val="21"/>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spacing w:line="360" w:lineRule="auto"/>
        <w:rPr>
          <w:rFonts w:ascii="宋体" w:hAnsi="宋体" w:eastAsia="宋体" w:cs="宋体"/>
          <w:b/>
          <w:color w:val="auto"/>
          <w:sz w:val="21"/>
          <w:szCs w:val="21"/>
          <w:highlight w:val="none"/>
          <w:lang w:val="zh-CN"/>
        </w:rPr>
      </w:pPr>
      <w:r>
        <w:rPr>
          <w:rFonts w:hint="eastAsia" w:ascii="宋体" w:hAnsi="宋体" w:eastAsia="宋体" w:cs="宋体"/>
          <w:b/>
          <w:bCs/>
          <w:color w:val="auto"/>
          <w:sz w:val="21"/>
          <w:szCs w:val="21"/>
          <w:highlight w:val="none"/>
          <w:lang w:val="zh-CN"/>
        </w:rPr>
        <w:t xml:space="preserve">10、质疑</w:t>
      </w:r>
      <w:r/>
    </w:p>
    <w:p>
      <w:pPr>
        <w:ind w:firstLine="42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10.</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firstLine="42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10.2根据《政府采购质疑和投诉办法》（财政部第94号令）第十一条规定，提出质疑的供应商应当是参与所质疑项目采购活动的供应商。因此凡是对招标文件提出质疑的供应商，必须是依法获取招标文件，并请将网上报名的报名页面材料</w:t>
      </w:r>
      <w:r>
        <w:rPr>
          <w:rFonts w:hint="eastAsia" w:ascii="宋体" w:hAnsi="宋体" w:eastAsia="宋体" w:cs="宋体"/>
          <w:bCs/>
          <w:color w:val="auto"/>
          <w:sz w:val="21"/>
          <w:szCs w:val="21"/>
          <w:highlight w:val="none"/>
        </w:rPr>
        <w:t xml:space="preserve">（即《投标供应商确认函》）</w:t>
      </w:r>
      <w:r>
        <w:rPr>
          <w:rFonts w:hint="eastAsia" w:ascii="宋体" w:hAnsi="宋体" w:eastAsia="宋体" w:cs="宋体"/>
          <w:color w:val="auto"/>
          <w:sz w:val="21"/>
          <w:szCs w:val="21"/>
          <w:highlight w:val="none"/>
          <w:lang w:val="zh-CN"/>
        </w:rPr>
        <w:t xml:space="preserve">与质疑函一起递交，否则不予受理。</w:t>
      </w:r>
      <w:r/>
    </w:p>
    <w:p>
      <w:pPr>
        <w:ind w:firstLine="42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10.3本次招标文件要求供应商在法定质疑期内一次性提出针对同一采购程序环节的质疑。</w:t>
      </w:r>
      <w:r/>
    </w:p>
    <w:p>
      <w:pPr>
        <w:ind w:firstLine="42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10.4供应商提出质疑应当提交质疑函和必要的证明材料，质疑函应当包括下列内容：</w:t>
      </w:r>
      <w:r/>
    </w:p>
    <w:p>
      <w:pPr>
        <w:ind w:firstLine="42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（1）供应商的姓名或者名称（以营业执照副本复印件为准）、地址、邮编、联系人及联系电话；</w:t>
      </w:r>
      <w:r/>
    </w:p>
    <w:p>
      <w:pPr>
        <w:ind w:firstLine="42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（2）质疑项目的名称、编号；</w:t>
      </w:r>
      <w:r/>
    </w:p>
    <w:p>
      <w:pPr>
        <w:ind w:firstLine="42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（3）具体、明确的质疑事项和与质疑事项相关的请求；</w:t>
      </w:r>
      <w:r/>
    </w:p>
    <w:p>
      <w:pPr>
        <w:ind w:firstLine="42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（4）事实依据；</w:t>
      </w:r>
      <w:r/>
    </w:p>
    <w:p>
      <w:pPr>
        <w:ind w:firstLine="42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（5）必要的法律依据；</w:t>
      </w:r>
      <w:r/>
    </w:p>
    <w:p>
      <w:pPr>
        <w:ind w:firstLine="42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（6）提出质疑的日期；</w:t>
      </w:r>
      <w:r/>
    </w:p>
    <w:p>
      <w:pPr>
        <w:ind w:firstLine="42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（7）供应商参加投标确认函。</w:t>
      </w:r>
      <w:r/>
    </w:p>
    <w:p>
      <w:pPr>
        <w:ind w:firstLine="42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2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10.5接收质疑函的方式：书面形式（当场送达或邮寄方式）。</w:t>
      </w:r>
      <w:r/>
    </w:p>
    <w:p>
      <w:pPr>
        <w:ind w:firstLine="42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质疑联系人：马燕</w:t>
      </w:r>
      <w:r/>
    </w:p>
    <w:p>
      <w:pPr>
        <w:ind w:firstLine="42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联系电话：0512-65615552</w:t>
      </w:r>
      <w:r/>
    </w:p>
    <w:p>
      <w:pPr>
        <w:ind w:firstLine="42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通讯地址：苏州市吴中区木渎镇熙金广场5幢903室。</w:t>
      </w:r>
      <w:r/>
    </w:p>
    <w:p>
      <w:pPr>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四、投标文件说明</w:t>
      </w:r>
      <w:r/>
    </w:p>
    <w:p>
      <w:pPr>
        <w:ind w:left="459" w:hanging="459"/>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11、提示与要求</w:t>
      </w:r>
      <w:r/>
    </w:p>
    <w:p>
      <w:pPr>
        <w:ind w:firstLine="502"/>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8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11.2无论是否递交投标文件，投标人都应将采购文件及相关的所有通知、文件等视为保密文件。</w:t>
      </w:r>
      <w:r/>
    </w:p>
    <w:p>
      <w:pPr>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12、投标文件计量单位和使用文字</w:t>
      </w:r>
      <w:r/>
    </w:p>
    <w:p>
      <w:pPr>
        <w:ind w:firstLine="48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12.1投标文件中所使用的计量单位，除采购文件中有特殊要求外，均应使用中华人民共和国法定计量单位。</w:t>
      </w:r>
      <w:r/>
    </w:p>
    <w:p>
      <w:pPr>
        <w:ind w:firstLine="48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spacing w:line="360" w:lineRule="auto"/>
        <w:rPr>
          <w:rFonts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13. 投标文件的组成（</w:t>
      </w:r>
      <w:r>
        <w:rPr>
          <w:rFonts w:hint="eastAsia" w:ascii="宋体" w:hAnsi="宋体" w:eastAsia="宋体" w:cs="宋体"/>
          <w:b/>
          <w:color w:val="auto"/>
          <w:sz w:val="21"/>
          <w:szCs w:val="21"/>
          <w:highlight w:val="none"/>
        </w:rPr>
        <w:t xml:space="preserve">部分</w:t>
      </w:r>
      <w:r>
        <w:rPr>
          <w:rFonts w:hint="eastAsia" w:ascii="宋体" w:hAnsi="宋体" w:eastAsia="宋体" w:cs="宋体"/>
          <w:b/>
          <w:color w:val="auto"/>
          <w:sz w:val="21"/>
          <w:szCs w:val="21"/>
          <w:highlight w:val="none"/>
          <w:lang w:val="zh-CN"/>
        </w:rPr>
        <w:t xml:space="preserve">文件格式参见第三章）</w:t>
      </w:r>
      <w:r/>
    </w:p>
    <w:p>
      <w:pPr>
        <w:ind w:firstLine="482"/>
        <w:spacing w:line="360" w:lineRule="auto"/>
        <w:rPr>
          <w:rFonts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13.1</w:t>
      </w:r>
      <w:r>
        <w:rPr>
          <w:rFonts w:hint="eastAsia" w:ascii="宋体" w:hAnsi="宋体" w:eastAsia="宋体" w:cs="宋体"/>
          <w:b/>
          <w:color w:val="auto"/>
          <w:sz w:val="21"/>
          <w:szCs w:val="21"/>
          <w:highlight w:val="none"/>
        </w:rPr>
        <w:t xml:space="preserve">封面</w:t>
      </w:r>
      <w:r>
        <w:rPr>
          <w:rFonts w:hint="eastAsia" w:ascii="宋体" w:hAnsi="宋体" w:eastAsia="宋体" w:cs="宋体"/>
          <w:b/>
          <w:color w:val="auto"/>
          <w:sz w:val="21"/>
          <w:szCs w:val="21"/>
          <w:highlight w:val="none"/>
          <w:lang w:val="zh-CN"/>
        </w:rPr>
        <w:t xml:space="preserve">：</w:t>
      </w:r>
      <w:r/>
    </w:p>
    <w:p>
      <w:pPr>
        <w:ind w:firstLine="513"/>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13.2开标一览表(统一格式</w:t>
      </w: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rPr>
        <w:t xml:space="preserve">用于唱标)；</w:t>
      </w:r>
      <w:r/>
    </w:p>
    <w:p>
      <w:pPr>
        <w:ind w:firstLine="513"/>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13.3公开分项报价</w:t>
      </w:r>
      <w:r/>
    </w:p>
    <w:p>
      <w:pPr>
        <w:ind w:firstLine="513"/>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13.4资格审查文件（资格审查文件中不可出现价格内容）</w:t>
      </w:r>
      <w:r/>
    </w:p>
    <w:p>
      <w:pPr>
        <w:ind w:firstLine="511"/>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13.4.1关于资格文件的声明函；</w:t>
      </w:r>
      <w:r/>
    </w:p>
    <w:p>
      <w:pPr>
        <w:ind w:firstLine="511"/>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13.4.2投标单位情况表；</w:t>
      </w:r>
      <w:r/>
    </w:p>
    <w:p>
      <w:pPr>
        <w:ind w:firstLine="511"/>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13.4.3 投标单位《营业执照》副本复印件；</w:t>
      </w:r>
      <w:r/>
    </w:p>
    <w:p>
      <w:pPr>
        <w:ind w:firstLine="511"/>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13.4.4 投标单位法定代表人身份证复印件；</w:t>
      </w:r>
      <w:r/>
    </w:p>
    <w:p>
      <w:pPr>
        <w:ind w:firstLine="511"/>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13.4.5投标单位代理人身份证复印件及授权委托书（若有）；</w:t>
      </w:r>
      <w:r/>
    </w:p>
    <w:p>
      <w:pPr>
        <w:ind w:firstLine="511"/>
        <w:spacing w:line="360" w:lineRule="auto"/>
        <w:rPr>
          <w:rFonts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13.4.6</w:t>
      </w:r>
      <w:r>
        <w:rPr>
          <w:rFonts w:hint="eastAsia" w:ascii="宋体" w:hAnsi="宋体" w:eastAsia="宋体" w:cs="宋体"/>
          <w:color w:val="auto"/>
          <w:sz w:val="21"/>
          <w:szCs w:val="21"/>
          <w:highlight w:val="none"/>
        </w:rPr>
        <w:t xml:space="preserve">具有独立承担民事责任的能力证明。包括法人或者其他组织的营业执照等证明文件，自然人的身份证明；</w:t>
      </w:r>
      <w:r/>
    </w:p>
    <w:p>
      <w:pPr>
        <w:ind w:firstLine="511"/>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13.4.7有依法缴纳税收和社会保障资金的良好记录。如税务登记证（如有）和合理期限内依法缴纳税收的凭据，社会保险登记证（如有）和合理期限内依法缴纳社会保险的凭据（专用收据或社会保险缴纳清单）。</w:t>
      </w:r>
      <w:r/>
    </w:p>
    <w:p>
      <w:pPr>
        <w:ind w:firstLine="511"/>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13.4.8具有良好的商业信誉和健全的财务会计制度证明。包括但不限于最近一期经审计的财务报告，其他组织、自然人及成立未满一年的法人应提供银行出具的资信证明。</w:t>
      </w:r>
      <w:r/>
    </w:p>
    <w:p>
      <w:pPr>
        <w:ind w:firstLine="511"/>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13.4.9参加政府采购活动前三年内，在经营活动中没有重大违法记录的书面声明函。</w:t>
      </w:r>
      <w:r/>
    </w:p>
    <w:p>
      <w:pPr>
        <w:ind w:firstLine="511"/>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13.4.10响应单位证明其满足合格投标人条件的证书、证明、文件等资料以及响应单位所具备的专业设备和专业技术能力，（根据《中华人民共和国企业法人登记管理条例》第十三条及相关部门规章的规定，企业法人性质的政府采购投标单位应在经工商管理部门核准登记注册的经营范围内参与经营活动）</w:t>
      </w:r>
      <w:r/>
    </w:p>
    <w:p>
      <w:pPr>
        <w:ind w:firstLine="513"/>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13.5符合性审查文件（符合性审查文件中不可出现价格内容）</w:t>
      </w:r>
      <w:r/>
    </w:p>
    <w:p>
      <w:pPr>
        <w:ind w:firstLine="480"/>
        <w:spacing w:line="360" w:lineRule="auto"/>
        <w:tabs>
          <w:tab w:val="left" w:pos="8930" w:leader="none"/>
          <w:tab w:val="left" w:pos="9306"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13.5.1</w:t>
      </w:r>
      <w:r>
        <w:rPr>
          <w:rFonts w:hint="eastAsia" w:ascii="宋体" w:hAnsi="宋体" w:eastAsia="宋体" w:cs="宋体"/>
          <w:bCs/>
          <w:color w:val="auto"/>
          <w:sz w:val="21"/>
          <w:szCs w:val="21"/>
          <w:highlight w:val="none"/>
        </w:rPr>
        <w:t xml:space="preserve">投标函</w:t>
      </w:r>
      <w:r>
        <w:rPr>
          <w:rFonts w:hint="eastAsia" w:ascii="宋体" w:hAnsi="宋体" w:eastAsia="宋体" w:cs="宋体"/>
          <w:color w:val="auto"/>
          <w:sz w:val="21"/>
          <w:szCs w:val="21"/>
          <w:highlight w:val="none"/>
        </w:rPr>
        <w:t xml:space="preserve">；</w:t>
      </w:r>
      <w:r/>
    </w:p>
    <w:p>
      <w:pPr>
        <w:ind w:firstLine="480"/>
        <w:spacing w:line="360" w:lineRule="auto"/>
        <w:tabs>
          <w:tab w:val="left" w:pos="8930" w:leader="none"/>
          <w:tab w:val="left" w:pos="9306"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13.5.2《条款偏离表》；</w:t>
      </w:r>
      <w:r/>
    </w:p>
    <w:p>
      <w:pPr>
        <w:ind w:firstLine="480"/>
        <w:spacing w:line="360" w:lineRule="auto"/>
        <w:tabs>
          <w:tab w:val="left" w:pos="8930" w:leader="none"/>
          <w:tab w:val="left" w:pos="9306"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13.5.3项目服务人员配置表；</w:t>
      </w:r>
      <w:r/>
    </w:p>
    <w:p>
      <w:pPr>
        <w:ind w:firstLine="480"/>
        <w:spacing w:line="360" w:lineRule="auto"/>
        <w:tabs>
          <w:tab w:val="left" w:pos="8930" w:leader="none"/>
          <w:tab w:val="left" w:pos="9306"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13.5.4其他有关符合性证明的文件（若有）；</w:t>
      </w:r>
      <w:r/>
    </w:p>
    <w:p>
      <w:pPr>
        <w:ind w:firstLine="482"/>
        <w:spacing w:line="360" w:lineRule="auto"/>
        <w:tabs>
          <w:tab w:val="left" w:pos="8930" w:leader="none"/>
          <w:tab w:val="left" w:pos="9306" w:leader="none"/>
        </w:tabs>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13.6综合评审文件：</w:t>
      </w:r>
      <w:r/>
    </w:p>
    <w:p>
      <w:pPr>
        <w:ind w:firstLine="480"/>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13.6.1评分标准中所涉及到的各项方案、相关制度及其他材料、证明等。</w:t>
      </w:r>
      <w:r/>
    </w:p>
    <w:p>
      <w:pPr>
        <w:pStyle w:val="801"/>
        <w:ind w:firstLine="422"/>
        <w:spacing w:line="360" w:lineRule="auto"/>
        <w:rPr>
          <w:rFonts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注：（1）以上13.4为资格审查要求提供的材料，是作为对供应商资格审查、质疑身份认定的依据，投标人必须提供并加盖电子公章。否则，投标文件将被认定为不符合资格审查要求。</w:t>
      </w:r>
      <w:r/>
    </w:p>
    <w:p>
      <w:pPr>
        <w:pStyle w:val="801"/>
        <w:ind w:firstLine="422"/>
        <w:spacing w:line="360" w:lineRule="auto"/>
        <w:rPr>
          <w:rFonts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（2）以上13.5为符合性审查须提供的资料，投标人必须提供并加盖电子公章。否则，投标文件将被认定为未实质性响应。</w:t>
      </w:r>
      <w:r/>
    </w:p>
    <w:p>
      <w:pPr>
        <w:pStyle w:val="801"/>
        <w:ind w:firstLine="422"/>
        <w:spacing w:line="360" w:lineRule="auto"/>
        <w:rPr>
          <w:rFonts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（3）“13.4-13.6”中不得出现投标总报价。投标人所提交的资料的完整与否，将直接影响投标人的评分。</w:t>
      </w:r>
      <w:r/>
    </w:p>
    <w:p>
      <w:pPr>
        <w:pStyle w:val="801"/>
        <w:ind w:firstLine="422"/>
        <w:spacing w:line="360" w:lineRule="auto"/>
        <w:rPr>
          <w:rFonts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（4）制作电子投标文件时必须与投标文件制作软件目录一一对应，将相关资料上传至相应模块。</w:t>
      </w:r>
      <w:r/>
    </w:p>
    <w:p>
      <w:pPr>
        <w:pStyle w:val="801"/>
        <w:ind w:firstLine="422"/>
        <w:spacing w:line="360" w:lineRule="auto"/>
        <w:rPr>
          <w:rFonts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firstLine="420"/>
        <w:jc w:val="left"/>
        <w:spacing w:line="360" w:lineRule="auto"/>
        <w:rPr>
          <w:rFonts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 xml:space="preserve">（6）</w:t>
      </w:r>
      <w:r>
        <w:rPr>
          <w:rFonts w:hint="eastAsia" w:ascii="宋体" w:hAnsi="宋体" w:eastAsia="宋体" w:cs="宋体"/>
          <w:bCs/>
          <w:color w:val="auto"/>
          <w:sz w:val="21"/>
          <w:szCs w:val="21"/>
          <w:highlight w:val="none"/>
        </w:rPr>
        <w:t xml:space="preserve">本项目采用电子招投标形式，请供应商按照《苏采云系统供应商操作手册》进行制作、上传电子响应文件。</w:t>
      </w:r>
      <w:r>
        <w:rPr>
          <w:rFonts w:hint="eastAsia" w:ascii="宋体" w:hAnsi="宋体" w:eastAsia="宋体" w:cs="宋体"/>
          <w:b/>
          <w:bCs/>
          <w:color w:val="auto"/>
          <w:sz w:val="21"/>
          <w:szCs w:val="21"/>
          <w:highlight w:val="none"/>
        </w:rPr>
        <w:t xml:space="preserve">电子响应文件制作完成后请于响应文件递交截止时间前成功上传至“苏采云”系统，否则视为放弃参加该采购项目。</w:t>
      </w:r>
      <w:r>
        <w:rPr>
          <w:rFonts w:hint="eastAsia" w:ascii="宋体" w:hAnsi="宋体" w:eastAsia="宋体" w:cs="宋体"/>
          <w:bCs/>
          <w:color w:val="auto"/>
          <w:sz w:val="21"/>
          <w:szCs w:val="21"/>
          <w:highlight w:val="none"/>
        </w:rPr>
        <w:t xml:space="preserve">供应商应充分考虑到网络环境、网络带宽等风险因素，如因供应商自身原因造成的电子响应文件上传不成功由供应商自行承担全部责任。</w:t>
      </w:r>
      <w:r/>
    </w:p>
    <w:p>
      <w:pPr>
        <w:ind w:firstLine="470"/>
        <w:spacing w:line="360" w:lineRule="auto"/>
        <w:rPr>
          <w:rFonts w:ascii="宋体" w:hAnsi="宋体" w:eastAsia="宋体" w:cs="宋体"/>
          <w:b/>
          <w:color w:val="auto"/>
          <w:sz w:val="21"/>
          <w:szCs w:val="21"/>
          <w:highlight w:val="none"/>
        </w:rPr>
        <w:outlineLvl w:val="0"/>
      </w:pPr>
      <w:r>
        <w:rPr>
          <w:rFonts w:hint="eastAsia" w:ascii="宋体" w:hAnsi="宋体" w:eastAsia="宋体" w:cs="宋体"/>
          <w:color w:val="auto"/>
          <w:sz w:val="21"/>
          <w:szCs w:val="21"/>
          <w:highlight w:val="none"/>
        </w:rPr>
        <w:t xml:space="preserve">（7）如投标（响应）文件制作机器码信息一致，视为不同投标供应商使用同一台电脑编制投标（响应）文件，投标（响应）无效。</w:t>
      </w:r>
      <w:r/>
    </w:p>
    <w:p>
      <w:pPr>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14、投标文件编制要求</w:t>
      </w:r>
      <w:r/>
    </w:p>
    <w:p>
      <w:pPr>
        <w:ind w:firstLine="47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lang w:val="zh-CN"/>
        </w:rPr>
        <w:t xml:space="preserve">14.1本项目采用电子招投标形式，请供应商按照《苏采云系统供应商操作手册》进行制作、上传电子投标文件。</w:t>
      </w:r>
      <w:r/>
    </w:p>
    <w:p>
      <w:pPr>
        <w:ind w:firstLine="502"/>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14.2《开标一览表》为在开标仪式上唱标的内容，要求按格式填写，统一规范，不得自行增减内容。</w:t>
      </w:r>
      <w:r/>
    </w:p>
    <w:p>
      <w:pPr>
        <w:pStyle w:val="801"/>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14.3</w:t>
      </w:r>
      <w:r>
        <w:rPr>
          <w:rFonts w:hint="eastAsia" w:ascii="宋体" w:hAnsi="宋体" w:eastAsia="宋体" w:cs="宋体"/>
          <w:b/>
          <w:bCs/>
          <w:color w:val="auto"/>
          <w:sz w:val="21"/>
          <w:szCs w:val="21"/>
          <w:highlight w:val="none"/>
          <w:lang w:val="en-US"/>
        </w:rPr>
        <w:t xml:space="preserve">电子投标文件制作完成后请于投标文件网上提交截止时间前成功上传至“苏采云”系统，否则视为放弃参加该采购项目。</w:t>
      </w:r>
      <w:bookmarkStart w:id="6" w:name="_Toc25608"/>
      <w:r/>
      <w:bookmarkStart w:id="7" w:name="_Toc31150"/>
      <w:r>
        <w:rPr>
          <w:rFonts w:hint="eastAsia" w:ascii="宋体" w:hAnsi="宋体" w:eastAsia="宋体" w:cs="宋体"/>
          <w:color w:val="auto"/>
          <w:sz w:val="21"/>
          <w:szCs w:val="21"/>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6"/>
      <w:r/>
      <w:bookmarkEnd w:id="7"/>
      <w:r/>
      <w:r/>
    </w:p>
    <w:p>
      <w:pPr>
        <w:ind w:firstLine="472"/>
        <w:spacing w:line="360" w:lineRule="auto"/>
        <w:rPr>
          <w:rFonts w:ascii="宋体" w:hAnsi="宋体" w:eastAsia="宋体" w:cs="宋体"/>
          <w:bCs/>
          <w:color w:val="auto"/>
          <w:sz w:val="21"/>
          <w:szCs w:val="21"/>
          <w:highlight w:val="none"/>
        </w:rPr>
      </w:pPr>
      <w:r>
        <w:rPr>
          <w:rFonts w:hint="eastAsia" w:ascii="宋体" w:hAnsi="宋体" w:eastAsia="宋体" w:cs="宋体"/>
          <w:b/>
          <w:bCs/>
          <w:color w:val="auto"/>
          <w:sz w:val="21"/>
          <w:szCs w:val="21"/>
          <w:highlight w:val="none"/>
        </w:rPr>
        <w:t xml:space="preserve">14.3 投标报价（编制）要求的说明</w:t>
      </w:r>
      <w:r/>
    </w:p>
    <w:p>
      <w:pPr>
        <w:ind w:firstLine="502"/>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14.3.1除非合同中另有规定，投标人对《</w:t>
      </w:r>
      <w:r>
        <w:rPr>
          <w:rFonts w:hint="eastAsia" w:ascii="宋体" w:hAnsi="宋体" w:eastAsia="宋体" w:cs="宋体"/>
          <w:color w:val="auto"/>
          <w:sz w:val="21"/>
          <w:szCs w:val="21"/>
          <w:highlight w:val="none"/>
        </w:rPr>
        <w:t xml:space="preserve">开标一览表</w:t>
      </w:r>
      <w:r>
        <w:rPr>
          <w:rFonts w:hint="eastAsia" w:ascii="宋体" w:hAnsi="宋体" w:eastAsia="宋体" w:cs="宋体"/>
          <w:color w:val="auto"/>
          <w:sz w:val="21"/>
          <w:szCs w:val="21"/>
          <w:highlight w:val="none"/>
          <w:lang w:val="zh-CN"/>
        </w:rPr>
        <w:t xml:space="preserve">》中的全部内容的报价应包括</w:t>
      </w:r>
      <w:r>
        <w:rPr>
          <w:rFonts w:hint="eastAsia" w:ascii="宋体" w:hAnsi="宋体" w:eastAsia="宋体"/>
          <w:color w:val="auto"/>
          <w:sz w:val="21"/>
          <w:szCs w:val="21"/>
          <w:highlight w:val="none"/>
        </w:rPr>
        <w:t xml:space="preserve">服务</w:t>
      </w:r>
      <w:r>
        <w:rPr>
          <w:rFonts w:ascii="宋体" w:hAnsi="宋体" w:eastAsia="宋体"/>
          <w:color w:val="auto"/>
          <w:sz w:val="21"/>
          <w:szCs w:val="21"/>
          <w:highlight w:val="none"/>
        </w:rPr>
        <w:t xml:space="preserve">所需的</w:t>
      </w:r>
      <w:r>
        <w:rPr>
          <w:rFonts w:hint="eastAsia" w:ascii="宋体" w:hAnsi="宋体" w:eastAsia="宋体"/>
          <w:color w:val="auto"/>
          <w:sz w:val="21"/>
          <w:szCs w:val="21"/>
          <w:highlight w:val="none"/>
        </w:rPr>
        <w:t xml:space="preserve">一切费用</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包括但不限于完成</w:t>
      </w:r>
      <w:r>
        <w:rPr>
          <w:rFonts w:hint="eastAsia" w:ascii="宋体" w:hAnsi="宋体" w:eastAsia="宋体" w:cs="宋体"/>
          <w:color w:val="auto"/>
          <w:sz w:val="21"/>
          <w:szCs w:val="21"/>
          <w:highlight w:val="none"/>
        </w:rPr>
        <w:t xml:space="preserve">本项目所需的相关设备、劳务、管理、材料、安装、调试、维护、培训、制作图的修改和确认、方案交流、图纸审核、施工、制作、垃圾清扫和搬运、成品保护、建筑物修复、有关部门的检测、检验、验收、保险、利润、税金、中标服务费、政策性文件规定及本项目包含的所有风险、责任等各项应有费用</w:t>
      </w:r>
      <w:r>
        <w:rPr>
          <w:rFonts w:hint="eastAsia" w:ascii="宋体" w:hAnsi="宋体" w:eastAsia="宋体" w:cs="宋体"/>
          <w:color w:val="auto"/>
          <w:sz w:val="21"/>
          <w:szCs w:val="21"/>
          <w:highlight w:val="none"/>
          <w:lang w:val="zh-CN"/>
        </w:rPr>
        <w:t xml:space="preserve">。同时，除非合同条款中另有规定，否则，投标人所报价格在合同实施期间不因市场变化因素而变动。</w:t>
      </w:r>
      <w:r/>
    </w:p>
    <w:p>
      <w:pPr>
        <w:ind w:firstLine="502"/>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14.3.2投标人应按《公开分项报价》中的全部内容计算单价和总价。《公开分项报价》中的每一单项均应计算并填写单价和总价，并由法定代表人或代理人签署。</w:t>
      </w:r>
      <w:r/>
    </w:p>
    <w:p>
      <w:pPr>
        <w:ind w:firstLine="502"/>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14.3.3投标人应对采购文件内所要采购的全部内容进行报价，只投其中部分内容者，其标书将被拒绝。但如果采购文件要求分标段投标的，则各标段应分别计算填写单价和总价。</w:t>
      </w:r>
      <w:r/>
    </w:p>
    <w:p>
      <w:pPr>
        <w:ind w:firstLine="502"/>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14.3.4 一项投标内容只允许一个报价，采购代理机构不接受任何有选择性的投标报价。</w:t>
      </w:r>
      <w:r/>
    </w:p>
    <w:p>
      <w:pPr>
        <w:ind w:firstLine="502"/>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14.3.5投标文件报价中的单价和总价全部采用人民币表示，除非合同的特殊条款另有规定。</w:t>
      </w:r>
      <w:r/>
    </w:p>
    <w:p>
      <w:pPr>
        <w:ind w:firstLine="502"/>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14.3.6最低的投标报价或最高的折扣比例是中标的重要条件，但不是中标的唯一条件。</w:t>
      </w:r>
      <w:r/>
    </w:p>
    <w:p>
      <w:pPr>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15、投标文件的签署</w:t>
      </w:r>
      <w:r/>
    </w:p>
    <w:p>
      <w:pPr>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投标文件每一页均应加盖供应商电子签章.</w:t>
      </w:r>
      <w:r/>
    </w:p>
    <w:p>
      <w:pPr>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16、投标保证金</w:t>
      </w:r>
      <w:r/>
    </w:p>
    <w:p>
      <w:pPr>
        <w:ind w:firstLine="48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本项目不收取投标保证金</w:t>
      </w:r>
      <w:r/>
    </w:p>
    <w:p>
      <w:pPr>
        <w:spacing w:line="360" w:lineRule="auto"/>
        <w:rPr>
          <w:rFonts w:ascii="宋体" w:hAnsi="宋体" w:eastAsia="宋体" w:cs="宋体"/>
          <w:b/>
          <w:color w:val="auto"/>
          <w:sz w:val="21"/>
          <w:szCs w:val="21"/>
          <w:highlight w:val="none"/>
        </w:rPr>
      </w:pPr>
      <w:r>
        <w:rPr>
          <w:rFonts w:hint="eastAsia" w:ascii="宋体" w:hAnsi="宋体" w:eastAsia="宋体" w:cs="宋体"/>
          <w:b/>
          <w:bCs/>
          <w:color w:val="auto"/>
          <w:sz w:val="21"/>
          <w:szCs w:val="21"/>
          <w:highlight w:val="none"/>
          <w:lang w:val="zh-CN"/>
        </w:rPr>
        <w:t xml:space="preserve">17、投标文件的有效期</w:t>
      </w:r>
      <w:r/>
    </w:p>
    <w:p>
      <w:pPr>
        <w:ind w:firstLine="48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17.1自投标截止时间之日起</w:t>
      </w:r>
      <w:r>
        <w:rPr>
          <w:rFonts w:hint="eastAsia" w:ascii="宋体" w:hAnsi="宋体" w:eastAsia="宋体" w:cs="宋体"/>
          <w:color w:val="auto"/>
          <w:sz w:val="21"/>
          <w:szCs w:val="21"/>
          <w:highlight w:val="none"/>
        </w:rPr>
        <w:t xml:space="preserve">90</w:t>
      </w:r>
      <w:r>
        <w:rPr>
          <w:rFonts w:hint="eastAsia" w:ascii="宋体" w:hAnsi="宋体" w:eastAsia="宋体" w:cs="宋体"/>
          <w:color w:val="auto"/>
          <w:sz w:val="21"/>
          <w:szCs w:val="21"/>
          <w:highlight w:val="none"/>
          <w:lang w:val="zh-CN"/>
        </w:rPr>
        <w:t xml:space="preserve">天，投标书应保持有效。有效期短于这个规定期限的投标，将被拒绝。</w:t>
      </w:r>
      <w:r/>
    </w:p>
    <w:p>
      <w:pPr>
        <w:ind w:firstLine="48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17.2在特殊情况下，采购代理机构可与投标人协商延长投标书的有效期。这种要求和答复都应以书面、传真的形式进行。</w:t>
      </w:r>
      <w:r/>
    </w:p>
    <w:p>
      <w:pPr>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五、</w:t>
      </w:r>
      <w:r>
        <w:rPr>
          <w:rFonts w:hint="eastAsia" w:ascii="宋体" w:hAnsi="宋体" w:eastAsia="宋体" w:cs="宋体"/>
          <w:b/>
          <w:color w:val="auto"/>
          <w:sz w:val="21"/>
          <w:szCs w:val="21"/>
          <w:highlight w:val="none"/>
        </w:rPr>
        <w:t xml:space="preserve">投标文件的递交、补充、修改和撤回</w:t>
      </w:r>
      <w:r/>
    </w:p>
    <w:p>
      <w:pPr>
        <w:pStyle w:val="801"/>
        <w:ind w:firstLine="422"/>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rPr>
        <w:t xml:space="preserve">18、</w:t>
      </w:r>
      <w:r>
        <w:rPr>
          <w:rFonts w:hint="eastAsia" w:ascii="宋体" w:hAnsi="宋体" w:eastAsia="宋体" w:cs="宋体"/>
          <w:b/>
          <w:color w:val="auto"/>
          <w:sz w:val="21"/>
          <w:szCs w:val="21"/>
          <w:highlight w:val="none"/>
        </w:rPr>
        <w:t xml:space="preserve">投标文件的递交</w:t>
      </w:r>
      <w:r/>
    </w:p>
    <w:p>
      <w:pPr>
        <w:pStyle w:val="801"/>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18</w:t>
      </w:r>
      <w:r>
        <w:rPr>
          <w:rFonts w:hint="eastAsia" w:ascii="宋体" w:hAnsi="宋体" w:eastAsia="宋体" w:cs="宋体"/>
          <w:color w:val="auto"/>
          <w:sz w:val="21"/>
          <w:szCs w:val="21"/>
          <w:highlight w:val="none"/>
        </w:rPr>
        <w:t xml:space="preserve">.1投标人应当在在投标截止时间前制作并上传电子投标文件。</w:t>
      </w:r>
      <w:r/>
    </w:p>
    <w:p>
      <w:pPr>
        <w:pStyle w:val="1312"/>
        <w:ind w:firstLine="480"/>
        <w:spacing w:line="360" w:lineRule="auto"/>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18.2投标人通过</w:t>
      </w:r>
      <w:r>
        <w:rPr>
          <w:rFonts w:hint="eastAsia" w:ascii="宋体" w:hAnsi="宋体" w:eastAsia="宋体" w:cs="宋体"/>
          <w:b/>
          <w:bCs/>
          <w:color w:val="auto"/>
          <w:sz w:val="21"/>
          <w:szCs w:val="21"/>
          <w:highlight w:val="none"/>
        </w:rPr>
        <w:t xml:space="preserve">“苏采云”系统不见面开标大厅在线参与开标活动。（具体操作详见《苏采云系统供应商操作手册》，网址链接https://czju.suzhou.gov.cn/zfcg/html/content/20231220161910031.shtml）</w:t>
      </w:r>
      <w:r/>
    </w:p>
    <w:p>
      <w:pPr>
        <w:pStyle w:val="801"/>
        <w:ind w:firstLine="422"/>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rPr>
        <w:t xml:space="preserve">19、</w:t>
      </w:r>
      <w:r>
        <w:rPr>
          <w:rFonts w:hint="eastAsia" w:ascii="宋体" w:hAnsi="宋体" w:eastAsia="宋体" w:cs="宋体"/>
          <w:b/>
          <w:color w:val="auto"/>
          <w:sz w:val="21"/>
          <w:szCs w:val="21"/>
          <w:highlight w:val="none"/>
        </w:rPr>
        <w:t xml:space="preserve">投标截止时间</w:t>
      </w:r>
      <w:r/>
    </w:p>
    <w:p>
      <w:pPr>
        <w:pStyle w:val="801"/>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19</w:t>
      </w:r>
      <w:r>
        <w:rPr>
          <w:rFonts w:hint="eastAsia" w:ascii="宋体" w:hAnsi="宋体" w:eastAsia="宋体" w:cs="宋体"/>
          <w:color w:val="auto"/>
          <w:sz w:val="21"/>
          <w:szCs w:val="21"/>
          <w:highlight w:val="none"/>
        </w:rPr>
        <w:t xml:space="preserve">.1投标人应当在招标文件要求投标文件网上提交截止时间前，将投标文件完成提交（上传）。逾期提交（上传）的投标文件，采购人和采购代理机构拒绝接收。</w:t>
      </w:r>
      <w:r/>
    </w:p>
    <w:p>
      <w:pPr>
        <w:pStyle w:val="801"/>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19</w:t>
      </w:r>
      <w:r>
        <w:rPr>
          <w:rFonts w:hint="eastAsia" w:ascii="宋体" w:hAnsi="宋体" w:eastAsia="宋体" w:cs="宋体"/>
          <w:color w:val="auto"/>
          <w:sz w:val="21"/>
          <w:szCs w:val="21"/>
          <w:highlight w:val="none"/>
        </w:rPr>
        <w:t xml:space="preserve">.2采购人和采购代理机构推迟投标截止时间时，将按规定的更正公告的方式对外发布。在这种情况下，采购人、采购代理机构和投标人的权利和义务将受到新的截止期的约束。</w:t>
      </w:r>
      <w:r/>
    </w:p>
    <w:p>
      <w:pPr>
        <w:pStyle w:val="801"/>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19</w:t>
      </w:r>
      <w:r>
        <w:rPr>
          <w:rFonts w:hint="eastAsia" w:ascii="宋体" w:hAnsi="宋体" w:eastAsia="宋体" w:cs="宋体"/>
          <w:color w:val="auto"/>
          <w:sz w:val="21"/>
          <w:szCs w:val="21"/>
          <w:highlight w:val="none"/>
        </w:rPr>
        <w:t xml:space="preserve">.3在投标截止时间</w:t>
      </w:r>
      <w:r>
        <w:rPr>
          <w:rFonts w:hint="eastAsia" w:ascii="宋体" w:hAnsi="宋体" w:eastAsia="宋体" w:cs="宋体"/>
          <w:color w:val="auto"/>
          <w:sz w:val="21"/>
          <w:szCs w:val="21"/>
          <w:highlight w:val="none"/>
          <w:lang w:val="en-US"/>
        </w:rPr>
        <w:t xml:space="preserve">投标单位少于三家的</w:t>
      </w:r>
      <w:r>
        <w:rPr>
          <w:rFonts w:hint="eastAsia" w:ascii="宋体" w:hAnsi="宋体" w:eastAsia="宋体" w:cs="宋体"/>
          <w:color w:val="auto"/>
          <w:sz w:val="21"/>
          <w:szCs w:val="21"/>
          <w:highlight w:val="none"/>
        </w:rPr>
        <w:t xml:space="preserve">，采购代理机构有权宣布本次招标失败。</w:t>
      </w:r>
      <w:r/>
    </w:p>
    <w:p>
      <w:pPr>
        <w:pStyle w:val="801"/>
        <w:ind w:firstLine="422"/>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rPr>
        <w:t xml:space="preserve">20</w:t>
      </w:r>
      <w:r>
        <w:rPr>
          <w:rFonts w:hint="eastAsia" w:ascii="宋体" w:hAnsi="宋体" w:eastAsia="宋体" w:cs="宋体"/>
          <w:b/>
          <w:color w:val="auto"/>
          <w:sz w:val="21"/>
          <w:szCs w:val="21"/>
          <w:highlight w:val="none"/>
        </w:rPr>
        <w:t xml:space="preserve">.投标文件的补充、修改和撤回</w:t>
      </w:r>
      <w:r/>
    </w:p>
    <w:p>
      <w:pPr>
        <w:pStyle w:val="801"/>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20</w:t>
      </w:r>
      <w:r>
        <w:rPr>
          <w:rFonts w:hint="eastAsia" w:ascii="宋体" w:hAnsi="宋体" w:eastAsia="宋体" w:cs="宋体"/>
          <w:color w:val="auto"/>
          <w:sz w:val="21"/>
          <w:szCs w:val="21"/>
          <w:highlight w:val="none"/>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p>
    <w:p>
      <w:pPr>
        <w:pStyle w:val="801"/>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20</w:t>
      </w:r>
      <w:r>
        <w:rPr>
          <w:rFonts w:hint="eastAsia" w:ascii="宋体" w:hAnsi="宋体" w:eastAsia="宋体" w:cs="宋体"/>
          <w:color w:val="auto"/>
          <w:sz w:val="21"/>
          <w:szCs w:val="21"/>
          <w:highlight w:val="none"/>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六、开标和评标</w:t>
      </w:r>
      <w:r/>
    </w:p>
    <w:p>
      <w:pPr>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21</w:t>
      </w:r>
      <w:r>
        <w:rPr>
          <w:rFonts w:hint="eastAsia" w:ascii="宋体" w:hAnsi="宋体" w:eastAsia="宋体" w:cs="宋体"/>
          <w:b/>
          <w:bCs/>
          <w:color w:val="auto"/>
          <w:sz w:val="21"/>
          <w:szCs w:val="21"/>
          <w:highlight w:val="none"/>
          <w:lang w:val="zh-CN"/>
        </w:rPr>
        <w:t xml:space="preserve">、开标</w:t>
      </w:r>
      <w:r/>
    </w:p>
    <w:p>
      <w:pPr>
        <w:pStyle w:val="801"/>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21.1</w:t>
      </w:r>
      <w:r>
        <w:rPr>
          <w:rFonts w:hint="eastAsia" w:ascii="宋体" w:hAnsi="宋体" w:eastAsia="宋体" w:cs="宋体"/>
          <w:color w:val="auto"/>
          <w:sz w:val="21"/>
          <w:szCs w:val="21"/>
          <w:highlight w:val="none"/>
        </w:rPr>
        <w:t xml:space="preserve">开标由采购代理机构</w:t>
      </w:r>
      <w:r>
        <w:rPr>
          <w:rFonts w:hint="eastAsia" w:ascii="宋体" w:hAnsi="宋体" w:eastAsia="宋体" w:cs="宋体"/>
          <w:color w:val="auto"/>
          <w:sz w:val="21"/>
          <w:szCs w:val="21"/>
          <w:highlight w:val="none"/>
          <w:lang w:val="en-US"/>
        </w:rPr>
        <w:t xml:space="preserve">在线</w:t>
      </w:r>
      <w:r>
        <w:rPr>
          <w:rFonts w:hint="eastAsia" w:ascii="宋体" w:hAnsi="宋体" w:eastAsia="宋体" w:cs="宋体"/>
          <w:color w:val="auto"/>
          <w:sz w:val="21"/>
          <w:szCs w:val="21"/>
          <w:highlight w:val="none"/>
        </w:rPr>
        <w:t xml:space="preserve">主持，邀请投标人</w:t>
      </w:r>
      <w:r>
        <w:rPr>
          <w:rFonts w:hint="eastAsia" w:ascii="宋体" w:hAnsi="宋体" w:eastAsia="宋体" w:cs="宋体"/>
          <w:color w:val="auto"/>
          <w:sz w:val="21"/>
          <w:szCs w:val="21"/>
          <w:highlight w:val="none"/>
          <w:lang w:val="en-US"/>
        </w:rPr>
        <w:t xml:space="preserve">在线</w:t>
      </w:r>
      <w:r>
        <w:rPr>
          <w:rFonts w:hint="eastAsia" w:ascii="宋体" w:hAnsi="宋体" w:eastAsia="宋体" w:cs="宋体"/>
          <w:color w:val="auto"/>
          <w:sz w:val="21"/>
          <w:szCs w:val="21"/>
          <w:highlight w:val="none"/>
        </w:rPr>
        <w:t xml:space="preserve">参加。投标人应当按照《苏采云系统供应商操作手册》规定，</w:t>
      </w:r>
      <w:r>
        <w:rPr>
          <w:rFonts w:hint="eastAsia" w:ascii="宋体" w:hAnsi="宋体" w:eastAsia="宋体" w:cs="宋体"/>
          <w:b/>
          <w:color w:val="auto"/>
          <w:sz w:val="21"/>
          <w:szCs w:val="21"/>
          <w:highlight w:val="none"/>
        </w:rPr>
        <w:t xml:space="preserve">参加开标活动和在“苏采云”系统规定的时间内对投标文件进行解密</w:t>
      </w:r>
      <w:r>
        <w:rPr>
          <w:rFonts w:hint="eastAsia" w:ascii="宋体" w:hAnsi="宋体" w:eastAsia="宋体" w:cs="宋体"/>
          <w:color w:val="auto"/>
          <w:sz w:val="21"/>
          <w:szCs w:val="21"/>
          <w:highlight w:val="none"/>
        </w:rPr>
        <w:t xml:space="preserve">。评标委员会成员不得参加开标活动。</w:t>
      </w:r>
      <w:r/>
    </w:p>
    <w:p>
      <w:pPr>
        <w:ind w:firstLine="48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21.3</w:t>
      </w:r>
      <w:r>
        <w:rPr>
          <w:rFonts w:hint="eastAsia" w:ascii="宋体" w:hAnsi="宋体" w:eastAsia="宋体" w:cs="宋体"/>
          <w:color w:val="auto"/>
          <w:sz w:val="21"/>
          <w:szCs w:val="21"/>
          <w:highlight w:val="none"/>
          <w:lang w:val="zh-CN"/>
        </w:rPr>
        <w:t xml:space="preserve">投标人代表未参加开标的，视同认可开标结果。</w:t>
      </w:r>
      <w:r/>
    </w:p>
    <w:p>
      <w:pPr>
        <w:spacing w:line="360" w:lineRule="auto"/>
        <w:rPr>
          <w:rFonts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2</w:t>
      </w:r>
      <w:r>
        <w:rPr>
          <w:rFonts w:hint="eastAsia" w:ascii="宋体" w:hAnsi="宋体" w:eastAsia="宋体" w:cs="宋体"/>
          <w:b/>
          <w:color w:val="auto"/>
          <w:sz w:val="21"/>
          <w:szCs w:val="21"/>
          <w:highlight w:val="none"/>
        </w:rPr>
        <w:t xml:space="preserve">2</w:t>
      </w:r>
      <w:r>
        <w:rPr>
          <w:rFonts w:hint="eastAsia" w:ascii="宋体" w:hAnsi="宋体" w:eastAsia="宋体" w:cs="宋体"/>
          <w:b/>
          <w:color w:val="auto"/>
          <w:sz w:val="21"/>
          <w:szCs w:val="21"/>
          <w:highlight w:val="none"/>
          <w:lang w:val="zh-CN"/>
        </w:rPr>
        <w:t xml:space="preserve">、资格审查</w:t>
      </w:r>
      <w:r/>
    </w:p>
    <w:p>
      <w:pPr>
        <w:ind w:firstLine="482"/>
        <w:spacing w:line="360" w:lineRule="auto"/>
        <w:rPr>
          <w:rFonts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2</w:t>
      </w:r>
      <w:r>
        <w:rPr>
          <w:rFonts w:hint="eastAsia" w:ascii="宋体" w:hAnsi="宋体" w:eastAsia="宋体" w:cs="宋体"/>
          <w:b/>
          <w:color w:val="auto"/>
          <w:sz w:val="21"/>
          <w:szCs w:val="21"/>
          <w:highlight w:val="none"/>
        </w:rPr>
        <w:t xml:space="preserve">2</w:t>
      </w:r>
      <w:r>
        <w:rPr>
          <w:rFonts w:hint="eastAsia" w:ascii="宋体" w:hAnsi="宋体" w:eastAsia="宋体" w:cs="宋体"/>
          <w:b/>
          <w:color w:val="auto"/>
          <w:sz w:val="21"/>
          <w:szCs w:val="21"/>
          <w:highlight w:val="none"/>
          <w:lang w:val="zh-CN"/>
        </w:rPr>
        <w:t xml:space="preserve">.1公开招标采购项目开标结束后，采购人或者采购代理机构应当依法对投标人的资格进行审查，未通过资格审查的视为无效投标。</w:t>
      </w:r>
      <w:r/>
    </w:p>
    <w:p>
      <w:pPr>
        <w:ind w:firstLine="439"/>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ind w:firstLine="439"/>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.2.1查询时间：投标文件递交截止时间之后。</w:t>
      </w:r>
      <w:r/>
    </w:p>
    <w:p>
      <w:pPr>
        <w:ind w:firstLine="48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.2.2查询渠道：</w:t>
      </w:r>
      <w:r>
        <w:rPr>
          <w:rFonts w:hint="eastAsia" w:ascii="宋体" w:hAnsi="宋体" w:eastAsia="宋体" w:cs="宋体"/>
          <w:bCs/>
          <w:color w:val="auto"/>
          <w:sz w:val="21"/>
          <w:szCs w:val="21"/>
          <w:highlight w:val="none"/>
        </w:rPr>
        <w:t xml:space="preserve">采购代理机构会在接收投标文件截止时间后，在中国政府采购网（www.ccgp.gov.cn）、信用中国（www.creditchina.gov.cn）、信用江苏（</w:t>
      </w:r>
      <w:r>
        <w:rPr>
          <w:color w:val="auto"/>
          <w:highlight w:val="none"/>
        </w:rPr>
        <w:fldChar w:fldCharType="begin"/>
      </w:r>
      <w:r>
        <w:rPr>
          <w:color w:val="auto"/>
          <w:highlight w:val="none"/>
        </w:rPr>
        <w:instrText xml:space="preserve"> HYPERLINK "http://www.jscredit.gov.cn/" </w:instrText>
      </w:r>
      <w:r>
        <w:rPr>
          <w:color w:val="auto"/>
          <w:highlight w:val="none"/>
        </w:rPr>
        <w:fldChar w:fldCharType="separate"/>
      </w:r>
      <w:r>
        <w:rPr>
          <w:rStyle w:val="1313"/>
          <w:rFonts w:hint="eastAsia" w:ascii="宋体" w:hAnsi="宋体" w:eastAsia="宋体" w:cs="宋体"/>
          <w:bCs/>
          <w:color w:val="auto"/>
          <w:sz w:val="21"/>
          <w:szCs w:val="21"/>
          <w:highlight w:val="none"/>
        </w:rPr>
        <w:t xml:space="preserve">www.jscredit.gov.cn</w:t>
      </w:r>
      <w:r>
        <w:rPr>
          <w:rStyle w:val="1313"/>
          <w:rFonts w:hint="eastAsia" w:ascii="宋体" w:hAnsi="宋体" w:eastAsia="宋体" w:cs="宋体"/>
          <w:bCs/>
          <w:color w:val="auto"/>
          <w:sz w:val="21"/>
          <w:szCs w:val="21"/>
          <w:highlight w:val="none"/>
        </w:rPr>
        <w:fldChar w:fldCharType="end"/>
      </w:r>
      <w:r>
        <w:rPr>
          <w:rFonts w:hint="eastAsia" w:ascii="宋体" w:hAnsi="宋体" w:eastAsia="宋体" w:cs="宋体"/>
          <w:bCs/>
          <w:color w:val="auto"/>
          <w:sz w:val="21"/>
          <w:szCs w:val="21"/>
          <w:highlight w:val="none"/>
        </w:rPr>
        <w:t xml:space="preserve">）、诚信苏州（www.szcredit.gov.cn）的网站输入供应商全称或统一社会信用代码查询信用记录，并将查询结果递交评审小组</w:t>
      </w:r>
      <w:r>
        <w:rPr>
          <w:rFonts w:hint="eastAsia" w:ascii="宋体" w:hAnsi="宋体" w:eastAsia="宋体" w:cs="宋体"/>
          <w:color w:val="auto"/>
          <w:sz w:val="21"/>
          <w:szCs w:val="21"/>
          <w:highlight w:val="none"/>
          <w:lang w:val="zh-CN"/>
        </w:rPr>
        <w:t xml:space="preserve">。</w:t>
      </w:r>
      <w:r/>
    </w:p>
    <w:p>
      <w:pPr>
        <w:ind w:firstLine="439"/>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2.3查询证据留存方式：采购人或者采购代理机构工作人员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8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3经采购人或者采购代理机构审查供应商存在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firstLine="48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22.4单位负责人为同一人或者存在直接控股、管理关系的不同供应商，不得参与同一合同项下的投标活动。</w:t>
      </w:r>
      <w:r/>
    </w:p>
    <w:p>
      <w:pPr>
        <w:ind w:firstLine="48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22.5本项目通过上述资格审查的合格投标人不足三家的，不得评标。</w:t>
      </w:r>
      <w:r/>
    </w:p>
    <w:p>
      <w:pPr>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2</w:t>
      </w:r>
      <w:r>
        <w:rPr>
          <w:rFonts w:hint="eastAsia" w:ascii="宋体" w:hAnsi="宋体" w:eastAsia="宋体" w:cs="宋体"/>
          <w:b/>
          <w:bCs/>
          <w:color w:val="auto"/>
          <w:sz w:val="21"/>
          <w:szCs w:val="21"/>
          <w:highlight w:val="none"/>
        </w:rPr>
        <w:t xml:space="preserve">3</w:t>
      </w:r>
      <w:r>
        <w:rPr>
          <w:rFonts w:hint="eastAsia" w:ascii="宋体" w:hAnsi="宋体" w:eastAsia="宋体" w:cs="宋体"/>
          <w:b/>
          <w:bCs/>
          <w:color w:val="auto"/>
          <w:sz w:val="21"/>
          <w:szCs w:val="21"/>
          <w:highlight w:val="none"/>
          <w:lang w:val="zh-CN"/>
        </w:rPr>
        <w:t xml:space="preserve">、评标委员会</w:t>
      </w:r>
      <w:r/>
    </w:p>
    <w:p>
      <w:pPr>
        <w:ind w:firstLine="48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.1评标委员会（以下简称评委会）成员依法组建；</w:t>
      </w:r>
      <w:r/>
    </w:p>
    <w:p>
      <w:pPr>
        <w:ind w:firstLine="48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.2评标委员会将对符合资格的投标人的投标文件进行符合性审查，以确定其是否满足采购文件的实质性要求。</w:t>
      </w:r>
      <w:r/>
    </w:p>
    <w:p>
      <w:pPr>
        <w:ind w:firstLine="48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.3评委会组负责具体的评标事务，并独立履行以下职责：</w:t>
      </w:r>
      <w:r/>
    </w:p>
    <w:p>
      <w:pPr>
        <w:ind w:firstLine="48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.3.1审查、评价投标文件是否符合采购文件的商务、技术等实质性要求；</w:t>
      </w:r>
      <w:r/>
    </w:p>
    <w:p>
      <w:pPr>
        <w:ind w:firstLine="48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.3.2要求投标人对投标文件有关事项作出澄清或者说明；</w:t>
      </w:r>
      <w:r/>
    </w:p>
    <w:p>
      <w:pPr>
        <w:ind w:firstLine="48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.3.3对投标文件进行比较和评价；</w:t>
      </w:r>
      <w:r/>
    </w:p>
    <w:p>
      <w:pPr>
        <w:ind w:firstLine="48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.3.4</w:t>
      </w:r>
      <w:r>
        <w:rPr>
          <w:rFonts w:hint="eastAsia" w:ascii="宋体" w:hAnsi="宋体" w:eastAsia="宋体" w:cs="宋体"/>
          <w:color w:val="auto"/>
          <w:sz w:val="21"/>
          <w:szCs w:val="21"/>
          <w:highlight w:val="none"/>
        </w:rPr>
        <w:t xml:space="preserve">签署评标报告、推荐中标候选人并根据采购方委托从中</w:t>
      </w:r>
      <w:r>
        <w:rPr>
          <w:rFonts w:hint="eastAsia" w:ascii="宋体" w:hAnsi="宋体" w:eastAsia="宋体" w:cs="宋体"/>
          <w:color w:val="auto"/>
          <w:sz w:val="21"/>
          <w:szCs w:val="21"/>
          <w:highlight w:val="none"/>
          <w:lang w:val="zh-CN"/>
        </w:rPr>
        <w:t xml:space="preserve">确定中标人；</w:t>
      </w:r>
      <w:r/>
    </w:p>
    <w:p>
      <w:pPr>
        <w:ind w:firstLine="48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.3.5向采购人、采购代理机构或者有关部门报告评标中发现的违法行为。</w:t>
      </w:r>
      <w:r/>
    </w:p>
    <w:p>
      <w:pPr>
        <w:ind w:firstLine="48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.4评委会成员应当履行下列义务：</w:t>
      </w:r>
      <w:r/>
    </w:p>
    <w:p>
      <w:pPr>
        <w:ind w:firstLine="48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.4.1遵纪守法，客观、公正、廉洁地履行职责；</w:t>
      </w:r>
      <w:r/>
    </w:p>
    <w:p>
      <w:pPr>
        <w:ind w:firstLine="48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.4.2按照采购文件规定的评标办法和评标标准进行评标，对评审意见承担个人责任；</w:t>
      </w:r>
      <w:r/>
    </w:p>
    <w:p>
      <w:pPr>
        <w:ind w:firstLine="48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.4.3对评标过程和结果，以及投标人的商业秘密保密；</w:t>
      </w:r>
      <w:r/>
    </w:p>
    <w:p>
      <w:pPr>
        <w:ind w:firstLine="48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.4.4评标委员会根据全体评标成员签字的原始评标记录和评标结果编写评标报告。评标报告应当包括以下内容：</w:t>
      </w:r>
      <w:r/>
    </w:p>
    <w:p>
      <w:pPr>
        <w:ind w:firstLine="48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（一）招标公告刊登的媒体名称、开标日期和地点；</w:t>
      </w:r>
      <w:r/>
    </w:p>
    <w:p>
      <w:pPr>
        <w:ind w:firstLine="48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（二）投标人名单和评标委员会成员名单；</w:t>
      </w:r>
      <w:r/>
    </w:p>
    <w:p>
      <w:pPr>
        <w:ind w:firstLine="48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（三）评标方法和标准；</w:t>
      </w:r>
      <w:r/>
    </w:p>
    <w:p>
      <w:pPr>
        <w:ind w:firstLine="48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（四）开标记录和评标情况及说明，包括无效投标人名单及原因；</w:t>
      </w:r>
      <w:r/>
    </w:p>
    <w:p>
      <w:pPr>
        <w:ind w:firstLine="48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（五）评标结果，确定的中标候选人名单或者经采购人委托直接确定的中标人；</w:t>
      </w:r>
      <w:r/>
    </w:p>
    <w:p>
      <w:pPr>
        <w:ind w:firstLine="48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（六）其他需要说明的情况，包括评标过程中投标人根据评标委员会要求进行的澄清、说明或者补正，评标委员会成员的更换等。</w:t>
      </w:r>
      <w:r/>
    </w:p>
    <w:p>
      <w:pPr>
        <w:ind w:firstLine="48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.4.5配合招标采购人答复投标人提出的质疑；</w:t>
      </w:r>
      <w:r/>
    </w:p>
    <w:p>
      <w:pPr>
        <w:ind w:firstLine="48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.4.6配合有关部门的投诉处理工作。</w:t>
      </w:r>
      <w:r/>
    </w:p>
    <w:p>
      <w:pPr>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2</w:t>
      </w:r>
      <w:r>
        <w:rPr>
          <w:rFonts w:hint="eastAsia" w:ascii="宋体" w:hAnsi="宋体" w:eastAsia="宋体" w:cs="宋体"/>
          <w:b/>
          <w:bCs/>
          <w:color w:val="auto"/>
          <w:sz w:val="21"/>
          <w:szCs w:val="21"/>
          <w:highlight w:val="none"/>
        </w:rPr>
        <w:t xml:space="preserve">4</w:t>
      </w:r>
      <w:r>
        <w:rPr>
          <w:rFonts w:hint="eastAsia" w:ascii="宋体" w:hAnsi="宋体" w:eastAsia="宋体" w:cs="宋体"/>
          <w:b/>
          <w:bCs/>
          <w:color w:val="auto"/>
          <w:sz w:val="21"/>
          <w:szCs w:val="21"/>
          <w:highlight w:val="none"/>
          <w:lang w:val="zh-CN"/>
        </w:rPr>
        <w:t xml:space="preserve">、保密要求</w:t>
      </w:r>
      <w:r/>
    </w:p>
    <w:p>
      <w:pPr>
        <w:ind w:firstLine="48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.1评标将在严格保密的情况下进行。</w:t>
      </w:r>
      <w:r/>
    </w:p>
    <w:p>
      <w:pPr>
        <w:ind w:firstLine="48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.2有关人员应当遵守评标工作纪律，不得泄露评标文件、评标情况和评标中获悉的国家秘密、商业秘密。</w:t>
      </w:r>
      <w:r/>
    </w:p>
    <w:p>
      <w:p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2</w:t>
      </w:r>
      <w:r>
        <w:rPr>
          <w:rFonts w:hint="eastAsia" w:ascii="宋体" w:hAnsi="宋体" w:eastAsia="宋体" w:cs="宋体"/>
          <w:b/>
          <w:bCs/>
          <w:color w:val="auto"/>
          <w:sz w:val="21"/>
          <w:szCs w:val="21"/>
          <w:highlight w:val="none"/>
        </w:rPr>
        <w:t xml:space="preserve">5</w:t>
      </w:r>
      <w:r>
        <w:rPr>
          <w:rFonts w:hint="eastAsia" w:ascii="宋体" w:hAnsi="宋体" w:eastAsia="宋体" w:cs="宋体"/>
          <w:b/>
          <w:bCs/>
          <w:color w:val="auto"/>
          <w:sz w:val="21"/>
          <w:szCs w:val="21"/>
          <w:highlight w:val="none"/>
          <w:lang w:val="zh-CN"/>
        </w:rPr>
        <w:t xml:space="preserve">、对投标文件初审</w:t>
      </w:r>
      <w:r/>
    </w:p>
    <w:p>
      <w:pPr>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评委会将对资格符合的投标文件进行符合性审查。即依据采购文件规定，从投标文件的有效性、完整性和对采购文件的响应程度进行审查，以确定是否对采购文件的实质性要求作出响应。投标人存在下列情况之一的，投标无效：</w:t>
      </w:r>
      <w:r/>
    </w:p>
    <w:p>
      <w:pPr>
        <w:ind w:firstLine="480"/>
        <w:spacing w:line="360" w:lineRule="auto"/>
        <w:shd w:val="clear" w:color="auto" w:fill="ffffff"/>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（一）投标文件未按招标文件要求签署、盖章的；</w:t>
      </w:r>
      <w:r/>
    </w:p>
    <w:p>
      <w:pPr>
        <w:spacing w:line="360" w:lineRule="auto"/>
        <w:shd w:val="clear" w:color="auto" w:fill="ffffff"/>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（二）不具备招标文件中规定的资格要求的；</w:t>
      </w:r>
      <w:r/>
    </w:p>
    <w:p>
      <w:pPr>
        <w:spacing w:line="360" w:lineRule="auto"/>
        <w:shd w:val="clear" w:color="auto" w:fill="ffffff"/>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（三）报价超过招标文件中规定的预算金额或者最高限价的；</w:t>
      </w:r>
      <w:r/>
    </w:p>
    <w:p>
      <w:pPr>
        <w:spacing w:line="360" w:lineRule="auto"/>
        <w:shd w:val="clear" w:color="auto" w:fill="ffffff"/>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（四）投标文件含有采购人不能接受的附加条件的；</w:t>
      </w:r>
      <w:r/>
    </w:p>
    <w:p>
      <w:pPr>
        <w:ind w:firstLine="42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（五）法律、法规和招标文件规定的其他无效情形。</w:t>
      </w:r>
      <w:r/>
    </w:p>
    <w:p>
      <w:pPr>
        <w:ind w:firstLine="42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六</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在“苏采云”系统中出现供应商“机器码一致”情形的。</w:t>
      </w:r>
      <w:r/>
    </w:p>
    <w:p>
      <w:pPr>
        <w:ind w:firstLine="42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.2实质性响应的投标应该是与采购文件要求的条款相符。不得限制合同中买方的权利或投标人的义务，也不得对其他实质性响应的投标人的竞争地位产生不公正影响。</w:t>
      </w:r>
      <w:r/>
    </w:p>
    <w:p>
      <w:pPr>
        <w:ind w:firstLine="42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.3对于投标文件中含义不明确、同类问题表述不一致或者有明显文字和计算错误的内容，评标委员会应当以书面形式要求投标人作出必要的澄清、说明或者补正。</w:t>
      </w:r>
      <w:r/>
    </w:p>
    <w:p>
      <w:pPr>
        <w:pStyle w:val="801"/>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rPr>
        <w:t xml:space="preserve">5</w:t>
      </w:r>
      <w:r>
        <w:rPr>
          <w:rFonts w:hint="eastAsia" w:ascii="宋体" w:hAnsi="宋体" w:eastAsia="宋体" w:cs="宋体"/>
          <w:color w:val="auto"/>
          <w:sz w:val="21"/>
          <w:szCs w:val="21"/>
          <w:highlight w:val="none"/>
        </w:rPr>
        <w:t xml:space="preserve">.4投标人的澄清、说明或者补正应当采用书面形式，并加盖公章或者由法定代表人或其授权的代表签字。投标人的澄清、说明或者补正不得超出投标文件的范围或者改变投标文件的实质性内容。</w:t>
      </w:r>
      <w:r/>
    </w:p>
    <w:p>
      <w:pPr>
        <w:pStyle w:val="801"/>
        <w:ind w:firstLine="422"/>
        <w:spacing w:line="360" w:lineRule="auto"/>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eastAsia="宋体" w:cs="宋体"/>
          <w:color w:val="auto"/>
          <w:sz w:val="21"/>
          <w:szCs w:val="21"/>
          <w:highlight w:val="none"/>
        </w:rPr>
        <w:t xml:space="preserve">供应商应随时保持系统在线，如因供应商自身原因未在规定时间内提交澄清确认资料的，导致的不利后果由供应商自行承担。</w:t>
      </w:r>
      <w:r/>
    </w:p>
    <w:p>
      <w:pPr>
        <w:ind w:firstLine="42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.5投标文件报价出现前后不一致的，除采购文件另有规定外，按照下列规定修正：</w:t>
      </w:r>
      <w:r/>
    </w:p>
    <w:p>
      <w:pPr>
        <w:ind w:firstLine="42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.5.1投标文件中开标一览表（报价表）内容与投标文件中相应内容不一致的，以开标一览表（报价表）为准；</w:t>
      </w:r>
      <w:r/>
    </w:p>
    <w:p>
      <w:pPr>
        <w:ind w:firstLine="42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.5.2大写金额和小写金额不一致的，以大写金额为准；</w:t>
      </w:r>
      <w:r/>
    </w:p>
    <w:p>
      <w:pPr>
        <w:ind w:firstLine="42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.5.3单价金额小数点或者百分比有明显错位的，以开标一览表的总价为准，并修改单价；</w:t>
      </w:r>
      <w:r/>
    </w:p>
    <w:p>
      <w:pPr>
        <w:ind w:firstLine="42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.5.4总价金额与按单价汇总金额不一致的，以单价金额计算结果为准。</w:t>
      </w:r>
      <w:r/>
    </w:p>
    <w:p>
      <w:pPr>
        <w:ind w:firstLine="420"/>
        <w:spacing w:line="360" w:lineRule="auto"/>
        <w:rPr>
          <w:rFonts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firstLine="420"/>
        <w:spacing w:line="360" w:lineRule="auto"/>
        <w:rPr>
          <w:rFonts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2</w:t>
      </w:r>
      <w:r>
        <w:rPr>
          <w:rFonts w:hint="eastAsia" w:ascii="宋体" w:hAnsi="宋体" w:eastAsia="宋体" w:cs="宋体"/>
          <w:b/>
          <w:color w:val="auto"/>
          <w:sz w:val="21"/>
          <w:szCs w:val="21"/>
          <w:highlight w:val="none"/>
        </w:rPr>
        <w:t xml:space="preserve">5</w:t>
      </w:r>
      <w:r>
        <w:rPr>
          <w:rFonts w:hint="eastAsia" w:ascii="宋体" w:hAnsi="宋体" w:eastAsia="宋体" w:cs="宋体"/>
          <w:b/>
          <w:color w:val="auto"/>
          <w:sz w:val="21"/>
          <w:szCs w:val="21"/>
          <w:highlight w:val="none"/>
          <w:lang w:val="zh-CN"/>
        </w:rPr>
        <w:t xml:space="preserve">.6评标委员会认为投标人的报价明显低于其他通过符合性审查投标人的报价，有可能影响产品质量或者不能诚信履约的，应当要求其在评标现场合理的时间内提供说明，必要时提交相关证明材料；投标人不能证明其报价合理性的，评标委员会应当将其作为无效投标处理。</w:t>
      </w:r>
      <w:r>
        <w:rPr>
          <w:rFonts w:hint="eastAsia" w:ascii="宋体" w:hAnsi="宋体" w:eastAsia="宋体" w:cs="宋体"/>
          <w:b/>
          <w:color w:val="auto"/>
          <w:sz w:val="21"/>
          <w:szCs w:val="21"/>
          <w:highlight w:val="none"/>
        </w:rPr>
        <w:t xml:space="preserve">本项目投标人的澄清、说明或者补正采用线上澄清。</w:t>
      </w:r>
      <w:r/>
    </w:p>
    <w:p>
      <w:pPr>
        <w:ind w:firstLine="42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.7除上述情形外，对投标文件的判定，只依据投标文件本身，不依靠开标后的任何外来证明。</w:t>
      </w:r>
      <w:r/>
    </w:p>
    <w:p>
      <w:pPr>
        <w:ind w:firstLine="42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.8采购代理机构将拒绝被确定为非实质性响应的投标，投标人不能通过修正或撤销不符之处而使其投标成为实质性响应的投标。</w:t>
      </w:r>
      <w:r/>
    </w:p>
    <w:p>
      <w:pPr>
        <w:ind w:firstLine="42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.9对不同文字文本投标文件的解释发生异议的，以中文文本为准；</w:t>
      </w:r>
      <w:r/>
    </w:p>
    <w:p>
      <w:pPr>
        <w:ind w:firstLine="42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10</w:t>
      </w:r>
      <w:r>
        <w:rPr>
          <w:rFonts w:hint="eastAsia" w:ascii="宋体" w:hAnsi="宋体" w:eastAsia="宋体" w:cs="宋体"/>
          <w:color w:val="auto"/>
          <w:sz w:val="21"/>
          <w:szCs w:val="21"/>
          <w:highlight w:val="none"/>
          <w:lang w:val="zh-CN"/>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2</w:t>
      </w:r>
      <w:r>
        <w:rPr>
          <w:rFonts w:hint="eastAsia" w:ascii="宋体" w:hAnsi="宋体" w:eastAsia="宋体" w:cs="宋体"/>
          <w:b/>
          <w:bCs/>
          <w:color w:val="auto"/>
          <w:sz w:val="21"/>
          <w:szCs w:val="21"/>
          <w:highlight w:val="none"/>
        </w:rPr>
        <w:t xml:space="preserve">6</w:t>
      </w:r>
      <w:r>
        <w:rPr>
          <w:rFonts w:hint="eastAsia" w:ascii="宋体" w:hAnsi="宋体" w:eastAsia="宋体" w:cs="宋体"/>
          <w:b/>
          <w:bCs/>
          <w:color w:val="auto"/>
          <w:sz w:val="21"/>
          <w:szCs w:val="21"/>
          <w:highlight w:val="none"/>
          <w:lang w:val="zh-CN"/>
        </w:rPr>
        <w:t xml:space="preserve">、废标</w:t>
      </w:r>
      <w:r/>
    </w:p>
    <w:p>
      <w:pPr>
        <w:ind w:firstLine="420"/>
        <w:spacing w:line="360" w:lineRule="auto"/>
        <w:tabs>
          <w:tab w:val="left" w:pos="0" w:leader="none"/>
        </w:tabs>
        <w:rPr>
          <w:rFonts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2</w:t>
      </w:r>
      <w:r>
        <w:rPr>
          <w:rFonts w:hint="eastAsia" w:ascii="宋体" w:hAnsi="宋体" w:eastAsia="宋体" w:cs="宋体"/>
          <w:b/>
          <w:color w:val="auto"/>
          <w:sz w:val="21"/>
          <w:szCs w:val="21"/>
          <w:highlight w:val="none"/>
        </w:rPr>
        <w:t xml:space="preserve">6</w:t>
      </w:r>
      <w:r>
        <w:rPr>
          <w:rFonts w:hint="eastAsia" w:ascii="宋体" w:hAnsi="宋体" w:eastAsia="宋体" w:cs="宋体"/>
          <w:b/>
          <w:color w:val="auto"/>
          <w:sz w:val="21"/>
          <w:szCs w:val="21"/>
          <w:highlight w:val="none"/>
          <w:lang w:val="zh-CN"/>
        </w:rPr>
        <w:t xml:space="preserve">.1 在招标过程中，出现下列情况之一的，应予废标：</w:t>
      </w:r>
      <w:r/>
    </w:p>
    <w:p>
      <w:pPr>
        <w:ind w:firstLine="420"/>
        <w:spacing w:line="360" w:lineRule="auto"/>
        <w:tabs>
          <w:tab w:val="left" w:pos="0" w:leader="none"/>
        </w:tabs>
        <w:rPr>
          <w:rFonts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2</w:t>
      </w:r>
      <w:r>
        <w:rPr>
          <w:rFonts w:hint="eastAsia" w:ascii="宋体" w:hAnsi="宋体" w:eastAsia="宋体" w:cs="宋体"/>
          <w:b/>
          <w:color w:val="auto"/>
          <w:sz w:val="21"/>
          <w:szCs w:val="21"/>
          <w:highlight w:val="none"/>
        </w:rPr>
        <w:t xml:space="preserve">6</w:t>
      </w:r>
      <w:r>
        <w:rPr>
          <w:rFonts w:hint="eastAsia" w:ascii="宋体" w:hAnsi="宋体" w:eastAsia="宋体" w:cs="宋体"/>
          <w:b/>
          <w:color w:val="auto"/>
          <w:sz w:val="21"/>
          <w:szCs w:val="21"/>
          <w:highlight w:val="none"/>
          <w:lang w:val="zh-CN"/>
        </w:rPr>
        <w:t xml:space="preserve">.1.1符合专业条件的供应商或者对采购文件作实质响应的供应商不足三家的；</w:t>
      </w:r>
      <w:r/>
    </w:p>
    <w:p>
      <w:pPr>
        <w:ind w:firstLine="420"/>
        <w:spacing w:line="360" w:lineRule="auto"/>
        <w:tabs>
          <w:tab w:val="left" w:pos="0" w:leader="none"/>
        </w:tabs>
        <w:rPr>
          <w:rFonts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2</w:t>
      </w:r>
      <w:r>
        <w:rPr>
          <w:rFonts w:hint="eastAsia" w:ascii="宋体" w:hAnsi="宋体" w:eastAsia="宋体" w:cs="宋体"/>
          <w:b/>
          <w:color w:val="auto"/>
          <w:sz w:val="21"/>
          <w:szCs w:val="21"/>
          <w:highlight w:val="none"/>
        </w:rPr>
        <w:t xml:space="preserve">6</w:t>
      </w:r>
      <w:r>
        <w:rPr>
          <w:rFonts w:hint="eastAsia" w:ascii="宋体" w:hAnsi="宋体" w:eastAsia="宋体" w:cs="宋体"/>
          <w:b/>
          <w:color w:val="auto"/>
          <w:sz w:val="21"/>
          <w:szCs w:val="21"/>
          <w:highlight w:val="none"/>
          <w:lang w:val="zh-CN"/>
        </w:rPr>
        <w:t xml:space="preserve">.1.2出现影响采购公正的违法、违规行为的；</w:t>
      </w:r>
      <w:r/>
    </w:p>
    <w:p>
      <w:pPr>
        <w:ind w:firstLine="420"/>
        <w:spacing w:line="360" w:lineRule="auto"/>
        <w:tabs>
          <w:tab w:val="left" w:pos="0" w:leader="none"/>
        </w:tabs>
        <w:rPr>
          <w:rFonts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2</w:t>
      </w:r>
      <w:r>
        <w:rPr>
          <w:rFonts w:hint="eastAsia" w:ascii="宋体" w:hAnsi="宋体" w:eastAsia="宋体" w:cs="宋体"/>
          <w:b/>
          <w:color w:val="auto"/>
          <w:sz w:val="21"/>
          <w:szCs w:val="21"/>
          <w:highlight w:val="none"/>
        </w:rPr>
        <w:t xml:space="preserve">6</w:t>
      </w:r>
      <w:r>
        <w:rPr>
          <w:rFonts w:hint="eastAsia" w:ascii="宋体" w:hAnsi="宋体" w:eastAsia="宋体" w:cs="宋体"/>
          <w:b/>
          <w:color w:val="auto"/>
          <w:sz w:val="21"/>
          <w:szCs w:val="21"/>
          <w:highlight w:val="none"/>
          <w:lang w:val="zh-CN"/>
        </w:rPr>
        <w:t xml:space="preserve">.1.3投标人的报价均超过了采购预算或者最高限价，采购人不能支付的；</w:t>
      </w:r>
      <w:r/>
    </w:p>
    <w:p>
      <w:pPr>
        <w:ind w:firstLine="420"/>
        <w:spacing w:line="360" w:lineRule="auto"/>
        <w:tabs>
          <w:tab w:val="left" w:pos="0" w:leader="none"/>
        </w:tabs>
        <w:rPr>
          <w:rFonts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2</w:t>
      </w:r>
      <w:r>
        <w:rPr>
          <w:rFonts w:hint="eastAsia" w:ascii="宋体" w:hAnsi="宋体" w:eastAsia="宋体" w:cs="宋体"/>
          <w:b/>
          <w:color w:val="auto"/>
          <w:sz w:val="21"/>
          <w:szCs w:val="21"/>
          <w:highlight w:val="none"/>
        </w:rPr>
        <w:t xml:space="preserve">6</w:t>
      </w:r>
      <w:r>
        <w:rPr>
          <w:rFonts w:hint="eastAsia" w:ascii="宋体" w:hAnsi="宋体" w:eastAsia="宋体" w:cs="宋体"/>
          <w:b/>
          <w:color w:val="auto"/>
          <w:sz w:val="21"/>
          <w:szCs w:val="21"/>
          <w:highlight w:val="none"/>
          <w:lang w:val="zh-CN"/>
        </w:rPr>
        <w:t xml:space="preserve">.1.4因重大变故，采购任务取消的；</w:t>
      </w:r>
      <w:r/>
    </w:p>
    <w:p>
      <w:pPr>
        <w:ind w:firstLine="420"/>
        <w:spacing w:line="360" w:lineRule="auto"/>
        <w:tabs>
          <w:tab w:val="left" w:pos="0" w:leader="none"/>
        </w:tabs>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26.1.5在“苏采云”系统中出现供应商“机器码一致”情形的。</w:t>
      </w:r>
      <w:r/>
    </w:p>
    <w:p>
      <w:pPr>
        <w:ind w:firstLine="420"/>
        <w:spacing w:line="360" w:lineRule="auto"/>
        <w:tabs>
          <w:tab w:val="left" w:pos="0" w:leader="none"/>
        </w:tabs>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.2 废标后，采购代理机构将发布废标公告。</w:t>
      </w:r>
      <w:r/>
    </w:p>
    <w:p>
      <w:pPr>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2</w:t>
      </w:r>
      <w:r>
        <w:rPr>
          <w:rFonts w:hint="eastAsia" w:ascii="宋体" w:hAnsi="宋体" w:eastAsia="宋体" w:cs="宋体"/>
          <w:b/>
          <w:bCs/>
          <w:color w:val="auto"/>
          <w:sz w:val="21"/>
          <w:szCs w:val="21"/>
          <w:highlight w:val="none"/>
        </w:rPr>
        <w:t xml:space="preserve">7</w:t>
      </w:r>
      <w:r>
        <w:rPr>
          <w:rFonts w:hint="eastAsia" w:ascii="宋体" w:hAnsi="宋体" w:eastAsia="宋体" w:cs="宋体"/>
          <w:b/>
          <w:bCs/>
          <w:color w:val="auto"/>
          <w:sz w:val="21"/>
          <w:szCs w:val="21"/>
          <w:highlight w:val="none"/>
          <w:lang w:val="zh-CN"/>
        </w:rPr>
        <w:t xml:space="preserve">、投标文件的评价和比较</w:t>
      </w:r>
      <w:r/>
    </w:p>
    <w:p>
      <w:pPr>
        <w:ind w:firstLine="42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zh-CN"/>
        </w:rPr>
        <w:t xml:space="preserve">.1评标委员会将仅对按</w:t>
      </w:r>
      <w:r>
        <w:rPr>
          <w:rFonts w:hint="eastAsia" w:ascii="宋体" w:hAnsi="宋体" w:eastAsia="宋体" w:cs="宋体"/>
          <w:color w:val="auto"/>
          <w:sz w:val="21"/>
          <w:szCs w:val="21"/>
          <w:highlight w:val="none"/>
        </w:rPr>
        <w:t xml:space="preserve">招标</w:t>
      </w:r>
      <w:r>
        <w:rPr>
          <w:rFonts w:hint="eastAsia" w:ascii="宋体" w:hAnsi="宋体" w:eastAsia="宋体" w:cs="宋体"/>
          <w:color w:val="auto"/>
          <w:sz w:val="21"/>
          <w:szCs w:val="21"/>
          <w:highlight w:val="none"/>
          <w:lang w:val="zh-CN"/>
        </w:rPr>
        <w:t xml:space="preserve">文件有关规定确定为实质上响应采购文件要求的投标文件进行评价和比较。</w:t>
      </w:r>
      <w:r/>
    </w:p>
    <w:p>
      <w:pPr>
        <w:ind w:firstLine="48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zh-CN"/>
        </w:rPr>
        <w:t xml:space="preserve">.2评价和比较采用综合评分法，评委会严格按照采购文件的规定要求、条件、评分标准，对投标人所提供货物或服务的先进性、可靠性、售后服务承诺、质量保证承诺等实质性响应内容进行比较评价。</w:t>
      </w:r>
      <w:r/>
    </w:p>
    <w:p>
      <w:pPr>
        <w:ind w:firstLine="48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zh-CN"/>
        </w:rPr>
        <w:t xml:space="preserve">.3 最低的投标报价或最高的折扣比例是中标的重要条件，但不是唯一条件。</w:t>
      </w:r>
      <w:r/>
    </w:p>
    <w:p>
      <w:pPr>
        <w:spacing w:line="360" w:lineRule="auto"/>
        <w:tabs>
          <w:tab w:val="left" w:pos="567" w:leader="none"/>
        </w:tabs>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七、确定中标原则：</w:t>
      </w:r>
      <w:r/>
    </w:p>
    <w:p>
      <w:pPr>
        <w:ind w:firstLine="480"/>
        <w:spacing w:line="360" w:lineRule="auto"/>
        <w:tabs>
          <w:tab w:val="left" w:pos="567" w:leader="none"/>
        </w:tabs>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28.1</w:t>
      </w:r>
      <w:r>
        <w:rPr>
          <w:rFonts w:hint="eastAsia" w:ascii="宋体" w:hAnsi="宋体" w:eastAsia="宋体" w:cs="宋体"/>
          <w:color w:val="auto"/>
          <w:sz w:val="21"/>
          <w:szCs w:val="21"/>
          <w:highlight w:val="none"/>
          <w:lang w:val="zh-CN"/>
        </w:rPr>
        <w:t xml:space="preserve">本次评标采用综合评分法</w:t>
      </w:r>
      <w:r/>
    </w:p>
    <w:p>
      <w:pPr>
        <w:ind w:firstLine="480"/>
        <w:spacing w:line="360" w:lineRule="auto"/>
        <w:tabs>
          <w:tab w:val="left" w:pos="567" w:leader="none"/>
        </w:tabs>
        <w:rPr>
          <w:rFonts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在满足招标文件实质性要求前提下，按照招标文件中规定的评分标准和各项因素进行综合评审后，以评标总得分最高的投标人作为相应标段的中标候选人。</w:t>
      </w:r>
      <w:r/>
    </w:p>
    <w:p>
      <w:pPr>
        <w:spacing w:line="360" w:lineRule="auto"/>
        <w:tabs>
          <w:tab w:val="left" w:pos="567" w:leader="none"/>
        </w:tabs>
        <w:rPr>
          <w:rFonts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八、发出中标通知书</w:t>
      </w:r>
      <w:r/>
    </w:p>
    <w:p>
      <w:pPr>
        <w:pStyle w:val="801"/>
        <w:ind w:firstLine="420"/>
        <w:spacing w:line="360" w:lineRule="auto"/>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rPr>
        <w:t xml:space="preserve">9</w:t>
      </w:r>
      <w:r>
        <w:rPr>
          <w:rFonts w:hint="eastAsia" w:ascii="宋体" w:hAnsi="宋体" w:eastAsia="宋体" w:cs="宋体"/>
          <w:color w:val="auto"/>
          <w:sz w:val="21"/>
          <w:szCs w:val="21"/>
          <w:highlight w:val="none"/>
        </w:rPr>
        <w:t xml:space="preserve">.1确定出中标人后，采购代理机构在法定时间内向中标人发出中标通知书。</w:t>
      </w:r>
      <w:r>
        <w:rPr>
          <w:rFonts w:hint="eastAsia" w:ascii="宋体" w:hAnsi="宋体" w:eastAsia="宋体" w:cs="宋体"/>
          <w:b/>
          <w:color w:val="auto"/>
          <w:sz w:val="21"/>
          <w:szCs w:val="21"/>
          <w:highlight w:val="none"/>
        </w:rPr>
        <w:t xml:space="preserve">请中标人在中标结果公告届满之日起30日内</w:t>
      </w: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rPr>
        <w:t xml:space="preserve">使用CA证书登录“苏采云”系统及时下载中标通知书。</w:t>
      </w:r>
      <w:r>
        <w:rPr>
          <w:rFonts w:hint="eastAsia" w:ascii="宋体" w:hAnsi="宋体" w:eastAsia="宋体" w:cs="宋体"/>
          <w:color w:val="auto"/>
          <w:sz w:val="21"/>
          <w:szCs w:val="21"/>
          <w:highlight w:val="none"/>
        </w:rPr>
        <w:t xml:space="preserve">因系统存储空间有限，自中标结果公告届满之日起30日后，“苏采云”系统不再保证提供下载中标通知书服务</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因未及时下载而造成的不利后果由中标人自行承担。</w:t>
      </w:r>
      <w:r/>
    </w:p>
    <w:p>
      <w:pPr>
        <w:ind w:firstLine="480"/>
        <w:spacing w:line="360" w:lineRule="auto"/>
        <w:tabs>
          <w:tab w:val="left" w:pos="567" w:leader="none"/>
        </w:tabs>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29</w:t>
      </w:r>
      <w:r>
        <w:rPr>
          <w:rFonts w:hint="eastAsia" w:ascii="宋体" w:hAnsi="宋体" w:eastAsia="宋体" w:cs="宋体"/>
          <w:color w:val="auto"/>
          <w:sz w:val="21"/>
          <w:szCs w:val="21"/>
          <w:highlight w:val="none"/>
          <w:lang w:val="zh-CN"/>
        </w:rPr>
        <w:t xml:space="preserve">.2中标通知书将成为合同的组成部分，对采购人和中标供应商具有同等法律效力。</w:t>
      </w:r>
      <w:r/>
    </w:p>
    <w:p>
      <w:pPr>
        <w:ind w:firstLine="480"/>
        <w:spacing w:line="360" w:lineRule="auto"/>
        <w:tabs>
          <w:tab w:val="left" w:pos="8930" w:leader="none"/>
          <w:tab w:val="left" w:pos="9306"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w:t>
      </w: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未中标通知书在中标公告发出之日起2个工作日内，由采购代理机构向未中标供应商发出。</w:t>
      </w:r>
      <w:r/>
    </w:p>
    <w:p>
      <w:pPr>
        <w:spacing w:line="360" w:lineRule="auto"/>
        <w:tabs>
          <w:tab w:val="left" w:pos="567" w:leader="none"/>
        </w:tabs>
        <w:rPr>
          <w:rFonts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九、中标单位的确认</w:t>
      </w:r>
      <w:r/>
    </w:p>
    <w:p>
      <w:pPr>
        <w:ind w:firstLine="480"/>
        <w:spacing w:line="360" w:lineRule="auto"/>
        <w:tabs>
          <w:tab w:val="left" w:pos="567"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30.1经评标委员会评审并确定中标单位后，招标采购单位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spacing w:line="360" w:lineRule="auto"/>
        <w:rPr>
          <w:rFonts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rPr>
        <w:t xml:space="preserve">十</w:t>
      </w:r>
      <w:r>
        <w:rPr>
          <w:rFonts w:hint="eastAsia" w:ascii="宋体" w:hAnsi="宋体" w:eastAsia="宋体" w:cs="宋体"/>
          <w:b/>
          <w:color w:val="auto"/>
          <w:sz w:val="21"/>
          <w:szCs w:val="21"/>
          <w:highlight w:val="none"/>
          <w:lang w:val="zh-CN"/>
        </w:rPr>
        <w:t xml:space="preserve">、告知招标结果</w:t>
      </w:r>
      <w:r/>
    </w:p>
    <w:p>
      <w:pPr>
        <w:ind w:firstLine="48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31</w:t>
      </w:r>
      <w:r>
        <w:rPr>
          <w:rFonts w:hint="eastAsia" w:ascii="宋体" w:hAnsi="宋体" w:eastAsia="宋体" w:cs="宋体"/>
          <w:color w:val="auto"/>
          <w:sz w:val="21"/>
          <w:szCs w:val="21"/>
          <w:highlight w:val="none"/>
          <w:lang w:val="zh-CN"/>
        </w:rPr>
        <w:t xml:space="preserve">.1 对未通过资格审查的投标人，告知其未通过的原因。</w:t>
      </w:r>
      <w:r/>
    </w:p>
    <w:p>
      <w:pPr>
        <w:ind w:firstLine="48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31</w:t>
      </w:r>
      <w:r>
        <w:rPr>
          <w:rFonts w:hint="eastAsia" w:ascii="宋体" w:hAnsi="宋体" w:eastAsia="宋体" w:cs="宋体"/>
          <w:color w:val="auto"/>
          <w:sz w:val="21"/>
          <w:szCs w:val="21"/>
          <w:highlight w:val="none"/>
          <w:lang w:val="zh-CN"/>
        </w:rPr>
        <w:t xml:space="preserve">.2 在发放中标通知书的同时，</w:t>
      </w:r>
      <w:r>
        <w:rPr>
          <w:rFonts w:hint="eastAsia" w:ascii="宋体" w:hAnsi="宋体" w:eastAsia="宋体" w:cs="宋体"/>
          <w:color w:val="auto"/>
          <w:sz w:val="21"/>
          <w:szCs w:val="21"/>
          <w:highlight w:val="none"/>
        </w:rPr>
        <w:t xml:space="preserve">未中标通知书在中标公告发出之日起2个工作日内，由采购代理机构向未中标供应商发出。</w:t>
      </w:r>
      <w:r/>
    </w:p>
    <w:p>
      <w:pPr>
        <w:spacing w:line="360" w:lineRule="auto"/>
        <w:rPr>
          <w:rFonts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十</w:t>
      </w:r>
      <w:r>
        <w:rPr>
          <w:rFonts w:hint="eastAsia" w:ascii="宋体" w:hAnsi="宋体" w:eastAsia="宋体" w:cs="宋体"/>
          <w:b/>
          <w:color w:val="auto"/>
          <w:sz w:val="21"/>
          <w:szCs w:val="21"/>
          <w:highlight w:val="none"/>
        </w:rPr>
        <w:t xml:space="preserve">一</w:t>
      </w:r>
      <w:r>
        <w:rPr>
          <w:rFonts w:hint="eastAsia" w:ascii="宋体" w:hAnsi="宋体" w:eastAsia="宋体" w:cs="宋体"/>
          <w:b/>
          <w:color w:val="auto"/>
          <w:sz w:val="21"/>
          <w:szCs w:val="21"/>
          <w:highlight w:val="none"/>
          <w:lang w:val="zh-CN"/>
        </w:rPr>
        <w:t xml:space="preserve">、签订合同</w:t>
      </w:r>
      <w:r/>
    </w:p>
    <w:p>
      <w:pPr>
        <w:ind w:firstLine="48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32</w:t>
      </w:r>
      <w:r>
        <w:rPr>
          <w:rFonts w:hint="eastAsia" w:ascii="宋体" w:hAnsi="宋体" w:eastAsia="宋体" w:cs="宋体"/>
          <w:color w:val="auto"/>
          <w:sz w:val="21"/>
          <w:szCs w:val="21"/>
          <w:highlight w:val="none"/>
          <w:lang w:val="zh-CN"/>
        </w:rPr>
        <w:t xml:space="preserve">.1按照《关于做好政府采购支持企业发展有关事项的通知》（苏财购〔2020〕52号）文件精神，采购人与中标人原则上应当在中标通知书发出之日起十五日内，按照招标文件及投标文件确定的事项签订政府采购合同，最长不得超过三十日。</w:t>
      </w:r>
      <w:r/>
    </w:p>
    <w:p>
      <w:pPr>
        <w:ind w:firstLine="48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32</w:t>
      </w:r>
      <w:r>
        <w:rPr>
          <w:rFonts w:hint="eastAsia" w:ascii="宋体" w:hAnsi="宋体" w:eastAsia="宋体" w:cs="宋体"/>
          <w:color w:val="auto"/>
          <w:sz w:val="21"/>
          <w:szCs w:val="21"/>
          <w:highlight w:val="none"/>
          <w:lang w:val="zh-CN"/>
        </w:rPr>
        <w:t xml:space="preserve">.2招标文件、中标供应商的投标文件及其澄清文件等，均为签订合同的依据。</w:t>
      </w:r>
      <w:r/>
    </w:p>
    <w:p>
      <w:pPr>
        <w:ind w:firstLine="48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32.</w:t>
      </w:r>
      <w:r>
        <w:rPr>
          <w:rFonts w:hint="eastAsia" w:ascii="宋体" w:hAnsi="宋体" w:eastAsia="宋体" w:cs="宋体"/>
          <w:color w:val="auto"/>
          <w:sz w:val="21"/>
          <w:szCs w:val="21"/>
          <w:highlight w:val="none"/>
          <w:lang w:val="zh-CN"/>
        </w:rPr>
        <w:t xml:space="preserve">3中标人无正当理由不得拒绝签订政府采购合同。</w:t>
      </w:r>
      <w:r/>
    </w:p>
    <w:p>
      <w:pPr>
        <w:spacing w:line="360" w:lineRule="auto"/>
        <w:rPr>
          <w:rFonts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十</w:t>
      </w:r>
      <w:r>
        <w:rPr>
          <w:rFonts w:hint="eastAsia" w:ascii="宋体" w:hAnsi="宋体" w:eastAsia="宋体" w:cs="宋体"/>
          <w:b/>
          <w:color w:val="auto"/>
          <w:sz w:val="21"/>
          <w:szCs w:val="21"/>
          <w:highlight w:val="none"/>
        </w:rPr>
        <w:t xml:space="preserve">二</w:t>
      </w:r>
      <w:r>
        <w:rPr>
          <w:rFonts w:hint="eastAsia" w:ascii="宋体" w:hAnsi="宋体" w:eastAsia="宋体" w:cs="宋体"/>
          <w:b/>
          <w:color w:val="auto"/>
          <w:sz w:val="21"/>
          <w:szCs w:val="21"/>
          <w:highlight w:val="none"/>
          <w:lang w:val="zh-CN"/>
        </w:rPr>
        <w:t xml:space="preserve">、其他事项</w:t>
      </w:r>
      <w:r/>
    </w:p>
    <w:p>
      <w:pPr>
        <w:ind w:firstLine="48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33.1</w:t>
      </w:r>
      <w:r>
        <w:rPr>
          <w:rFonts w:hint="eastAsia" w:ascii="宋体" w:hAnsi="宋体" w:eastAsia="宋体" w:cs="宋体"/>
          <w:b/>
          <w:bCs/>
          <w:color w:val="auto"/>
          <w:sz w:val="21"/>
          <w:szCs w:val="21"/>
          <w:highlight w:val="none"/>
          <w:lang w:val="zh-CN"/>
        </w:rPr>
        <w:t xml:space="preserve">中标服务费</w:t>
      </w:r>
      <w:r/>
    </w:p>
    <w:p>
      <w:pPr>
        <w:ind w:firstLine="42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3.1中标单位须按前附表的规定按其预算金额计算并支付中标服务费，该费用应在领取中标通知书时付清。</w:t>
      </w:r>
      <w:r/>
    </w:p>
    <w:p>
      <w:pPr>
        <w:ind w:firstLine="42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3.2中标单位如果未按规定缴纳中标服务费，招标采购单位将保留诉讼的权利。</w:t>
      </w:r>
      <w:r/>
    </w:p>
    <w:p>
      <w:pPr>
        <w:ind w:firstLine="420"/>
        <w:spacing w:line="360" w:lineRule="auto"/>
        <w:rPr>
          <w:rFonts w:ascii="宋体" w:hAnsi="宋体" w:eastAsia="宋体" w:cs="宋体"/>
          <w:bCs/>
          <w:color w:val="auto"/>
          <w:sz w:val="21"/>
          <w:szCs w:val="21"/>
          <w:highlight w:val="none"/>
        </w:rPr>
      </w:pPr>
      <w:r>
        <w:rPr>
          <w:rFonts w:hint="eastAsia" w:ascii="宋体" w:hAnsi="宋体" w:eastAsia="宋体"/>
          <w:color w:val="auto"/>
          <w:sz w:val="21"/>
          <w:szCs w:val="21"/>
          <w:highlight w:val="none"/>
        </w:rPr>
        <w:t xml:space="preserve">33.3</w:t>
      </w:r>
      <w:r>
        <w:rPr>
          <w:rFonts w:hint="eastAsia" w:ascii="宋体" w:hAnsi="宋体" w:eastAsia="宋体" w:cs="宋体"/>
          <w:bCs/>
          <w:color w:val="auto"/>
          <w:sz w:val="21"/>
          <w:szCs w:val="21"/>
          <w:highlight w:val="none"/>
        </w:rPr>
        <w:t xml:space="preserve">缴纳中标服务费时，如供应商为增值税一般纳税人且需增值税专用发票的，则须提供开票信息。</w:t>
      </w:r>
      <w:r/>
    </w:p>
    <w:p>
      <w:pPr>
        <w:ind w:firstLine="48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33.2</w:t>
      </w:r>
      <w:r>
        <w:rPr>
          <w:rFonts w:hint="eastAsia" w:ascii="宋体" w:hAnsi="宋体" w:eastAsia="宋体" w:cs="宋体"/>
          <w:b/>
          <w:bCs/>
          <w:color w:val="auto"/>
          <w:sz w:val="21"/>
          <w:szCs w:val="21"/>
          <w:highlight w:val="none"/>
          <w:lang w:val="zh-CN"/>
        </w:rPr>
        <w:t xml:space="preserve">监督</w:t>
      </w:r>
      <w:r/>
    </w:p>
    <w:p>
      <w:pPr>
        <w:ind w:firstLine="502"/>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33</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2.1</w:t>
      </w:r>
      <w:r>
        <w:rPr>
          <w:rFonts w:hint="eastAsia" w:ascii="宋体" w:hAnsi="宋体" w:eastAsia="宋体" w:cs="宋体"/>
          <w:color w:val="auto"/>
          <w:sz w:val="21"/>
          <w:szCs w:val="21"/>
          <w:highlight w:val="none"/>
          <w:lang w:val="zh-CN"/>
        </w:rPr>
        <w:t xml:space="preserve">政府有关监督部门将对招投标全过程进行监督。</w:t>
      </w:r>
      <w:r/>
    </w:p>
    <w:p>
      <w:pPr>
        <w:ind w:firstLine="482"/>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t xml:space="preserve">33.3</w:t>
      </w:r>
      <w:r>
        <w:rPr>
          <w:rFonts w:hint="eastAsia" w:ascii="宋体" w:hAnsi="宋体" w:eastAsia="宋体" w:cs="宋体"/>
          <w:b/>
          <w:bCs/>
          <w:color w:val="auto"/>
          <w:sz w:val="21"/>
          <w:szCs w:val="21"/>
          <w:highlight w:val="none"/>
          <w:lang w:val="zh-CN"/>
        </w:rPr>
        <w:t xml:space="preserve">未尽事宜</w:t>
      </w:r>
      <w:r/>
    </w:p>
    <w:p>
      <w:pPr>
        <w:ind w:firstLine="480"/>
        <w:spacing w:line="360" w:lineRule="auto"/>
        <w:rPr>
          <w:rStyle w:val="1314"/>
          <w:rFonts w:ascii="宋体" w:hAnsi="宋体" w:cs="宋体"/>
          <w:bCs/>
          <w:color w:val="auto"/>
          <w:sz w:val="21"/>
          <w:szCs w:val="21"/>
          <w:highlight w:val="none"/>
        </w:rPr>
      </w:pPr>
      <w:r>
        <w:rPr>
          <w:rFonts w:hint="eastAsia" w:ascii="宋体" w:hAnsi="宋体" w:eastAsia="宋体" w:cs="宋体"/>
          <w:color w:val="auto"/>
          <w:sz w:val="21"/>
          <w:szCs w:val="21"/>
          <w:highlight w:val="none"/>
          <w:lang w:val="zh-CN"/>
        </w:rPr>
        <w:t xml:space="preserve">按《中华人民共和国政府采购法》及其他有关政府采购的法律法规的规定执行。</w:t>
      </w:r>
      <w:r/>
    </w:p>
    <w:p>
      <w:pPr>
        <w:pStyle w:val="807"/>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pStyle w:val="995"/>
        <w:spacing w:line="360" w:lineRule="auto"/>
        <w:rPr>
          <w:rFonts w:hint="default" w:ascii="宋体" w:hAnsi="宋体" w:eastAsia="宋体"/>
          <w:color w:val="auto"/>
          <w:highlight w:val="none"/>
        </w:rPr>
      </w:pPr>
      <w:r>
        <w:rPr>
          <w:rFonts w:hint="default" w:ascii="宋体" w:hAnsi="宋体" w:eastAsia="宋体"/>
          <w:color w:val="auto"/>
          <w:highlight w:val="none"/>
        </w:rPr>
      </w:r>
      <w:r/>
    </w:p>
    <w:p>
      <w:pPr>
        <w:pStyle w:val="994"/>
        <w:ind w:firstLine="420"/>
        <w:rPr>
          <w:rFonts w:hAnsi="宋体"/>
          <w:color w:val="auto"/>
          <w:sz w:val="21"/>
          <w:szCs w:val="21"/>
          <w:highlight w:val="none"/>
        </w:rPr>
      </w:pPr>
      <w:r>
        <w:rPr>
          <w:rFonts w:hAnsi="宋体"/>
          <w:color w:val="auto"/>
          <w:sz w:val="21"/>
          <w:szCs w:val="21"/>
          <w:highlight w:val="none"/>
        </w:rPr>
      </w:r>
      <w:r/>
    </w:p>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pStyle w:val="1199"/>
        <w:ind w:left="0"/>
        <w:spacing w:line="360" w:lineRule="auto"/>
        <w:rPr>
          <w:rFonts w:hAnsi="宋体"/>
          <w:color w:val="auto"/>
          <w:sz w:val="21"/>
          <w:szCs w:val="21"/>
          <w:highlight w:val="none"/>
        </w:rPr>
      </w:pPr>
      <w:r>
        <w:rPr>
          <w:rFonts w:hAnsi="宋体"/>
          <w:color w:val="auto"/>
          <w:sz w:val="21"/>
          <w:szCs w:val="21"/>
          <w:highlight w:val="none"/>
        </w:rPr>
      </w:r>
      <w:r/>
    </w:p>
    <w:p>
      <w:pPr>
        <w:pStyle w:val="1199"/>
        <w:spacing w:line="360" w:lineRule="auto"/>
        <w:rPr>
          <w:rFonts w:hAnsi="宋体"/>
          <w:color w:val="auto"/>
          <w:sz w:val="21"/>
          <w:szCs w:val="21"/>
          <w:highlight w:val="none"/>
        </w:rPr>
      </w:pPr>
      <w:r>
        <w:rPr>
          <w:rFonts w:hAnsi="宋体"/>
          <w:color w:val="auto"/>
          <w:sz w:val="21"/>
          <w:szCs w:val="21"/>
          <w:highlight w:val="none"/>
        </w:rPr>
      </w:r>
      <w:r/>
    </w:p>
    <w:p>
      <w:pPr>
        <w:pStyle w:val="1199"/>
        <w:spacing w:line="360" w:lineRule="auto"/>
        <w:rPr>
          <w:rFonts w:hAnsi="宋体"/>
          <w:color w:val="auto"/>
          <w:sz w:val="21"/>
          <w:szCs w:val="21"/>
          <w:highlight w:val="none"/>
        </w:rPr>
      </w:pPr>
      <w:r>
        <w:rPr>
          <w:rFonts w:hAnsi="宋体"/>
          <w:color w:val="auto"/>
          <w:sz w:val="21"/>
          <w:szCs w:val="21"/>
          <w:highlight w:val="none"/>
        </w:rPr>
      </w:r>
      <w:r/>
    </w:p>
    <w:p>
      <w:pPr>
        <w:pStyle w:val="1199"/>
        <w:spacing w:line="360" w:lineRule="auto"/>
        <w:rPr>
          <w:rFonts w:hAnsi="宋体"/>
          <w:color w:val="auto"/>
          <w:sz w:val="21"/>
          <w:szCs w:val="21"/>
          <w:highlight w:val="none"/>
        </w:rPr>
      </w:pPr>
      <w:r>
        <w:rPr>
          <w:rFonts w:hAnsi="宋体"/>
          <w:color w:val="auto"/>
          <w:sz w:val="21"/>
          <w:szCs w:val="21"/>
          <w:highlight w:val="none"/>
        </w:rPr>
      </w:r>
      <w:r/>
    </w:p>
    <w:p>
      <w:pPr>
        <w:pStyle w:val="1199"/>
        <w:spacing w:line="360" w:lineRule="auto"/>
        <w:rPr>
          <w:rFonts w:hAnsi="宋体"/>
          <w:color w:val="auto"/>
          <w:sz w:val="21"/>
          <w:szCs w:val="21"/>
          <w:highlight w:val="none"/>
        </w:rPr>
      </w:pPr>
      <w:r>
        <w:rPr>
          <w:rFonts w:hAnsi="宋体"/>
          <w:color w:val="auto"/>
          <w:sz w:val="21"/>
          <w:szCs w:val="21"/>
          <w:highlight w:val="none"/>
        </w:rPr>
      </w:r>
      <w:r/>
    </w:p>
    <w:p>
      <w:pPr>
        <w:pStyle w:val="1199"/>
        <w:spacing w:line="360" w:lineRule="auto"/>
        <w:rPr>
          <w:rFonts w:hAnsi="宋体"/>
          <w:color w:val="auto"/>
          <w:sz w:val="21"/>
          <w:szCs w:val="21"/>
          <w:highlight w:val="none"/>
        </w:rPr>
      </w:pPr>
      <w:r>
        <w:rPr>
          <w:rFonts w:hAnsi="宋体"/>
          <w:color w:val="auto"/>
          <w:sz w:val="21"/>
          <w:szCs w:val="21"/>
          <w:highlight w:val="none"/>
        </w:rPr>
      </w:r>
      <w:r/>
    </w:p>
    <w:p>
      <w:pPr>
        <w:pStyle w:val="1199"/>
        <w:spacing w:line="360" w:lineRule="auto"/>
        <w:rPr>
          <w:rFonts w:hAnsi="宋体"/>
          <w:color w:val="auto"/>
          <w:sz w:val="21"/>
          <w:szCs w:val="21"/>
          <w:highlight w:val="none"/>
        </w:rPr>
      </w:pPr>
      <w:r>
        <w:rPr>
          <w:rFonts w:hAnsi="宋体"/>
          <w:color w:val="auto"/>
          <w:sz w:val="21"/>
          <w:szCs w:val="21"/>
          <w:highlight w:val="none"/>
        </w:rPr>
      </w:r>
      <w:r/>
    </w:p>
    <w:p>
      <w:pPr>
        <w:pStyle w:val="1199"/>
        <w:spacing w:line="360" w:lineRule="auto"/>
        <w:rPr>
          <w:rFonts w:hAnsi="宋体"/>
          <w:color w:val="auto"/>
          <w:sz w:val="21"/>
          <w:szCs w:val="21"/>
          <w:highlight w:val="none"/>
        </w:rPr>
      </w:pPr>
      <w:r>
        <w:rPr>
          <w:rFonts w:hAnsi="宋体"/>
          <w:color w:val="auto"/>
          <w:sz w:val="21"/>
          <w:szCs w:val="21"/>
          <w:highlight w:val="none"/>
        </w:rPr>
      </w:r>
      <w:r/>
    </w:p>
    <w:p>
      <w:pPr>
        <w:pStyle w:val="1199"/>
        <w:spacing w:line="360" w:lineRule="auto"/>
        <w:rPr>
          <w:rFonts w:hAnsi="宋体"/>
          <w:color w:val="auto"/>
          <w:sz w:val="21"/>
          <w:szCs w:val="21"/>
          <w:highlight w:val="none"/>
        </w:rPr>
      </w:pPr>
      <w:r>
        <w:rPr>
          <w:rFonts w:hAnsi="宋体"/>
          <w:color w:val="auto"/>
          <w:sz w:val="21"/>
          <w:szCs w:val="21"/>
          <w:highlight w:val="none"/>
        </w:rPr>
      </w:r>
      <w:r/>
    </w:p>
    <w:p>
      <w:pPr>
        <w:pStyle w:val="1199"/>
        <w:spacing w:line="360" w:lineRule="auto"/>
        <w:rPr>
          <w:rFonts w:hAnsi="宋体"/>
          <w:color w:val="auto"/>
          <w:sz w:val="21"/>
          <w:szCs w:val="21"/>
          <w:highlight w:val="none"/>
        </w:rPr>
      </w:pPr>
      <w:r>
        <w:rPr>
          <w:rFonts w:hAnsi="宋体"/>
          <w:color w:val="auto"/>
          <w:sz w:val="21"/>
          <w:szCs w:val="21"/>
          <w:highlight w:val="none"/>
        </w:rPr>
      </w:r>
      <w:r/>
    </w:p>
    <w:p>
      <w:pPr>
        <w:pStyle w:val="1199"/>
        <w:spacing w:line="360" w:lineRule="auto"/>
        <w:rPr>
          <w:rFonts w:hAnsi="宋体"/>
          <w:color w:val="auto"/>
          <w:sz w:val="21"/>
          <w:szCs w:val="21"/>
          <w:highlight w:val="none"/>
        </w:rPr>
      </w:pPr>
      <w:r>
        <w:rPr>
          <w:rFonts w:hAnsi="宋体"/>
          <w:color w:val="auto"/>
          <w:sz w:val="21"/>
          <w:szCs w:val="21"/>
          <w:highlight w:val="none"/>
        </w:rPr>
      </w:r>
      <w:r/>
    </w:p>
    <w:p>
      <w:pPr>
        <w:pStyle w:val="1199"/>
        <w:spacing w:line="360" w:lineRule="auto"/>
        <w:rPr>
          <w:rFonts w:hAnsi="宋体"/>
          <w:color w:val="auto"/>
          <w:sz w:val="21"/>
          <w:szCs w:val="21"/>
          <w:highlight w:val="none"/>
        </w:rPr>
      </w:pPr>
      <w:r>
        <w:rPr>
          <w:rFonts w:hAnsi="宋体"/>
          <w:color w:val="auto"/>
          <w:sz w:val="21"/>
          <w:szCs w:val="21"/>
          <w:highlight w:val="none"/>
        </w:rPr>
      </w:r>
      <w:r/>
    </w:p>
    <w:p>
      <w:pPr>
        <w:pStyle w:val="1199"/>
        <w:spacing w:line="360" w:lineRule="auto"/>
        <w:rPr>
          <w:rFonts w:hAnsi="宋体"/>
          <w:color w:val="auto"/>
          <w:sz w:val="21"/>
          <w:szCs w:val="21"/>
          <w:highlight w:val="none"/>
        </w:rPr>
      </w:pPr>
      <w:r>
        <w:rPr>
          <w:rFonts w:hAnsi="宋体"/>
          <w:color w:val="auto"/>
          <w:sz w:val="21"/>
          <w:szCs w:val="21"/>
          <w:highlight w:val="none"/>
        </w:rPr>
      </w:r>
      <w:r/>
    </w:p>
    <w:p>
      <w:pPr>
        <w:pStyle w:val="1199"/>
        <w:spacing w:line="360" w:lineRule="auto"/>
        <w:rPr>
          <w:rFonts w:hAnsi="宋体"/>
          <w:color w:val="auto"/>
          <w:sz w:val="21"/>
          <w:szCs w:val="21"/>
          <w:highlight w:val="none"/>
        </w:rPr>
      </w:pPr>
      <w:r>
        <w:rPr>
          <w:rFonts w:hAnsi="宋体"/>
          <w:color w:val="auto"/>
          <w:sz w:val="21"/>
          <w:szCs w:val="21"/>
          <w:highlight w:val="none"/>
        </w:rPr>
      </w:r>
      <w:r/>
    </w:p>
    <w:p>
      <w:pPr>
        <w:pStyle w:val="1199"/>
        <w:spacing w:line="360" w:lineRule="auto"/>
        <w:rPr>
          <w:rFonts w:hAnsi="宋体"/>
          <w:color w:val="auto"/>
          <w:sz w:val="21"/>
          <w:szCs w:val="21"/>
          <w:highlight w:val="none"/>
        </w:rPr>
      </w:pPr>
      <w:r>
        <w:rPr>
          <w:rFonts w:hAnsi="宋体"/>
          <w:color w:val="auto"/>
          <w:sz w:val="21"/>
          <w:szCs w:val="21"/>
          <w:highlight w:val="none"/>
        </w:rPr>
      </w:r>
      <w:r/>
    </w:p>
    <w:p>
      <w:pPr>
        <w:pStyle w:val="1199"/>
        <w:spacing w:line="360" w:lineRule="auto"/>
        <w:rPr>
          <w:rFonts w:hAnsi="宋体"/>
          <w:color w:val="auto"/>
          <w:sz w:val="21"/>
          <w:szCs w:val="21"/>
          <w:highlight w:val="none"/>
        </w:rPr>
      </w:pPr>
      <w:r>
        <w:rPr>
          <w:rFonts w:hAnsi="宋体"/>
          <w:color w:val="auto"/>
          <w:sz w:val="21"/>
          <w:szCs w:val="21"/>
          <w:highlight w:val="none"/>
        </w:rPr>
      </w:r>
      <w:r/>
    </w:p>
    <w:p>
      <w:pPr>
        <w:pStyle w:val="1199"/>
        <w:spacing w:line="360" w:lineRule="auto"/>
        <w:rPr>
          <w:rFonts w:hAnsi="宋体"/>
          <w:color w:val="auto"/>
          <w:sz w:val="21"/>
          <w:szCs w:val="21"/>
          <w:highlight w:val="none"/>
        </w:rPr>
      </w:pPr>
      <w:r>
        <w:rPr>
          <w:rFonts w:hAnsi="宋体"/>
          <w:color w:val="auto"/>
          <w:sz w:val="21"/>
          <w:szCs w:val="21"/>
          <w:highlight w:val="none"/>
        </w:rPr>
      </w:r>
      <w:r/>
    </w:p>
    <w:p>
      <w:pPr>
        <w:pStyle w:val="1199"/>
        <w:spacing w:line="360" w:lineRule="auto"/>
        <w:rPr>
          <w:rFonts w:hAnsi="宋体"/>
          <w:color w:val="auto"/>
          <w:sz w:val="21"/>
          <w:szCs w:val="21"/>
          <w:highlight w:val="none"/>
        </w:rPr>
      </w:pPr>
      <w:r>
        <w:rPr>
          <w:rFonts w:hAnsi="宋体"/>
          <w:color w:val="auto"/>
          <w:sz w:val="21"/>
          <w:szCs w:val="21"/>
          <w:highlight w:val="none"/>
        </w:rPr>
      </w:r>
      <w:r/>
    </w:p>
    <w:p>
      <w:pPr>
        <w:pStyle w:val="1199"/>
        <w:spacing w:line="360" w:lineRule="auto"/>
        <w:rPr>
          <w:rFonts w:hAnsi="宋体"/>
          <w:color w:val="auto"/>
          <w:sz w:val="21"/>
          <w:szCs w:val="21"/>
          <w:highlight w:val="none"/>
        </w:rPr>
      </w:pPr>
      <w:r>
        <w:rPr>
          <w:rFonts w:hAnsi="宋体"/>
          <w:color w:val="auto"/>
          <w:sz w:val="21"/>
          <w:szCs w:val="21"/>
          <w:highlight w:val="none"/>
        </w:rPr>
      </w:r>
      <w:r/>
    </w:p>
    <w:p>
      <w:pPr>
        <w:pStyle w:val="807"/>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pStyle w:val="790"/>
        <w:jc w:val="center"/>
        <w:spacing w:line="360" w:lineRule="auto"/>
        <w:rPr>
          <w:rFonts w:ascii="宋体" w:hAnsi="宋体" w:eastAsia="宋体"/>
          <w:b w:val="0"/>
          <w:color w:val="auto"/>
          <w:sz w:val="28"/>
          <w:szCs w:val="28"/>
          <w:highlight w:val="none"/>
        </w:rPr>
      </w:pPr>
      <w:r>
        <w:rPr>
          <w:rFonts w:hint="eastAsia" w:ascii="宋体" w:hAnsi="宋体" w:eastAsia="宋体"/>
          <w:color w:val="auto"/>
          <w:sz w:val="28"/>
          <w:szCs w:val="28"/>
          <w:highlight w:val="none"/>
        </w:rPr>
        <w:t xml:space="preserve">第三章投标文件格式</w:t>
      </w:r>
      <w:bookmarkEnd w:id="5"/>
      <w:r/>
      <w:r/>
    </w:p>
    <w:p>
      <w:pPr>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说明：</w:t>
      </w:r>
      <w:r/>
    </w:p>
    <w:p>
      <w:pPr>
        <w:ind w:firstLine="421"/>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对本章所有的投标书格式，投标方可根据自身情况进行补充和修改，但补充和修改不得造成与本格式内容有实质性的违背。</w:t>
      </w:r>
      <w:r/>
    </w:p>
    <w:p>
      <w:pPr>
        <w:spacing w:line="360" w:lineRule="auto"/>
        <w:rPr>
          <w:rFonts w:ascii="宋体" w:hAnsi="宋体" w:eastAsia="宋体"/>
          <w:b/>
          <w:color w:val="auto"/>
          <w:sz w:val="21"/>
          <w:szCs w:val="21"/>
          <w:highlight w:val="none"/>
        </w:rPr>
      </w:pPr>
      <w:r>
        <w:rPr>
          <w:rFonts w:ascii="宋体" w:hAnsi="宋体" w:eastAsia="宋体"/>
          <w:b/>
          <w:color w:val="auto"/>
          <w:sz w:val="21"/>
          <w:szCs w:val="21"/>
          <w:highlight w:val="none"/>
        </w:rPr>
      </w:r>
      <w:r/>
    </w:p>
    <w:p>
      <w:pPr>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附件1、（投标方）法定代表人授权委托书</w:t>
      </w:r>
      <w:r/>
    </w:p>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授权委托书</w:t>
      </w:r>
      <w:r/>
    </w:p>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pStyle w:val="808"/>
        <w:ind w:firstLine="52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本授权委托书声明：我</w:t>
      </w:r>
      <w:r>
        <w:rPr>
          <w:rFonts w:hint="eastAsia" w:ascii="宋体" w:hAnsi="宋体" w:eastAsia="宋体" w:cs="宋体"/>
          <w:color w:val="auto"/>
          <w:sz w:val="21"/>
          <w:szCs w:val="21"/>
          <w:highlight w:val="none"/>
          <w:u w:val="single"/>
        </w:rPr>
        <w:t xml:space="preserve">（姓名）</w:t>
      </w:r>
      <w:r>
        <w:rPr>
          <w:rFonts w:hint="eastAsia" w:ascii="宋体" w:hAnsi="宋体" w:eastAsia="宋体" w:cs="宋体"/>
          <w:color w:val="auto"/>
          <w:sz w:val="21"/>
          <w:szCs w:val="21"/>
          <w:highlight w:val="none"/>
        </w:rPr>
        <w:t xml:space="preserve">系</w:t>
      </w:r>
      <w:r>
        <w:rPr>
          <w:rFonts w:hint="eastAsia" w:ascii="宋体" w:hAnsi="宋体" w:eastAsia="宋体" w:cs="宋体"/>
          <w:color w:val="auto"/>
          <w:sz w:val="21"/>
          <w:szCs w:val="21"/>
          <w:highlight w:val="none"/>
          <w:u w:val="single"/>
        </w:rPr>
        <w:t xml:space="preserve">（投标单位名称）</w:t>
      </w:r>
      <w:r>
        <w:rPr>
          <w:rFonts w:hint="eastAsia" w:ascii="宋体" w:hAnsi="宋体" w:eastAsia="宋体" w:cs="宋体"/>
          <w:color w:val="auto"/>
          <w:sz w:val="21"/>
          <w:szCs w:val="21"/>
          <w:highlight w:val="none"/>
        </w:rPr>
        <w:t xml:space="preserve">的法定代表人，现授权委托</w:t>
      </w:r>
      <w:r>
        <w:rPr>
          <w:rFonts w:hint="eastAsia" w:ascii="宋体" w:hAnsi="宋体" w:eastAsia="宋体" w:cs="宋体"/>
          <w:color w:val="auto"/>
          <w:sz w:val="21"/>
          <w:szCs w:val="21"/>
          <w:highlight w:val="none"/>
          <w:u w:val="single"/>
        </w:rPr>
        <w:t xml:space="preserve">（单位名称）</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（姓名）</w:t>
      </w:r>
      <w:r>
        <w:rPr>
          <w:rFonts w:hint="eastAsia" w:ascii="宋体" w:hAnsi="宋体" w:eastAsia="宋体" w:cs="宋体"/>
          <w:color w:val="auto"/>
          <w:sz w:val="21"/>
          <w:szCs w:val="21"/>
          <w:highlight w:val="none"/>
        </w:rPr>
        <w:t xml:space="preserve">为我公司代理人，以本公司的名义参加苏州铭坤招投标咨询服务有限公司组织实施的编号为JSZC-320508-SZMK-G2024-0006号的招标活动。代理人在开标、评标、合同投标过程中所签署的一切文件和处理与这有关的一切事务，我均予以承认。</w:t>
      </w:r>
      <w:r/>
    </w:p>
    <w:p>
      <w:pPr>
        <w:pStyle w:val="808"/>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代理人在授权委托书有效期内签署的所有文件不因授权委托的撤销而失效，除非有撤销授权委托的书面通知，本授权委托书自投标开始至合同履行完毕止。</w:t>
      </w:r>
      <w:r/>
    </w:p>
    <w:p>
      <w:pPr>
        <w:pStyle w:val="808"/>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代理人无转委托权。特此委托。</w:t>
      </w:r>
      <w:r/>
    </w:p>
    <w:p>
      <w:pPr>
        <w:pStyle w:val="808"/>
        <w:jc w:val="both"/>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08"/>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投标方：（公章）</w:t>
      </w:r>
      <w:r/>
    </w:p>
    <w:p>
      <w:pPr>
        <w:pStyle w:val="808"/>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法定代表人：（签字）</w:t>
      </w:r>
      <w:r/>
    </w:p>
    <w:p>
      <w:pPr>
        <w:pStyle w:val="808"/>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代理人：（签字）</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日期：年月日</w:t>
      </w:r>
      <w:r/>
    </w:p>
    <w:p>
      <w:pPr>
        <w:pStyle w:val="1002"/>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1002"/>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1002"/>
        <w:spacing w:line="360" w:lineRule="auto"/>
        <w:rPr>
          <w:rFonts w:hAnsi="宋体" w:eastAsia="宋体"/>
          <w:b/>
          <w:color w:val="auto"/>
          <w:sz w:val="21"/>
          <w:szCs w:val="21"/>
          <w:highlight w:val="none"/>
        </w:rPr>
      </w:pPr>
      <w:r>
        <w:rPr>
          <w:rFonts w:hint="eastAsia" w:hAnsi="宋体" w:eastAsia="宋体"/>
          <w:b/>
          <w:color w:val="auto"/>
          <w:sz w:val="21"/>
          <w:szCs w:val="21"/>
          <w:highlight w:val="none"/>
        </w:rPr>
        <w:t xml:space="preserve">附件2、投标函</w:t>
      </w:r>
      <w:r/>
    </w:p>
    <w:p>
      <w:pPr>
        <w:pStyle w:val="1002"/>
        <w:jc w:val="center"/>
        <w:spacing w:line="360" w:lineRule="auto"/>
        <w:rPr>
          <w:rFonts w:hAnsi="宋体" w:eastAsia="宋体"/>
          <w:b/>
          <w:color w:val="auto"/>
          <w:sz w:val="21"/>
          <w:szCs w:val="21"/>
          <w:highlight w:val="none"/>
        </w:rPr>
      </w:pPr>
      <w:r>
        <w:rPr>
          <w:rFonts w:hint="eastAsia" w:hAnsi="宋体" w:eastAsia="宋体"/>
          <w:b/>
          <w:color w:val="auto"/>
          <w:sz w:val="21"/>
          <w:szCs w:val="21"/>
          <w:highlight w:val="none"/>
        </w:rPr>
        <w:t xml:space="preserve">投标函</w:t>
      </w:r>
      <w:r/>
    </w:p>
    <w:p>
      <w:pPr>
        <w:pStyle w:val="1002"/>
        <w:jc w:val="left"/>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rPr>
        <w:t xml:space="preserve">苏州铭坤招投标咨询服务有限公司</w:t>
      </w:r>
      <w:r>
        <w:rPr>
          <w:rFonts w:hint="eastAsia" w:hAnsi="宋体" w:eastAsia="宋体" w:cs="宋体"/>
          <w:color w:val="auto"/>
          <w:sz w:val="21"/>
          <w:szCs w:val="21"/>
          <w:highlight w:val="none"/>
        </w:rPr>
        <w:t xml:space="preserve">：</w:t>
      </w:r>
      <w:r/>
    </w:p>
    <w:p>
      <w:pPr>
        <w:ind w:firstLine="420"/>
        <w:jc w:val="left"/>
        <w:spacing w:after="0"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我方收到贵单位JSZC-320508-SZMK-G2024-0006号招标文件，经仔细阅读和研究，我方决定参加投标。并向贵单位承诺：</w:t>
      </w:r>
      <w:r/>
    </w:p>
    <w:p>
      <w:pPr>
        <w:ind w:firstLine="420"/>
        <w:spacing w:after="0"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1、我方愿意按照招标文件的一切要求，提供</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u w:val="single"/>
        </w:rPr>
        <w:t xml:space="preserve">（</w:t>
      </w:r>
      <w:r>
        <w:rPr>
          <w:rFonts w:hAnsi="宋体" w:eastAsia="宋体"/>
          <w:color w:val="auto"/>
          <w:sz w:val="21"/>
          <w:szCs w:val="21"/>
          <w:highlight w:val="none"/>
          <w:u w:val="single"/>
        </w:rPr>
        <w:t xml:space="preserve">具体名称</w:t>
      </w:r>
      <w:r>
        <w:rPr>
          <w:rFonts w:hint="eastAsia" w:ascii="宋体" w:hAnsi="宋体" w:eastAsia="宋体"/>
          <w:color w:val="auto"/>
          <w:sz w:val="21"/>
          <w:szCs w:val="21"/>
          <w:highlight w:val="none"/>
          <w:u w:val="single"/>
        </w:rPr>
        <w:t xml:space="preserve">）</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的所有内容，我方的投标报价包括</w:t>
      </w:r>
      <w:r>
        <w:rPr>
          <w:rFonts w:hint="eastAsia" w:ascii="宋体" w:hAnsi="宋体" w:eastAsia="宋体"/>
          <w:color w:val="auto"/>
          <w:sz w:val="21"/>
          <w:szCs w:val="21"/>
          <w:highlight w:val="none"/>
        </w:rPr>
        <w:t xml:space="preserve">完成该项目所需一切产品及其备品、备件和专用工具费用、税费及包装、运至最终目的地的运输、保险、现场吊装、检测验收、安装、调试、技术支持与培训、售后服务与维保及相关劳务支出等工作所发生的全部费用以及投标人企业利润、中标服务费、税金和政策性文件规定及合同包含的所有风险、责任等各项应有费用。</w:t>
      </w:r>
      <w:r/>
    </w:p>
    <w:p>
      <w:pPr>
        <w:ind w:firstLine="420"/>
        <w:spacing w:after="0"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2、如果我方的投标书被接受，我方将严格履行招标文件中规定的每一项要求，严格履行合同的责任和义务，保证按期、按质履行合同，完成合同内容所规定的全部工作。</w:t>
      </w:r>
      <w:r/>
    </w:p>
    <w:p>
      <w:pPr>
        <w:ind w:firstLine="432"/>
        <w:spacing w:after="0"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3、我方同意按招标文件中的规定，本投标书的有效期限为开标后90天</w:t>
      </w:r>
      <w:r>
        <w:rPr>
          <w:rFonts w:hint="eastAsia" w:ascii="宋体" w:hAnsi="宋体" w:eastAsia="宋体"/>
          <w:color w:val="auto"/>
          <w:sz w:val="21"/>
          <w:szCs w:val="21"/>
          <w:highlight w:val="none"/>
        </w:rPr>
        <w:t xml:space="preserve">。</w:t>
      </w:r>
      <w:r/>
    </w:p>
    <w:p>
      <w:pPr>
        <w:ind w:firstLine="432"/>
        <w:spacing w:after="0"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4、我方愿意提供招标方在招标文件中要求的所有资料。也同意向贵方提供贵方可能另外要求的与我方投标有关的任何证据或资料。并保证所提供的资料全部是真实的、有效的，若有虚假，我方愿承担一切责任。</w:t>
      </w:r>
      <w:r/>
    </w:p>
    <w:p>
      <w:pPr>
        <w:ind w:firstLine="420"/>
        <w:spacing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、我方愿意遵守招标公告及招标文件中所列的收费标准。</w:t>
      </w:r>
      <w:r/>
    </w:p>
    <w:p>
      <w:pPr>
        <w:ind w:firstLine="432"/>
        <w:spacing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w:t>
      </w:r>
      <w:r>
        <w:rPr>
          <w:rFonts w:ascii="宋体" w:hAnsi="宋体" w:eastAsia="宋体"/>
          <w:color w:val="auto"/>
          <w:sz w:val="21"/>
          <w:szCs w:val="21"/>
          <w:highlight w:val="none"/>
        </w:rPr>
        <w:t xml:space="preserve">、我方承诺该项投标在开标后的全过程中保持有效，不作任何更改和变动。我方同意中标后若不履行投标文件的内容要求和各项承诺及义务的即被视为违约，我方的中标资格将被取消。</w:t>
      </w:r>
      <w:r/>
    </w:p>
    <w:p>
      <w:pPr>
        <w:ind w:firstLine="420"/>
        <w:spacing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w:t>
      </w:r>
      <w:r>
        <w:rPr>
          <w:rFonts w:ascii="宋体" w:hAnsi="宋体" w:eastAsia="宋体"/>
          <w:color w:val="auto"/>
          <w:sz w:val="21"/>
          <w:szCs w:val="21"/>
          <w:highlight w:val="none"/>
        </w:rPr>
        <w:t xml:space="preserve">、我方同意中标方若无法按约定条款履行义务等行为，招标方有权取消我方的中标资格。</w:t>
      </w:r>
      <w:r/>
    </w:p>
    <w:p>
      <w:pPr>
        <w:ind w:firstLine="420"/>
        <w:spacing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8</w:t>
      </w:r>
      <w:r>
        <w:rPr>
          <w:rFonts w:ascii="宋体" w:hAnsi="宋体" w:eastAsia="宋体"/>
          <w:color w:val="auto"/>
          <w:sz w:val="21"/>
          <w:szCs w:val="21"/>
          <w:highlight w:val="none"/>
        </w:rPr>
        <w:t xml:space="preserve">、与本投标有关的通讯地址：</w:t>
      </w:r>
      <w:r/>
    </w:p>
    <w:p>
      <w:pPr>
        <w:pStyle w:val="1002"/>
        <w:ind w:firstLine="420"/>
        <w:spacing w:after="0" w:line="360" w:lineRule="auto"/>
        <w:rPr>
          <w:rFonts w:hAnsi="宋体" w:eastAsia="宋体"/>
          <w:color w:val="auto"/>
          <w:sz w:val="21"/>
          <w:szCs w:val="21"/>
          <w:highlight w:val="none"/>
          <w:u w:val="single"/>
        </w:rPr>
      </w:pPr>
      <w:r>
        <w:rPr>
          <w:rFonts w:hAnsi="宋体" w:eastAsia="宋体"/>
          <w:color w:val="auto"/>
          <w:sz w:val="21"/>
          <w:szCs w:val="21"/>
          <w:highlight w:val="none"/>
        </w:rPr>
        <w:t xml:space="preserve">单位：联系人：</w:t>
      </w:r>
      <w:r/>
    </w:p>
    <w:p>
      <w:pPr>
        <w:pStyle w:val="1002"/>
        <w:ind w:firstLine="420"/>
        <w:spacing w:after="0" w:line="360" w:lineRule="auto"/>
        <w:rPr>
          <w:rFonts w:hAnsi="宋体" w:eastAsia="宋体"/>
          <w:color w:val="auto"/>
          <w:sz w:val="21"/>
          <w:szCs w:val="21"/>
          <w:highlight w:val="none"/>
          <w:u w:val="single"/>
        </w:rPr>
      </w:pPr>
      <w:r>
        <w:rPr>
          <w:rFonts w:hAnsi="宋体" w:eastAsia="宋体"/>
          <w:color w:val="auto"/>
          <w:sz w:val="21"/>
          <w:szCs w:val="21"/>
          <w:highlight w:val="none"/>
        </w:rPr>
        <w:t xml:space="preserve">地址：联系电话：</w:t>
      </w:r>
      <w:r/>
    </w:p>
    <w:p>
      <w:pPr>
        <w:ind w:firstLine="420"/>
        <w:spacing w:after="0"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开户银行：银行账号：</w:t>
      </w:r>
      <w:r/>
    </w:p>
    <w:p>
      <w:pPr>
        <w:pStyle w:val="1002"/>
        <w:ind w:firstLine="425"/>
        <w:spacing w:after="0" w:line="360" w:lineRule="auto"/>
        <w:rPr>
          <w:rFonts w:hAnsi="宋体" w:eastAsia="宋体"/>
          <w:color w:val="auto"/>
          <w:sz w:val="21"/>
          <w:szCs w:val="21"/>
          <w:highlight w:val="none"/>
        </w:rPr>
      </w:pPr>
      <w:r>
        <w:rPr>
          <w:rFonts w:hAnsi="宋体" w:eastAsia="宋体"/>
          <w:color w:val="auto"/>
          <w:sz w:val="21"/>
          <w:szCs w:val="21"/>
          <w:highlight w:val="none"/>
        </w:rPr>
        <w:t xml:space="preserve">投标人：（公章）</w:t>
      </w:r>
      <w:r/>
    </w:p>
    <w:p>
      <w:pPr>
        <w:ind w:firstLine="420"/>
        <w:spacing w:after="0"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法定代表人或授权委托人：（签字或签章）</w:t>
      </w:r>
      <w:r/>
    </w:p>
    <w:p>
      <w:pPr>
        <w:ind w:firstLine="84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年月日</w:t>
      </w:r>
      <w:r/>
    </w:p>
    <w:p>
      <w:pPr>
        <w:spacing w:line="360" w:lineRule="auto"/>
        <w:rPr>
          <w:rFonts w:ascii="宋体" w:hAnsi="宋体" w:eastAsia="宋体"/>
          <w:b/>
          <w:bCs/>
          <w:color w:val="auto"/>
          <w:sz w:val="21"/>
          <w:szCs w:val="21"/>
          <w:highlight w:val="none"/>
        </w:rPr>
      </w:pPr>
      <w:r>
        <w:rPr>
          <w:rFonts w:ascii="宋体" w:hAnsi="宋体" w:eastAsia="宋体"/>
          <w:b/>
          <w:bCs/>
          <w:color w:val="auto"/>
          <w:sz w:val="21"/>
          <w:szCs w:val="21"/>
          <w:highlight w:val="none"/>
        </w:rPr>
      </w:r>
      <w:r/>
    </w:p>
    <w:p>
      <w:pPr>
        <w:pStyle w:val="801"/>
        <w:rPr>
          <w:rFonts w:ascii="宋体" w:hAnsi="宋体" w:eastAsia="宋体"/>
          <w:b/>
          <w:bCs/>
          <w:color w:val="auto"/>
          <w:sz w:val="21"/>
          <w:szCs w:val="21"/>
          <w:highlight w:val="none"/>
        </w:rPr>
      </w:pPr>
      <w:r>
        <w:rPr>
          <w:rFonts w:ascii="宋体" w:hAnsi="宋体" w:eastAsia="宋体"/>
          <w:b/>
          <w:bCs/>
          <w:color w:val="auto"/>
          <w:sz w:val="21"/>
          <w:szCs w:val="21"/>
          <w:highlight w:val="none"/>
        </w:rPr>
      </w:r>
      <w:r/>
    </w:p>
    <w:p>
      <w:pPr>
        <w:pStyle w:val="801"/>
        <w:rPr>
          <w:rFonts w:ascii="宋体" w:hAnsi="宋体" w:eastAsia="宋体"/>
          <w:b/>
          <w:bCs/>
          <w:color w:val="auto"/>
          <w:sz w:val="21"/>
          <w:szCs w:val="21"/>
          <w:highlight w:val="none"/>
        </w:rPr>
      </w:pPr>
      <w:r>
        <w:rPr>
          <w:rFonts w:ascii="宋体" w:hAnsi="宋体" w:eastAsia="宋体"/>
          <w:b/>
          <w:bCs/>
          <w:color w:val="auto"/>
          <w:sz w:val="21"/>
          <w:szCs w:val="21"/>
          <w:highlight w:val="none"/>
        </w:rPr>
      </w:r>
      <w:r/>
    </w:p>
    <w:p>
      <w:pPr>
        <w:spacing w:line="360" w:lineRule="auto"/>
        <w:rPr>
          <w:color w:val="auto"/>
          <w:sz w:val="21"/>
          <w:szCs w:val="21"/>
          <w:highlight w:val="none"/>
        </w:rPr>
      </w:pPr>
      <w:r>
        <w:rPr>
          <w:rFonts w:hint="eastAsia" w:ascii="宋体" w:hAnsi="宋体" w:eastAsia="宋体"/>
          <w:b/>
          <w:bCs/>
          <w:color w:val="auto"/>
          <w:sz w:val="21"/>
          <w:szCs w:val="21"/>
          <w:highlight w:val="none"/>
        </w:rPr>
        <w:t xml:space="preserve">附件3、投标报价表</w:t>
      </w:r>
      <w:r/>
    </w:p>
    <w:p>
      <w:pPr>
        <w:pStyle w:val="836"/>
        <w:jc w:val="both"/>
        <w:spacing w:before="0" w:beforeAutospacing="0" w:after="0" w:afterAutospacing="0" w:line="360" w:lineRule="auto"/>
        <w:rPr>
          <w:color w:val="auto"/>
          <w:sz w:val="21"/>
          <w:szCs w:val="21"/>
          <w:highlight w:val="none"/>
        </w:rPr>
      </w:pPr>
      <w:r>
        <w:rPr>
          <w:rFonts w:hint="eastAsia"/>
          <w:color w:val="auto"/>
          <w:sz w:val="21"/>
          <w:szCs w:val="21"/>
          <w:highlight w:val="none"/>
        </w:rPr>
        <w:t xml:space="preserve">1.开标一览表</w:t>
      </w:r>
      <w:r>
        <w:rPr>
          <w:rFonts w:hint="eastAsia" w:cs="宋体"/>
          <w:bCs/>
          <w:color w:val="auto"/>
          <w:sz w:val="21"/>
          <w:szCs w:val="21"/>
          <w:highlight w:val="none"/>
        </w:rPr>
        <w:t xml:space="preserve">：</w:t>
      </w:r>
      <w:r>
        <w:rPr>
          <w:rFonts w:hint="eastAsia" w:cs="宋体"/>
          <w:b/>
          <w:color w:val="auto"/>
          <w:sz w:val="21"/>
          <w:szCs w:val="21"/>
          <w:highlight w:val="none"/>
        </w:rPr>
        <w:t xml:space="preserve">按投标系统内统一格式</w:t>
      </w:r>
      <w:r/>
    </w:p>
    <w:p>
      <w:pPr>
        <w:pStyle w:val="836"/>
        <w:jc w:val="both"/>
        <w:spacing w:line="360" w:lineRule="auto"/>
        <w:rPr>
          <w:color w:val="auto"/>
          <w:sz w:val="21"/>
          <w:szCs w:val="21"/>
          <w:highlight w:val="none"/>
          <w:lang w:val="zh-CN"/>
        </w:rPr>
      </w:pPr>
      <w:r>
        <w:rPr>
          <w:rFonts w:hint="eastAsia"/>
          <w:color w:val="auto"/>
          <w:sz w:val="21"/>
          <w:szCs w:val="21"/>
          <w:highlight w:val="none"/>
        </w:rPr>
        <w:t xml:space="preserve">2.</w:t>
      </w:r>
      <w:r>
        <w:rPr>
          <w:rFonts w:hint="eastAsia"/>
          <w:color w:val="auto"/>
          <w:sz w:val="21"/>
          <w:szCs w:val="21"/>
          <w:highlight w:val="none"/>
          <w:lang w:val="zh-CN"/>
        </w:rPr>
        <w:t xml:space="preserve">报价明细表</w:t>
      </w:r>
      <w:r/>
    </w:p>
    <w:tbl>
      <w:tblPr>
        <w:tblStyle w:val="800"/>
        <w:tblW w:w="8522"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69"/>
        <w:gridCol w:w="830"/>
        <w:gridCol w:w="2253"/>
        <w:gridCol w:w="1231"/>
        <w:gridCol w:w="1231"/>
        <w:gridCol w:w="1282"/>
        <w:gridCol w:w="826"/>
      </w:tblGrid>
      <w:tr>
        <w:trPr>
          <w:jc w:val="center"/>
          <w:trHeight w:val="534"/>
        </w:trPr>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数量、单位</w:t>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单价(元)</w:t>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总价（元）</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jc w:val="center"/>
          <w:trHeight w:val="463"/>
        </w:trPr>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360"/>
        </w:trPr>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231"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360"/>
        </w:trPr>
        <w:tc>
          <w:tcPr>
            <w:gridSpan w:val="7"/>
            <w:tcBorders>
              <w:top w:val="single" w:color="auto" w:sz="4" w:space="0"/>
              <w:left w:val="single" w:color="auto" w:sz="4" w:space="0"/>
              <w:bottom w:val="single" w:color="auto" w:sz="4" w:space="0"/>
              <w:right w:val="single" w:color="auto" w:sz="4" w:space="0"/>
            </w:tcBorders>
            <w:tcW w:w="8522" w:type="dxa"/>
            <w:vAlign w:val="center"/>
            <w:textDirection w:val="lrTb"/>
            <w:noWrap w:val="false"/>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合计投标报价人民币大写 :           小写：          .00元整</w:t>
            </w:r>
            <w:r/>
          </w:p>
        </w:tc>
      </w:tr>
    </w:tbl>
    <w:p>
      <w:pPr>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注：投标单位可参照上述格式自制《投标报价明细表》投标。</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投标人：（单位盖章）</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p>
    <w:p>
      <w:pPr>
        <w:ind w:firstLine="420"/>
        <w:spacing w:line="360" w:lineRule="auto"/>
        <w:rPr>
          <w:color w:val="auto"/>
          <w:sz w:val="21"/>
          <w:szCs w:val="21"/>
          <w:highlight w:val="none"/>
        </w:rPr>
      </w:pPr>
      <w:r>
        <w:rPr>
          <w:rFonts w:hint="eastAsia" w:ascii="宋体" w:hAnsi="宋体" w:eastAsia="宋体" w:cs="宋体"/>
          <w:color w:val="auto"/>
          <w:sz w:val="21"/>
          <w:szCs w:val="21"/>
          <w:highlight w:val="none"/>
        </w:rPr>
        <w:t xml:space="preserve">日期：年月日</w:t>
      </w:r>
      <w:r/>
    </w:p>
    <w:p>
      <w:pPr>
        <w:jc w:val="left"/>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jc w:val="left"/>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jc w:val="left"/>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jc w:val="left"/>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jc w:val="left"/>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jc w:val="left"/>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jc w:val="left"/>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jc w:val="left"/>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jc w:val="left"/>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jc w:val="left"/>
        <w:spacing w:line="360" w:lineRule="auto"/>
        <w:rPr>
          <w:rFonts w:hAnsi="宋体" w:eastAsia="宋体"/>
          <w:b/>
          <w:color w:val="auto"/>
          <w:sz w:val="21"/>
          <w:szCs w:val="21"/>
          <w:highlight w:val="none"/>
        </w:rPr>
      </w:pPr>
      <w:r>
        <w:rPr>
          <w:rFonts w:hint="eastAsia" w:hAnsi="宋体" w:eastAsia="宋体" w:cs="宋体"/>
          <w:b/>
          <w:color w:val="auto"/>
          <w:sz w:val="21"/>
          <w:szCs w:val="21"/>
          <w:highlight w:val="none"/>
        </w:rPr>
        <w:t xml:space="preserve">附件4、</w:t>
      </w:r>
      <w:r>
        <w:rPr>
          <w:rFonts w:hint="eastAsia" w:ascii="宋体" w:hAnsi="宋体" w:eastAsia="宋体"/>
          <w:b/>
          <w:bCs/>
          <w:color w:val="auto"/>
          <w:sz w:val="21"/>
          <w:szCs w:val="21"/>
          <w:highlight w:val="none"/>
        </w:rPr>
        <w:t xml:space="preserve">服务人员安排表</w:t>
      </w:r>
      <w:r/>
    </w:p>
    <w:p>
      <w:pPr>
        <w:pStyle w:val="1002"/>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p>
      <w:pPr>
        <w:jc w:val="center"/>
        <w:spacing w:line="360" w:lineRule="auto"/>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服务人员安排表</w:t>
      </w:r>
      <w:r/>
    </w:p>
    <w:p>
      <w:pPr>
        <w:spacing w:line="360" w:lineRule="auto"/>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招标编号：</w:t>
      </w:r>
      <w:r/>
    </w:p>
    <w:tbl>
      <w:tblPr>
        <w:tblStyle w:val="800"/>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8"/>
        <w:gridCol w:w="1180"/>
        <w:gridCol w:w="1074"/>
        <w:gridCol w:w="1969"/>
        <w:gridCol w:w="1110"/>
        <w:gridCol w:w="1187"/>
        <w:gridCol w:w="1284"/>
      </w:tblGrid>
      <w:tr>
        <w:trPr>
          <w:trHeight w:val="635"/>
        </w:trPr>
        <w:tc>
          <w:tcPr>
            <w:tcW w:w="718"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180"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w:t>
            </w:r>
            <w:r/>
          </w:p>
        </w:tc>
        <w:tc>
          <w:tcPr>
            <w:tcW w:w="1074"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性别</w:t>
            </w:r>
            <w:r/>
          </w:p>
        </w:tc>
        <w:tc>
          <w:tcPr>
            <w:tcW w:w="1969"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岗位</w:t>
            </w:r>
            <w:r/>
          </w:p>
        </w:tc>
        <w:tc>
          <w:tcPr>
            <w:tcW w:w="1110"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年龄</w:t>
            </w:r>
            <w:r/>
          </w:p>
        </w:tc>
        <w:tc>
          <w:tcPr>
            <w:tcW w:w="1187"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学历</w:t>
            </w:r>
            <w:r/>
          </w:p>
        </w:tc>
        <w:tc>
          <w:tcPr>
            <w:tcW w:w="1284"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职称</w:t>
            </w:r>
            <w:r/>
          </w:p>
        </w:tc>
      </w:tr>
      <w:tr>
        <w:trPr>
          <w:trHeight w:val="495"/>
        </w:trPr>
        <w:tc>
          <w:tcPr>
            <w:tcW w:w="718"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180"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74"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69"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10"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87"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84"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495"/>
        </w:trPr>
        <w:tc>
          <w:tcPr>
            <w:tcW w:w="718"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180"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74"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69"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10"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87"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84"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495"/>
        </w:trPr>
        <w:tc>
          <w:tcPr>
            <w:tcW w:w="718"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180"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74"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69"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10"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87"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84"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495"/>
        </w:trPr>
        <w:tc>
          <w:tcPr>
            <w:tcW w:w="718"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180"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74"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69"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10"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87"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84"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495"/>
        </w:trPr>
        <w:tc>
          <w:tcPr>
            <w:tcW w:w="718"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1180"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74"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69"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10"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87"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84"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495"/>
        </w:trPr>
        <w:tc>
          <w:tcPr>
            <w:tcW w:w="718"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1180"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74"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69"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10"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87"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84"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495"/>
        </w:trPr>
        <w:tc>
          <w:tcPr>
            <w:tcW w:w="718"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1180"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74"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69"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10"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87"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84"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495"/>
        </w:trPr>
        <w:tc>
          <w:tcPr>
            <w:tcW w:w="718"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1180"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74"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69"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10"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87"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84"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495"/>
        </w:trPr>
        <w:tc>
          <w:tcPr>
            <w:tcW w:w="718"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1180"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74"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69"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10"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87"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84"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495"/>
        </w:trPr>
        <w:tc>
          <w:tcPr>
            <w:tcW w:w="718"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80"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74"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69"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10"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87"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84"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495"/>
        </w:trPr>
        <w:tc>
          <w:tcPr>
            <w:tcW w:w="718"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c>
          <w:tcPr>
            <w:tcW w:w="1180"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c>
          <w:tcPr>
            <w:tcW w:w="1074"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c>
          <w:tcPr>
            <w:tcW w:w="1969"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c>
          <w:tcPr>
            <w:tcW w:w="1110"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c>
          <w:tcPr>
            <w:tcW w:w="1187"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c>
          <w:tcPr>
            <w:tcW w:w="1284"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r>
    </w:tbl>
    <w:p>
      <w:pPr>
        <w:spacing w:line="360" w:lineRule="auto"/>
        <w:rPr>
          <w:color w:val="auto"/>
          <w:sz w:val="21"/>
          <w:szCs w:val="21"/>
          <w:highlight w:val="none"/>
        </w:rPr>
      </w:pPr>
      <w:r>
        <w:rPr>
          <w:color w:val="auto"/>
          <w:sz w:val="21"/>
          <w:szCs w:val="21"/>
          <w:highlight w:val="none"/>
        </w:rPr>
      </w:r>
      <w:r/>
    </w:p>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投标</w:t>
      </w:r>
      <w:r>
        <w:rPr>
          <w:rFonts w:hint="eastAsia" w:ascii="宋体" w:hAnsi="宋体" w:eastAsia="宋体"/>
          <w:color w:val="auto"/>
          <w:sz w:val="21"/>
          <w:szCs w:val="21"/>
          <w:highlight w:val="none"/>
        </w:rPr>
        <w:t xml:space="preserve">人</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公章</w:t>
      </w:r>
      <w:r>
        <w:rPr>
          <w:rFonts w:ascii="宋体" w:hAnsi="宋体" w:eastAsia="宋体"/>
          <w:color w:val="auto"/>
          <w:sz w:val="21"/>
          <w:szCs w:val="21"/>
          <w:highlight w:val="none"/>
        </w:rPr>
        <w:t xml:space="preserve">）</w:t>
      </w:r>
      <w:r/>
    </w:p>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法</w:t>
      </w:r>
      <w:r>
        <w:rPr>
          <w:rFonts w:hint="eastAsia" w:ascii="宋体" w:hAnsi="宋体" w:eastAsia="宋体"/>
          <w:color w:val="auto"/>
          <w:sz w:val="21"/>
          <w:szCs w:val="21"/>
          <w:highlight w:val="none"/>
        </w:rPr>
        <w:t xml:space="preserve">定代表</w:t>
      </w:r>
      <w:r>
        <w:rPr>
          <w:rFonts w:ascii="宋体" w:hAnsi="宋体" w:eastAsia="宋体"/>
          <w:color w:val="auto"/>
          <w:sz w:val="21"/>
          <w:szCs w:val="21"/>
          <w:highlight w:val="none"/>
        </w:rPr>
        <w:t xml:space="preserve">人：（签字或</w:t>
      </w:r>
      <w:r>
        <w:rPr>
          <w:rFonts w:hint="eastAsia" w:ascii="宋体" w:hAnsi="宋体" w:eastAsia="宋体"/>
          <w:color w:val="auto"/>
          <w:sz w:val="21"/>
          <w:szCs w:val="21"/>
          <w:highlight w:val="none"/>
        </w:rPr>
        <w:t xml:space="preserve">签</w:t>
      </w:r>
      <w:r>
        <w:rPr>
          <w:rFonts w:ascii="宋体" w:hAnsi="宋体" w:eastAsia="宋体"/>
          <w:color w:val="auto"/>
          <w:sz w:val="21"/>
          <w:szCs w:val="21"/>
          <w:highlight w:val="none"/>
        </w:rPr>
        <w:t xml:space="preserve">章）</w:t>
      </w:r>
      <w:r/>
    </w:p>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lang w:val="zh-CN"/>
        </w:rPr>
        <w:t xml:space="preserve">授权</w:t>
      </w:r>
      <w:r>
        <w:rPr>
          <w:rFonts w:hint="eastAsia" w:ascii="宋体" w:hAnsi="宋体" w:eastAsia="宋体"/>
          <w:color w:val="auto"/>
          <w:sz w:val="21"/>
          <w:szCs w:val="21"/>
          <w:highlight w:val="none"/>
        </w:rPr>
        <w:t xml:space="preserve">委托</w:t>
      </w:r>
      <w:r>
        <w:rPr>
          <w:rFonts w:ascii="宋体" w:hAnsi="宋体" w:eastAsia="宋体"/>
          <w:color w:val="auto"/>
          <w:sz w:val="21"/>
          <w:szCs w:val="21"/>
          <w:highlight w:val="none"/>
        </w:rPr>
        <w:t xml:space="preserve">人：（签字或</w:t>
      </w:r>
      <w:r>
        <w:rPr>
          <w:rFonts w:hint="eastAsia" w:ascii="宋体" w:hAnsi="宋体" w:eastAsia="宋体"/>
          <w:color w:val="auto"/>
          <w:sz w:val="21"/>
          <w:szCs w:val="21"/>
          <w:highlight w:val="none"/>
        </w:rPr>
        <w:t xml:space="preserve">签</w:t>
      </w:r>
      <w:r>
        <w:rPr>
          <w:rFonts w:ascii="宋体" w:hAnsi="宋体" w:eastAsia="宋体"/>
          <w:color w:val="auto"/>
          <w:sz w:val="21"/>
          <w:szCs w:val="21"/>
          <w:highlight w:val="none"/>
        </w:rPr>
        <w:t xml:space="preserve">章）</w:t>
      </w:r>
      <w:r/>
    </w:p>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lang w:val="zh-CN"/>
        </w:rPr>
        <w:t xml:space="preserve">日期：年月日</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注：请按以上格式自制表格填写后投标。</w:t>
      </w:r>
      <w:r/>
    </w:p>
    <w:p>
      <w:pPr>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801"/>
        <w:rPr>
          <w:color w:val="auto"/>
          <w:highlight w:val="none"/>
        </w:rPr>
      </w:pPr>
      <w:r>
        <w:rPr>
          <w:color w:val="auto"/>
          <w:highlight w:val="none"/>
        </w:rPr>
      </w:r>
      <w:r/>
    </w:p>
    <w:p>
      <w:pPr>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附件5、条款偏离表</w:t>
      </w:r>
      <w:r/>
    </w:p>
    <w:p>
      <w:pPr>
        <w:spacing w:line="360" w:lineRule="auto"/>
        <w:widowControl/>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jc w:val="center"/>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服务偏离表</w:t>
      </w:r>
      <w:r/>
    </w:p>
    <w:p>
      <w:pPr>
        <w:spacing w:line="360" w:lineRule="auto"/>
        <w:rPr>
          <w:rFonts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t xml:space="preserve">投标方：（公章）</w:t>
      </w:r>
      <w:r/>
    </w:p>
    <w:p>
      <w:pPr>
        <w:spacing w:line="360" w:lineRule="auto"/>
        <w:rPr>
          <w:rFonts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t xml:space="preserve">招标编号：号</w:t>
      </w:r>
      <w:r/>
    </w:p>
    <w:p>
      <w:pPr>
        <w:spacing w:line="360" w:lineRule="auto"/>
        <w:rPr>
          <w:rFonts w:ascii="宋体" w:hAnsi="宋体" w:eastAsia="宋体" w:cs="宋体"/>
          <w:color w:val="auto"/>
          <w:spacing w:val="20"/>
          <w:sz w:val="21"/>
          <w:szCs w:val="21"/>
          <w:highlight w:val="none"/>
        </w:rPr>
      </w:pPr>
      <w:r>
        <w:rPr>
          <w:rFonts w:hint="eastAsia" w:ascii="宋体" w:hAnsi="宋体" w:eastAsia="宋体" w:cs="宋体"/>
          <w:color w:val="auto"/>
          <w:sz w:val="21"/>
          <w:szCs w:val="21"/>
          <w:highlight w:val="none"/>
        </w:rPr>
        <w:t xml:space="preserve">项目名称：</w:t>
      </w:r>
      <w:r/>
    </w:p>
    <w:tbl>
      <w:tblPr>
        <w:tblStyle w:val="800"/>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2391"/>
        <w:gridCol w:w="2522"/>
        <w:gridCol w:w="2937"/>
      </w:tblGrid>
      <w:tr>
        <w:trPr>
          <w:trHeight w:val="849" w:hRule="exact"/>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391"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招标服务内容</w:t>
            </w:r>
            <w:r/>
          </w:p>
        </w:tc>
        <w:tc>
          <w:tcPr>
            <w:tcBorders>
              <w:top w:val="single" w:color="auto" w:sz="4" w:space="0"/>
              <w:left w:val="single" w:color="auto" w:sz="4" w:space="0"/>
              <w:bottom w:val="single" w:color="auto" w:sz="4" w:space="0"/>
              <w:right w:val="single" w:color="auto" w:sz="4" w:space="0"/>
            </w:tcBorders>
            <w:tcW w:w="2522"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投标服务内容</w:t>
            </w:r>
            <w:r/>
          </w:p>
        </w:tc>
        <w:tc>
          <w:tcPr>
            <w:tcBorders>
              <w:top w:val="single" w:color="auto" w:sz="4" w:space="0"/>
              <w:left w:val="single" w:color="auto" w:sz="4" w:space="0"/>
              <w:bottom w:val="single" w:color="auto" w:sz="4" w:space="0"/>
              <w:right w:val="single" w:color="auto" w:sz="4" w:space="0"/>
            </w:tcBorders>
            <w:tcW w:w="2937"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选择项</w:t>
            </w:r>
            <w:r/>
          </w:p>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（正偏离、符合或负偏离）</w:t>
            </w:r>
            <w:r/>
          </w:p>
        </w:tc>
      </w:tr>
      <w:tr>
        <w:trPr>
          <w:trHeight w:val="340" w:hRule="exact"/>
        </w:trPr>
        <w:tc>
          <w:tcPr>
            <w:tcBorders>
              <w:top w:val="single" w:color="auto" w:sz="4" w:space="0"/>
              <w:left w:val="single" w:color="auto" w:sz="4" w:space="0"/>
              <w:bottom w:val="single" w:color="auto" w:sz="4" w:space="0"/>
              <w:right w:val="single" w:color="auto" w:sz="4" w:space="0"/>
            </w:tcBorders>
            <w:tcW w:w="669"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391"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2"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937"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340" w:hRule="exact"/>
        </w:trPr>
        <w:tc>
          <w:tcPr>
            <w:tcBorders>
              <w:top w:val="single" w:color="auto" w:sz="4" w:space="0"/>
              <w:left w:val="single" w:color="auto" w:sz="4" w:space="0"/>
              <w:bottom w:val="single" w:color="auto" w:sz="4" w:space="0"/>
              <w:right w:val="single" w:color="auto" w:sz="4" w:space="0"/>
            </w:tcBorders>
            <w:tcW w:w="669"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391"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2"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937"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340" w:hRule="exact"/>
        </w:trPr>
        <w:tc>
          <w:tcPr>
            <w:tcBorders>
              <w:top w:val="single" w:color="auto" w:sz="4" w:space="0"/>
              <w:left w:val="single" w:color="auto" w:sz="4" w:space="0"/>
              <w:bottom w:val="single" w:color="auto" w:sz="4" w:space="0"/>
              <w:right w:val="single" w:color="auto" w:sz="4" w:space="0"/>
            </w:tcBorders>
            <w:tcW w:w="669"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391"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2"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937" w:type="dxa"/>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pStyle w:val="108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法定代表人或委托代理人：（签字或盖章）</w:t>
      </w:r>
      <w:r/>
    </w:p>
    <w:p>
      <w:pPr>
        <w:pStyle w:val="1080"/>
        <w:spacing w:line="360" w:lineRule="auto"/>
        <w:rPr>
          <w:rFonts w:hAnsi="宋体" w:eastAsia="宋体" w:cs="宋体"/>
          <w:b/>
          <w:color w:val="auto"/>
          <w:sz w:val="21"/>
          <w:szCs w:val="21"/>
          <w:highlight w:val="none"/>
        </w:rPr>
      </w:pPr>
      <w:r>
        <w:rPr>
          <w:rFonts w:hint="eastAsia" w:hAnsi="宋体" w:eastAsia="宋体" w:cs="宋体"/>
          <w:color w:val="auto"/>
          <w:sz w:val="21"/>
          <w:szCs w:val="21"/>
          <w:highlight w:val="none"/>
        </w:rPr>
        <w:t xml:space="preserve">日期：年月日</w:t>
      </w:r>
      <w:r/>
    </w:p>
    <w:p>
      <w:pPr>
        <w:pStyle w:val="816"/>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jc w:val="center"/>
        <w:spacing w:line="360" w:lineRule="auto"/>
        <w:widowControl/>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技术偏离表</w:t>
      </w:r>
      <w:r/>
    </w:p>
    <w:p>
      <w:pPr>
        <w:jc w:val="left"/>
        <w:spacing w:line="360" w:lineRule="auto"/>
        <w:widowControl/>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jc w:val="left"/>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单位名称（盖章）：</w:t>
      </w:r>
      <w:r/>
    </w:p>
    <w:tbl>
      <w:tblPr>
        <w:tblStyle w:val="800"/>
        <w:tblW w:w="8519"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836"/>
        <w:gridCol w:w="1145"/>
        <w:gridCol w:w="1239"/>
        <w:gridCol w:w="1682"/>
        <w:gridCol w:w="1320"/>
        <w:gridCol w:w="2297"/>
      </w:tblGrid>
      <w:tr>
        <w:trPr>
          <w:trHeight w:val="1018" w:hRule="exact"/>
        </w:trPr>
        <w:tc>
          <w:tcPr>
            <w:tcBorders>
              <w:top w:val="single" w:color="auto" w:sz="4" w:space="0"/>
              <w:left w:val="single" w:color="auto" w:sz="4" w:space="0"/>
              <w:bottom w:val="single" w:color="000000" w:sz="4" w:space="0"/>
              <w:right w:val="single" w:color="000000" w:sz="4" w:space="0"/>
            </w:tcBorders>
            <w:tcMar>
              <w:left w:w="108" w:type="dxa"/>
              <w:top w:w="0" w:type="dxa"/>
              <w:right w:w="108" w:type="dxa"/>
              <w:bottom w:w="0" w:type="dxa"/>
            </w:tcMar>
            <w:tcW w:w="836" w:type="dxa"/>
            <w:vAlign w:val="center"/>
            <w:textDirection w:val="lrTb"/>
            <w:noWrap w:val="false"/>
          </w:tcPr>
          <w:p>
            <w:pPr>
              <w:jc w:val="center"/>
              <w:spacing w:before="240" w:after="240"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000000" w:sz="4" w:space="0"/>
              <w:bottom w:val="single" w:color="000000" w:sz="4" w:space="0"/>
              <w:right w:val="single" w:color="000000" w:sz="4" w:space="0"/>
            </w:tcBorders>
            <w:tcMar>
              <w:left w:w="108" w:type="dxa"/>
              <w:top w:w="0" w:type="dxa"/>
              <w:right w:w="108" w:type="dxa"/>
              <w:bottom w:w="0" w:type="dxa"/>
            </w:tcMar>
            <w:tcW w:w="1145" w:type="dxa"/>
            <w:vAlign w:val="center"/>
            <w:textDirection w:val="lrTb"/>
            <w:noWrap w:val="false"/>
          </w:tcPr>
          <w:p>
            <w:pPr>
              <w:jc w:val="center"/>
              <w:spacing w:before="240" w:after="240"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产品名称</w:t>
            </w:r>
            <w:r/>
          </w:p>
        </w:tc>
        <w:tc>
          <w:tcPr>
            <w:tcBorders>
              <w:top w:val="single" w:color="auto" w:sz="4" w:space="0"/>
              <w:left w:val="single" w:color="000000" w:sz="4" w:space="0"/>
              <w:bottom w:val="single" w:color="000000" w:sz="4" w:space="0"/>
              <w:right w:val="single" w:color="000000" w:sz="4" w:space="0"/>
            </w:tcBorders>
            <w:tcMar>
              <w:left w:w="108" w:type="dxa"/>
              <w:top w:w="0" w:type="dxa"/>
              <w:right w:w="108" w:type="dxa"/>
              <w:bottom w:w="0" w:type="dxa"/>
            </w:tcMar>
            <w:tcW w:w="1239" w:type="dxa"/>
            <w:vAlign w:val="center"/>
            <w:textDirection w:val="lrTb"/>
            <w:noWrap w:val="false"/>
          </w:tcPr>
          <w:p>
            <w:pPr>
              <w:jc w:val="center"/>
              <w:spacing w:before="240" w:after="240"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品牌、型号</w:t>
            </w:r>
            <w:r/>
          </w:p>
        </w:tc>
        <w:tc>
          <w:tcPr>
            <w:tcBorders>
              <w:top w:val="single" w:color="auto" w:sz="4" w:space="0"/>
              <w:left w:val="single" w:color="000000" w:sz="4" w:space="0"/>
              <w:bottom w:val="single" w:color="000000" w:sz="4" w:space="0"/>
              <w:right w:val="single" w:color="000000" w:sz="4" w:space="0"/>
            </w:tcBorders>
            <w:tcMar>
              <w:left w:w="108" w:type="dxa"/>
              <w:top w:w="0" w:type="dxa"/>
              <w:right w:w="108" w:type="dxa"/>
              <w:bottom w:w="0" w:type="dxa"/>
            </w:tcMar>
            <w:tcW w:w="1682" w:type="dxa"/>
            <w:vAlign w:val="center"/>
            <w:textDirection w:val="lrTb"/>
            <w:noWrap w:val="false"/>
          </w:tcPr>
          <w:p>
            <w:pPr>
              <w:jc w:val="center"/>
              <w:spacing w:before="240" w:after="240"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招标文件技术参数</w:t>
            </w:r>
            <w:r/>
          </w:p>
        </w:tc>
        <w:tc>
          <w:tcPr>
            <w:tcBorders>
              <w:top w:val="single" w:color="auto" w:sz="4" w:space="0"/>
              <w:left w:val="single" w:color="000000" w:sz="4" w:space="0"/>
              <w:bottom w:val="single" w:color="000000" w:sz="4" w:space="0"/>
              <w:right w:val="single" w:color="000000" w:sz="4" w:space="0"/>
            </w:tcBorders>
            <w:tcMar>
              <w:left w:w="108" w:type="dxa"/>
              <w:top w:w="0" w:type="dxa"/>
              <w:right w:w="108" w:type="dxa"/>
              <w:bottom w:w="0" w:type="dxa"/>
            </w:tcMar>
            <w:tcW w:w="1320" w:type="dxa"/>
            <w:vAlign w:val="center"/>
            <w:textDirection w:val="lrTb"/>
            <w:noWrap w:val="false"/>
          </w:tcPr>
          <w:p>
            <w:pPr>
              <w:jc w:val="center"/>
              <w:spacing w:before="240" w:after="240"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投标文件技术参数</w:t>
            </w:r>
            <w:r/>
          </w:p>
        </w:tc>
        <w:tc>
          <w:tcPr>
            <w:tcBorders>
              <w:top w:val="single" w:color="auto" w:sz="4" w:space="0"/>
              <w:left w:val="single" w:color="000000" w:sz="4" w:space="0"/>
              <w:bottom w:val="single" w:color="000000" w:sz="4" w:space="0"/>
              <w:right w:val="single" w:color="auto" w:sz="4" w:space="0"/>
            </w:tcBorders>
            <w:tcMar>
              <w:left w:w="108" w:type="dxa"/>
              <w:top w:w="0" w:type="dxa"/>
              <w:right w:w="108" w:type="dxa"/>
              <w:bottom w:w="0" w:type="dxa"/>
            </w:tcMar>
            <w:tcW w:w="2297" w:type="dxa"/>
            <w:vAlign w:val="center"/>
            <w:textDirection w:val="lrTb"/>
            <w:noWrap w:val="false"/>
          </w:tcPr>
          <w:p>
            <w:pPr>
              <w:jc w:val="center"/>
              <w:spacing w:before="240" w:after="240"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偏离情况（正偏离、符合、负偏离）</w:t>
            </w:r>
            <w:r/>
          </w:p>
        </w:tc>
      </w:tr>
      <w:tr>
        <w:trPr>
          <w:trHeight w:val="397" w:hRule="exact"/>
        </w:trPr>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836" w:type="dxa"/>
            <w:vAlign w:val="center"/>
            <w:textDirection w:val="lrTb"/>
            <w:noWrap w:val="false"/>
          </w:tcPr>
          <w:p>
            <w:pPr>
              <w:jc w:val="center"/>
              <w:spacing w:before="240" w:after="240"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5" w:type="dxa"/>
            <w:vAlign w:val="center"/>
            <w:textDirection w:val="lrTb"/>
            <w:noWrap w:val="false"/>
          </w:tcPr>
          <w:p>
            <w:pPr>
              <w:jc w:val="center"/>
              <w:spacing w:before="240" w:after="240"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9" w:type="dxa"/>
            <w:vAlign w:val="center"/>
            <w:textDirection w:val="lrTb"/>
            <w:noWrap w:val="false"/>
          </w:tcPr>
          <w:p>
            <w:pPr>
              <w:jc w:val="center"/>
              <w:spacing w:before="240" w:after="240"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2" w:type="dxa"/>
            <w:vAlign w:val="center"/>
            <w:textDirection w:val="lrTb"/>
            <w:noWrap w:val="false"/>
          </w:tcPr>
          <w:p>
            <w:pPr>
              <w:jc w:val="center"/>
              <w:spacing w:before="240" w:after="240"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20" w:type="dxa"/>
            <w:vAlign w:val="center"/>
            <w:textDirection w:val="lrTb"/>
            <w:noWrap w:val="false"/>
          </w:tcPr>
          <w:p>
            <w:pPr>
              <w:jc w:val="center"/>
              <w:spacing w:before="240" w:after="240"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297" w:type="dxa"/>
            <w:vAlign w:val="center"/>
            <w:textDirection w:val="lrTb"/>
            <w:noWrap w:val="false"/>
          </w:tcPr>
          <w:p>
            <w:pPr>
              <w:jc w:val="center"/>
              <w:spacing w:before="240" w:after="240"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397" w:hRule="exact"/>
        </w:trPr>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836" w:type="dxa"/>
            <w:vAlign w:val="center"/>
            <w:textDirection w:val="lrTb"/>
            <w:noWrap w:val="false"/>
          </w:tcPr>
          <w:p>
            <w:pPr>
              <w:jc w:val="center"/>
              <w:spacing w:before="240" w:after="240"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5" w:type="dxa"/>
            <w:vAlign w:val="center"/>
            <w:textDirection w:val="lrTb"/>
            <w:noWrap w:val="false"/>
          </w:tcPr>
          <w:p>
            <w:pPr>
              <w:jc w:val="center"/>
              <w:spacing w:before="240" w:after="240"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9" w:type="dxa"/>
            <w:vAlign w:val="center"/>
            <w:textDirection w:val="lrTb"/>
            <w:noWrap w:val="false"/>
          </w:tcPr>
          <w:p>
            <w:pPr>
              <w:jc w:val="center"/>
              <w:spacing w:before="240" w:after="240"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2" w:type="dxa"/>
            <w:vAlign w:val="center"/>
            <w:textDirection w:val="lrTb"/>
            <w:noWrap w:val="false"/>
          </w:tcPr>
          <w:p>
            <w:pPr>
              <w:jc w:val="center"/>
              <w:spacing w:before="240" w:after="240"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20" w:type="dxa"/>
            <w:vAlign w:val="center"/>
            <w:textDirection w:val="lrTb"/>
            <w:noWrap w:val="false"/>
          </w:tcPr>
          <w:p>
            <w:pPr>
              <w:jc w:val="center"/>
              <w:spacing w:before="240" w:after="240"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297" w:type="dxa"/>
            <w:vAlign w:val="center"/>
            <w:textDirection w:val="lrTb"/>
            <w:noWrap w:val="false"/>
          </w:tcPr>
          <w:p>
            <w:pPr>
              <w:jc w:val="center"/>
              <w:spacing w:before="240" w:after="240"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397" w:hRule="exact"/>
        </w:trPr>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836" w:type="dxa"/>
            <w:vAlign w:val="center"/>
            <w:textDirection w:val="lrTb"/>
            <w:noWrap w:val="false"/>
          </w:tcPr>
          <w:p>
            <w:pPr>
              <w:jc w:val="center"/>
              <w:spacing w:before="240" w:after="240"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5" w:type="dxa"/>
            <w:vAlign w:val="center"/>
            <w:textDirection w:val="lrTb"/>
            <w:noWrap w:val="false"/>
          </w:tcPr>
          <w:p>
            <w:pPr>
              <w:jc w:val="center"/>
              <w:spacing w:before="240" w:after="240"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9" w:type="dxa"/>
            <w:vAlign w:val="center"/>
            <w:textDirection w:val="lrTb"/>
            <w:noWrap w:val="false"/>
          </w:tcPr>
          <w:p>
            <w:pPr>
              <w:jc w:val="center"/>
              <w:spacing w:before="240" w:after="240"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2" w:type="dxa"/>
            <w:vAlign w:val="center"/>
            <w:textDirection w:val="lrTb"/>
            <w:noWrap w:val="false"/>
          </w:tcPr>
          <w:p>
            <w:pPr>
              <w:jc w:val="center"/>
              <w:spacing w:before="240" w:after="240"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20" w:type="dxa"/>
            <w:vAlign w:val="center"/>
            <w:textDirection w:val="lrTb"/>
            <w:noWrap w:val="false"/>
          </w:tcPr>
          <w:p>
            <w:pPr>
              <w:jc w:val="center"/>
              <w:spacing w:before="240" w:after="240"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297" w:type="dxa"/>
            <w:vAlign w:val="center"/>
            <w:textDirection w:val="lrTb"/>
            <w:noWrap w:val="false"/>
          </w:tcPr>
          <w:p>
            <w:pPr>
              <w:jc w:val="center"/>
              <w:spacing w:before="240" w:after="240"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397" w:hRule="exact"/>
        </w:trPr>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836" w:type="dxa"/>
            <w:vAlign w:val="center"/>
            <w:textDirection w:val="lrTb"/>
            <w:noWrap w:val="false"/>
          </w:tcPr>
          <w:p>
            <w:pPr>
              <w:jc w:val="center"/>
              <w:spacing w:before="240" w:after="240"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5" w:type="dxa"/>
            <w:vAlign w:val="center"/>
            <w:textDirection w:val="lrTb"/>
            <w:noWrap w:val="false"/>
          </w:tcPr>
          <w:p>
            <w:pPr>
              <w:jc w:val="center"/>
              <w:spacing w:before="240" w:after="240"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9" w:type="dxa"/>
            <w:vAlign w:val="center"/>
            <w:textDirection w:val="lrTb"/>
            <w:noWrap w:val="false"/>
          </w:tcPr>
          <w:p>
            <w:pPr>
              <w:jc w:val="center"/>
              <w:spacing w:before="240" w:after="240"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2" w:type="dxa"/>
            <w:vAlign w:val="center"/>
            <w:textDirection w:val="lrTb"/>
            <w:noWrap w:val="false"/>
          </w:tcPr>
          <w:p>
            <w:pPr>
              <w:jc w:val="center"/>
              <w:spacing w:before="240" w:after="240"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20" w:type="dxa"/>
            <w:vAlign w:val="center"/>
            <w:textDirection w:val="lrTb"/>
            <w:noWrap w:val="false"/>
          </w:tcPr>
          <w:p>
            <w:pPr>
              <w:jc w:val="center"/>
              <w:spacing w:before="240" w:after="240"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297" w:type="dxa"/>
            <w:vAlign w:val="center"/>
            <w:textDirection w:val="lrTb"/>
            <w:noWrap w:val="false"/>
          </w:tcPr>
          <w:p>
            <w:pPr>
              <w:jc w:val="center"/>
              <w:spacing w:before="240" w:after="240"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397" w:hRule="exact"/>
        </w:trPr>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836" w:type="dxa"/>
            <w:vAlign w:val="center"/>
            <w:textDirection w:val="lrTb"/>
            <w:noWrap w:val="false"/>
          </w:tcPr>
          <w:p>
            <w:pPr>
              <w:jc w:val="center"/>
              <w:spacing w:before="240" w:after="240"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5" w:type="dxa"/>
            <w:vAlign w:val="center"/>
            <w:textDirection w:val="lrTb"/>
            <w:noWrap w:val="false"/>
          </w:tcPr>
          <w:p>
            <w:pPr>
              <w:jc w:val="center"/>
              <w:spacing w:before="240" w:after="240"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9" w:type="dxa"/>
            <w:vAlign w:val="center"/>
            <w:textDirection w:val="lrTb"/>
            <w:noWrap w:val="false"/>
          </w:tcPr>
          <w:p>
            <w:pPr>
              <w:jc w:val="center"/>
              <w:spacing w:before="240" w:after="240"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2" w:type="dxa"/>
            <w:vAlign w:val="center"/>
            <w:textDirection w:val="lrTb"/>
            <w:noWrap w:val="false"/>
          </w:tcPr>
          <w:p>
            <w:pPr>
              <w:jc w:val="center"/>
              <w:spacing w:before="240" w:after="240"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20" w:type="dxa"/>
            <w:vAlign w:val="center"/>
            <w:textDirection w:val="lrTb"/>
            <w:noWrap w:val="false"/>
          </w:tcPr>
          <w:p>
            <w:pPr>
              <w:jc w:val="center"/>
              <w:spacing w:before="240" w:after="240"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297" w:type="dxa"/>
            <w:vAlign w:val="center"/>
            <w:textDirection w:val="lrTb"/>
            <w:noWrap w:val="false"/>
          </w:tcPr>
          <w:p>
            <w:pPr>
              <w:jc w:val="center"/>
              <w:spacing w:before="240" w:after="240"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397" w:hRule="exact"/>
        </w:trPr>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836" w:type="dxa"/>
            <w:vAlign w:val="center"/>
            <w:textDirection w:val="lrTb"/>
            <w:noWrap w:val="false"/>
          </w:tcPr>
          <w:p>
            <w:pPr>
              <w:jc w:val="center"/>
              <w:spacing w:before="240" w:after="240"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5" w:type="dxa"/>
            <w:vAlign w:val="center"/>
            <w:textDirection w:val="lrTb"/>
            <w:noWrap w:val="false"/>
          </w:tcPr>
          <w:p>
            <w:pPr>
              <w:jc w:val="center"/>
              <w:spacing w:before="240" w:after="240"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9" w:type="dxa"/>
            <w:vAlign w:val="center"/>
            <w:textDirection w:val="lrTb"/>
            <w:noWrap w:val="false"/>
          </w:tcPr>
          <w:p>
            <w:pPr>
              <w:jc w:val="center"/>
              <w:spacing w:before="240" w:after="240"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2" w:type="dxa"/>
            <w:vAlign w:val="center"/>
            <w:textDirection w:val="lrTb"/>
            <w:noWrap w:val="false"/>
          </w:tcPr>
          <w:p>
            <w:pPr>
              <w:jc w:val="center"/>
              <w:spacing w:before="240" w:after="240"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20" w:type="dxa"/>
            <w:vAlign w:val="center"/>
            <w:textDirection w:val="lrTb"/>
            <w:noWrap w:val="false"/>
          </w:tcPr>
          <w:p>
            <w:pPr>
              <w:jc w:val="center"/>
              <w:spacing w:before="240" w:after="240"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297" w:type="dxa"/>
            <w:vAlign w:val="center"/>
            <w:textDirection w:val="lrTb"/>
            <w:noWrap w:val="false"/>
          </w:tcPr>
          <w:p>
            <w:pPr>
              <w:jc w:val="center"/>
              <w:spacing w:before="240" w:after="240"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397" w:hRule="exact"/>
        </w:trPr>
        <w:tc>
          <w:tcPr>
            <w:tcBorders>
              <w:top w:val="single" w:color="000000" w:sz="4" w:space="0"/>
              <w:left w:val="single" w:color="auto" w:sz="4" w:space="0"/>
              <w:bottom w:val="single" w:color="auto" w:sz="4" w:space="0"/>
              <w:right w:val="single" w:color="000000" w:sz="4" w:space="0"/>
            </w:tcBorders>
            <w:tcMar>
              <w:left w:w="108" w:type="dxa"/>
              <w:top w:w="0" w:type="dxa"/>
              <w:right w:w="108" w:type="dxa"/>
              <w:bottom w:w="0" w:type="dxa"/>
            </w:tcMar>
            <w:tcW w:w="836" w:type="dxa"/>
            <w:vAlign w:val="center"/>
            <w:textDirection w:val="lrTb"/>
            <w:noWrap w:val="false"/>
          </w:tcPr>
          <w:p>
            <w:pPr>
              <w:jc w:val="center"/>
              <w:spacing w:before="240" w:after="240"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000000" w:sz="4" w:space="0"/>
              <w:left w:val="single" w:color="000000" w:sz="4" w:space="0"/>
              <w:bottom w:val="single" w:color="auto" w:sz="4" w:space="0"/>
              <w:right w:val="single" w:color="000000" w:sz="4" w:space="0"/>
            </w:tcBorders>
            <w:tcMar>
              <w:left w:w="108" w:type="dxa"/>
              <w:top w:w="0" w:type="dxa"/>
              <w:right w:w="108" w:type="dxa"/>
              <w:bottom w:w="0" w:type="dxa"/>
            </w:tcMar>
            <w:tcW w:w="1145" w:type="dxa"/>
            <w:vAlign w:val="center"/>
            <w:textDirection w:val="lrTb"/>
            <w:noWrap w:val="false"/>
          </w:tcPr>
          <w:p>
            <w:pPr>
              <w:jc w:val="center"/>
              <w:spacing w:before="240" w:after="240"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000000" w:sz="4" w:space="0"/>
              <w:left w:val="single" w:color="000000" w:sz="4" w:space="0"/>
              <w:bottom w:val="single" w:color="auto" w:sz="4" w:space="0"/>
              <w:right w:val="single" w:color="000000" w:sz="4" w:space="0"/>
            </w:tcBorders>
            <w:tcMar>
              <w:left w:w="108" w:type="dxa"/>
              <w:top w:w="0" w:type="dxa"/>
              <w:right w:w="108" w:type="dxa"/>
              <w:bottom w:w="0" w:type="dxa"/>
            </w:tcMar>
            <w:tcW w:w="1239" w:type="dxa"/>
            <w:vAlign w:val="center"/>
            <w:textDirection w:val="lrTb"/>
            <w:noWrap w:val="false"/>
          </w:tcPr>
          <w:p>
            <w:pPr>
              <w:jc w:val="center"/>
              <w:spacing w:before="240" w:after="240"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000000" w:sz="4" w:space="0"/>
              <w:left w:val="single" w:color="000000" w:sz="4" w:space="0"/>
              <w:bottom w:val="single" w:color="auto" w:sz="4" w:space="0"/>
              <w:right w:val="single" w:color="000000" w:sz="4" w:space="0"/>
            </w:tcBorders>
            <w:tcMar>
              <w:left w:w="108" w:type="dxa"/>
              <w:top w:w="0" w:type="dxa"/>
              <w:right w:w="108" w:type="dxa"/>
              <w:bottom w:w="0" w:type="dxa"/>
            </w:tcMar>
            <w:tcW w:w="1682" w:type="dxa"/>
            <w:vAlign w:val="center"/>
            <w:textDirection w:val="lrTb"/>
            <w:noWrap w:val="false"/>
          </w:tcPr>
          <w:p>
            <w:pPr>
              <w:jc w:val="center"/>
              <w:spacing w:before="240" w:after="240"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000000" w:sz="4" w:space="0"/>
              <w:left w:val="single" w:color="000000" w:sz="4" w:space="0"/>
              <w:bottom w:val="single" w:color="auto" w:sz="4" w:space="0"/>
              <w:right w:val="single" w:color="000000" w:sz="4" w:space="0"/>
            </w:tcBorders>
            <w:tcMar>
              <w:left w:w="108" w:type="dxa"/>
              <w:top w:w="0" w:type="dxa"/>
              <w:right w:w="108" w:type="dxa"/>
              <w:bottom w:w="0" w:type="dxa"/>
            </w:tcMar>
            <w:tcW w:w="1320" w:type="dxa"/>
            <w:vAlign w:val="center"/>
            <w:textDirection w:val="lrTb"/>
            <w:noWrap w:val="false"/>
          </w:tcPr>
          <w:p>
            <w:pPr>
              <w:jc w:val="center"/>
              <w:spacing w:before="240" w:after="240"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000000" w:sz="4" w:space="0"/>
              <w:left w:val="single" w:color="000000" w:sz="4" w:space="0"/>
              <w:bottom w:val="single" w:color="auto" w:sz="4" w:space="0"/>
              <w:right w:val="single" w:color="auto" w:sz="4" w:space="0"/>
            </w:tcBorders>
            <w:tcMar>
              <w:left w:w="108" w:type="dxa"/>
              <w:top w:w="0" w:type="dxa"/>
              <w:right w:w="108" w:type="dxa"/>
              <w:bottom w:w="0" w:type="dxa"/>
            </w:tcMar>
            <w:tcW w:w="2297" w:type="dxa"/>
            <w:vAlign w:val="center"/>
            <w:textDirection w:val="lrTb"/>
            <w:noWrap w:val="false"/>
          </w:tcPr>
          <w:p>
            <w:pPr>
              <w:jc w:val="center"/>
              <w:spacing w:before="240" w:after="240"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jc w:val="left"/>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投标方：（单位盖章）</w:t>
      </w:r>
      <w:r/>
    </w:p>
    <w:p>
      <w:pPr>
        <w:jc w:val="left"/>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p>
    <w:p>
      <w:pPr>
        <w:jc w:val="left"/>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日期：年月日</w:t>
      </w:r>
      <w:r/>
    </w:p>
    <w:p>
      <w:pPr>
        <w:spacing w:line="360" w:lineRule="auto"/>
        <w:widowControl/>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附件6、相关业绩一览表</w:t>
      </w:r>
      <w:r/>
    </w:p>
    <w:p>
      <w:pPr>
        <w:ind w:right="357"/>
        <w:spacing w:line="360" w:lineRule="auto"/>
        <w:widowControl/>
        <w:rPr>
          <w:rFonts w:ascii="宋体" w:hAnsi="宋体" w:eastAsia="宋体" w:cs="宋体"/>
          <w:b/>
          <w:color w:val="auto"/>
          <w:highlight w:val="none"/>
        </w:rPr>
      </w:pPr>
      <w:r>
        <w:rPr>
          <w:rFonts w:ascii="宋体" w:hAnsi="宋体" w:eastAsia="宋体" w:cs="宋体"/>
          <w:b/>
          <w:color w:val="auto"/>
          <w:highlight w:val="none"/>
        </w:rPr>
      </w:r>
      <w:r/>
    </w:p>
    <w:p>
      <w:pPr>
        <w:jc w:val="center"/>
        <w:spacing w:line="360" w:lineRule="auto"/>
        <w:widowControl/>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相关业绩一览表</w:t>
      </w:r>
      <w:r/>
    </w:p>
    <w:p>
      <w:pPr>
        <w:pStyle w:val="1002"/>
        <w:spacing w:line="360" w:lineRule="auto"/>
        <w:widowControl/>
        <w:rPr>
          <w:rFonts w:hAnsi="宋体" w:eastAsia="宋体" w:cs="宋体"/>
          <w:color w:val="auto"/>
          <w:sz w:val="21"/>
          <w:szCs w:val="21"/>
          <w:highlight w:val="none"/>
        </w:rPr>
      </w:pPr>
      <w:r>
        <w:rPr>
          <w:rFonts w:hAnsi="宋体" w:eastAsia="宋体" w:cs="宋体"/>
          <w:color w:val="auto"/>
          <w:sz w:val="21"/>
          <w:szCs w:val="21"/>
          <w:highlight w:val="none"/>
        </w:rPr>
      </w:r>
      <w:r/>
    </w:p>
    <w:tbl>
      <w:tblPr>
        <w:tblStyle w:val="800"/>
        <w:tblW w:w="8362" w:type="dxa"/>
        <w:tblInd w:w="0" w:type="dxa"/>
        <w:tblLayout w:type="fixed"/>
        <w:tblCellMar>
          <w:left w:w="28" w:type="dxa"/>
          <w:top w:w="0" w:type="dxa"/>
          <w:right w:w="28" w:type="dxa"/>
          <w:bottom w:w="0" w:type="dxa"/>
        </w:tblCellMar>
        <w:tblLook w:val="04A0" w:firstRow="1" w:lastRow="0" w:firstColumn="1" w:lastColumn="0" w:noHBand="0" w:noVBand="1"/>
      </w:tblPr>
      <w:tblGrid>
        <w:gridCol w:w="897"/>
        <w:gridCol w:w="1452"/>
        <w:gridCol w:w="1453"/>
        <w:gridCol w:w="1729"/>
        <w:gridCol w:w="1872"/>
        <w:gridCol w:w="959"/>
      </w:tblGrid>
      <w:tr>
        <w:trPr>
          <w:trHeight w:val="612"/>
        </w:trPr>
        <w:tc>
          <w:tcPr>
            <w:tcBorders>
              <w:top w:val="single" w:color="000000" w:sz="6" w:space="0"/>
              <w:left w:val="single" w:color="000000" w:sz="6" w:space="0"/>
              <w:bottom w:val="single" w:color="000000" w:sz="6" w:space="0"/>
              <w:right w:val="single" w:color="000000" w:sz="6" w:space="0"/>
            </w:tcBorders>
            <w:tcW w:w="897" w:type="dxa"/>
            <w:vAlign w:val="center"/>
            <w:textDirection w:val="lrTb"/>
            <w:noWrap w:val="false"/>
          </w:tcPr>
          <w:p>
            <w:pPr>
              <w:pStyle w:val="836"/>
              <w:jc w:val="center"/>
              <w:spacing w:before="0" w:beforeAutospacing="0" w:after="0" w:afterAutospacing="0" w:line="360" w:lineRule="auto"/>
              <w:rPr>
                <w:rFonts w:cs="宋体"/>
                <w:color w:val="auto"/>
                <w:sz w:val="21"/>
                <w:szCs w:val="21"/>
                <w:highlight w:val="none"/>
              </w:rPr>
            </w:pPr>
            <w:r>
              <w:rPr>
                <w:rFonts w:hint="eastAsia" w:cs="宋体"/>
                <w:color w:val="auto"/>
                <w:sz w:val="21"/>
                <w:szCs w:val="21"/>
                <w:highlight w:val="none"/>
              </w:rPr>
              <w:t xml:space="preserve">序号</w:t>
            </w:r>
            <w:r/>
          </w:p>
        </w:tc>
        <w:tc>
          <w:tcPr>
            <w:tcBorders>
              <w:top w:val="single" w:color="000000" w:sz="6" w:space="0"/>
              <w:left w:val="none" w:color="000000" w:sz="4" w:space="0"/>
              <w:bottom w:val="single" w:color="000000" w:sz="6" w:space="0"/>
              <w:right w:val="single" w:color="000000" w:sz="6" w:space="0"/>
            </w:tcBorders>
            <w:tcW w:w="1452" w:type="dxa"/>
            <w:vAlign w:val="center"/>
            <w:textDirection w:val="lrTb"/>
            <w:noWrap w:val="false"/>
          </w:tcPr>
          <w:p>
            <w:pPr>
              <w:pStyle w:val="836"/>
              <w:jc w:val="center"/>
              <w:spacing w:before="0" w:beforeAutospacing="0" w:after="0" w:afterAutospacing="0" w:line="360" w:lineRule="auto"/>
              <w:rPr>
                <w:rFonts w:cs="宋体"/>
                <w:color w:val="auto"/>
                <w:sz w:val="21"/>
                <w:szCs w:val="21"/>
                <w:highlight w:val="none"/>
              </w:rPr>
            </w:pPr>
            <w:r>
              <w:rPr>
                <w:rFonts w:hint="eastAsia" w:cs="宋体"/>
                <w:color w:val="auto"/>
                <w:sz w:val="21"/>
                <w:szCs w:val="21"/>
                <w:highlight w:val="none"/>
              </w:rPr>
              <w:t xml:space="preserve">项目名称</w:t>
            </w:r>
            <w:r/>
          </w:p>
        </w:tc>
        <w:tc>
          <w:tcPr>
            <w:tcBorders>
              <w:top w:val="single" w:color="000000" w:sz="6" w:space="0"/>
              <w:left w:val="none" w:color="000000" w:sz="4" w:space="0"/>
              <w:bottom w:val="single" w:color="000000" w:sz="6" w:space="0"/>
              <w:right w:val="single" w:color="000000" w:sz="6" w:space="0"/>
            </w:tcBorders>
            <w:tcW w:w="1453" w:type="dxa"/>
            <w:vAlign w:val="center"/>
            <w:textDirection w:val="lrTb"/>
            <w:noWrap w:val="false"/>
          </w:tcPr>
          <w:p>
            <w:pPr>
              <w:pStyle w:val="836"/>
              <w:jc w:val="center"/>
              <w:spacing w:before="0" w:beforeAutospacing="0" w:after="0" w:afterAutospacing="0" w:line="360" w:lineRule="auto"/>
              <w:rPr>
                <w:rFonts w:cs="宋体"/>
                <w:color w:val="auto"/>
                <w:sz w:val="21"/>
                <w:szCs w:val="21"/>
                <w:highlight w:val="none"/>
              </w:rPr>
            </w:pPr>
            <w:r>
              <w:rPr>
                <w:rFonts w:hint="eastAsia" w:cs="宋体"/>
                <w:color w:val="auto"/>
                <w:sz w:val="21"/>
                <w:szCs w:val="21"/>
                <w:highlight w:val="none"/>
              </w:rPr>
              <w:t xml:space="preserve">采购单位</w:t>
            </w:r>
            <w:r/>
          </w:p>
        </w:tc>
        <w:tc>
          <w:tcPr>
            <w:tcBorders>
              <w:top w:val="single" w:color="000000" w:sz="6" w:space="0"/>
              <w:left w:val="none" w:color="000000" w:sz="4" w:space="0"/>
              <w:bottom w:val="single" w:color="000000" w:sz="6" w:space="0"/>
              <w:right w:val="single" w:color="000000" w:sz="4" w:space="0"/>
            </w:tcBorders>
            <w:tcW w:w="1729" w:type="dxa"/>
            <w:vAlign w:val="center"/>
            <w:textDirection w:val="lrTb"/>
            <w:noWrap w:val="false"/>
          </w:tcPr>
          <w:p>
            <w:pPr>
              <w:pStyle w:val="836"/>
              <w:jc w:val="center"/>
              <w:spacing w:before="0" w:beforeAutospacing="0" w:after="0" w:afterAutospacing="0" w:line="360" w:lineRule="auto"/>
              <w:rPr>
                <w:rFonts w:cs="宋体"/>
                <w:color w:val="auto"/>
                <w:sz w:val="21"/>
                <w:szCs w:val="21"/>
                <w:highlight w:val="none"/>
              </w:rPr>
            </w:pPr>
            <w:r>
              <w:rPr>
                <w:rFonts w:hint="eastAsia" w:cs="宋体"/>
                <w:color w:val="auto"/>
                <w:sz w:val="21"/>
                <w:szCs w:val="21"/>
                <w:highlight w:val="none"/>
              </w:rPr>
              <w:t xml:space="preserve">签订时间</w:t>
            </w:r>
            <w:r/>
          </w:p>
        </w:tc>
        <w:tc>
          <w:tcPr>
            <w:tcBorders>
              <w:top w:val="single" w:color="000000" w:sz="6" w:space="0"/>
              <w:left w:val="none" w:color="000000" w:sz="4" w:space="0"/>
              <w:bottom w:val="single" w:color="000000" w:sz="6" w:space="0"/>
              <w:right w:val="single" w:color="000000" w:sz="4" w:space="0"/>
            </w:tcBorders>
            <w:tcW w:w="1872" w:type="dxa"/>
            <w:vAlign w:val="center"/>
            <w:textDirection w:val="lrTb"/>
            <w:noWrap w:val="false"/>
          </w:tcPr>
          <w:p>
            <w:pPr>
              <w:pStyle w:val="836"/>
              <w:jc w:val="center"/>
              <w:spacing w:before="0" w:beforeAutospacing="0" w:after="0" w:afterAutospacing="0" w:line="360" w:lineRule="auto"/>
              <w:rPr>
                <w:rFonts w:cs="宋体"/>
                <w:color w:val="auto"/>
                <w:sz w:val="21"/>
                <w:szCs w:val="21"/>
                <w:highlight w:val="none"/>
              </w:rPr>
            </w:pPr>
            <w:r>
              <w:rPr>
                <w:rFonts w:hint="eastAsia" w:cs="宋体"/>
                <w:color w:val="auto"/>
                <w:sz w:val="21"/>
                <w:szCs w:val="21"/>
                <w:highlight w:val="none"/>
              </w:rPr>
              <w:t xml:space="preserve">合同金额（万元）</w:t>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pStyle w:val="836"/>
              <w:jc w:val="center"/>
              <w:spacing w:before="0" w:beforeAutospacing="0" w:after="0" w:afterAutospacing="0" w:line="360" w:lineRule="auto"/>
              <w:rPr>
                <w:rFonts w:cs="宋体"/>
                <w:color w:val="auto"/>
                <w:sz w:val="21"/>
                <w:szCs w:val="21"/>
                <w:highlight w:val="none"/>
              </w:rPr>
            </w:pPr>
            <w:r>
              <w:rPr>
                <w:rFonts w:hint="eastAsia" w:cs="宋体"/>
                <w:color w:val="auto"/>
                <w:sz w:val="21"/>
                <w:szCs w:val="21"/>
                <w:highlight w:val="none"/>
              </w:rPr>
              <w:t xml:space="preserve">备注</w:t>
            </w:r>
            <w:r/>
          </w:p>
        </w:tc>
      </w:tr>
      <w:tr>
        <w:trPr>
          <w:trHeight w:val="510"/>
        </w:trPr>
        <w:tc>
          <w:tcPr>
            <w:tcBorders>
              <w:top w:val="single" w:color="000000" w:sz="6" w:space="0"/>
              <w:left w:val="single" w:color="000000" w:sz="6" w:space="0"/>
              <w:bottom w:val="single" w:color="000000" w:sz="6" w:space="0"/>
              <w:right w:val="single" w:color="000000" w:sz="6" w:space="0"/>
            </w:tcBorders>
            <w:tcW w:w="897" w:type="dxa"/>
            <w:vAlign w:val="center"/>
            <w:textDirection w:val="lrTb"/>
            <w:noWrap w:val="false"/>
          </w:tcPr>
          <w:p>
            <w:pPr>
              <w:pStyle w:val="836"/>
              <w:jc w:val="center"/>
              <w:spacing w:before="0" w:beforeAutospacing="0" w:after="0" w:afterAutospacing="0" w:line="360" w:lineRule="auto"/>
              <w:rPr>
                <w:rFonts w:cs="宋体"/>
                <w:color w:val="auto"/>
                <w:sz w:val="21"/>
                <w:szCs w:val="21"/>
                <w:highlight w:val="none"/>
              </w:rPr>
            </w:pPr>
            <w:r>
              <w:rPr>
                <w:rFonts w:hint="eastAsia" w:cs="宋体"/>
                <w:color w:val="auto"/>
                <w:sz w:val="21"/>
                <w:szCs w:val="21"/>
                <w:highlight w:val="none"/>
              </w:rPr>
              <w:t xml:space="preserve">1</w:t>
            </w:r>
            <w:r/>
          </w:p>
        </w:tc>
        <w:tc>
          <w:tcPr>
            <w:tcBorders>
              <w:top w:val="single" w:color="000000" w:sz="6" w:space="0"/>
              <w:left w:val="none" w:color="000000" w:sz="4" w:space="0"/>
              <w:bottom w:val="single" w:color="000000" w:sz="6" w:space="0"/>
              <w:right w:val="single" w:color="000000" w:sz="6" w:space="0"/>
            </w:tcBorders>
            <w:tcW w:w="1452" w:type="dxa"/>
            <w:vAlign w:val="center"/>
            <w:textDirection w:val="lrTb"/>
            <w:noWrap w:val="false"/>
          </w:tcPr>
          <w:p>
            <w:pPr>
              <w:pStyle w:val="836"/>
              <w:jc w:val="center"/>
              <w:spacing w:before="0" w:beforeAutospacing="0" w:after="0" w:afterAutospacing="0" w:line="360" w:lineRule="auto"/>
              <w:rPr>
                <w:rFonts w:cs="宋体"/>
                <w:color w:val="auto"/>
                <w:sz w:val="21"/>
                <w:szCs w:val="21"/>
                <w:highlight w:val="none"/>
              </w:rPr>
            </w:pPr>
            <w:r>
              <w:rPr>
                <w:rFonts w:cs="宋体"/>
                <w:color w:val="auto"/>
                <w:sz w:val="21"/>
                <w:szCs w:val="21"/>
                <w:highlight w:val="none"/>
              </w:rPr>
            </w:r>
            <w:r/>
          </w:p>
        </w:tc>
        <w:tc>
          <w:tcPr>
            <w:tcBorders>
              <w:top w:val="single" w:color="000000" w:sz="6" w:space="0"/>
              <w:left w:val="none" w:color="000000" w:sz="4" w:space="0"/>
              <w:bottom w:val="single" w:color="000000" w:sz="6" w:space="0"/>
              <w:right w:val="single" w:color="000000" w:sz="6" w:space="0"/>
            </w:tcBorders>
            <w:tcW w:w="1453" w:type="dxa"/>
            <w:vAlign w:val="center"/>
            <w:textDirection w:val="lrTb"/>
            <w:noWrap w:val="false"/>
          </w:tcPr>
          <w:p>
            <w:pPr>
              <w:pStyle w:val="836"/>
              <w:jc w:val="center"/>
              <w:spacing w:before="0" w:beforeAutospacing="0" w:after="0" w:afterAutospacing="0" w:line="360" w:lineRule="auto"/>
              <w:rPr>
                <w:rFonts w:cs="宋体"/>
                <w:color w:val="auto"/>
                <w:sz w:val="21"/>
                <w:szCs w:val="21"/>
                <w:highlight w:val="none"/>
              </w:rPr>
            </w:pPr>
            <w:r>
              <w:rPr>
                <w:rFonts w:cs="宋体"/>
                <w:color w:val="auto"/>
                <w:sz w:val="21"/>
                <w:szCs w:val="21"/>
                <w:highlight w:val="none"/>
              </w:rPr>
            </w:r>
            <w:r/>
          </w:p>
        </w:tc>
        <w:tc>
          <w:tcPr>
            <w:tcBorders>
              <w:top w:val="single" w:color="000000" w:sz="6" w:space="0"/>
              <w:left w:val="none" w:color="000000" w:sz="4" w:space="0"/>
              <w:bottom w:val="single" w:color="000000" w:sz="6" w:space="0"/>
              <w:right w:val="single" w:color="000000" w:sz="4" w:space="0"/>
            </w:tcBorders>
            <w:tcW w:w="1729" w:type="dxa"/>
            <w:vAlign w:val="center"/>
            <w:textDirection w:val="lrTb"/>
            <w:noWrap w:val="false"/>
          </w:tcPr>
          <w:p>
            <w:pPr>
              <w:pStyle w:val="836"/>
              <w:jc w:val="center"/>
              <w:spacing w:before="0" w:beforeAutospacing="0" w:after="0" w:afterAutospacing="0" w:line="360" w:lineRule="auto"/>
              <w:rPr>
                <w:rFonts w:cs="宋体"/>
                <w:color w:val="auto"/>
                <w:sz w:val="21"/>
                <w:szCs w:val="21"/>
                <w:highlight w:val="none"/>
              </w:rPr>
            </w:pPr>
            <w:r>
              <w:rPr>
                <w:rFonts w:cs="宋体"/>
                <w:color w:val="auto"/>
                <w:sz w:val="21"/>
                <w:szCs w:val="21"/>
                <w:highlight w:val="none"/>
              </w:rPr>
            </w:r>
            <w:r/>
          </w:p>
        </w:tc>
        <w:tc>
          <w:tcPr>
            <w:tcBorders>
              <w:top w:val="single" w:color="000000" w:sz="6" w:space="0"/>
              <w:left w:val="none" w:color="000000" w:sz="4" w:space="0"/>
              <w:bottom w:val="single" w:color="000000" w:sz="6" w:space="0"/>
              <w:right w:val="single" w:color="000000" w:sz="4" w:space="0"/>
            </w:tcBorders>
            <w:tcW w:w="1872" w:type="dxa"/>
            <w:vAlign w:val="center"/>
            <w:textDirection w:val="lrTb"/>
            <w:noWrap w:val="false"/>
          </w:tcPr>
          <w:p>
            <w:pPr>
              <w:pStyle w:val="836"/>
              <w:jc w:val="center"/>
              <w:spacing w:before="0" w:beforeAutospacing="0" w:after="0" w:afterAutospacing="0" w:line="360" w:lineRule="auto"/>
              <w:rPr>
                <w:rFonts w:cs="宋体"/>
                <w:color w:val="auto"/>
                <w:sz w:val="21"/>
                <w:szCs w:val="21"/>
                <w:highlight w:val="none"/>
              </w:rPr>
            </w:pPr>
            <w:r>
              <w:rPr>
                <w:rFonts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pStyle w:val="836"/>
              <w:jc w:val="center"/>
              <w:spacing w:before="0" w:beforeAutospacing="0" w:after="0" w:afterAutospacing="0" w:line="360" w:lineRule="auto"/>
              <w:rPr>
                <w:rFonts w:cs="宋体"/>
                <w:color w:val="auto"/>
                <w:sz w:val="21"/>
                <w:szCs w:val="21"/>
                <w:highlight w:val="none"/>
              </w:rPr>
            </w:pPr>
            <w:r>
              <w:rPr>
                <w:rFonts w:cs="宋体"/>
                <w:color w:val="auto"/>
                <w:sz w:val="21"/>
                <w:szCs w:val="21"/>
                <w:highlight w:val="none"/>
              </w:rPr>
            </w:r>
            <w:r/>
          </w:p>
        </w:tc>
      </w:tr>
      <w:tr>
        <w:trPr>
          <w:trHeight w:val="510"/>
        </w:trPr>
        <w:tc>
          <w:tcPr>
            <w:tcBorders>
              <w:top w:val="single" w:color="000000" w:sz="6" w:space="0"/>
              <w:left w:val="single" w:color="000000" w:sz="6" w:space="0"/>
              <w:bottom w:val="single" w:color="000000" w:sz="6" w:space="0"/>
              <w:right w:val="single" w:color="000000" w:sz="6" w:space="0"/>
            </w:tcBorders>
            <w:tcW w:w="897" w:type="dxa"/>
            <w:vAlign w:val="center"/>
            <w:textDirection w:val="lrTb"/>
            <w:noWrap w:val="false"/>
          </w:tcPr>
          <w:p>
            <w:pPr>
              <w:pStyle w:val="836"/>
              <w:jc w:val="center"/>
              <w:spacing w:before="0" w:beforeAutospacing="0" w:after="0" w:afterAutospacing="0" w:line="360" w:lineRule="auto"/>
              <w:rPr>
                <w:rFonts w:cs="宋体"/>
                <w:color w:val="auto"/>
                <w:sz w:val="21"/>
                <w:szCs w:val="21"/>
                <w:highlight w:val="none"/>
              </w:rPr>
            </w:pPr>
            <w:r>
              <w:rPr>
                <w:rFonts w:hint="eastAsia" w:cs="宋体"/>
                <w:color w:val="auto"/>
                <w:sz w:val="21"/>
                <w:szCs w:val="21"/>
                <w:highlight w:val="none"/>
              </w:rPr>
              <w:t xml:space="preserve">2</w:t>
            </w:r>
            <w:r/>
          </w:p>
        </w:tc>
        <w:tc>
          <w:tcPr>
            <w:tcBorders>
              <w:top w:val="single" w:color="000000" w:sz="6" w:space="0"/>
              <w:left w:val="none" w:color="000000" w:sz="4" w:space="0"/>
              <w:bottom w:val="single" w:color="000000" w:sz="6" w:space="0"/>
              <w:right w:val="single" w:color="000000" w:sz="6" w:space="0"/>
            </w:tcBorders>
            <w:tcW w:w="1452" w:type="dxa"/>
            <w:vAlign w:val="center"/>
            <w:textDirection w:val="lrTb"/>
            <w:noWrap w:val="false"/>
          </w:tcPr>
          <w:p>
            <w:pPr>
              <w:pStyle w:val="836"/>
              <w:jc w:val="center"/>
              <w:spacing w:before="0" w:beforeAutospacing="0" w:after="0" w:afterAutospacing="0" w:line="360" w:lineRule="auto"/>
              <w:rPr>
                <w:rFonts w:cs="宋体"/>
                <w:color w:val="auto"/>
                <w:sz w:val="21"/>
                <w:szCs w:val="21"/>
                <w:highlight w:val="none"/>
              </w:rPr>
            </w:pPr>
            <w:r>
              <w:rPr>
                <w:rFonts w:cs="宋体"/>
                <w:color w:val="auto"/>
                <w:sz w:val="21"/>
                <w:szCs w:val="21"/>
                <w:highlight w:val="none"/>
              </w:rPr>
            </w:r>
            <w:r/>
          </w:p>
        </w:tc>
        <w:tc>
          <w:tcPr>
            <w:tcBorders>
              <w:top w:val="single" w:color="000000" w:sz="6" w:space="0"/>
              <w:left w:val="none" w:color="000000" w:sz="4" w:space="0"/>
              <w:bottom w:val="single" w:color="000000" w:sz="6" w:space="0"/>
              <w:right w:val="single" w:color="000000" w:sz="6" w:space="0"/>
            </w:tcBorders>
            <w:tcW w:w="1453" w:type="dxa"/>
            <w:vAlign w:val="center"/>
            <w:textDirection w:val="lrTb"/>
            <w:noWrap w:val="false"/>
          </w:tcPr>
          <w:p>
            <w:pPr>
              <w:pStyle w:val="836"/>
              <w:jc w:val="center"/>
              <w:spacing w:before="0" w:beforeAutospacing="0" w:after="0" w:afterAutospacing="0" w:line="360" w:lineRule="auto"/>
              <w:rPr>
                <w:rFonts w:cs="宋体"/>
                <w:color w:val="auto"/>
                <w:sz w:val="21"/>
                <w:szCs w:val="21"/>
                <w:highlight w:val="none"/>
              </w:rPr>
            </w:pPr>
            <w:r>
              <w:rPr>
                <w:rFonts w:cs="宋体"/>
                <w:color w:val="auto"/>
                <w:sz w:val="21"/>
                <w:szCs w:val="21"/>
                <w:highlight w:val="none"/>
              </w:rPr>
            </w:r>
            <w:r/>
          </w:p>
        </w:tc>
        <w:tc>
          <w:tcPr>
            <w:tcBorders>
              <w:top w:val="single" w:color="000000" w:sz="6" w:space="0"/>
              <w:left w:val="none" w:color="000000" w:sz="4" w:space="0"/>
              <w:bottom w:val="single" w:color="000000" w:sz="6" w:space="0"/>
              <w:right w:val="single" w:color="000000" w:sz="4" w:space="0"/>
            </w:tcBorders>
            <w:tcW w:w="1729" w:type="dxa"/>
            <w:vAlign w:val="center"/>
            <w:textDirection w:val="lrTb"/>
            <w:noWrap w:val="false"/>
          </w:tcPr>
          <w:p>
            <w:pPr>
              <w:pStyle w:val="836"/>
              <w:jc w:val="center"/>
              <w:spacing w:before="0" w:beforeAutospacing="0" w:after="0" w:afterAutospacing="0" w:line="360" w:lineRule="auto"/>
              <w:rPr>
                <w:rFonts w:cs="宋体"/>
                <w:color w:val="auto"/>
                <w:sz w:val="21"/>
                <w:szCs w:val="21"/>
                <w:highlight w:val="none"/>
              </w:rPr>
            </w:pPr>
            <w:r>
              <w:rPr>
                <w:rFonts w:cs="宋体"/>
                <w:color w:val="auto"/>
                <w:sz w:val="21"/>
                <w:szCs w:val="21"/>
                <w:highlight w:val="none"/>
              </w:rPr>
            </w:r>
            <w:r/>
          </w:p>
        </w:tc>
        <w:tc>
          <w:tcPr>
            <w:tcBorders>
              <w:top w:val="single" w:color="000000" w:sz="6" w:space="0"/>
              <w:left w:val="none" w:color="000000" w:sz="4" w:space="0"/>
              <w:bottom w:val="single" w:color="000000" w:sz="6" w:space="0"/>
              <w:right w:val="single" w:color="000000" w:sz="4" w:space="0"/>
            </w:tcBorders>
            <w:tcW w:w="1872" w:type="dxa"/>
            <w:vAlign w:val="center"/>
            <w:textDirection w:val="lrTb"/>
            <w:noWrap w:val="false"/>
          </w:tcPr>
          <w:p>
            <w:pPr>
              <w:pStyle w:val="836"/>
              <w:jc w:val="center"/>
              <w:spacing w:before="0" w:beforeAutospacing="0" w:after="0" w:afterAutospacing="0" w:line="360" w:lineRule="auto"/>
              <w:rPr>
                <w:rFonts w:cs="宋体"/>
                <w:color w:val="auto"/>
                <w:sz w:val="21"/>
                <w:szCs w:val="21"/>
                <w:highlight w:val="none"/>
              </w:rPr>
            </w:pPr>
            <w:r>
              <w:rPr>
                <w:rFonts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pStyle w:val="836"/>
              <w:jc w:val="center"/>
              <w:spacing w:before="0" w:beforeAutospacing="0" w:after="0" w:afterAutospacing="0" w:line="360" w:lineRule="auto"/>
              <w:rPr>
                <w:rFonts w:cs="宋体"/>
                <w:color w:val="auto"/>
                <w:sz w:val="21"/>
                <w:szCs w:val="21"/>
                <w:highlight w:val="none"/>
              </w:rPr>
            </w:pPr>
            <w:r>
              <w:rPr>
                <w:rFonts w:cs="宋体"/>
                <w:color w:val="auto"/>
                <w:sz w:val="21"/>
                <w:szCs w:val="21"/>
                <w:highlight w:val="none"/>
              </w:rPr>
            </w:r>
            <w:r/>
          </w:p>
        </w:tc>
      </w:tr>
      <w:tr>
        <w:trPr>
          <w:trHeight w:val="510"/>
        </w:trPr>
        <w:tc>
          <w:tcPr>
            <w:tcBorders>
              <w:top w:val="single" w:color="000000" w:sz="6" w:space="0"/>
              <w:left w:val="single" w:color="000000" w:sz="6" w:space="0"/>
              <w:bottom w:val="single" w:color="000000" w:sz="6" w:space="0"/>
              <w:right w:val="single" w:color="000000" w:sz="6" w:space="0"/>
            </w:tcBorders>
            <w:tcW w:w="897" w:type="dxa"/>
            <w:vAlign w:val="center"/>
            <w:textDirection w:val="lrTb"/>
            <w:noWrap w:val="false"/>
          </w:tcPr>
          <w:p>
            <w:pPr>
              <w:pStyle w:val="836"/>
              <w:jc w:val="center"/>
              <w:spacing w:before="0" w:beforeAutospacing="0" w:after="0" w:afterAutospacing="0" w:line="360" w:lineRule="auto"/>
              <w:rPr>
                <w:rFonts w:cs="宋体"/>
                <w:color w:val="auto"/>
                <w:sz w:val="21"/>
                <w:szCs w:val="21"/>
                <w:highlight w:val="none"/>
              </w:rPr>
            </w:pPr>
            <w:r>
              <w:rPr>
                <w:rFonts w:hint="eastAsia" w:cs="宋体"/>
                <w:color w:val="auto"/>
                <w:sz w:val="21"/>
                <w:szCs w:val="21"/>
                <w:highlight w:val="none"/>
              </w:rPr>
              <w:t xml:space="preserve">3</w:t>
            </w:r>
            <w:r/>
          </w:p>
        </w:tc>
        <w:tc>
          <w:tcPr>
            <w:tcBorders>
              <w:top w:val="single" w:color="000000" w:sz="6" w:space="0"/>
              <w:left w:val="none" w:color="000000" w:sz="4" w:space="0"/>
              <w:bottom w:val="single" w:color="000000" w:sz="6" w:space="0"/>
              <w:right w:val="single" w:color="000000" w:sz="6" w:space="0"/>
            </w:tcBorders>
            <w:tcW w:w="1452" w:type="dxa"/>
            <w:vAlign w:val="center"/>
            <w:textDirection w:val="lrTb"/>
            <w:noWrap w:val="false"/>
          </w:tcPr>
          <w:p>
            <w:pPr>
              <w:pStyle w:val="836"/>
              <w:jc w:val="center"/>
              <w:spacing w:before="0" w:beforeAutospacing="0" w:after="0" w:afterAutospacing="0" w:line="360" w:lineRule="auto"/>
              <w:rPr>
                <w:rFonts w:cs="宋体"/>
                <w:color w:val="auto"/>
                <w:sz w:val="21"/>
                <w:szCs w:val="21"/>
                <w:highlight w:val="none"/>
              </w:rPr>
            </w:pPr>
            <w:r>
              <w:rPr>
                <w:rFonts w:cs="宋体"/>
                <w:color w:val="auto"/>
                <w:sz w:val="21"/>
                <w:szCs w:val="21"/>
                <w:highlight w:val="none"/>
              </w:rPr>
            </w:r>
            <w:r/>
          </w:p>
        </w:tc>
        <w:tc>
          <w:tcPr>
            <w:tcBorders>
              <w:top w:val="single" w:color="000000" w:sz="6" w:space="0"/>
              <w:left w:val="none" w:color="000000" w:sz="4" w:space="0"/>
              <w:bottom w:val="single" w:color="000000" w:sz="6" w:space="0"/>
              <w:right w:val="single" w:color="000000" w:sz="6" w:space="0"/>
            </w:tcBorders>
            <w:tcW w:w="1453" w:type="dxa"/>
            <w:vAlign w:val="center"/>
            <w:textDirection w:val="lrTb"/>
            <w:noWrap w:val="false"/>
          </w:tcPr>
          <w:p>
            <w:pPr>
              <w:pStyle w:val="836"/>
              <w:jc w:val="center"/>
              <w:spacing w:before="0" w:beforeAutospacing="0" w:after="0" w:afterAutospacing="0" w:line="360" w:lineRule="auto"/>
              <w:rPr>
                <w:rFonts w:cs="宋体"/>
                <w:color w:val="auto"/>
                <w:sz w:val="21"/>
                <w:szCs w:val="21"/>
                <w:highlight w:val="none"/>
              </w:rPr>
            </w:pPr>
            <w:r>
              <w:rPr>
                <w:rFonts w:cs="宋体"/>
                <w:color w:val="auto"/>
                <w:sz w:val="21"/>
                <w:szCs w:val="21"/>
                <w:highlight w:val="none"/>
              </w:rPr>
            </w:r>
            <w:r/>
          </w:p>
        </w:tc>
        <w:tc>
          <w:tcPr>
            <w:tcBorders>
              <w:top w:val="single" w:color="000000" w:sz="6" w:space="0"/>
              <w:left w:val="none" w:color="000000" w:sz="4" w:space="0"/>
              <w:bottom w:val="single" w:color="000000" w:sz="6" w:space="0"/>
              <w:right w:val="single" w:color="000000" w:sz="4" w:space="0"/>
            </w:tcBorders>
            <w:tcW w:w="1729" w:type="dxa"/>
            <w:vAlign w:val="center"/>
            <w:textDirection w:val="lrTb"/>
            <w:noWrap w:val="false"/>
          </w:tcPr>
          <w:p>
            <w:pPr>
              <w:pStyle w:val="836"/>
              <w:jc w:val="center"/>
              <w:spacing w:before="0" w:beforeAutospacing="0" w:after="0" w:afterAutospacing="0" w:line="360" w:lineRule="auto"/>
              <w:rPr>
                <w:rFonts w:cs="宋体"/>
                <w:color w:val="auto"/>
                <w:sz w:val="21"/>
                <w:szCs w:val="21"/>
                <w:highlight w:val="none"/>
              </w:rPr>
            </w:pPr>
            <w:r>
              <w:rPr>
                <w:rFonts w:cs="宋体"/>
                <w:color w:val="auto"/>
                <w:sz w:val="21"/>
                <w:szCs w:val="21"/>
                <w:highlight w:val="none"/>
              </w:rPr>
            </w:r>
            <w:r/>
          </w:p>
        </w:tc>
        <w:tc>
          <w:tcPr>
            <w:tcBorders>
              <w:top w:val="single" w:color="000000" w:sz="6" w:space="0"/>
              <w:left w:val="none" w:color="000000" w:sz="4" w:space="0"/>
              <w:bottom w:val="single" w:color="000000" w:sz="6" w:space="0"/>
              <w:right w:val="single" w:color="000000" w:sz="4" w:space="0"/>
            </w:tcBorders>
            <w:tcW w:w="1872" w:type="dxa"/>
            <w:vAlign w:val="center"/>
            <w:textDirection w:val="lrTb"/>
            <w:noWrap w:val="false"/>
          </w:tcPr>
          <w:p>
            <w:pPr>
              <w:pStyle w:val="836"/>
              <w:jc w:val="center"/>
              <w:spacing w:before="0" w:beforeAutospacing="0" w:after="0" w:afterAutospacing="0" w:line="360" w:lineRule="auto"/>
              <w:rPr>
                <w:rFonts w:cs="宋体"/>
                <w:color w:val="auto"/>
                <w:sz w:val="21"/>
                <w:szCs w:val="21"/>
                <w:highlight w:val="none"/>
              </w:rPr>
            </w:pPr>
            <w:r>
              <w:rPr>
                <w:rFonts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pStyle w:val="836"/>
              <w:jc w:val="center"/>
              <w:spacing w:before="0" w:beforeAutospacing="0" w:after="0" w:afterAutospacing="0" w:line="360" w:lineRule="auto"/>
              <w:rPr>
                <w:rFonts w:cs="宋体"/>
                <w:color w:val="auto"/>
                <w:sz w:val="21"/>
                <w:szCs w:val="21"/>
                <w:highlight w:val="none"/>
              </w:rPr>
            </w:pPr>
            <w:r>
              <w:rPr>
                <w:rFonts w:cs="宋体"/>
                <w:color w:val="auto"/>
                <w:sz w:val="21"/>
                <w:szCs w:val="21"/>
                <w:highlight w:val="none"/>
              </w:rPr>
            </w:r>
            <w:r/>
          </w:p>
        </w:tc>
      </w:tr>
      <w:tr>
        <w:trPr>
          <w:trHeight w:val="510"/>
        </w:trPr>
        <w:tc>
          <w:tcPr>
            <w:tcBorders>
              <w:top w:val="single" w:color="000000" w:sz="6" w:space="0"/>
              <w:left w:val="single" w:color="000000" w:sz="6" w:space="0"/>
              <w:bottom w:val="single" w:color="000000" w:sz="6" w:space="0"/>
              <w:right w:val="single" w:color="000000" w:sz="6" w:space="0"/>
            </w:tcBorders>
            <w:tcW w:w="897" w:type="dxa"/>
            <w:vAlign w:val="center"/>
            <w:textDirection w:val="lrTb"/>
            <w:noWrap w:val="false"/>
          </w:tcPr>
          <w:p>
            <w:pPr>
              <w:pStyle w:val="836"/>
              <w:jc w:val="center"/>
              <w:spacing w:before="0" w:beforeAutospacing="0" w:after="0" w:afterAutospacing="0" w:line="360" w:lineRule="auto"/>
              <w:rPr>
                <w:rFonts w:cs="宋体"/>
                <w:color w:val="auto"/>
                <w:sz w:val="21"/>
                <w:szCs w:val="21"/>
                <w:highlight w:val="none"/>
              </w:rPr>
            </w:pPr>
            <w:r>
              <w:rPr>
                <w:rFonts w:hint="eastAsia" w:cs="宋体"/>
                <w:color w:val="auto"/>
                <w:sz w:val="21"/>
                <w:szCs w:val="21"/>
                <w:highlight w:val="none"/>
              </w:rPr>
              <w:t xml:space="preserve">4</w:t>
            </w:r>
            <w:r/>
          </w:p>
        </w:tc>
        <w:tc>
          <w:tcPr>
            <w:tcBorders>
              <w:top w:val="single" w:color="000000" w:sz="6" w:space="0"/>
              <w:left w:val="none" w:color="000000" w:sz="4" w:space="0"/>
              <w:bottom w:val="single" w:color="000000" w:sz="6" w:space="0"/>
              <w:right w:val="single" w:color="000000" w:sz="6" w:space="0"/>
            </w:tcBorders>
            <w:tcW w:w="1452" w:type="dxa"/>
            <w:vAlign w:val="center"/>
            <w:textDirection w:val="lrTb"/>
            <w:noWrap w:val="false"/>
          </w:tcPr>
          <w:p>
            <w:pPr>
              <w:pStyle w:val="836"/>
              <w:jc w:val="center"/>
              <w:spacing w:before="0" w:beforeAutospacing="0" w:after="0" w:afterAutospacing="0" w:line="360" w:lineRule="auto"/>
              <w:rPr>
                <w:rFonts w:cs="宋体"/>
                <w:color w:val="auto"/>
                <w:sz w:val="21"/>
                <w:szCs w:val="21"/>
                <w:highlight w:val="none"/>
              </w:rPr>
            </w:pPr>
            <w:r>
              <w:rPr>
                <w:rFonts w:cs="宋体"/>
                <w:color w:val="auto"/>
                <w:sz w:val="21"/>
                <w:szCs w:val="21"/>
                <w:highlight w:val="none"/>
              </w:rPr>
            </w:r>
            <w:r/>
          </w:p>
        </w:tc>
        <w:tc>
          <w:tcPr>
            <w:tcBorders>
              <w:top w:val="single" w:color="000000" w:sz="6" w:space="0"/>
              <w:left w:val="none" w:color="000000" w:sz="4" w:space="0"/>
              <w:bottom w:val="single" w:color="000000" w:sz="6" w:space="0"/>
              <w:right w:val="single" w:color="000000" w:sz="6" w:space="0"/>
            </w:tcBorders>
            <w:tcW w:w="1453" w:type="dxa"/>
            <w:vAlign w:val="center"/>
            <w:textDirection w:val="lrTb"/>
            <w:noWrap w:val="false"/>
          </w:tcPr>
          <w:p>
            <w:pPr>
              <w:pStyle w:val="836"/>
              <w:jc w:val="center"/>
              <w:spacing w:before="0" w:beforeAutospacing="0" w:after="0" w:afterAutospacing="0" w:line="360" w:lineRule="auto"/>
              <w:rPr>
                <w:rFonts w:cs="宋体"/>
                <w:color w:val="auto"/>
                <w:sz w:val="21"/>
                <w:szCs w:val="21"/>
                <w:highlight w:val="none"/>
              </w:rPr>
            </w:pPr>
            <w:r>
              <w:rPr>
                <w:rFonts w:cs="宋体"/>
                <w:color w:val="auto"/>
                <w:sz w:val="21"/>
                <w:szCs w:val="21"/>
                <w:highlight w:val="none"/>
              </w:rPr>
            </w:r>
            <w:r/>
          </w:p>
        </w:tc>
        <w:tc>
          <w:tcPr>
            <w:tcBorders>
              <w:top w:val="single" w:color="000000" w:sz="6" w:space="0"/>
              <w:left w:val="none" w:color="000000" w:sz="4" w:space="0"/>
              <w:bottom w:val="single" w:color="000000" w:sz="6" w:space="0"/>
              <w:right w:val="single" w:color="000000" w:sz="4" w:space="0"/>
            </w:tcBorders>
            <w:tcW w:w="1729" w:type="dxa"/>
            <w:vAlign w:val="center"/>
            <w:textDirection w:val="lrTb"/>
            <w:noWrap w:val="false"/>
          </w:tcPr>
          <w:p>
            <w:pPr>
              <w:pStyle w:val="836"/>
              <w:jc w:val="center"/>
              <w:spacing w:before="0" w:beforeAutospacing="0" w:after="0" w:afterAutospacing="0" w:line="360" w:lineRule="auto"/>
              <w:rPr>
                <w:rFonts w:cs="宋体"/>
                <w:color w:val="auto"/>
                <w:sz w:val="21"/>
                <w:szCs w:val="21"/>
                <w:highlight w:val="none"/>
              </w:rPr>
            </w:pPr>
            <w:r>
              <w:rPr>
                <w:rFonts w:cs="宋体"/>
                <w:color w:val="auto"/>
                <w:sz w:val="21"/>
                <w:szCs w:val="21"/>
                <w:highlight w:val="none"/>
              </w:rPr>
            </w:r>
            <w:r/>
          </w:p>
        </w:tc>
        <w:tc>
          <w:tcPr>
            <w:tcBorders>
              <w:top w:val="single" w:color="000000" w:sz="6" w:space="0"/>
              <w:left w:val="none" w:color="000000" w:sz="4" w:space="0"/>
              <w:bottom w:val="single" w:color="000000" w:sz="6" w:space="0"/>
              <w:right w:val="single" w:color="000000" w:sz="4" w:space="0"/>
            </w:tcBorders>
            <w:tcW w:w="1872" w:type="dxa"/>
            <w:vAlign w:val="center"/>
            <w:textDirection w:val="lrTb"/>
            <w:noWrap w:val="false"/>
          </w:tcPr>
          <w:p>
            <w:pPr>
              <w:pStyle w:val="836"/>
              <w:jc w:val="center"/>
              <w:spacing w:before="0" w:beforeAutospacing="0" w:after="0" w:afterAutospacing="0" w:line="360" w:lineRule="auto"/>
              <w:rPr>
                <w:rFonts w:cs="宋体"/>
                <w:color w:val="auto"/>
                <w:sz w:val="21"/>
                <w:szCs w:val="21"/>
                <w:highlight w:val="none"/>
              </w:rPr>
            </w:pPr>
            <w:r>
              <w:rPr>
                <w:rFonts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pStyle w:val="836"/>
              <w:jc w:val="center"/>
              <w:spacing w:before="0" w:beforeAutospacing="0" w:after="0" w:afterAutospacing="0" w:line="360" w:lineRule="auto"/>
              <w:rPr>
                <w:rFonts w:cs="宋体"/>
                <w:color w:val="auto"/>
                <w:sz w:val="21"/>
                <w:szCs w:val="21"/>
                <w:highlight w:val="none"/>
              </w:rPr>
            </w:pPr>
            <w:r>
              <w:rPr>
                <w:rFonts w:cs="宋体"/>
                <w:color w:val="auto"/>
                <w:sz w:val="21"/>
                <w:szCs w:val="21"/>
                <w:highlight w:val="none"/>
              </w:rPr>
            </w:r>
            <w:r/>
          </w:p>
        </w:tc>
      </w:tr>
      <w:tr>
        <w:trPr>
          <w:trHeight w:val="510"/>
        </w:trPr>
        <w:tc>
          <w:tcPr>
            <w:tcBorders>
              <w:top w:val="single" w:color="000000" w:sz="6" w:space="0"/>
              <w:left w:val="single" w:color="000000" w:sz="6" w:space="0"/>
              <w:bottom w:val="single" w:color="000000" w:sz="6" w:space="0"/>
              <w:right w:val="single" w:color="000000" w:sz="6" w:space="0"/>
            </w:tcBorders>
            <w:tcW w:w="897" w:type="dxa"/>
            <w:vAlign w:val="center"/>
            <w:textDirection w:val="lrTb"/>
            <w:noWrap w:val="false"/>
          </w:tcPr>
          <w:p>
            <w:pPr>
              <w:pStyle w:val="836"/>
              <w:jc w:val="center"/>
              <w:spacing w:before="0" w:beforeAutospacing="0" w:after="0" w:afterAutospacing="0" w:line="360" w:lineRule="auto"/>
              <w:rPr>
                <w:rFonts w:cs="宋体"/>
                <w:color w:val="auto"/>
                <w:sz w:val="21"/>
                <w:szCs w:val="21"/>
                <w:highlight w:val="none"/>
              </w:rPr>
            </w:pPr>
            <w:r>
              <w:rPr>
                <w:rFonts w:hint="eastAsia" w:cs="宋体"/>
                <w:color w:val="auto"/>
                <w:sz w:val="21"/>
                <w:szCs w:val="21"/>
                <w:highlight w:val="none"/>
              </w:rPr>
              <w:t xml:space="preserve">5</w:t>
            </w:r>
            <w:r/>
          </w:p>
        </w:tc>
        <w:tc>
          <w:tcPr>
            <w:tcBorders>
              <w:top w:val="single" w:color="000000" w:sz="6" w:space="0"/>
              <w:left w:val="none" w:color="000000" w:sz="4" w:space="0"/>
              <w:bottom w:val="single" w:color="000000" w:sz="6" w:space="0"/>
              <w:right w:val="single" w:color="000000" w:sz="6" w:space="0"/>
            </w:tcBorders>
            <w:tcW w:w="1452" w:type="dxa"/>
            <w:vAlign w:val="center"/>
            <w:textDirection w:val="lrTb"/>
            <w:noWrap w:val="false"/>
          </w:tcPr>
          <w:p>
            <w:pPr>
              <w:pStyle w:val="836"/>
              <w:jc w:val="center"/>
              <w:spacing w:before="0" w:beforeAutospacing="0" w:after="0" w:afterAutospacing="0" w:line="360" w:lineRule="auto"/>
              <w:rPr>
                <w:rFonts w:cs="宋体"/>
                <w:color w:val="auto"/>
                <w:sz w:val="21"/>
                <w:szCs w:val="21"/>
                <w:highlight w:val="none"/>
              </w:rPr>
            </w:pPr>
            <w:r>
              <w:rPr>
                <w:rFonts w:cs="宋体"/>
                <w:color w:val="auto"/>
                <w:sz w:val="21"/>
                <w:szCs w:val="21"/>
                <w:highlight w:val="none"/>
              </w:rPr>
            </w:r>
            <w:r/>
          </w:p>
        </w:tc>
        <w:tc>
          <w:tcPr>
            <w:tcBorders>
              <w:top w:val="single" w:color="000000" w:sz="6" w:space="0"/>
              <w:left w:val="none" w:color="000000" w:sz="4" w:space="0"/>
              <w:bottom w:val="single" w:color="000000" w:sz="6" w:space="0"/>
              <w:right w:val="single" w:color="000000" w:sz="6" w:space="0"/>
            </w:tcBorders>
            <w:tcW w:w="1453" w:type="dxa"/>
            <w:vAlign w:val="center"/>
            <w:textDirection w:val="lrTb"/>
            <w:noWrap w:val="false"/>
          </w:tcPr>
          <w:p>
            <w:pPr>
              <w:pStyle w:val="836"/>
              <w:jc w:val="center"/>
              <w:spacing w:before="0" w:beforeAutospacing="0" w:after="0" w:afterAutospacing="0" w:line="360" w:lineRule="auto"/>
              <w:rPr>
                <w:rFonts w:cs="宋体"/>
                <w:color w:val="auto"/>
                <w:sz w:val="21"/>
                <w:szCs w:val="21"/>
                <w:highlight w:val="none"/>
              </w:rPr>
            </w:pPr>
            <w:r>
              <w:rPr>
                <w:rFonts w:cs="宋体"/>
                <w:color w:val="auto"/>
                <w:sz w:val="21"/>
                <w:szCs w:val="21"/>
                <w:highlight w:val="none"/>
              </w:rPr>
            </w:r>
            <w:r/>
          </w:p>
        </w:tc>
        <w:tc>
          <w:tcPr>
            <w:tcBorders>
              <w:top w:val="single" w:color="000000" w:sz="6" w:space="0"/>
              <w:left w:val="none" w:color="000000" w:sz="4" w:space="0"/>
              <w:bottom w:val="single" w:color="000000" w:sz="6" w:space="0"/>
              <w:right w:val="single" w:color="000000" w:sz="4" w:space="0"/>
            </w:tcBorders>
            <w:tcW w:w="1729" w:type="dxa"/>
            <w:vAlign w:val="center"/>
            <w:textDirection w:val="lrTb"/>
            <w:noWrap w:val="false"/>
          </w:tcPr>
          <w:p>
            <w:pPr>
              <w:pStyle w:val="836"/>
              <w:jc w:val="center"/>
              <w:spacing w:before="0" w:beforeAutospacing="0" w:after="0" w:afterAutospacing="0" w:line="360" w:lineRule="auto"/>
              <w:rPr>
                <w:rFonts w:cs="宋体"/>
                <w:color w:val="auto"/>
                <w:sz w:val="21"/>
                <w:szCs w:val="21"/>
                <w:highlight w:val="none"/>
              </w:rPr>
            </w:pPr>
            <w:r>
              <w:rPr>
                <w:rFonts w:cs="宋体"/>
                <w:color w:val="auto"/>
                <w:sz w:val="21"/>
                <w:szCs w:val="21"/>
                <w:highlight w:val="none"/>
              </w:rPr>
            </w:r>
            <w:r/>
          </w:p>
        </w:tc>
        <w:tc>
          <w:tcPr>
            <w:tcBorders>
              <w:top w:val="single" w:color="000000" w:sz="6" w:space="0"/>
              <w:left w:val="none" w:color="000000" w:sz="4" w:space="0"/>
              <w:bottom w:val="single" w:color="000000" w:sz="6" w:space="0"/>
              <w:right w:val="single" w:color="000000" w:sz="4" w:space="0"/>
            </w:tcBorders>
            <w:tcW w:w="1872" w:type="dxa"/>
            <w:vAlign w:val="center"/>
            <w:textDirection w:val="lrTb"/>
            <w:noWrap w:val="false"/>
          </w:tcPr>
          <w:p>
            <w:pPr>
              <w:pStyle w:val="836"/>
              <w:jc w:val="center"/>
              <w:spacing w:before="0" w:beforeAutospacing="0" w:after="0" w:afterAutospacing="0" w:line="360" w:lineRule="auto"/>
              <w:rPr>
                <w:rFonts w:cs="宋体"/>
                <w:color w:val="auto"/>
                <w:sz w:val="21"/>
                <w:szCs w:val="21"/>
                <w:highlight w:val="none"/>
              </w:rPr>
            </w:pPr>
            <w:r>
              <w:rPr>
                <w:rFonts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pStyle w:val="836"/>
              <w:jc w:val="center"/>
              <w:spacing w:before="0" w:beforeAutospacing="0" w:after="0" w:afterAutospacing="0" w:line="360" w:lineRule="auto"/>
              <w:rPr>
                <w:rFonts w:cs="宋体"/>
                <w:color w:val="auto"/>
                <w:sz w:val="21"/>
                <w:szCs w:val="21"/>
                <w:highlight w:val="none"/>
              </w:rPr>
            </w:pPr>
            <w:r>
              <w:rPr>
                <w:rFonts w:cs="宋体"/>
                <w:color w:val="auto"/>
                <w:sz w:val="21"/>
                <w:szCs w:val="21"/>
                <w:highlight w:val="none"/>
              </w:rPr>
            </w:r>
            <w:r/>
          </w:p>
        </w:tc>
      </w:tr>
      <w:tr>
        <w:trPr>
          <w:trHeight w:val="510"/>
        </w:trPr>
        <w:tc>
          <w:tcPr>
            <w:tcBorders>
              <w:top w:val="single" w:color="000000" w:sz="6" w:space="0"/>
              <w:left w:val="single" w:color="000000" w:sz="6" w:space="0"/>
              <w:bottom w:val="single" w:color="000000" w:sz="6" w:space="0"/>
              <w:right w:val="single" w:color="000000" w:sz="6" w:space="0"/>
            </w:tcBorders>
            <w:tcW w:w="897" w:type="dxa"/>
            <w:vAlign w:val="center"/>
            <w:textDirection w:val="lrTb"/>
            <w:noWrap w:val="false"/>
          </w:tcPr>
          <w:p>
            <w:pPr>
              <w:pStyle w:val="836"/>
              <w:jc w:val="center"/>
              <w:spacing w:before="0" w:beforeAutospacing="0" w:after="0" w:afterAutospacing="0" w:line="360" w:lineRule="auto"/>
              <w:rPr>
                <w:rFonts w:cs="宋体"/>
                <w:color w:val="auto"/>
                <w:sz w:val="21"/>
                <w:szCs w:val="21"/>
                <w:highlight w:val="none"/>
              </w:rPr>
            </w:pPr>
            <w:r>
              <w:rPr>
                <w:rFonts w:cs="宋体"/>
                <w:color w:val="auto"/>
                <w:sz w:val="21"/>
                <w:szCs w:val="21"/>
                <w:highlight w:val="none"/>
              </w:rPr>
            </w:r>
            <w:r/>
          </w:p>
        </w:tc>
        <w:tc>
          <w:tcPr>
            <w:tcBorders>
              <w:top w:val="single" w:color="000000" w:sz="6" w:space="0"/>
              <w:left w:val="none" w:color="000000" w:sz="4" w:space="0"/>
              <w:bottom w:val="single" w:color="000000" w:sz="6" w:space="0"/>
              <w:right w:val="single" w:color="000000" w:sz="6" w:space="0"/>
            </w:tcBorders>
            <w:tcW w:w="1452" w:type="dxa"/>
            <w:vAlign w:val="center"/>
            <w:textDirection w:val="lrTb"/>
            <w:noWrap w:val="false"/>
          </w:tcPr>
          <w:p>
            <w:pPr>
              <w:pStyle w:val="836"/>
              <w:jc w:val="center"/>
              <w:spacing w:before="0" w:beforeAutospacing="0" w:after="0" w:afterAutospacing="0" w:line="360" w:lineRule="auto"/>
              <w:rPr>
                <w:rFonts w:cs="宋体"/>
                <w:color w:val="auto"/>
                <w:sz w:val="21"/>
                <w:szCs w:val="21"/>
                <w:highlight w:val="none"/>
              </w:rPr>
            </w:pPr>
            <w:r>
              <w:rPr>
                <w:rFonts w:cs="宋体"/>
                <w:color w:val="auto"/>
                <w:sz w:val="21"/>
                <w:szCs w:val="21"/>
                <w:highlight w:val="none"/>
              </w:rPr>
            </w:r>
            <w:r/>
          </w:p>
        </w:tc>
        <w:tc>
          <w:tcPr>
            <w:tcBorders>
              <w:top w:val="single" w:color="000000" w:sz="6" w:space="0"/>
              <w:left w:val="none" w:color="000000" w:sz="4" w:space="0"/>
              <w:bottom w:val="single" w:color="000000" w:sz="6" w:space="0"/>
              <w:right w:val="single" w:color="000000" w:sz="6" w:space="0"/>
            </w:tcBorders>
            <w:tcW w:w="1453" w:type="dxa"/>
            <w:vAlign w:val="center"/>
            <w:textDirection w:val="lrTb"/>
            <w:noWrap w:val="false"/>
          </w:tcPr>
          <w:p>
            <w:pPr>
              <w:pStyle w:val="836"/>
              <w:jc w:val="center"/>
              <w:spacing w:before="0" w:beforeAutospacing="0" w:after="0" w:afterAutospacing="0" w:line="360" w:lineRule="auto"/>
              <w:rPr>
                <w:rFonts w:cs="宋体"/>
                <w:color w:val="auto"/>
                <w:sz w:val="21"/>
                <w:szCs w:val="21"/>
                <w:highlight w:val="none"/>
              </w:rPr>
            </w:pPr>
            <w:r>
              <w:rPr>
                <w:rFonts w:cs="宋体"/>
                <w:color w:val="auto"/>
                <w:sz w:val="21"/>
                <w:szCs w:val="21"/>
                <w:highlight w:val="none"/>
              </w:rPr>
            </w:r>
            <w:r/>
          </w:p>
        </w:tc>
        <w:tc>
          <w:tcPr>
            <w:tcBorders>
              <w:top w:val="single" w:color="000000" w:sz="6" w:space="0"/>
              <w:left w:val="none" w:color="000000" w:sz="4" w:space="0"/>
              <w:bottom w:val="single" w:color="000000" w:sz="6" w:space="0"/>
              <w:right w:val="single" w:color="000000" w:sz="4" w:space="0"/>
            </w:tcBorders>
            <w:tcW w:w="1729" w:type="dxa"/>
            <w:vAlign w:val="center"/>
            <w:textDirection w:val="lrTb"/>
            <w:noWrap w:val="false"/>
          </w:tcPr>
          <w:p>
            <w:pPr>
              <w:pStyle w:val="836"/>
              <w:jc w:val="center"/>
              <w:spacing w:before="0" w:beforeAutospacing="0" w:after="0" w:afterAutospacing="0" w:line="360" w:lineRule="auto"/>
              <w:rPr>
                <w:rFonts w:cs="宋体"/>
                <w:color w:val="auto"/>
                <w:sz w:val="21"/>
                <w:szCs w:val="21"/>
                <w:highlight w:val="none"/>
              </w:rPr>
            </w:pPr>
            <w:r>
              <w:rPr>
                <w:rFonts w:cs="宋体"/>
                <w:color w:val="auto"/>
                <w:sz w:val="21"/>
                <w:szCs w:val="21"/>
                <w:highlight w:val="none"/>
              </w:rPr>
            </w:r>
            <w:r/>
          </w:p>
        </w:tc>
        <w:tc>
          <w:tcPr>
            <w:tcBorders>
              <w:top w:val="single" w:color="000000" w:sz="6" w:space="0"/>
              <w:left w:val="none" w:color="000000" w:sz="4" w:space="0"/>
              <w:bottom w:val="single" w:color="000000" w:sz="6" w:space="0"/>
              <w:right w:val="single" w:color="000000" w:sz="4" w:space="0"/>
            </w:tcBorders>
            <w:tcW w:w="1872" w:type="dxa"/>
            <w:vAlign w:val="center"/>
            <w:textDirection w:val="lrTb"/>
            <w:noWrap w:val="false"/>
          </w:tcPr>
          <w:p>
            <w:pPr>
              <w:pStyle w:val="836"/>
              <w:jc w:val="center"/>
              <w:spacing w:before="0" w:beforeAutospacing="0" w:after="0" w:afterAutospacing="0" w:line="360" w:lineRule="auto"/>
              <w:rPr>
                <w:rFonts w:cs="宋体"/>
                <w:color w:val="auto"/>
                <w:sz w:val="21"/>
                <w:szCs w:val="21"/>
                <w:highlight w:val="none"/>
              </w:rPr>
            </w:pPr>
            <w:r>
              <w:rPr>
                <w:rFonts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pStyle w:val="836"/>
              <w:jc w:val="center"/>
              <w:spacing w:before="0" w:beforeAutospacing="0" w:after="0" w:afterAutospacing="0" w:line="360" w:lineRule="auto"/>
              <w:rPr>
                <w:rFonts w:cs="宋体"/>
                <w:color w:val="auto"/>
                <w:sz w:val="21"/>
                <w:szCs w:val="21"/>
                <w:highlight w:val="none"/>
              </w:rPr>
            </w:pPr>
            <w:r>
              <w:rPr>
                <w:rFonts w:cs="宋体"/>
                <w:color w:val="auto"/>
                <w:sz w:val="21"/>
                <w:szCs w:val="21"/>
                <w:highlight w:val="none"/>
              </w:rPr>
            </w:r>
            <w:r/>
          </w:p>
        </w:tc>
      </w:tr>
    </w:tbl>
    <w:p>
      <w:pPr>
        <w:ind w:firstLine="210"/>
        <w:spacing w:line="360" w:lineRule="auto"/>
        <w:widowControl/>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p>
      <w:pPr>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投标人：（公章）</w:t>
      </w:r>
      <w:r/>
    </w:p>
    <w:p>
      <w:pPr>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法定代表人：（签字或签章）</w:t>
      </w:r>
      <w:r/>
    </w:p>
    <w:p>
      <w:pPr>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授权</w:t>
      </w:r>
      <w:r>
        <w:rPr>
          <w:rFonts w:hint="eastAsia" w:ascii="宋体" w:hAnsi="宋体" w:eastAsia="宋体" w:cs="宋体"/>
          <w:color w:val="auto"/>
          <w:sz w:val="21"/>
          <w:szCs w:val="21"/>
          <w:highlight w:val="none"/>
        </w:rPr>
        <w:t xml:space="preserve">委托人：（签字或签章）</w:t>
      </w:r>
      <w:r/>
    </w:p>
    <w:p>
      <w:pPr>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日期：年月日</w:t>
      </w:r>
      <w:r/>
    </w:p>
    <w:p>
      <w:pPr>
        <w:pStyle w:val="807"/>
        <w:spacing w:line="36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p>
      <w:pPr>
        <w:pStyle w:val="995"/>
        <w:spacing w:line="360" w:lineRule="auto"/>
        <w:rPr>
          <w:rFonts w:hint="default" w:ascii="宋体" w:hAnsi="宋体" w:eastAsia="宋体" w:cs="宋体"/>
          <w:color w:val="auto"/>
          <w:highlight w:val="none"/>
          <w:lang w:val="zh-CN"/>
        </w:rPr>
      </w:pPr>
      <w:r>
        <w:rPr>
          <w:rFonts w:hint="default" w:ascii="宋体" w:hAnsi="宋体" w:eastAsia="宋体" w:cs="宋体"/>
          <w:color w:val="auto"/>
          <w:highlight w:val="none"/>
          <w:lang w:val="zh-CN"/>
        </w:rPr>
      </w:r>
      <w:r/>
    </w:p>
    <w:p>
      <w:pPr>
        <w:pStyle w:val="994"/>
        <w:ind w:firstLine="420"/>
        <w:rPr>
          <w:rFonts w:hAnsi="宋体" w:cs="宋体"/>
          <w:color w:val="auto"/>
          <w:sz w:val="21"/>
          <w:szCs w:val="21"/>
          <w:highlight w:val="none"/>
          <w:lang w:val="zh-CN"/>
        </w:rPr>
      </w:pPr>
      <w:r>
        <w:rPr>
          <w:rFonts w:hAnsi="宋体" w:cs="宋体"/>
          <w:color w:val="auto"/>
          <w:sz w:val="21"/>
          <w:szCs w:val="21"/>
          <w:highlight w:val="none"/>
          <w:lang w:val="zh-CN"/>
        </w:rPr>
      </w:r>
      <w:r/>
    </w:p>
    <w:p>
      <w:pPr>
        <w:spacing w:line="36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p>
      <w:pPr>
        <w:pStyle w:val="823"/>
        <w:spacing w:line="36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p>
      <w:pPr>
        <w:pStyle w:val="823"/>
        <w:spacing w:line="36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p>
      <w:pPr>
        <w:pStyle w:val="823"/>
        <w:spacing w:line="36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p>
      <w:pPr>
        <w:pStyle w:val="823"/>
        <w:spacing w:line="36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p>
      <w:pPr>
        <w:pStyle w:val="823"/>
        <w:spacing w:line="36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p>
      <w:pPr>
        <w:pStyle w:val="836"/>
        <w:spacing w:line="360" w:lineRule="auto"/>
        <w:rPr>
          <w:rFonts w:cs="宋体"/>
          <w:b/>
          <w:bCs/>
          <w:color w:val="auto"/>
          <w:sz w:val="21"/>
          <w:szCs w:val="21"/>
          <w:highlight w:val="none"/>
          <w:lang w:val="zh-CN"/>
        </w:rPr>
      </w:pPr>
      <w:r>
        <w:rPr>
          <w:rFonts w:hint="eastAsia" w:cs="宋体"/>
          <w:b/>
          <w:color w:val="auto"/>
          <w:sz w:val="21"/>
          <w:szCs w:val="21"/>
          <w:highlight w:val="none"/>
        </w:rPr>
        <w:t xml:space="preserve">附件7</w:t>
      </w:r>
      <w:r>
        <w:rPr>
          <w:rFonts w:hint="eastAsia" w:cs="宋体"/>
          <w:b/>
          <w:bCs/>
          <w:color w:val="auto"/>
          <w:sz w:val="21"/>
          <w:szCs w:val="21"/>
          <w:highlight w:val="none"/>
        </w:rPr>
        <w:t xml:space="preserve">、售后服务承诺书</w:t>
      </w:r>
      <w:r/>
    </w:p>
    <w:p>
      <w:pPr>
        <w:jc w:val="center"/>
        <w:spacing w:line="360" w:lineRule="auto"/>
        <w:rPr>
          <w:rFonts w:ascii="宋体" w:hAnsi="宋体" w:eastAsia="宋体" w:cs="宋体"/>
          <w:b/>
          <w:color w:val="auto"/>
          <w:sz w:val="21"/>
          <w:szCs w:val="21"/>
          <w:highlight w:val="none"/>
          <w:lang w:val="zh-CN"/>
        </w:rPr>
      </w:pPr>
      <w:r>
        <w:rPr>
          <w:rFonts w:ascii="宋体" w:hAnsi="宋体" w:eastAsia="宋体" w:cs="宋体"/>
          <w:b/>
          <w:color w:val="auto"/>
          <w:sz w:val="21"/>
          <w:szCs w:val="21"/>
          <w:highlight w:val="none"/>
          <w:lang w:val="zh-CN"/>
        </w:rPr>
      </w:r>
      <w:r/>
    </w:p>
    <w:p>
      <w:pPr>
        <w:jc w:val="center"/>
        <w:spacing w:line="360" w:lineRule="auto"/>
        <w:rPr>
          <w:rFonts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售后服务承诺书</w:t>
      </w:r>
      <w:r/>
    </w:p>
    <w:p>
      <w:pPr>
        <w:jc w:val="center"/>
        <w:spacing w:line="360" w:lineRule="auto"/>
        <w:rPr>
          <w:rFonts w:ascii="宋体" w:hAnsi="宋体" w:eastAsia="宋体" w:cs="宋体"/>
          <w:b/>
          <w:color w:val="auto"/>
          <w:sz w:val="21"/>
          <w:szCs w:val="21"/>
          <w:highlight w:val="none"/>
          <w:lang w:val="zh-CN"/>
        </w:rPr>
      </w:pPr>
      <w:r>
        <w:rPr>
          <w:rFonts w:ascii="宋体" w:hAnsi="宋体" w:eastAsia="宋体" w:cs="宋体"/>
          <w:b/>
          <w:color w:val="auto"/>
          <w:sz w:val="21"/>
          <w:szCs w:val="21"/>
          <w:highlight w:val="none"/>
          <w:lang w:val="zh-CN"/>
        </w:rPr>
      </w:r>
      <w:r/>
    </w:p>
    <w:tbl>
      <w:tblPr>
        <w:tblStyle w:val="800"/>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9"/>
        <w:gridCol w:w="3140"/>
        <w:gridCol w:w="1846"/>
        <w:gridCol w:w="2684"/>
      </w:tblGrid>
      <w:tr>
        <w:trPr>
          <w:trHeight w:val="853"/>
        </w:trPr>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3140" w:type="dxa"/>
            <w:vAlign w:val="center"/>
            <w:textDirection w:val="lrTb"/>
            <w:noWrap w:val="false"/>
          </w:tcPr>
          <w:p>
            <w:pPr>
              <w:jc w:val="center"/>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售后服务内容</w:t>
            </w:r>
            <w:r/>
          </w:p>
        </w:tc>
        <w:tc>
          <w:tcPr>
            <w:tcBorders>
              <w:top w:val="single" w:color="auto" w:sz="4" w:space="0"/>
              <w:left w:val="single" w:color="auto" w:sz="4" w:space="0"/>
              <w:bottom w:val="single" w:color="auto" w:sz="4" w:space="0"/>
              <w:right w:val="single" w:color="auto" w:sz="4" w:space="0"/>
            </w:tcBorders>
            <w:tcW w:w="1846" w:type="dxa"/>
            <w:vAlign w:val="center"/>
            <w:textDirection w:val="lrTb"/>
            <w:noWrap w:val="false"/>
          </w:tcPr>
          <w:p>
            <w:pPr>
              <w:jc w:val="center"/>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期限（时间）</w:t>
            </w:r>
            <w:r/>
          </w:p>
        </w:tc>
        <w:tc>
          <w:tcPr>
            <w:tcBorders>
              <w:top w:val="single" w:color="auto" w:sz="4" w:space="0"/>
              <w:left w:val="single" w:color="auto" w:sz="4" w:space="0"/>
              <w:bottom w:val="single" w:color="auto" w:sz="4" w:space="0"/>
              <w:right w:val="single" w:color="auto" w:sz="4" w:space="0"/>
            </w:tcBorders>
            <w:tcW w:w="2684" w:type="dxa"/>
            <w:vAlign w:val="center"/>
            <w:textDirection w:val="lrTb"/>
            <w:noWrap w:val="false"/>
          </w:tcPr>
          <w:p>
            <w:pPr>
              <w:jc w:val="center"/>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备注</w:t>
            </w:r>
            <w:r/>
          </w:p>
        </w:tc>
      </w:tr>
      <w:tr>
        <w:trPr>
          <w:trHeight w:val="90"/>
        </w:trPr>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spacing w:before="25" w:after="25"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3140" w:type="dxa"/>
            <w:vAlign w:val="center"/>
            <w:textDirection w:val="lrTb"/>
            <w:noWrap w:val="false"/>
          </w:tcPr>
          <w:p>
            <w:pPr>
              <w:jc w:val="center"/>
              <w:spacing w:before="25" w:after="25"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质保期</w:t>
            </w:r>
            <w:r/>
          </w:p>
        </w:tc>
        <w:tc>
          <w:tcPr>
            <w:tcBorders>
              <w:top w:val="single" w:color="auto" w:sz="4" w:space="0"/>
              <w:left w:val="single" w:color="auto" w:sz="4" w:space="0"/>
              <w:bottom w:val="single" w:color="auto" w:sz="4" w:space="0"/>
              <w:right w:val="single" w:color="auto" w:sz="4" w:space="0"/>
            </w:tcBorders>
            <w:tcW w:w="1846" w:type="dxa"/>
            <w:vAlign w:val="center"/>
            <w:textDirection w:val="lrTb"/>
            <w:noWrap w:val="false"/>
          </w:tcPr>
          <w:p>
            <w:pPr>
              <w:jc w:val="center"/>
              <w:spacing w:before="25" w:after="25"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684" w:type="dxa"/>
            <w:vAlign w:val="center"/>
            <w:textDirection w:val="lrTb"/>
            <w:noWrap w:val="false"/>
          </w:tcPr>
          <w:p>
            <w:pPr>
              <w:jc w:val="center"/>
              <w:spacing w:before="25" w:after="25"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543"/>
        </w:trPr>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spacing w:before="25" w:after="25"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3140" w:type="dxa"/>
            <w:vAlign w:val="center"/>
            <w:textDirection w:val="lrTb"/>
            <w:noWrap w:val="false"/>
          </w:tcPr>
          <w:p>
            <w:pPr>
              <w:jc w:val="center"/>
              <w:spacing w:before="25" w:after="25"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服务响应</w:t>
            </w:r>
            <w:r/>
          </w:p>
        </w:tc>
        <w:tc>
          <w:tcPr>
            <w:tcBorders>
              <w:top w:val="single" w:color="auto" w:sz="4" w:space="0"/>
              <w:left w:val="single" w:color="auto" w:sz="4" w:space="0"/>
              <w:bottom w:val="single" w:color="auto" w:sz="4" w:space="0"/>
              <w:right w:val="single" w:color="auto" w:sz="4" w:space="0"/>
            </w:tcBorders>
            <w:tcW w:w="1846" w:type="dxa"/>
            <w:vAlign w:val="center"/>
            <w:textDirection w:val="lrTb"/>
            <w:noWrap w:val="false"/>
          </w:tcPr>
          <w:p>
            <w:pPr>
              <w:jc w:val="center"/>
              <w:spacing w:before="25" w:after="25"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684" w:type="dxa"/>
            <w:vAlign w:val="center"/>
            <w:textDirection w:val="lrTb"/>
            <w:noWrap w:val="false"/>
          </w:tcPr>
          <w:p>
            <w:pPr>
              <w:jc w:val="center"/>
              <w:spacing w:before="25" w:after="25"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853"/>
        </w:trPr>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spacing w:before="25" w:after="25"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3140" w:type="dxa"/>
            <w:vAlign w:val="center"/>
            <w:textDirection w:val="lrTb"/>
            <w:noWrap w:val="false"/>
          </w:tcPr>
          <w:p>
            <w:pPr>
              <w:jc w:val="center"/>
              <w:spacing w:before="25" w:after="25"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到达现场</w:t>
            </w:r>
            <w:r/>
          </w:p>
        </w:tc>
        <w:tc>
          <w:tcPr>
            <w:tcBorders>
              <w:top w:val="single" w:color="auto" w:sz="4" w:space="0"/>
              <w:left w:val="single" w:color="auto" w:sz="4" w:space="0"/>
              <w:bottom w:val="single" w:color="auto" w:sz="4" w:space="0"/>
              <w:right w:val="single" w:color="auto" w:sz="4" w:space="0"/>
            </w:tcBorders>
            <w:tcW w:w="1846" w:type="dxa"/>
            <w:vAlign w:val="center"/>
            <w:textDirection w:val="lrTb"/>
            <w:noWrap w:val="false"/>
          </w:tcPr>
          <w:p>
            <w:pPr>
              <w:jc w:val="center"/>
              <w:spacing w:before="25" w:after="25"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684" w:type="dxa"/>
            <w:vAlign w:val="center"/>
            <w:textDirection w:val="lrTb"/>
            <w:noWrap w:val="false"/>
          </w:tcPr>
          <w:p>
            <w:pPr>
              <w:jc w:val="center"/>
              <w:spacing w:before="25" w:after="25"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854"/>
        </w:trPr>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spacing w:before="25" w:after="25"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3140" w:type="dxa"/>
            <w:vAlign w:val="center"/>
            <w:textDirection w:val="lrTb"/>
            <w:noWrap w:val="false"/>
          </w:tcPr>
          <w:p>
            <w:pPr>
              <w:jc w:val="center"/>
              <w:spacing w:before="25" w:after="25"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解决问题</w:t>
            </w:r>
            <w:r/>
          </w:p>
        </w:tc>
        <w:tc>
          <w:tcPr>
            <w:tcBorders>
              <w:top w:val="single" w:color="auto" w:sz="4" w:space="0"/>
              <w:left w:val="single" w:color="auto" w:sz="4" w:space="0"/>
              <w:bottom w:val="single" w:color="auto" w:sz="4" w:space="0"/>
              <w:right w:val="single" w:color="auto" w:sz="4" w:space="0"/>
            </w:tcBorders>
            <w:tcW w:w="1846" w:type="dxa"/>
            <w:vAlign w:val="center"/>
            <w:textDirection w:val="lrTb"/>
            <w:noWrap w:val="false"/>
          </w:tcPr>
          <w:p>
            <w:pPr>
              <w:jc w:val="center"/>
              <w:spacing w:before="25" w:after="25"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684" w:type="dxa"/>
            <w:vAlign w:val="center"/>
            <w:textDirection w:val="lrTb"/>
            <w:noWrap w:val="false"/>
          </w:tcPr>
          <w:p>
            <w:pPr>
              <w:jc w:val="center"/>
              <w:spacing w:before="25" w:after="25"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853"/>
        </w:trPr>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spacing w:before="25" w:after="25"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40" w:type="dxa"/>
            <w:vAlign w:val="center"/>
            <w:textDirection w:val="lrTb"/>
            <w:noWrap w:val="false"/>
          </w:tcPr>
          <w:p>
            <w:pPr>
              <w:jc w:val="center"/>
              <w:spacing w:before="25" w:after="25"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46" w:type="dxa"/>
            <w:vAlign w:val="center"/>
            <w:textDirection w:val="lrTb"/>
            <w:noWrap w:val="false"/>
          </w:tcPr>
          <w:p>
            <w:pPr>
              <w:jc w:val="center"/>
              <w:spacing w:before="25" w:after="25"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684" w:type="dxa"/>
            <w:vAlign w:val="center"/>
            <w:textDirection w:val="lrTb"/>
            <w:noWrap w:val="false"/>
          </w:tcPr>
          <w:p>
            <w:pPr>
              <w:jc w:val="center"/>
              <w:spacing w:before="25" w:after="25"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spacing w:before="25" w:after="25"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注：1、针对服务内容有必须说明的事项，请在“备注”栏目内注明；</w:t>
      </w:r>
      <w:r/>
    </w:p>
    <w:p>
      <w:pPr>
        <w:ind w:firstLine="480"/>
        <w:spacing w:before="25" w:after="25"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2、如有其它售后服务内容，可自行参照填写。</w:t>
      </w:r>
      <w:r/>
    </w:p>
    <w:p>
      <w:pPr>
        <w:spacing w:before="25" w:after="25" w:line="36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p>
      <w:pPr>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投标人：（公章）</w:t>
      </w:r>
      <w:r/>
    </w:p>
    <w:p>
      <w:pPr>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法定代表人或代理人：（签字或盖章）</w:t>
      </w:r>
      <w:r/>
    </w:p>
    <w:p>
      <w:pPr>
        <w:pStyle w:val="808"/>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日期：年月日</w:t>
      </w:r>
      <w:r/>
    </w:p>
    <w:p>
      <w:pPr>
        <w:pStyle w:val="807"/>
        <w:spacing w:line="36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p>
      <w:pPr>
        <w:pStyle w:val="995"/>
        <w:spacing w:line="360" w:lineRule="auto"/>
        <w:rPr>
          <w:rFonts w:hint="default" w:ascii="宋体" w:hAnsi="宋体" w:eastAsia="宋体" w:cs="宋体"/>
          <w:color w:val="auto"/>
          <w:highlight w:val="none"/>
          <w:lang w:val="zh-CN"/>
        </w:rPr>
      </w:pPr>
      <w:r>
        <w:rPr>
          <w:rFonts w:hint="default" w:ascii="宋体" w:hAnsi="宋体" w:eastAsia="宋体" w:cs="宋体"/>
          <w:color w:val="auto"/>
          <w:highlight w:val="none"/>
          <w:lang w:val="zh-CN"/>
        </w:rPr>
      </w:r>
      <w:r/>
    </w:p>
    <w:p>
      <w:pPr>
        <w:pStyle w:val="994"/>
        <w:ind w:firstLine="420"/>
        <w:rPr>
          <w:rFonts w:hAnsi="宋体" w:cs="宋体"/>
          <w:color w:val="auto"/>
          <w:sz w:val="21"/>
          <w:szCs w:val="21"/>
          <w:highlight w:val="none"/>
          <w:lang w:val="zh-CN"/>
        </w:rPr>
      </w:pPr>
      <w:r>
        <w:rPr>
          <w:rFonts w:hAnsi="宋体" w:cs="宋体"/>
          <w:color w:val="auto"/>
          <w:sz w:val="21"/>
          <w:szCs w:val="21"/>
          <w:highlight w:val="none"/>
          <w:lang w:val="zh-CN"/>
        </w:rPr>
      </w:r>
      <w:r/>
    </w:p>
    <w:p>
      <w:pPr>
        <w:spacing w:line="36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p>
      <w:pPr>
        <w:pStyle w:val="807"/>
        <w:spacing w:line="36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p>
      <w:pPr>
        <w:pStyle w:val="995"/>
        <w:spacing w:line="360" w:lineRule="auto"/>
        <w:rPr>
          <w:rFonts w:hint="default" w:ascii="宋体" w:hAnsi="宋体" w:eastAsia="宋体" w:cs="宋体"/>
          <w:color w:val="auto"/>
          <w:highlight w:val="none"/>
          <w:lang w:val="zh-CN"/>
        </w:rPr>
      </w:pPr>
      <w:r>
        <w:rPr>
          <w:rFonts w:hint="default" w:ascii="宋体" w:hAnsi="宋体" w:eastAsia="宋体" w:cs="宋体"/>
          <w:color w:val="auto"/>
          <w:highlight w:val="none"/>
          <w:lang w:val="zh-CN"/>
        </w:rPr>
      </w:r>
      <w:r/>
    </w:p>
    <w:p>
      <w:pPr>
        <w:pStyle w:val="806"/>
        <w:ind w:firstLine="280"/>
        <w:spacing w:line="360" w:lineRule="auto"/>
        <w:rPr>
          <w:color w:val="auto"/>
          <w:highlight w:val="none"/>
        </w:rPr>
      </w:pPr>
      <w:r>
        <w:rPr>
          <w:color w:val="auto"/>
          <w:highlight w:val="none"/>
        </w:rPr>
      </w:r>
      <w:r/>
    </w:p>
    <w:p>
      <w:pPr>
        <w:spacing w:line="360" w:lineRule="auto"/>
        <w:widowControl/>
        <w:rPr>
          <w:rFonts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附件8</w:t>
      </w:r>
      <w:r>
        <w:rPr>
          <w:rFonts w:hint="eastAsia" w:ascii="宋体" w:hAnsi="宋体" w:eastAsia="宋体" w:cs="宋体"/>
          <w:b/>
          <w:color w:val="auto"/>
          <w:sz w:val="21"/>
          <w:szCs w:val="21"/>
          <w:highlight w:val="none"/>
        </w:rPr>
        <w:t xml:space="preserve">、资格证明文件</w:t>
      </w:r>
      <w:r/>
    </w:p>
    <w:p>
      <w:pPr>
        <w:spacing w:line="360" w:lineRule="auto"/>
        <w:widowControl/>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spacing w:line="360" w:lineRule="auto"/>
        <w:widowControl/>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(1)、关于资格文件的声明函</w:t>
      </w:r>
      <w:r/>
    </w:p>
    <w:p>
      <w:pPr>
        <w:spacing w:line="360" w:lineRule="auto"/>
        <w:widowControl/>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spacing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center"/>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关于资格文件的声明函</w:t>
      </w:r>
      <w:r/>
    </w:p>
    <w:p>
      <w:pPr>
        <w:jc w:val="center"/>
        <w:spacing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ind w:firstLine="660"/>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愿就由贵单位组织实施的编号为JSZC-320508-SZMK-G2024-0006号的招标活动进行投标。本单位所提交的投标文件中所有关于投标资格的文件、证明和陈述均是真实的、准确的。若与真实情况不符，本公司愿意承担由此而产生的一切后果。</w:t>
      </w:r>
      <w:r/>
    </w:p>
    <w:p>
      <w:pPr>
        <w:spacing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spacing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spacing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（投标方）法定代表人签字：</w:t>
      </w:r>
      <w:r/>
    </w:p>
    <w:p>
      <w:pPr>
        <w:ind w:left="1700" w:firstLine="425"/>
        <w:spacing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left="1700" w:firstLine="425"/>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（投标方）公章：</w:t>
      </w:r>
      <w:r/>
    </w:p>
    <w:p>
      <w:pPr>
        <w:spacing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left="3507" w:firstLine="1145"/>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日</w:t>
      </w:r>
      <w:r/>
    </w:p>
    <w:p>
      <w:pPr>
        <w:spacing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spacing w:line="360" w:lineRule="auto"/>
        <w:widowControl/>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spacing w:line="360" w:lineRule="auto"/>
        <w:widowControl/>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spacing w:line="360" w:lineRule="auto"/>
        <w:widowControl/>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spacing w:line="360" w:lineRule="auto"/>
        <w:widowControl/>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widowControl/>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(2)、投标单位情况表</w:t>
      </w:r>
      <w:r/>
    </w:p>
    <w:p>
      <w:pPr>
        <w:pStyle w:val="808"/>
        <w:jc w:val="center"/>
        <w:spacing w:line="360" w:lineRule="auto"/>
        <w:rPr>
          <w:rFonts w:asciiTheme="minorEastAsia" w:hAnsiTheme="minorEastAsia" w:eastAsiaTheme="minorEastAsia" w:cstheme="minorEastAsia"/>
          <w:bCs/>
          <w:color w:val="auto"/>
          <w:sz w:val="30"/>
          <w:szCs w:val="30"/>
          <w:highlight w:val="none"/>
        </w:rPr>
      </w:pPr>
      <w:r>
        <w:rPr>
          <w:rFonts w:hint="eastAsia" w:asciiTheme="minorEastAsia" w:hAnsiTheme="minorEastAsia" w:eastAsiaTheme="minorEastAsia" w:cstheme="minorEastAsia"/>
          <w:bCs/>
          <w:color w:val="auto"/>
          <w:sz w:val="30"/>
          <w:szCs w:val="30"/>
          <w:highlight w:val="none"/>
        </w:rPr>
        <w:t xml:space="preserve">供应商情况表</w:t>
      </w:r>
      <w:r/>
    </w:p>
    <w:p>
      <w:p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采购编号：</w:t>
      </w:r>
      <w:r/>
    </w:p>
    <w:tbl>
      <w:tblPr>
        <w:tblStyle w:val="800"/>
        <w:tblW w:w="8463"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808"/>
              <w:ind w:firstLine="0"/>
              <w:jc w:val="center"/>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p>
        </w:tc>
        <w:tc>
          <w:tcPr>
            <w:tcBorders>
              <w:right w:val="single" w:color="auto" w:sz="4" w:space="0"/>
            </w:tcBorders>
            <w:tcW w:w="1411" w:type="dxa"/>
            <w:vAlign w:val="center"/>
            <w:textDirection w:val="lrTb"/>
            <w:noWrap w:val="false"/>
          </w:tcPr>
          <w:p>
            <w:pPr>
              <w:pStyle w:val="808"/>
              <w:ind w:firstLine="0"/>
              <w:jc w:val="center"/>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企业法人</w:t>
            </w:r>
            <w:r/>
          </w:p>
        </w:tc>
        <w:tc>
          <w:tcPr>
            <w:gridSpan w:val="3"/>
            <w:tcBorders>
              <w:left w:val="single" w:color="auto" w:sz="4" w:space="0"/>
            </w:tcBorders>
            <w:tcW w:w="2762" w:type="dxa"/>
            <w:vAlign w:val="center"/>
            <w:textDirection w:val="lrTb"/>
            <w:noWrap w:val="false"/>
          </w:tcPr>
          <w:p>
            <w:pPr>
              <w:pStyle w:val="808"/>
              <w:ind w:firstLine="0"/>
              <w:jc w:val="center"/>
              <w:spacing w:line="360" w:lineRule="auto"/>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c>
          <w:tcPr>
            <w:gridSpan w:val="2"/>
            <w:tcW w:w="1441" w:type="dxa"/>
            <w:vAlign w:val="center"/>
            <w:textDirection w:val="lrTb"/>
            <w:noWrap w:val="false"/>
          </w:tcPr>
          <w:p>
            <w:pPr>
              <w:pStyle w:val="808"/>
              <w:ind w:firstLine="0"/>
              <w:jc w:val="center"/>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公司成立日期</w:t>
            </w:r>
            <w:r/>
          </w:p>
        </w:tc>
        <w:tc>
          <w:tcPr>
            <w:gridSpan w:val="2"/>
            <w:tcW w:w="2252" w:type="dxa"/>
            <w:vAlign w:val="center"/>
            <w:textDirection w:val="lrTb"/>
            <w:noWrap w:val="false"/>
          </w:tcPr>
          <w:p>
            <w:pPr>
              <w:pStyle w:val="808"/>
              <w:ind w:firstLine="0"/>
              <w:jc w:val="both"/>
              <w:spacing w:line="360" w:lineRule="auto"/>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r>
      <w:tr>
        <w:trPr>
          <w:trHeight w:val="645"/>
        </w:trPr>
        <w:tc>
          <w:tcPr>
            <w:tcW w:w="597" w:type="dxa"/>
            <w:vAlign w:val="center"/>
            <w:textDirection w:val="lrTb"/>
            <w:noWrap w:val="false"/>
          </w:tcPr>
          <w:p>
            <w:pPr>
              <w:pStyle w:val="808"/>
              <w:ind w:firstLine="0"/>
              <w:jc w:val="center"/>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p>
        </w:tc>
        <w:tc>
          <w:tcPr>
            <w:tcBorders>
              <w:right w:val="single" w:color="auto" w:sz="4" w:space="0"/>
            </w:tcBorders>
            <w:tcW w:w="1411" w:type="dxa"/>
            <w:vAlign w:val="center"/>
            <w:textDirection w:val="lrTb"/>
            <w:noWrap w:val="false"/>
          </w:tcPr>
          <w:p>
            <w:pPr>
              <w:pStyle w:val="808"/>
              <w:ind w:firstLine="0"/>
              <w:jc w:val="center"/>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总部地址</w:t>
            </w:r>
            <w:r/>
          </w:p>
        </w:tc>
        <w:tc>
          <w:tcPr>
            <w:gridSpan w:val="7"/>
            <w:tcBorders>
              <w:left w:val="single" w:color="auto" w:sz="4" w:space="0"/>
            </w:tcBorders>
            <w:tcW w:w="6455" w:type="dxa"/>
            <w:vAlign w:val="center"/>
            <w:textDirection w:val="lrTb"/>
            <w:noWrap w:val="false"/>
          </w:tcPr>
          <w:p>
            <w:pPr>
              <w:pStyle w:val="808"/>
              <w:ind w:firstLine="0"/>
              <w:jc w:val="center"/>
              <w:spacing w:line="360" w:lineRule="auto"/>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r>
      <w:tr>
        <w:trPr>
          <w:trHeight w:val="645"/>
        </w:trPr>
        <w:tc>
          <w:tcPr>
            <w:tcW w:w="597" w:type="dxa"/>
            <w:vAlign w:val="center"/>
            <w:textDirection w:val="lrTb"/>
            <w:noWrap w:val="false"/>
          </w:tcPr>
          <w:p>
            <w:pPr>
              <w:pStyle w:val="808"/>
              <w:ind w:firstLine="0"/>
              <w:jc w:val="center"/>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p>
        </w:tc>
        <w:tc>
          <w:tcPr>
            <w:tcBorders>
              <w:right w:val="single" w:color="auto" w:sz="4" w:space="0"/>
            </w:tcBorders>
            <w:tcW w:w="1411" w:type="dxa"/>
            <w:vAlign w:val="center"/>
            <w:textDirection w:val="lrTb"/>
            <w:noWrap w:val="false"/>
          </w:tcPr>
          <w:p>
            <w:pPr>
              <w:pStyle w:val="808"/>
              <w:ind w:firstLine="0"/>
              <w:jc w:val="center"/>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当地代表处地址</w:t>
            </w:r>
            <w:r/>
          </w:p>
        </w:tc>
        <w:tc>
          <w:tcPr>
            <w:gridSpan w:val="7"/>
            <w:tcBorders>
              <w:left w:val="single" w:color="auto" w:sz="4" w:space="0"/>
            </w:tcBorders>
            <w:tcW w:w="6455" w:type="dxa"/>
            <w:vAlign w:val="center"/>
            <w:textDirection w:val="lrTb"/>
            <w:noWrap w:val="false"/>
          </w:tcPr>
          <w:p>
            <w:pPr>
              <w:pStyle w:val="808"/>
              <w:ind w:firstLine="0"/>
              <w:jc w:val="both"/>
              <w:spacing w:line="360" w:lineRule="auto"/>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r>
      <w:tr>
        <w:trPr>
          <w:trHeight w:val="645"/>
        </w:trPr>
        <w:tc>
          <w:tcPr>
            <w:tcW w:w="597" w:type="dxa"/>
            <w:vAlign w:val="center"/>
            <w:textDirection w:val="lrTb"/>
            <w:noWrap w:val="false"/>
          </w:tcPr>
          <w:p>
            <w:pPr>
              <w:pStyle w:val="808"/>
              <w:ind w:firstLine="0"/>
              <w:jc w:val="center"/>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w:t>
            </w:r>
            <w:r/>
          </w:p>
        </w:tc>
        <w:tc>
          <w:tcPr>
            <w:tcBorders>
              <w:right w:val="single" w:color="auto" w:sz="4" w:space="0"/>
            </w:tcBorders>
            <w:tcW w:w="1411" w:type="dxa"/>
            <w:vAlign w:val="center"/>
            <w:textDirection w:val="lrTb"/>
            <w:noWrap w:val="false"/>
          </w:tcPr>
          <w:p>
            <w:pPr>
              <w:pStyle w:val="808"/>
              <w:ind w:firstLine="0"/>
              <w:jc w:val="center"/>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电话</w:t>
            </w:r>
            <w:r/>
          </w:p>
        </w:tc>
        <w:tc>
          <w:tcPr>
            <w:gridSpan w:val="2"/>
            <w:tcBorders>
              <w:left w:val="single" w:color="auto" w:sz="4" w:space="0"/>
            </w:tcBorders>
            <w:tcW w:w="2317" w:type="dxa"/>
            <w:vAlign w:val="center"/>
            <w:textDirection w:val="lrTb"/>
            <w:noWrap w:val="false"/>
          </w:tcPr>
          <w:p>
            <w:pPr>
              <w:pStyle w:val="808"/>
              <w:ind w:firstLine="0"/>
              <w:jc w:val="both"/>
              <w:spacing w:line="360" w:lineRule="auto"/>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c>
          <w:tcPr>
            <w:gridSpan w:val="2"/>
            <w:tcBorders>
              <w:right w:val="single" w:color="auto" w:sz="4" w:space="0"/>
            </w:tcBorders>
            <w:tcW w:w="1179" w:type="dxa"/>
            <w:vAlign w:val="center"/>
            <w:textDirection w:val="lrTb"/>
            <w:noWrap w:val="false"/>
          </w:tcPr>
          <w:p>
            <w:pPr>
              <w:pStyle w:val="808"/>
              <w:ind w:firstLine="0"/>
              <w:jc w:val="center"/>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联系人</w:t>
            </w:r>
            <w:r/>
          </w:p>
        </w:tc>
        <w:tc>
          <w:tcPr>
            <w:gridSpan w:val="3"/>
            <w:tcBorders>
              <w:left w:val="single" w:color="auto" w:sz="4" w:space="0"/>
            </w:tcBorders>
            <w:tcW w:w="2959" w:type="dxa"/>
            <w:vAlign w:val="center"/>
            <w:textDirection w:val="lrTb"/>
            <w:noWrap w:val="false"/>
          </w:tcPr>
          <w:p>
            <w:pPr>
              <w:pStyle w:val="808"/>
              <w:ind w:firstLine="0"/>
              <w:jc w:val="both"/>
              <w:spacing w:line="360" w:lineRule="auto"/>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r>
      <w:tr>
        <w:trPr>
          <w:trHeight w:val="625"/>
        </w:trPr>
        <w:tc>
          <w:tcPr>
            <w:tcW w:w="597" w:type="dxa"/>
            <w:vAlign w:val="center"/>
            <w:textDirection w:val="lrTb"/>
            <w:noWrap w:val="false"/>
          </w:tcPr>
          <w:p>
            <w:pPr>
              <w:pStyle w:val="808"/>
              <w:ind w:firstLine="0"/>
              <w:jc w:val="center"/>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w:t>
            </w:r>
            <w:r/>
          </w:p>
        </w:tc>
        <w:tc>
          <w:tcPr>
            <w:tcBorders>
              <w:right w:val="single" w:color="auto" w:sz="4" w:space="0"/>
            </w:tcBorders>
            <w:tcW w:w="1411" w:type="dxa"/>
            <w:vAlign w:val="center"/>
            <w:textDirection w:val="lrTb"/>
            <w:noWrap w:val="false"/>
          </w:tcPr>
          <w:p>
            <w:pPr>
              <w:pStyle w:val="808"/>
              <w:ind w:firstLine="0"/>
              <w:jc w:val="center"/>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传真</w:t>
            </w:r>
            <w:r/>
          </w:p>
        </w:tc>
        <w:tc>
          <w:tcPr>
            <w:gridSpan w:val="2"/>
            <w:tcBorders>
              <w:left w:val="single" w:color="auto" w:sz="4" w:space="0"/>
            </w:tcBorders>
            <w:tcW w:w="2317" w:type="dxa"/>
            <w:vAlign w:val="center"/>
            <w:textDirection w:val="lrTb"/>
            <w:noWrap w:val="false"/>
          </w:tcPr>
          <w:p>
            <w:pPr>
              <w:pStyle w:val="808"/>
              <w:ind w:firstLine="0"/>
              <w:jc w:val="both"/>
              <w:spacing w:line="360" w:lineRule="auto"/>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c>
          <w:tcPr>
            <w:gridSpan w:val="2"/>
            <w:tcBorders>
              <w:right w:val="single" w:color="auto" w:sz="4" w:space="0"/>
            </w:tcBorders>
            <w:tcW w:w="1179" w:type="dxa"/>
            <w:vAlign w:val="center"/>
            <w:textDirection w:val="lrTb"/>
            <w:noWrap w:val="false"/>
          </w:tcPr>
          <w:p>
            <w:pPr>
              <w:pStyle w:val="808"/>
              <w:ind w:firstLine="0"/>
              <w:jc w:val="center"/>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电子邮箱</w:t>
            </w:r>
            <w:r/>
          </w:p>
        </w:tc>
        <w:tc>
          <w:tcPr>
            <w:gridSpan w:val="3"/>
            <w:tcBorders>
              <w:left w:val="single" w:color="auto" w:sz="4" w:space="0"/>
            </w:tcBorders>
            <w:tcW w:w="2959" w:type="dxa"/>
            <w:vAlign w:val="center"/>
            <w:textDirection w:val="lrTb"/>
            <w:noWrap w:val="false"/>
          </w:tcPr>
          <w:p>
            <w:pPr>
              <w:pStyle w:val="808"/>
              <w:ind w:firstLine="0"/>
              <w:jc w:val="both"/>
              <w:spacing w:line="360" w:lineRule="auto"/>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r>
      <w:tr>
        <w:trPr>
          <w:trHeight w:val="645"/>
        </w:trPr>
        <w:tc>
          <w:tcPr>
            <w:tcW w:w="597" w:type="dxa"/>
            <w:vAlign w:val="center"/>
            <w:textDirection w:val="lrTb"/>
            <w:noWrap w:val="false"/>
          </w:tcPr>
          <w:p>
            <w:pPr>
              <w:pStyle w:val="808"/>
              <w:ind w:firstLine="0"/>
              <w:jc w:val="center"/>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w:t>
            </w:r>
            <w:r/>
          </w:p>
        </w:tc>
        <w:tc>
          <w:tcPr>
            <w:tcBorders>
              <w:right w:val="single" w:color="auto" w:sz="4" w:space="0"/>
            </w:tcBorders>
            <w:tcW w:w="1411" w:type="dxa"/>
            <w:vAlign w:val="center"/>
            <w:textDirection w:val="lrTb"/>
            <w:noWrap w:val="false"/>
          </w:tcPr>
          <w:p>
            <w:pPr>
              <w:pStyle w:val="808"/>
              <w:ind w:firstLine="0"/>
              <w:jc w:val="center"/>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注册地</w:t>
            </w:r>
            <w:r/>
          </w:p>
        </w:tc>
        <w:tc>
          <w:tcPr>
            <w:gridSpan w:val="2"/>
            <w:tcBorders>
              <w:left w:val="single" w:color="auto" w:sz="4" w:space="0"/>
            </w:tcBorders>
            <w:tcW w:w="2317" w:type="dxa"/>
            <w:vAlign w:val="center"/>
            <w:textDirection w:val="lrTb"/>
            <w:noWrap w:val="false"/>
          </w:tcPr>
          <w:p>
            <w:pPr>
              <w:pStyle w:val="808"/>
              <w:ind w:firstLine="0"/>
              <w:jc w:val="both"/>
              <w:spacing w:line="360" w:lineRule="auto"/>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c>
          <w:tcPr>
            <w:gridSpan w:val="2"/>
            <w:tcBorders>
              <w:right w:val="single" w:color="auto" w:sz="4" w:space="0"/>
            </w:tcBorders>
            <w:tcW w:w="1179" w:type="dxa"/>
            <w:vAlign w:val="center"/>
            <w:textDirection w:val="lrTb"/>
            <w:noWrap w:val="false"/>
          </w:tcPr>
          <w:p>
            <w:pPr>
              <w:pStyle w:val="808"/>
              <w:ind w:firstLine="0"/>
              <w:jc w:val="center"/>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注册年份</w:t>
            </w:r>
            <w:r/>
          </w:p>
        </w:tc>
        <w:tc>
          <w:tcPr>
            <w:gridSpan w:val="3"/>
            <w:tcBorders>
              <w:left w:val="single" w:color="auto" w:sz="4" w:space="0"/>
            </w:tcBorders>
            <w:tcW w:w="2959" w:type="dxa"/>
            <w:vAlign w:val="center"/>
            <w:textDirection w:val="lrTb"/>
            <w:noWrap w:val="false"/>
          </w:tcPr>
          <w:p>
            <w:pPr>
              <w:pStyle w:val="808"/>
              <w:ind w:left="437" w:firstLine="0"/>
              <w:jc w:val="both"/>
              <w:spacing w:line="360" w:lineRule="auto"/>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r>
      <w:tr>
        <w:trPr>
          <w:trHeight w:val="645"/>
        </w:trPr>
        <w:tc>
          <w:tcPr>
            <w:tcW w:w="597" w:type="dxa"/>
            <w:vAlign w:val="center"/>
            <w:textDirection w:val="lrTb"/>
            <w:noWrap w:val="false"/>
          </w:tcPr>
          <w:p>
            <w:pPr>
              <w:pStyle w:val="808"/>
              <w:ind w:firstLine="0"/>
              <w:jc w:val="center"/>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w:t>
            </w:r>
            <w:r/>
          </w:p>
        </w:tc>
        <w:tc>
          <w:tcPr>
            <w:tcBorders>
              <w:right w:val="single" w:color="auto" w:sz="4" w:space="0"/>
            </w:tcBorders>
            <w:tcW w:w="1411" w:type="dxa"/>
            <w:vAlign w:val="center"/>
            <w:textDirection w:val="lrTb"/>
            <w:noWrap w:val="false"/>
          </w:tcPr>
          <w:p>
            <w:pPr>
              <w:pStyle w:val="808"/>
              <w:ind w:firstLine="0"/>
              <w:jc w:val="both"/>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单位职工人数</w:t>
            </w:r>
            <w:r/>
          </w:p>
        </w:tc>
        <w:tc>
          <w:tcPr>
            <w:gridSpan w:val="2"/>
            <w:tcBorders>
              <w:left w:val="single" w:color="auto" w:sz="4" w:space="0"/>
            </w:tcBorders>
            <w:tcW w:w="2317" w:type="dxa"/>
            <w:vAlign w:val="center"/>
            <w:textDirection w:val="lrTb"/>
            <w:noWrap w:val="false"/>
          </w:tcPr>
          <w:p>
            <w:pPr>
              <w:pStyle w:val="808"/>
              <w:ind w:firstLine="945"/>
              <w:jc w:val="both"/>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人</w:t>
            </w:r>
            <w:r/>
          </w:p>
        </w:tc>
        <w:tc>
          <w:tcPr>
            <w:gridSpan w:val="4"/>
            <w:tcBorders>
              <w:right w:val="single" w:color="auto" w:sz="4" w:space="0"/>
            </w:tcBorders>
            <w:tcW w:w="2469" w:type="dxa"/>
            <w:vAlign w:val="center"/>
            <w:textDirection w:val="lrTb"/>
            <w:noWrap w:val="false"/>
          </w:tcPr>
          <w:p>
            <w:pPr>
              <w:pStyle w:val="808"/>
              <w:ind w:firstLine="0"/>
              <w:jc w:val="both"/>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单位年总营业收入</w:t>
            </w:r>
            <w:r/>
          </w:p>
        </w:tc>
        <w:tc>
          <w:tcPr>
            <w:tcBorders>
              <w:left w:val="single" w:color="auto" w:sz="4" w:space="0"/>
            </w:tcBorders>
            <w:tcW w:w="1669" w:type="dxa"/>
            <w:vAlign w:val="center"/>
            <w:textDirection w:val="lrTb"/>
            <w:noWrap w:val="false"/>
          </w:tcPr>
          <w:p>
            <w:pPr>
              <w:pStyle w:val="808"/>
              <w:ind w:left="1112" w:firstLine="0"/>
              <w:jc w:val="both"/>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万元</w:t>
            </w:r>
            <w:r/>
          </w:p>
        </w:tc>
      </w:tr>
      <w:tr>
        <w:trPr>
          <w:cantSplit/>
          <w:trHeight w:val="645"/>
        </w:trPr>
        <w:tc>
          <w:tcPr>
            <w:tcW w:w="597" w:type="dxa"/>
            <w:vAlign w:val="center"/>
            <w:textDirection w:val="lrTb"/>
            <w:noWrap w:val="false"/>
          </w:tcPr>
          <w:p>
            <w:pPr>
              <w:pStyle w:val="808"/>
              <w:ind w:firstLine="0"/>
              <w:jc w:val="center"/>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w:t>
            </w:r>
            <w:r/>
          </w:p>
        </w:tc>
        <w:tc>
          <w:tcPr>
            <w:gridSpan w:val="8"/>
            <w:tcW w:w="7866" w:type="dxa"/>
            <w:vAlign w:val="center"/>
            <w:textDirection w:val="lrTb"/>
            <w:noWrap w:val="false"/>
          </w:tcPr>
          <w:p>
            <w:pPr>
              <w:pStyle w:val="808"/>
              <w:ind w:firstLine="0"/>
              <w:jc w:val="both"/>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企业或社会团体办公场所的面积：</w:t>
            </w:r>
            <w:r/>
          </w:p>
        </w:tc>
      </w:tr>
      <w:tr>
        <w:trPr>
          <w:trHeight w:val="1767"/>
        </w:trPr>
        <w:tc>
          <w:tcPr>
            <w:tcW w:w="597" w:type="dxa"/>
            <w:vAlign w:val="center"/>
            <w:textDirection w:val="lrTb"/>
            <w:noWrap w:val="false"/>
          </w:tcPr>
          <w:p>
            <w:pPr>
              <w:pStyle w:val="808"/>
              <w:ind w:firstLine="0"/>
              <w:jc w:val="center"/>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9</w:t>
            </w:r>
            <w:r/>
          </w:p>
        </w:tc>
        <w:tc>
          <w:tcPr>
            <w:gridSpan w:val="8"/>
            <w:tcW w:w="7866" w:type="dxa"/>
            <w:vAlign w:val="center"/>
            <w:textDirection w:val="lrTb"/>
            <w:noWrap w:val="false"/>
          </w:tcPr>
          <w:p>
            <w:pPr>
              <w:pStyle w:val="808"/>
              <w:ind w:firstLine="0"/>
              <w:jc w:val="both"/>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主营范围</w:t>
            </w:r>
            <w:r/>
          </w:p>
          <w:p>
            <w:pPr>
              <w:pStyle w:val="808"/>
              <w:ind w:firstLine="0"/>
              <w:jc w:val="both"/>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1、_____________________________________</w:t>
            </w:r>
            <w:r/>
          </w:p>
          <w:p>
            <w:pPr>
              <w:pStyle w:val="808"/>
              <w:ind w:firstLine="0"/>
              <w:jc w:val="both"/>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2、____________________________________</w:t>
            </w:r>
            <w:r/>
          </w:p>
          <w:p>
            <w:pPr>
              <w:pStyle w:val="808"/>
              <w:ind w:firstLine="0"/>
              <w:jc w:val="both"/>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w:t>
            </w:r>
            <w:r/>
          </w:p>
        </w:tc>
      </w:tr>
      <w:tr>
        <w:trPr>
          <w:trHeight w:val="1701"/>
        </w:trPr>
        <w:tc>
          <w:tcPr>
            <w:tcW w:w="597" w:type="dxa"/>
            <w:vAlign w:val="center"/>
            <w:textDirection w:val="lrTb"/>
            <w:noWrap w:val="false"/>
          </w:tcPr>
          <w:p>
            <w:pPr>
              <w:pStyle w:val="808"/>
              <w:ind w:firstLine="0"/>
              <w:jc w:val="center"/>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10</w:t>
            </w:r>
            <w:r/>
          </w:p>
        </w:tc>
        <w:tc>
          <w:tcPr>
            <w:gridSpan w:val="2"/>
            <w:tcW w:w="2445" w:type="dxa"/>
            <w:vAlign w:val="center"/>
            <w:textDirection w:val="lrTb"/>
            <w:noWrap w:val="false"/>
          </w:tcPr>
          <w:p>
            <w:pPr>
              <w:pStyle w:val="808"/>
              <w:ind w:firstLine="0"/>
              <w:jc w:val="both"/>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其他需要说明的情况</w:t>
            </w:r>
            <w:r/>
          </w:p>
        </w:tc>
        <w:tc>
          <w:tcPr>
            <w:gridSpan w:val="6"/>
            <w:tcW w:w="5421" w:type="dxa"/>
            <w:vAlign w:val="center"/>
            <w:textDirection w:val="lrTb"/>
            <w:noWrap w:val="false"/>
          </w:tcPr>
          <w:p>
            <w:pPr>
              <w:pStyle w:val="808"/>
              <w:ind w:firstLine="0"/>
              <w:jc w:val="both"/>
              <w:spacing w:line="360" w:lineRule="auto"/>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tc>
      </w:tr>
    </w:tbl>
    <w:p>
      <w:pPr>
        <w:spacing w:line="360" w:lineRule="auto"/>
        <w:widowControl/>
        <w:rPr>
          <w:rFonts w:asciiTheme="minorEastAsia" w:hAnsiTheme="minorEastAsia" w:eastAsiaTheme="minorEastAsia" w:cstheme="minorEastAsia"/>
          <w:color w:val="auto"/>
          <w:sz w:val="21"/>
          <w:highlight w:val="none"/>
        </w:rPr>
      </w:pPr>
      <w:r>
        <w:rPr>
          <w:rFonts w:asciiTheme="minorEastAsia" w:hAnsiTheme="minorEastAsia" w:eastAsiaTheme="minorEastAsia" w:cstheme="minorEastAsia"/>
          <w:color w:val="auto"/>
          <w:sz w:val="21"/>
          <w:highlight w:val="none"/>
        </w:rPr>
      </w:r>
      <w:r/>
    </w:p>
    <w:p>
      <w:pPr>
        <w:pStyle w:val="1311"/>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投标单位：（单位盖章）</w:t>
      </w:r>
      <w:r/>
    </w:p>
    <w:p>
      <w:pPr>
        <w:pStyle w:val="1311"/>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法定代表人或代理人：（签字或盖章）</w:t>
      </w:r>
      <w:r/>
    </w:p>
    <w:p>
      <w:pPr>
        <w:pStyle w:val="1311"/>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日期：年月日</w:t>
      </w:r>
      <w:r/>
    </w:p>
    <w:p>
      <w:pPr>
        <w:jc w:val="left"/>
        <w:spacing w:line="360" w:lineRule="auto"/>
        <w:widowControl/>
        <w:rPr>
          <w:rFonts w:ascii="宋体" w:hAnsi="宋体" w:eastAsia="宋体" w:cs="宋体"/>
          <w:color w:val="auto"/>
          <w:sz w:val="21"/>
          <w:szCs w:val="21"/>
          <w:highlight w:val="none"/>
        </w:rPr>
        <w:outlineLvl w:val="1"/>
      </w:pPr>
      <w:r>
        <w:rPr>
          <w:rFonts w:hint="eastAsia" w:ascii="宋体" w:hAnsi="宋体" w:eastAsia="宋体" w:cs="宋体"/>
          <w:b/>
          <w:color w:val="auto"/>
          <w:sz w:val="21"/>
          <w:szCs w:val="21"/>
          <w:highlight w:val="none"/>
        </w:rPr>
        <w:t xml:space="preserve">附件9、中小企业声明函</w:t>
      </w:r>
      <w:r/>
    </w:p>
    <w:p>
      <w:pPr>
        <w:ind w:firstLine="482"/>
        <w:jc w:val="center"/>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中小企业声明函（货物）</w:t>
      </w:r>
      <w:r/>
    </w:p>
    <w:p>
      <w:pPr>
        <w:pStyle w:val="811"/>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0"/>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1"/>
          <w:szCs w:val="21"/>
          <w:highlight w:val="none"/>
          <w:u w:val="single"/>
        </w:rPr>
        <w:t xml:space="preserve">（单位名称）</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（项目名称）</w:t>
      </w:r>
      <w:r>
        <w:rPr>
          <w:rFonts w:hint="eastAsia" w:ascii="宋体" w:hAnsi="宋体" w:eastAsia="宋体" w:cs="宋体"/>
          <w:color w:val="auto"/>
          <w:sz w:val="21"/>
          <w:szCs w:val="21"/>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w:t>
      </w:r>
      <w:r>
        <w:rPr>
          <w:rFonts w:hint="eastAsia" w:ascii="宋体" w:hAnsi="宋体" w:eastAsia="宋体" w:cs="宋体"/>
          <w:color w:val="auto"/>
          <w:sz w:val="21"/>
          <w:szCs w:val="21"/>
          <w:highlight w:val="none"/>
          <w:u w:val="single"/>
        </w:rPr>
        <w:t xml:space="preserve">（标的名称）</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（采购文件中明确的所属行业）行业</w:t>
      </w:r>
      <w:r>
        <w:rPr>
          <w:rFonts w:hint="eastAsia" w:ascii="宋体" w:hAnsi="宋体" w:eastAsia="宋体" w:cs="宋体"/>
          <w:color w:val="auto"/>
          <w:sz w:val="21"/>
          <w:szCs w:val="21"/>
          <w:highlight w:val="none"/>
        </w:rPr>
        <w:t xml:space="preserve">；制造商为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，从业人员人，营业收入为万元，资产总额为万元，属于</w:t>
      </w:r>
      <w:r>
        <w:rPr>
          <w:rFonts w:hint="eastAsia" w:ascii="宋体" w:hAnsi="宋体" w:eastAsia="宋体" w:cs="宋体"/>
          <w:color w:val="auto"/>
          <w:sz w:val="21"/>
          <w:szCs w:val="21"/>
          <w:highlight w:val="none"/>
          <w:u w:val="single"/>
        </w:rPr>
        <w:t xml:space="preserve">（中型企业、小型企业、微型企业）</w:t>
      </w:r>
      <w:r>
        <w:rPr>
          <w:rFonts w:hint="eastAsia" w:ascii="宋体" w:hAnsi="宋体" w:eastAsia="宋体" w:cs="宋体"/>
          <w:color w:val="auto"/>
          <w:sz w:val="21"/>
          <w:szCs w:val="21"/>
          <w:highlight w:val="none"/>
        </w:rPr>
        <w:t xml:space="preserve">；</w:t>
      </w:r>
      <w:r/>
    </w:p>
    <w:p>
      <w:pPr>
        <w:ind w:firstLine="420"/>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w:t>
      </w:r>
      <w:r>
        <w:rPr>
          <w:rFonts w:hint="eastAsia" w:ascii="宋体" w:hAnsi="宋体" w:eastAsia="宋体" w:cs="宋体"/>
          <w:color w:val="auto"/>
          <w:sz w:val="21"/>
          <w:szCs w:val="21"/>
          <w:highlight w:val="none"/>
          <w:u w:val="single"/>
        </w:rPr>
        <w:t xml:space="preserve">（标的名称）</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（采购文件中明确的所属行业）行业</w:t>
      </w:r>
      <w:r>
        <w:rPr>
          <w:rFonts w:hint="eastAsia" w:ascii="宋体" w:hAnsi="宋体" w:eastAsia="宋体" w:cs="宋体"/>
          <w:color w:val="auto"/>
          <w:sz w:val="21"/>
          <w:szCs w:val="21"/>
          <w:highlight w:val="none"/>
        </w:rPr>
        <w:t xml:space="preserve">；制造商为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，从业人员人，营业收入为万元，资产总额为万元，属于</w:t>
      </w:r>
      <w:r>
        <w:rPr>
          <w:rFonts w:hint="eastAsia" w:ascii="宋体" w:hAnsi="宋体" w:eastAsia="宋体" w:cs="宋体"/>
          <w:color w:val="auto"/>
          <w:sz w:val="21"/>
          <w:szCs w:val="21"/>
          <w:highlight w:val="none"/>
          <w:u w:val="single"/>
        </w:rPr>
        <w:t xml:space="preserve">（中型企业、小型企业、微型企业）</w:t>
      </w:r>
      <w:r>
        <w:rPr>
          <w:rFonts w:hint="eastAsia" w:ascii="宋体" w:hAnsi="宋体" w:eastAsia="宋体" w:cs="宋体"/>
          <w:color w:val="auto"/>
          <w:sz w:val="21"/>
          <w:szCs w:val="21"/>
          <w:highlight w:val="none"/>
        </w:rPr>
        <w:t xml:space="preserve">；</w:t>
      </w:r>
      <w:r/>
    </w:p>
    <w:p>
      <w:pPr>
        <w:ind w:firstLine="420"/>
        <w:jc w:val="left"/>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20"/>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ind w:firstLine="420"/>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本企业对上述声明内容的真实性负责。如有虚假，将依法承担相应责任。</w:t>
      </w:r>
      <w:r/>
    </w:p>
    <w:p>
      <w:pPr>
        <w:pStyle w:val="1002"/>
        <w:spacing w:line="360" w:lineRule="auto"/>
        <w:widowControl/>
        <w:rPr>
          <w:rFonts w:hAnsi="宋体" w:eastAsia="宋体" w:cs="宋体"/>
          <w:color w:val="auto"/>
          <w:sz w:val="24"/>
          <w:highlight w:val="none"/>
        </w:rPr>
      </w:pPr>
      <w:r>
        <w:rPr>
          <w:rFonts w:hAnsi="宋体" w:eastAsia="宋体" w:cs="宋体"/>
          <w:color w:val="auto"/>
          <w:sz w:val="24"/>
          <w:highlight w:val="none"/>
        </w:rPr>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企业名称（盖章）：</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日期：</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pStyle w:val="811"/>
        <w:ind w:left="0"/>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811"/>
        <w:spacing w:line="360" w:lineRule="auto"/>
        <w:rPr>
          <w:color w:val="auto"/>
          <w:highlight w:val="none"/>
        </w:rPr>
      </w:pPr>
      <w:r>
        <w:rPr>
          <w:rFonts w:hint="eastAsia" w:ascii="宋体" w:hAnsi="宋体" w:eastAsia="宋体" w:cs="宋体"/>
          <w:color w:val="auto"/>
          <w:sz w:val="18"/>
          <w:szCs w:val="18"/>
          <w:highlight w:val="none"/>
        </w:rPr>
        <w:t xml:space="preserve">注：从业人员、营业收入、资产总额填报上一年度数据，无上一年度数据的新成立企业可不填报</w:t>
      </w:r>
      <w:r>
        <w:rPr>
          <w:rFonts w:hint="eastAsia" w:hAnsi="宋体" w:eastAsia="宋体"/>
          <w:color w:val="auto"/>
          <w:sz w:val="18"/>
          <w:szCs w:val="18"/>
          <w:highlight w:val="none"/>
        </w:rPr>
        <w:t xml:space="preserve">。</w:t>
      </w:r>
      <w:r/>
    </w:p>
    <w:p>
      <w:pPr>
        <w:jc w:val="left"/>
        <w:spacing w:line="360" w:lineRule="auto"/>
        <w:widowControl/>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jc w:val="left"/>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left"/>
        <w:spacing w:line="360" w:lineRule="auto"/>
        <w:widowControl/>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附件10、残疾人福利性单位声明函</w:t>
      </w:r>
      <w:r/>
    </w:p>
    <w:p>
      <w:pPr>
        <w:jc w:val="left"/>
        <w:spacing w:line="360" w:lineRule="auto"/>
        <w:widowControl/>
        <w:rPr>
          <w:rFonts w:ascii="宋体" w:hAnsi="宋体" w:eastAsia="宋体" w:cs="宋体"/>
          <w:b/>
          <w:color w:val="auto"/>
          <w:szCs w:val="21"/>
          <w:highlight w:val="none"/>
        </w:rPr>
      </w:pPr>
      <w:r>
        <w:rPr>
          <w:rFonts w:ascii="宋体" w:hAnsi="宋体" w:eastAsia="宋体" w:cs="宋体"/>
          <w:b/>
          <w:color w:val="auto"/>
          <w:szCs w:val="21"/>
          <w:highlight w:val="none"/>
        </w:rPr>
      </w:r>
      <w:r/>
    </w:p>
    <w:p>
      <w:pPr>
        <w:pStyle w:val="994"/>
        <w:ind w:firstLine="0"/>
        <w:jc w:val="center"/>
        <w:rPr>
          <w:rFonts w:hAnsi="宋体" w:cs="宋体"/>
          <w:color w:val="auto"/>
          <w:sz w:val="21"/>
          <w:szCs w:val="21"/>
          <w:highlight w:val="none"/>
        </w:rPr>
      </w:pPr>
      <w:r>
        <w:rPr>
          <w:rFonts w:hint="eastAsia" w:hAnsi="宋体" w:cs="宋体"/>
          <w:b/>
          <w:color w:val="auto"/>
          <w:sz w:val="21"/>
          <w:szCs w:val="21"/>
          <w:highlight w:val="none"/>
        </w:rPr>
        <w:t xml:space="preserve">残疾人福利性单位声明函</w:t>
      </w:r>
      <w:r/>
    </w:p>
    <w:p>
      <w:pPr>
        <w:pStyle w:val="836"/>
        <w:ind w:firstLine="480"/>
        <w:spacing w:beforeAutospacing="0" w:afterAutospacing="0" w:line="360" w:lineRule="auto"/>
        <w:rPr>
          <w:rFonts w:cs="宋体"/>
          <w:color w:val="auto"/>
          <w:highlight w:val="none"/>
        </w:rPr>
      </w:pPr>
      <w:r>
        <w:rPr>
          <w:rFonts w:cs="宋体"/>
          <w:color w:val="auto"/>
          <w:highlight w:val="none"/>
        </w:rPr>
      </w:r>
      <w:r/>
    </w:p>
    <w:p>
      <w:pPr>
        <w:pStyle w:val="836"/>
        <w:ind w:firstLine="420"/>
        <w:spacing w:beforeAutospacing="0" w:afterAutospacing="0" w:line="360" w:lineRule="auto"/>
        <w:rPr>
          <w:rFonts w:cs="宋体"/>
          <w:color w:val="auto"/>
          <w:sz w:val="21"/>
          <w:szCs w:val="21"/>
          <w:highlight w:val="none"/>
        </w:rPr>
      </w:pPr>
      <w:r>
        <w:rPr>
          <w:rFonts w:hint="eastAsia" w:cs="宋体"/>
          <w:color w:val="auto"/>
          <w:sz w:val="21"/>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36"/>
        <w:ind w:firstLine="420"/>
        <w:spacing w:beforeAutospacing="0" w:afterAutospacing="0" w:line="360" w:lineRule="auto"/>
        <w:rPr>
          <w:rFonts w:cs="宋体"/>
          <w:color w:val="auto"/>
          <w:sz w:val="21"/>
          <w:szCs w:val="21"/>
          <w:highlight w:val="none"/>
        </w:rPr>
      </w:pPr>
      <w:r>
        <w:rPr>
          <w:rFonts w:hint="eastAsia" w:cs="宋体"/>
          <w:color w:val="auto"/>
          <w:sz w:val="21"/>
          <w:szCs w:val="21"/>
          <w:highlight w:val="none"/>
        </w:rPr>
        <w:t xml:space="preserve">本单位对上述声明的真实性负责。如有虚假，将依法承担相应责任。</w:t>
      </w:r>
      <w:r/>
    </w:p>
    <w:p>
      <w:pPr>
        <w:pStyle w:val="836"/>
        <w:ind w:firstLine="480"/>
        <w:spacing w:beforeAutospacing="0" w:afterAutospacing="0" w:line="360" w:lineRule="auto"/>
        <w:rPr>
          <w:rFonts w:cs="宋体"/>
          <w:color w:val="auto"/>
          <w:highlight w:val="none"/>
        </w:rPr>
      </w:pPr>
      <w:r>
        <w:rPr>
          <w:rFonts w:cs="宋体"/>
          <w:color w:val="auto"/>
          <w:highlight w:val="none"/>
        </w:rPr>
      </w:r>
      <w:r/>
    </w:p>
    <w:p>
      <w:pPr>
        <w:pStyle w:val="836"/>
        <w:ind w:firstLine="480"/>
        <w:spacing w:beforeAutospacing="0" w:afterAutospacing="0" w:line="360" w:lineRule="auto"/>
        <w:rPr>
          <w:rFonts w:cs="宋体"/>
          <w:color w:val="auto"/>
          <w:highlight w:val="none"/>
        </w:rPr>
      </w:pPr>
      <w:r>
        <w:rPr>
          <w:rFonts w:cs="宋体"/>
          <w:color w:val="auto"/>
          <w:highlight w:val="none"/>
        </w:rPr>
      </w:r>
      <w:r/>
    </w:p>
    <w:p>
      <w:pPr>
        <w:pStyle w:val="836"/>
        <w:ind w:firstLine="480"/>
        <w:spacing w:beforeAutospacing="0" w:afterAutospacing="0" w:line="360" w:lineRule="auto"/>
        <w:rPr>
          <w:rFonts w:cs="宋体"/>
          <w:color w:val="auto"/>
          <w:highlight w:val="none"/>
        </w:rPr>
      </w:pPr>
      <w:r>
        <w:rPr>
          <w:rFonts w:hint="eastAsia" w:cs="宋体"/>
          <w:color w:val="auto"/>
          <w:highlight w:val="none"/>
        </w:rPr>
        <w:t xml:space="preserve">企业名称（盖章）：</w:t>
      </w:r>
      <w:r/>
    </w:p>
    <w:p>
      <w:pPr>
        <w:pStyle w:val="836"/>
        <w:ind w:firstLine="480"/>
        <w:spacing w:beforeAutospacing="0" w:afterAutospacing="0" w:line="360" w:lineRule="auto"/>
        <w:rPr>
          <w:rFonts w:cs="宋体"/>
          <w:color w:val="auto"/>
          <w:highlight w:val="none"/>
        </w:rPr>
      </w:pPr>
      <w:r>
        <w:rPr>
          <w:rFonts w:hint="eastAsia" w:cs="宋体"/>
          <w:color w:val="auto"/>
          <w:highlight w:val="none"/>
        </w:rPr>
        <w:t xml:space="preserve">日期：</w:t>
      </w:r>
      <w:r/>
    </w:p>
    <w:p>
      <w:pPr>
        <w:spacing w:line="360" w:lineRule="auto"/>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994"/>
        <w:ind w:firstLine="422"/>
        <w:rPr>
          <w:rFonts w:hAnsi="宋体" w:cs="宋体"/>
          <w:b/>
          <w:color w:val="auto"/>
          <w:sz w:val="21"/>
          <w:szCs w:val="21"/>
          <w:highlight w:val="none"/>
        </w:rPr>
      </w:pPr>
      <w:r>
        <w:rPr>
          <w:rFonts w:hAnsi="宋体" w:cs="宋体"/>
          <w:b/>
          <w:color w:val="auto"/>
          <w:sz w:val="21"/>
          <w:szCs w:val="21"/>
          <w:highlight w:val="none"/>
        </w:rPr>
      </w:r>
      <w:r/>
    </w:p>
    <w:p>
      <w:pPr>
        <w:spacing w:line="360" w:lineRule="auto"/>
        <w:rPr>
          <w:rFonts w:hint="eastAsia"/>
          <w:color w:val="auto"/>
          <w:highlight w:val="none"/>
        </w:rPr>
      </w:pPr>
      <w:r>
        <w:rPr>
          <w:rFonts w:hint="eastAsia"/>
          <w:color w:val="auto"/>
          <w:highlight w:val="none"/>
        </w:rPr>
      </w:r>
      <w:r/>
    </w:p>
    <w:p>
      <w:pPr>
        <w:pStyle w:val="801"/>
        <w:rPr>
          <w:rFonts w:hint="eastAsia"/>
          <w:color w:val="auto"/>
          <w:highlight w:val="none"/>
          <w:lang w:val="en-US"/>
        </w:rPr>
      </w:pPr>
      <w:r>
        <w:rPr>
          <w:rFonts w:hint="eastAsia"/>
          <w:color w:val="auto"/>
          <w:highlight w:val="none"/>
          <w:lang w:val="en-US"/>
        </w:rPr>
      </w:r>
      <w:r/>
    </w:p>
    <w:p>
      <w:pPr>
        <w:pStyle w:val="801"/>
        <w:rPr>
          <w:rFonts w:hint="eastAsia"/>
          <w:color w:val="auto"/>
          <w:highlight w:val="none"/>
          <w:lang w:val="en-US"/>
        </w:rPr>
      </w:pPr>
      <w:r>
        <w:rPr>
          <w:rFonts w:hint="eastAsia"/>
          <w:color w:val="auto"/>
          <w:highlight w:val="none"/>
          <w:lang w:val="en-US"/>
        </w:rPr>
      </w:r>
      <w:r/>
    </w:p>
    <w:p>
      <w:pPr>
        <w:pStyle w:val="801"/>
        <w:rPr>
          <w:rFonts w:hint="eastAsia"/>
          <w:color w:val="auto"/>
          <w:highlight w:val="none"/>
          <w:lang w:val="en-US"/>
        </w:rPr>
      </w:pPr>
      <w:r>
        <w:rPr>
          <w:rFonts w:hint="eastAsia"/>
          <w:color w:val="auto"/>
          <w:highlight w:val="none"/>
          <w:lang w:val="en-US"/>
        </w:rPr>
      </w:r>
      <w:r/>
    </w:p>
    <w:p>
      <w:pPr>
        <w:pStyle w:val="801"/>
        <w:rPr>
          <w:rFonts w:hint="eastAsia"/>
          <w:color w:val="auto"/>
          <w:highlight w:val="none"/>
          <w:lang w:val="en-US"/>
        </w:rPr>
      </w:pPr>
      <w:r>
        <w:rPr>
          <w:rFonts w:hint="eastAsia"/>
          <w:color w:val="auto"/>
          <w:highlight w:val="none"/>
          <w:lang w:val="en-US"/>
        </w:rPr>
      </w:r>
      <w:r/>
    </w:p>
    <w:p>
      <w:pPr>
        <w:pStyle w:val="801"/>
        <w:rPr>
          <w:rFonts w:hint="eastAsia"/>
          <w:color w:val="auto"/>
          <w:highlight w:val="none"/>
          <w:lang w:val="en-US"/>
        </w:rPr>
      </w:pPr>
      <w:r>
        <w:rPr>
          <w:rFonts w:hint="eastAsia"/>
          <w:color w:val="auto"/>
          <w:highlight w:val="none"/>
          <w:lang w:val="en-US"/>
        </w:rPr>
      </w:r>
      <w:r/>
    </w:p>
    <w:p>
      <w:pPr>
        <w:pStyle w:val="801"/>
        <w:rPr>
          <w:rFonts w:hint="eastAsia"/>
          <w:color w:val="auto"/>
          <w:highlight w:val="none"/>
          <w:lang w:val="en-US"/>
        </w:rPr>
      </w:pPr>
      <w:r>
        <w:rPr>
          <w:rFonts w:hint="eastAsia"/>
          <w:color w:val="auto"/>
          <w:highlight w:val="none"/>
          <w:lang w:val="en-US"/>
        </w:rPr>
      </w:r>
      <w:r/>
    </w:p>
    <w:p>
      <w:pPr>
        <w:pStyle w:val="801"/>
        <w:rPr>
          <w:rFonts w:hint="eastAsia"/>
          <w:color w:val="auto"/>
          <w:highlight w:val="none"/>
          <w:lang w:val="en-US"/>
        </w:rPr>
      </w:pPr>
      <w:r>
        <w:rPr>
          <w:rFonts w:hint="eastAsia"/>
          <w:color w:val="auto"/>
          <w:highlight w:val="none"/>
          <w:lang w:val="en-US"/>
        </w:rPr>
      </w:r>
      <w:r/>
    </w:p>
    <w:p>
      <w:pPr>
        <w:pStyle w:val="801"/>
        <w:rPr>
          <w:color w:val="auto"/>
          <w:highlight w:val="none"/>
          <w:lang w:val="en-US"/>
        </w:rPr>
      </w:pPr>
      <w:r>
        <w:rPr>
          <w:color w:val="auto"/>
          <w:highlight w:val="none"/>
          <w:lang w:val="en-US"/>
        </w:rPr>
      </w:r>
      <w:r/>
    </w:p>
    <w:p>
      <w:pPr>
        <w:pStyle w:val="790"/>
        <w:jc w:val="center"/>
        <w:spacing w:line="360" w:lineRule="auto"/>
        <w:rPr>
          <w:rFonts w:ascii="宋体" w:hAnsi="宋体" w:eastAsia="宋体"/>
          <w:color w:val="auto"/>
          <w:sz w:val="36"/>
          <w:szCs w:val="36"/>
          <w:highlight w:val="none"/>
        </w:rPr>
      </w:pPr>
      <w:r/>
      <w:bookmarkStart w:id="8" w:name="_Toc13642115"/>
      <w:r/>
      <w:bookmarkStart w:id="9" w:name="_Toc325017297"/>
      <w:r>
        <w:rPr>
          <w:rFonts w:hint="eastAsia" w:ascii="宋体" w:hAnsi="宋体" w:eastAsia="宋体"/>
          <w:color w:val="auto"/>
          <w:sz w:val="36"/>
          <w:szCs w:val="36"/>
          <w:highlight w:val="none"/>
        </w:rPr>
        <w:t xml:space="preserve">第四章招标书</w:t>
      </w:r>
      <w:bookmarkStart w:id="10" w:name="_Toc13543212"/>
      <w:r/>
      <w:bookmarkEnd w:id="10"/>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苏州铭坤招投标咨询服务有限公司受苏州市金阊实验中学校的委托，就其所需智慧安防达标升级项目进行国内公开招标。欢迎有资格的供应商前来参加投标。</w:t>
      </w:r>
      <w:r/>
    </w:p>
    <w:p>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一、招标编号：JSZC-320508-SZMK-G2024-0006号</w:t>
      </w:r>
      <w:bookmarkEnd w:id="8"/>
      <w:r/>
      <w:bookmarkEnd w:id="9"/>
      <w:r/>
      <w:r/>
    </w:p>
    <w:p>
      <w:pPr>
        <w:spacing w:line="360" w:lineRule="auto"/>
        <w:rPr>
          <w:rFonts w:ascii="宋体" w:hAnsi="宋体" w:eastAsia="宋体"/>
          <w:color w:val="auto"/>
          <w:sz w:val="21"/>
          <w:szCs w:val="21"/>
          <w:highlight w:val="none"/>
        </w:rPr>
      </w:pPr>
      <w:r/>
      <w:bookmarkStart w:id="11" w:name="_Toc325017298"/>
      <w:r/>
      <w:bookmarkStart w:id="12" w:name="_Toc13642116"/>
      <w:r>
        <w:rPr>
          <w:rFonts w:hint="eastAsia" w:ascii="宋体" w:hAnsi="宋体" w:eastAsia="宋体"/>
          <w:color w:val="auto"/>
          <w:sz w:val="21"/>
          <w:szCs w:val="21"/>
          <w:highlight w:val="none"/>
        </w:rPr>
        <w:t xml:space="preserve">二、项目概述及要求：</w:t>
      </w:r>
      <w:r/>
    </w:p>
    <w:p>
      <w:pPr>
        <w:pStyle w:val="801"/>
        <w:ind w:firstLine="420"/>
        <w:spacing w:line="360" w:lineRule="auto"/>
        <w:rPr>
          <w:rFonts w:ascii="宋体" w:hAnsi="宋体" w:eastAsia="宋体" w:cs="宋体"/>
          <w:bCs/>
          <w:color w:val="auto"/>
          <w:sz w:val="21"/>
          <w:szCs w:val="21"/>
          <w:highlight w:val="none"/>
          <w:shd w:val="clear" w:color="auto" w:fill="ffffff"/>
        </w:rPr>
      </w:pPr>
      <w:r>
        <w:rPr>
          <w:rFonts w:hint="eastAsia" w:ascii="宋体" w:hAnsi="宋体" w:eastAsia="宋体"/>
          <w:color w:val="auto"/>
          <w:sz w:val="21"/>
          <w:szCs w:val="21"/>
          <w:highlight w:val="none"/>
        </w:rPr>
        <w:t xml:space="preserve">项目名称：</w:t>
      </w:r>
      <w:r>
        <w:rPr>
          <w:rFonts w:hint="eastAsia" w:ascii="宋体" w:hAnsi="宋体" w:eastAsia="宋体" w:cs="宋体"/>
          <w:bCs/>
          <w:color w:val="auto"/>
          <w:sz w:val="21"/>
          <w:szCs w:val="21"/>
          <w:highlight w:val="none"/>
          <w:shd w:val="clear" w:color="auto" w:fill="ffffff"/>
        </w:rPr>
        <w:t xml:space="preserve">智慧安防达标升级项目。</w:t>
      </w:r>
      <w:r/>
    </w:p>
    <w:p>
      <w:pPr>
        <w:pStyle w:val="801"/>
        <w:ind w:firstLine="422"/>
        <w:spacing w:line="360" w:lineRule="auto"/>
        <w:rPr>
          <w:rFonts w:ascii="宋体" w:hAnsi="宋体" w:eastAsia="宋体" w:cs="宋体"/>
          <w:bCs/>
          <w:color w:val="auto"/>
          <w:sz w:val="21"/>
          <w:szCs w:val="21"/>
          <w:highlight w:val="none"/>
          <w:shd w:val="clear" w:color="auto" w:fill="ffffff"/>
          <w:lang w:val="en-US"/>
        </w:rPr>
      </w:pPr>
      <w:r>
        <w:rPr>
          <w:rFonts w:hint="eastAsia" w:ascii="宋体" w:hAnsi="宋体" w:eastAsia="宋体" w:cs="宋体"/>
          <w:bCs/>
          <w:color w:val="auto"/>
          <w:sz w:val="21"/>
          <w:szCs w:val="21"/>
          <w:highlight w:val="none"/>
          <w:shd w:val="clear" w:color="auto" w:fill="ffffff"/>
        </w:rPr>
        <w:t xml:space="preserve">项目核心产品：</w:t>
      </w:r>
      <w:r>
        <w:rPr>
          <w:rFonts w:hint="eastAsia" w:ascii="宋体" w:hAnsi="宋体" w:eastAsia="宋体" w:cs="宋体"/>
          <w:color w:val="auto"/>
          <w:sz w:val="21"/>
          <w:szCs w:val="21"/>
          <w:highlight w:val="none"/>
        </w:rPr>
        <w:t xml:space="preserve">图像压缩编码器</w:t>
      </w:r>
      <w:r/>
    </w:p>
    <w:p>
      <w:pPr>
        <w:pStyle w:val="801"/>
        <w:numPr>
          <w:ilvl w:val="0"/>
          <w:numId w:val="3"/>
        </w:numPr>
        <w:ind w:firstLine="422"/>
        <w:spacing w:line="360" w:lineRule="auto"/>
        <w:rPr>
          <w:rFonts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 xml:space="preserve">采购清单</w:t>
      </w:r>
      <w:r/>
    </w:p>
    <w:tbl>
      <w:tblPr>
        <w:tblStyle w:val="848"/>
        <w:tblW w:w="82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4"/>
        <w:gridCol w:w="1072"/>
        <w:gridCol w:w="5208"/>
        <w:gridCol w:w="623"/>
        <w:gridCol w:w="769"/>
      </w:tblGrid>
      <w:tr>
        <w:trPr>
          <w:trHeight w:val="20"/>
        </w:trPr>
        <w:tc>
          <w:tcPr>
            <w:tcW w:w="624" w:type="dxa"/>
            <w:textDirection w:val="lrTb"/>
            <w:noWrap w:val="false"/>
          </w:tcPr>
          <w:p>
            <w:pPr>
              <w:pStyle w:val="1159"/>
              <w:rPr>
                <w:b/>
                <w:bCs/>
                <w:color w:val="auto"/>
                <w:sz w:val="21"/>
                <w:szCs w:val="21"/>
                <w:highlight w:val="none"/>
              </w:rPr>
            </w:pPr>
            <w:r>
              <w:rPr>
                <w:rFonts w:hint="eastAsia"/>
                <w:b/>
                <w:bCs/>
                <w:color w:val="auto"/>
                <w:sz w:val="21"/>
                <w:szCs w:val="21"/>
                <w:highlight w:val="none"/>
              </w:rPr>
              <w:t xml:space="preserve">序号</w:t>
            </w:r>
            <w:r/>
          </w:p>
        </w:tc>
        <w:tc>
          <w:tcPr>
            <w:tcW w:w="1072" w:type="dxa"/>
            <w:textDirection w:val="lrTb"/>
            <w:noWrap w:val="false"/>
          </w:tcPr>
          <w:p>
            <w:pPr>
              <w:pStyle w:val="1159"/>
              <w:rPr>
                <w:b/>
                <w:bCs/>
                <w:color w:val="auto"/>
                <w:sz w:val="21"/>
                <w:szCs w:val="21"/>
                <w:highlight w:val="none"/>
              </w:rPr>
            </w:pPr>
            <w:r>
              <w:rPr>
                <w:rFonts w:hint="eastAsia"/>
                <w:b/>
                <w:bCs/>
                <w:color w:val="auto"/>
                <w:sz w:val="21"/>
                <w:szCs w:val="21"/>
                <w:highlight w:val="none"/>
              </w:rPr>
              <w:t xml:space="preserve">名称</w:t>
            </w:r>
            <w:r/>
          </w:p>
        </w:tc>
        <w:tc>
          <w:tcPr>
            <w:tcW w:w="5208" w:type="dxa"/>
            <w:textDirection w:val="lrTb"/>
            <w:noWrap w:val="false"/>
          </w:tcPr>
          <w:p>
            <w:pPr>
              <w:pStyle w:val="1159"/>
              <w:rPr>
                <w:b/>
                <w:bCs/>
                <w:color w:val="auto"/>
                <w:sz w:val="21"/>
                <w:szCs w:val="21"/>
                <w:highlight w:val="none"/>
              </w:rPr>
            </w:pPr>
            <w:r>
              <w:rPr>
                <w:rFonts w:hint="eastAsia"/>
                <w:b/>
                <w:bCs/>
                <w:color w:val="auto"/>
                <w:sz w:val="21"/>
                <w:szCs w:val="21"/>
                <w:highlight w:val="none"/>
              </w:rPr>
              <w:t xml:space="preserve">性能</w:t>
            </w:r>
            <w:r/>
          </w:p>
        </w:tc>
        <w:tc>
          <w:tcPr>
            <w:tcW w:w="623" w:type="dxa"/>
            <w:textDirection w:val="lrTb"/>
            <w:noWrap w:val="false"/>
          </w:tcPr>
          <w:p>
            <w:pPr>
              <w:pStyle w:val="1159"/>
              <w:rPr>
                <w:b/>
                <w:bCs/>
                <w:color w:val="auto"/>
                <w:sz w:val="21"/>
                <w:szCs w:val="21"/>
                <w:highlight w:val="none"/>
              </w:rPr>
            </w:pPr>
            <w:r>
              <w:rPr>
                <w:rFonts w:hint="eastAsia"/>
                <w:b/>
                <w:bCs/>
                <w:color w:val="auto"/>
                <w:sz w:val="21"/>
                <w:szCs w:val="21"/>
                <w:highlight w:val="none"/>
              </w:rPr>
              <w:t xml:space="preserve">单位</w:t>
            </w:r>
            <w:r/>
          </w:p>
        </w:tc>
        <w:tc>
          <w:tcPr>
            <w:tcW w:w="769" w:type="dxa"/>
            <w:textDirection w:val="lrTb"/>
            <w:noWrap w:val="false"/>
          </w:tcPr>
          <w:p>
            <w:pPr>
              <w:pStyle w:val="1159"/>
              <w:rPr>
                <w:b/>
                <w:bCs/>
                <w:color w:val="auto"/>
                <w:sz w:val="21"/>
                <w:szCs w:val="21"/>
                <w:highlight w:val="none"/>
              </w:rPr>
            </w:pPr>
            <w:r>
              <w:rPr>
                <w:rFonts w:hint="eastAsia"/>
                <w:b/>
                <w:bCs/>
                <w:color w:val="auto"/>
                <w:sz w:val="21"/>
                <w:szCs w:val="21"/>
                <w:highlight w:val="none"/>
              </w:rPr>
              <w:t xml:space="preserve">数量</w:t>
            </w:r>
            <w:r/>
          </w:p>
        </w:tc>
      </w:tr>
      <w:tr>
        <w:trPr>
          <w:trHeight w:val="20"/>
        </w:trPr>
        <w:tc>
          <w:tcPr>
            <w:tcW w:w="624" w:type="dxa"/>
            <w:textDirection w:val="lrTb"/>
            <w:noWrap w:val="false"/>
          </w:tcPr>
          <w:p>
            <w:pPr>
              <w:pStyle w:val="1159"/>
              <w:rPr>
                <w:color w:val="auto"/>
                <w:sz w:val="21"/>
                <w:szCs w:val="21"/>
                <w:highlight w:val="none"/>
              </w:rPr>
            </w:pPr>
            <w:r>
              <w:rPr>
                <w:rFonts w:hint="eastAsia"/>
                <w:color w:val="auto"/>
                <w:sz w:val="21"/>
                <w:szCs w:val="21"/>
                <w:highlight w:val="none"/>
              </w:rPr>
              <w:t xml:space="preserve">1</w:t>
            </w:r>
            <w:r/>
          </w:p>
        </w:tc>
        <w:tc>
          <w:tcPr>
            <w:tcW w:w="1072" w:type="dxa"/>
            <w:textDirection w:val="lrTb"/>
            <w:noWrap w:val="false"/>
          </w:tcPr>
          <w:p>
            <w:pPr>
              <w:pStyle w:val="1159"/>
              <w:rPr>
                <w:color w:val="auto"/>
                <w:sz w:val="21"/>
                <w:szCs w:val="21"/>
                <w:highlight w:val="none"/>
              </w:rPr>
            </w:pPr>
            <w:r>
              <w:rPr>
                <w:rFonts w:hint="eastAsia"/>
                <w:color w:val="auto"/>
                <w:sz w:val="21"/>
                <w:szCs w:val="21"/>
                <w:highlight w:val="none"/>
              </w:rPr>
              <w:t xml:space="preserve">人脸抓拍摄像机</w:t>
            </w:r>
            <w:r/>
          </w:p>
        </w:tc>
        <w:tc>
          <w:tcPr>
            <w:tcW w:w="5208" w:type="dxa"/>
            <w:textDirection w:val="lrTb"/>
            <w:noWrap w:val="false"/>
          </w:tcPr>
          <w:p>
            <w:pPr>
              <w:pStyle w:val="1159"/>
              <w:rPr>
                <w:color w:val="auto"/>
                <w:sz w:val="21"/>
                <w:szCs w:val="21"/>
                <w:highlight w:val="none"/>
              </w:rPr>
            </w:pPr>
            <w:r>
              <w:rPr>
                <w:rFonts w:hint="eastAsia"/>
                <w:color w:val="auto"/>
                <w:sz w:val="21"/>
                <w:szCs w:val="21"/>
                <w:highlight w:val="none"/>
              </w:rPr>
              <w:t xml:space="preserve">内置GPU芯片，支持深度学习算法，有效提升检测准确率</w:t>
            </w:r>
            <w:r>
              <w:rPr>
                <w:rFonts w:hint="eastAsia"/>
                <w:color w:val="auto"/>
                <w:sz w:val="21"/>
                <w:szCs w:val="21"/>
                <w:highlight w:val="none"/>
              </w:rPr>
              <w:br/>
            </w:r>
            <w:r>
              <w:rPr>
                <w:rFonts w:hint="eastAsia"/>
                <w:color w:val="auto"/>
                <w:sz w:val="21"/>
                <w:szCs w:val="21"/>
                <w:highlight w:val="none"/>
              </w:rPr>
              <w:t xml:space="preserve">支持四种智能资源切换：通用行为分析、人脸检测、人数统计、视频结构化</w:t>
            </w:r>
            <w:r>
              <w:rPr>
                <w:rFonts w:hint="eastAsia"/>
                <w:color w:val="auto"/>
                <w:sz w:val="21"/>
                <w:szCs w:val="21"/>
                <w:highlight w:val="none"/>
              </w:rPr>
              <w:br/>
            </w:r>
            <w:r>
              <w:rPr>
                <w:rFonts w:hint="eastAsia"/>
                <w:color w:val="auto"/>
                <w:sz w:val="21"/>
                <w:szCs w:val="21"/>
                <w:highlight w:val="none"/>
              </w:rPr>
              <w:t xml:space="preserve">支持视频结构化：支持机动车、非机动车、人脸、人员等目标的抓拍和属性识别</w:t>
            </w:r>
            <w:r>
              <w:rPr>
                <w:rFonts w:hint="eastAsia"/>
                <w:color w:val="auto"/>
                <w:sz w:val="21"/>
                <w:szCs w:val="21"/>
                <w:highlight w:val="none"/>
              </w:rPr>
              <w:br/>
            </w:r>
            <w:r>
              <w:rPr>
                <w:rFonts w:hint="eastAsia"/>
                <w:color w:val="auto"/>
                <w:sz w:val="21"/>
                <w:szCs w:val="21"/>
                <w:highlight w:val="none"/>
              </w:rPr>
              <w:t xml:space="preserve">人脸检测；支持同时检测32张人脸，对运动人脸进行检测、跟踪、抓拍、优选，输出最优的人脸抓图；支持人脸增强，人脸曝光，人脸属性提取</w:t>
            </w:r>
            <w:r>
              <w:rPr>
                <w:rFonts w:hint="eastAsia"/>
                <w:color w:val="auto"/>
                <w:sz w:val="21"/>
                <w:szCs w:val="21"/>
                <w:highlight w:val="none"/>
              </w:rPr>
              <w:br/>
            </w:r>
            <w:r>
              <w:rPr>
                <w:rFonts w:hint="eastAsia"/>
                <w:color w:val="auto"/>
                <w:sz w:val="21"/>
                <w:szCs w:val="21"/>
                <w:highlight w:val="none"/>
              </w:rPr>
              <w:t xml:space="preserve">人数统计：支持排队管理；支持区域内人数统计，进入/离开人数统计，并可生成人数统计日/月/年报表，导出使用（区域内人数统计、排队管理不支持报表）</w:t>
            </w:r>
            <w:r>
              <w:rPr>
                <w:rFonts w:hint="eastAsia"/>
                <w:color w:val="auto"/>
                <w:sz w:val="21"/>
                <w:szCs w:val="21"/>
                <w:highlight w:val="none"/>
              </w:rPr>
              <w:br/>
            </w:r>
            <w:r>
              <w:rPr>
                <w:rFonts w:hint="eastAsia"/>
                <w:color w:val="auto"/>
                <w:sz w:val="21"/>
                <w:szCs w:val="21"/>
                <w:highlight w:val="none"/>
              </w:rPr>
              <w:t xml:space="preserve">支持绊线入侵，区域入侵，快速移动（三项均支持人车分类及精准检测），物品遗留，物品搬移，徘徊检测，人员聚集，停车检测，热度图，人脸检测，人数统计</w:t>
            </w:r>
            <w:r>
              <w:rPr>
                <w:rFonts w:hint="eastAsia"/>
                <w:color w:val="auto"/>
                <w:sz w:val="21"/>
                <w:szCs w:val="21"/>
                <w:highlight w:val="none"/>
              </w:rPr>
              <w:br/>
            </w:r>
            <w:r>
              <w:rPr>
                <w:rFonts w:hint="eastAsia"/>
                <w:color w:val="auto"/>
                <w:sz w:val="21"/>
                <w:szCs w:val="21"/>
                <w:highlight w:val="none"/>
              </w:rPr>
              <w:t xml:space="preserve">采用不低于400万像素1/1.8英寸CMOS图像传感器，超星光超低照度，低照度效果好，图像清晰度高</w:t>
            </w:r>
            <w:r>
              <w:rPr>
                <w:rFonts w:hint="eastAsia"/>
                <w:color w:val="auto"/>
                <w:sz w:val="21"/>
                <w:szCs w:val="21"/>
                <w:highlight w:val="none"/>
              </w:rPr>
              <w:br/>
            </w:r>
            <w:r>
              <w:rPr>
                <w:rFonts w:hint="eastAsia"/>
                <w:color w:val="auto"/>
                <w:sz w:val="21"/>
                <w:szCs w:val="21"/>
                <w:highlight w:val="none"/>
              </w:rPr>
              <w:t xml:space="preserve">可输出400万（2688×1520）@25fps，200万(1920×1080)@50fps</w:t>
            </w:r>
            <w:r>
              <w:rPr>
                <w:rFonts w:hint="eastAsia"/>
                <w:color w:val="auto"/>
                <w:sz w:val="21"/>
                <w:szCs w:val="21"/>
                <w:highlight w:val="none"/>
              </w:rPr>
              <w:br/>
            </w:r>
            <w:r>
              <w:rPr>
                <w:rFonts w:hint="eastAsia"/>
                <w:color w:val="auto"/>
                <w:sz w:val="21"/>
                <w:szCs w:val="21"/>
                <w:highlight w:val="none"/>
              </w:rPr>
              <w:t xml:space="preserve">支持H.265编码，压缩比高，实现超低码流传输。</w:t>
            </w:r>
            <w:r>
              <w:rPr>
                <w:rFonts w:hint="eastAsia"/>
                <w:color w:val="auto"/>
                <w:sz w:val="21"/>
                <w:szCs w:val="21"/>
                <w:highlight w:val="none"/>
              </w:rPr>
              <w:br/>
            </w:r>
            <w:r>
              <w:rPr>
                <w:rFonts w:hint="eastAsia"/>
                <w:color w:val="auto"/>
                <w:sz w:val="21"/>
                <w:szCs w:val="21"/>
                <w:highlight w:val="none"/>
              </w:rPr>
              <w:t xml:space="preserve">内置高效混光灯，最大监控距离120米</w:t>
            </w:r>
            <w:r>
              <w:rPr>
                <w:rFonts w:hint="eastAsia"/>
                <w:color w:val="auto"/>
                <w:sz w:val="21"/>
                <w:szCs w:val="21"/>
                <w:highlight w:val="none"/>
              </w:rPr>
              <w:br/>
            </w:r>
            <w:r>
              <w:rPr>
                <w:rFonts w:hint="eastAsia"/>
                <w:color w:val="auto"/>
                <w:sz w:val="21"/>
                <w:szCs w:val="21"/>
                <w:highlight w:val="none"/>
              </w:rPr>
              <w:t xml:space="preserve">支持ROI，SVC，SMART H.264/H.265，帧前滤波，灵活编码，适用不同带宽和存储环境</w:t>
            </w:r>
            <w:r>
              <w:rPr>
                <w:rFonts w:hint="eastAsia"/>
                <w:color w:val="auto"/>
                <w:sz w:val="21"/>
                <w:szCs w:val="21"/>
                <w:highlight w:val="none"/>
              </w:rPr>
              <w:br/>
            </w:r>
            <w:r>
              <w:rPr>
                <w:rFonts w:hint="eastAsia"/>
                <w:color w:val="auto"/>
                <w:sz w:val="21"/>
                <w:szCs w:val="21"/>
                <w:highlight w:val="none"/>
              </w:rPr>
              <w:t xml:space="preserve">支持走廊模式，宽动态，3D降噪，强光抑制，背光补偿，数字水印，适用不同监控环境</w:t>
            </w:r>
            <w:r>
              <w:rPr>
                <w:rFonts w:hint="eastAsia"/>
                <w:color w:val="auto"/>
                <w:sz w:val="21"/>
                <w:szCs w:val="21"/>
                <w:highlight w:val="none"/>
              </w:rPr>
              <w:br/>
            </w:r>
            <w:r>
              <w:rPr>
                <w:rFonts w:hint="eastAsia"/>
                <w:color w:val="auto"/>
                <w:sz w:val="21"/>
                <w:szCs w:val="21"/>
                <w:highlight w:val="none"/>
              </w:rPr>
              <w:t xml:space="preserve">支持报警3进2出，音频1进1出，485，BNC，256G Micro SD卡</w:t>
            </w:r>
            <w:r>
              <w:rPr>
                <w:rFonts w:hint="eastAsia"/>
                <w:color w:val="auto"/>
                <w:sz w:val="21"/>
                <w:szCs w:val="21"/>
                <w:highlight w:val="none"/>
              </w:rPr>
              <w:br/>
            </w:r>
            <w:r>
              <w:rPr>
                <w:rFonts w:hint="eastAsia"/>
                <w:color w:val="auto"/>
                <w:sz w:val="21"/>
                <w:szCs w:val="21"/>
                <w:highlight w:val="none"/>
              </w:rPr>
              <w:t xml:space="preserve">支持IP67防护等级</w:t>
            </w:r>
            <w:r/>
          </w:p>
        </w:tc>
        <w:tc>
          <w:tcPr>
            <w:tcW w:w="623" w:type="dxa"/>
            <w:textDirection w:val="lrTb"/>
            <w:noWrap w:val="false"/>
          </w:tcPr>
          <w:p>
            <w:pPr>
              <w:pStyle w:val="1159"/>
              <w:rPr>
                <w:color w:val="auto"/>
                <w:sz w:val="21"/>
                <w:szCs w:val="21"/>
                <w:highlight w:val="none"/>
              </w:rPr>
            </w:pPr>
            <w:r>
              <w:rPr>
                <w:rFonts w:hint="eastAsia"/>
                <w:color w:val="auto"/>
                <w:sz w:val="21"/>
                <w:szCs w:val="21"/>
                <w:highlight w:val="none"/>
              </w:rPr>
              <w:t xml:space="preserve">台</w:t>
            </w:r>
            <w:r/>
          </w:p>
        </w:tc>
        <w:tc>
          <w:tcPr>
            <w:tcW w:w="769" w:type="dxa"/>
            <w:textDirection w:val="lrTb"/>
            <w:noWrap w:val="false"/>
          </w:tcPr>
          <w:p>
            <w:pPr>
              <w:pStyle w:val="1159"/>
              <w:rPr>
                <w:color w:val="auto"/>
                <w:sz w:val="21"/>
                <w:szCs w:val="21"/>
                <w:highlight w:val="none"/>
              </w:rPr>
            </w:pPr>
            <w:r>
              <w:rPr>
                <w:rFonts w:hint="eastAsia"/>
                <w:color w:val="auto"/>
                <w:sz w:val="21"/>
                <w:szCs w:val="21"/>
                <w:highlight w:val="none"/>
              </w:rPr>
              <w:t xml:space="preserve">1</w:t>
            </w:r>
            <w:r/>
          </w:p>
        </w:tc>
      </w:tr>
      <w:tr>
        <w:trPr>
          <w:trHeight w:val="20"/>
        </w:trPr>
        <w:tc>
          <w:tcPr>
            <w:tcW w:w="624" w:type="dxa"/>
            <w:textDirection w:val="lrTb"/>
            <w:noWrap w:val="false"/>
          </w:tcPr>
          <w:p>
            <w:pPr>
              <w:pStyle w:val="1159"/>
              <w:rPr>
                <w:color w:val="auto"/>
                <w:sz w:val="21"/>
                <w:szCs w:val="21"/>
                <w:highlight w:val="none"/>
              </w:rPr>
            </w:pPr>
            <w:r>
              <w:rPr>
                <w:rFonts w:hint="eastAsia"/>
                <w:color w:val="auto"/>
                <w:sz w:val="21"/>
                <w:szCs w:val="21"/>
                <w:highlight w:val="none"/>
              </w:rPr>
              <w:t xml:space="preserve">2</w:t>
            </w:r>
            <w:r/>
          </w:p>
        </w:tc>
        <w:tc>
          <w:tcPr>
            <w:tcW w:w="1072" w:type="dxa"/>
            <w:textDirection w:val="lrTb"/>
            <w:noWrap w:val="false"/>
          </w:tcPr>
          <w:p>
            <w:pPr>
              <w:pStyle w:val="1159"/>
              <w:rPr>
                <w:color w:val="auto"/>
                <w:sz w:val="21"/>
                <w:szCs w:val="21"/>
                <w:highlight w:val="none"/>
              </w:rPr>
            </w:pPr>
            <w:r>
              <w:rPr>
                <w:rFonts w:hint="eastAsia"/>
                <w:color w:val="auto"/>
                <w:sz w:val="21"/>
                <w:szCs w:val="21"/>
                <w:highlight w:val="none"/>
              </w:rPr>
              <w:t xml:space="preserve">跨域徘徊警戒摄像机</w:t>
            </w:r>
            <w:r/>
          </w:p>
        </w:tc>
        <w:tc>
          <w:tcPr>
            <w:tcW w:w="5208" w:type="dxa"/>
            <w:textDirection w:val="lrTb"/>
            <w:noWrap w:val="false"/>
          </w:tcPr>
          <w:p>
            <w:pPr>
              <w:pStyle w:val="1159"/>
              <w:rPr>
                <w:color w:val="auto"/>
                <w:sz w:val="21"/>
                <w:szCs w:val="21"/>
                <w:highlight w:val="none"/>
              </w:rPr>
            </w:pPr>
            <w:r>
              <w:rPr>
                <w:rFonts w:hint="eastAsia"/>
                <w:color w:val="auto"/>
                <w:sz w:val="21"/>
                <w:szCs w:val="21"/>
                <w:highlight w:val="none"/>
              </w:rPr>
              <w:t xml:space="preserve">采用不低于400万像素1/2.7英寸CMOS传感器；最大分辨率2688×1520；最低照度≤0.002Lux（彩色模式）；≤0.0002Lux（黑白模式）；0Lux（补光灯开启）；最大补光距离80m（红外）；镜头类型定焦；镜头焦距8mm；通用行为分析物品遗留；物品搬移；热度图支持；周界防范绊线入侵；区域入侵；快速移动（三项均支持人车分类及精准检测）；徘徊检测；人员聚集；停车检测；视频压缩标准H.265；H.264；H.264H；H.264B；MJPEG；智能编码H.264：支持</w:t>
            </w:r>
            <w:r>
              <w:rPr>
                <w:rFonts w:hint="eastAsia"/>
                <w:color w:val="auto"/>
                <w:sz w:val="21"/>
                <w:szCs w:val="21"/>
                <w:highlight w:val="none"/>
              </w:rPr>
              <w:br/>
            </w:r>
            <w:r>
              <w:rPr>
                <w:rFonts w:hint="eastAsia"/>
                <w:color w:val="auto"/>
                <w:sz w:val="21"/>
                <w:szCs w:val="21"/>
                <w:highlight w:val="none"/>
              </w:rPr>
              <w:t xml:space="preserve">H.265：支持；宽动态120dB；透雾功能支持；内置扬声器支持；报警事件无SD卡；SD卡空间不足；SD卡出错；网络断开；IP冲突；非</w:t>
            </w:r>
            <w:r>
              <w:rPr>
                <w:rFonts w:hint="eastAsia"/>
                <w:color w:val="auto"/>
                <w:sz w:val="21"/>
                <w:szCs w:val="21"/>
                <w:highlight w:val="none"/>
              </w:rPr>
              <w:t xml:space="preserve">法访问；电压检测；动态检测；视频遮挡；场景变更；音频异常侦测；区域入侵，绊线入侵，快速移动（可人车分类及精准检测），物品遗留，物品搬移，徘徊检测，人员聚集，停车检测；白光报警；声音报警（内置21种语音可选，支持用户自定义语音导入）；接入标准ONVIF；GB/T28181；CGI；乐橙；最大Micro SD卡256G；星光支持；音频输入1路（RCA头）；音频输出1路（RCA头）；报警输入2路（湿节点，支持3V~5V电位）；报警输出2路（湿节点，支持最大12V电位）；供电方式DC12V/POE；防护等级IP67</w:t>
            </w:r>
            <w:r/>
          </w:p>
        </w:tc>
        <w:tc>
          <w:tcPr>
            <w:tcW w:w="623" w:type="dxa"/>
            <w:textDirection w:val="lrTb"/>
            <w:noWrap w:val="false"/>
          </w:tcPr>
          <w:p>
            <w:pPr>
              <w:pStyle w:val="1159"/>
              <w:rPr>
                <w:color w:val="auto"/>
                <w:sz w:val="21"/>
                <w:szCs w:val="21"/>
                <w:highlight w:val="none"/>
              </w:rPr>
            </w:pPr>
            <w:r>
              <w:rPr>
                <w:rFonts w:hint="eastAsia"/>
                <w:color w:val="auto"/>
                <w:sz w:val="21"/>
                <w:szCs w:val="21"/>
                <w:highlight w:val="none"/>
              </w:rPr>
              <w:t xml:space="preserve">台</w:t>
            </w:r>
            <w:r/>
          </w:p>
        </w:tc>
        <w:tc>
          <w:tcPr>
            <w:tcW w:w="769" w:type="dxa"/>
            <w:textDirection w:val="lrTb"/>
            <w:noWrap w:val="false"/>
          </w:tcPr>
          <w:p>
            <w:pPr>
              <w:pStyle w:val="1159"/>
              <w:rPr>
                <w:color w:val="auto"/>
                <w:sz w:val="21"/>
                <w:szCs w:val="21"/>
                <w:highlight w:val="none"/>
              </w:rPr>
            </w:pPr>
            <w:r>
              <w:rPr>
                <w:rFonts w:hint="eastAsia"/>
                <w:color w:val="auto"/>
                <w:sz w:val="21"/>
                <w:szCs w:val="21"/>
                <w:highlight w:val="none"/>
              </w:rPr>
              <w:t xml:space="preserve">2</w:t>
            </w:r>
            <w:r/>
          </w:p>
        </w:tc>
      </w:tr>
      <w:tr>
        <w:trPr>
          <w:trHeight w:val="20"/>
        </w:trPr>
        <w:tc>
          <w:tcPr>
            <w:tcW w:w="624" w:type="dxa"/>
            <w:textDirection w:val="lrTb"/>
            <w:noWrap w:val="false"/>
          </w:tcPr>
          <w:p>
            <w:pPr>
              <w:pStyle w:val="1159"/>
              <w:rPr>
                <w:color w:val="auto"/>
                <w:sz w:val="21"/>
                <w:szCs w:val="21"/>
                <w:highlight w:val="none"/>
              </w:rPr>
            </w:pPr>
            <w:r>
              <w:rPr>
                <w:rFonts w:hint="eastAsia"/>
                <w:color w:val="auto"/>
                <w:sz w:val="21"/>
                <w:szCs w:val="21"/>
                <w:highlight w:val="none"/>
              </w:rPr>
              <w:t xml:space="preserve">3</w:t>
            </w:r>
            <w:r/>
          </w:p>
        </w:tc>
        <w:tc>
          <w:tcPr>
            <w:tcW w:w="1072" w:type="dxa"/>
            <w:textDirection w:val="lrTb"/>
            <w:noWrap w:val="false"/>
          </w:tcPr>
          <w:p>
            <w:pPr>
              <w:pStyle w:val="1159"/>
              <w:rPr>
                <w:color w:val="auto"/>
                <w:sz w:val="21"/>
                <w:szCs w:val="21"/>
                <w:highlight w:val="none"/>
              </w:rPr>
            </w:pPr>
            <w:r>
              <w:rPr>
                <w:rFonts w:hint="eastAsia"/>
                <w:color w:val="auto"/>
                <w:sz w:val="21"/>
                <w:szCs w:val="21"/>
                <w:highlight w:val="none"/>
              </w:rPr>
              <w:t xml:space="preserve">全局跟踪摄像机</w:t>
            </w:r>
            <w:r/>
          </w:p>
        </w:tc>
        <w:tc>
          <w:tcPr>
            <w:tcW w:w="5208" w:type="dxa"/>
            <w:textDirection w:val="lrTb"/>
            <w:noWrap w:val="false"/>
          </w:tcPr>
          <w:p>
            <w:pPr>
              <w:pStyle w:val="1159"/>
              <w:rPr>
                <w:color w:val="auto"/>
                <w:sz w:val="21"/>
                <w:szCs w:val="21"/>
                <w:highlight w:val="none"/>
              </w:rPr>
            </w:pPr>
            <w:r>
              <w:rPr>
                <w:rFonts w:hint="eastAsia"/>
                <w:color w:val="auto"/>
                <w:sz w:val="21"/>
                <w:szCs w:val="21"/>
                <w:highlight w:val="none"/>
              </w:rPr>
              <w:t xml:space="preserve">传感器类型：不低于全景1/1.8英寸CMOS细节1/1.8英寸CMOS；</w:t>
            </w:r>
            <w:r>
              <w:rPr>
                <w:rFonts w:hint="eastAsia"/>
                <w:color w:val="auto"/>
                <w:sz w:val="21"/>
                <w:szCs w:val="21"/>
                <w:highlight w:val="none"/>
              </w:rPr>
              <w:br/>
            </w:r>
            <w:r>
              <w:rPr>
                <w:rFonts w:hint="eastAsia"/>
                <w:color w:val="auto"/>
                <w:sz w:val="21"/>
                <w:szCs w:val="21"/>
                <w:highlight w:val="none"/>
              </w:rPr>
              <w:t xml:space="preserve">像素：不低于全景400万细节400万；</w:t>
            </w:r>
            <w:r>
              <w:rPr>
                <w:rFonts w:hint="eastAsia"/>
                <w:color w:val="auto"/>
                <w:sz w:val="21"/>
                <w:szCs w:val="21"/>
                <w:highlight w:val="none"/>
              </w:rPr>
              <w:br/>
            </w:r>
            <w:r>
              <w:rPr>
                <w:rFonts w:hint="eastAsia"/>
                <w:color w:val="auto"/>
                <w:sz w:val="21"/>
                <w:szCs w:val="21"/>
                <w:highlight w:val="none"/>
              </w:rPr>
              <w:t xml:space="preserve">最大分辨率：全景2688×1520细节2688×1520；</w:t>
            </w:r>
            <w:r>
              <w:rPr>
                <w:rFonts w:hint="eastAsia"/>
                <w:color w:val="auto"/>
                <w:sz w:val="21"/>
                <w:szCs w:val="21"/>
                <w:highlight w:val="none"/>
              </w:rPr>
              <w:br/>
            </w:r>
            <w:r>
              <w:rPr>
                <w:rFonts w:hint="eastAsia"/>
                <w:color w:val="auto"/>
                <w:sz w:val="21"/>
                <w:szCs w:val="21"/>
                <w:highlight w:val="none"/>
              </w:rPr>
              <w:t xml:space="preserve">最低照度：全景彩色：≤0.0005Lux@F1.0黑白：≤0.0005Lux@F1.0细节彩色：≤0.001Lux@F1.35黑白：≤0.0001Lux@F1.350Lux（红外灯开启）；</w:t>
            </w:r>
            <w:r>
              <w:rPr>
                <w:rFonts w:hint="eastAsia"/>
                <w:color w:val="auto"/>
                <w:sz w:val="21"/>
                <w:szCs w:val="21"/>
                <w:highlight w:val="none"/>
              </w:rPr>
              <w:br/>
            </w:r>
            <w:r>
              <w:rPr>
                <w:rFonts w:hint="eastAsia"/>
                <w:color w:val="auto"/>
                <w:sz w:val="21"/>
                <w:szCs w:val="21"/>
                <w:highlight w:val="none"/>
              </w:rPr>
              <w:t xml:space="preserve">最大补光距离：全景不低于18m（白光）细节不低于100m（红外）；</w:t>
            </w:r>
            <w:r>
              <w:rPr>
                <w:rFonts w:hint="eastAsia"/>
                <w:color w:val="auto"/>
                <w:sz w:val="21"/>
                <w:szCs w:val="21"/>
                <w:highlight w:val="none"/>
              </w:rPr>
              <w:br/>
            </w:r>
            <w:r>
              <w:rPr>
                <w:rFonts w:hint="eastAsia"/>
                <w:color w:val="auto"/>
                <w:sz w:val="21"/>
                <w:szCs w:val="21"/>
                <w:highlight w:val="none"/>
              </w:rPr>
              <w:t xml:space="preserve">人脸最大可识别距离：不低于30m；</w:t>
            </w:r>
            <w:r>
              <w:rPr>
                <w:rFonts w:hint="eastAsia"/>
                <w:color w:val="auto"/>
                <w:sz w:val="21"/>
                <w:szCs w:val="21"/>
                <w:highlight w:val="none"/>
              </w:rPr>
              <w:br/>
            </w:r>
            <w:r>
              <w:rPr>
                <w:rFonts w:hint="eastAsia"/>
                <w:color w:val="auto"/>
                <w:sz w:val="21"/>
                <w:szCs w:val="21"/>
                <w:highlight w:val="none"/>
              </w:rPr>
              <w:t xml:space="preserve">车牌最大可识别距离：不低于15m；</w:t>
            </w:r>
            <w:r>
              <w:rPr>
                <w:rFonts w:hint="eastAsia"/>
                <w:color w:val="auto"/>
                <w:sz w:val="21"/>
                <w:szCs w:val="21"/>
                <w:highlight w:val="none"/>
              </w:rPr>
              <w:br/>
            </w:r>
            <w:r>
              <w:rPr>
                <w:rFonts w:hint="eastAsia"/>
                <w:color w:val="auto"/>
                <w:sz w:val="21"/>
                <w:szCs w:val="21"/>
                <w:highlight w:val="none"/>
              </w:rPr>
              <w:t xml:space="preserve">镜头焦距：全景6mm细节10.0mm~50.0mm；</w:t>
            </w:r>
            <w:r>
              <w:rPr>
                <w:rFonts w:hint="eastAsia"/>
                <w:color w:val="auto"/>
                <w:sz w:val="21"/>
                <w:szCs w:val="21"/>
                <w:highlight w:val="none"/>
              </w:rPr>
              <w:br/>
            </w:r>
            <w:r>
              <w:rPr>
                <w:rFonts w:hint="eastAsia"/>
                <w:color w:val="auto"/>
                <w:sz w:val="21"/>
                <w:szCs w:val="21"/>
                <w:highlight w:val="none"/>
              </w:rPr>
              <w:t xml:space="preserve">光学变倍：5倍；</w:t>
            </w:r>
            <w:r>
              <w:rPr>
                <w:rFonts w:hint="eastAsia"/>
                <w:color w:val="auto"/>
                <w:sz w:val="21"/>
                <w:szCs w:val="21"/>
                <w:highlight w:val="none"/>
              </w:rPr>
              <w:br/>
            </w:r>
            <w:r>
              <w:rPr>
                <w:rFonts w:hint="eastAsia"/>
                <w:color w:val="auto"/>
                <w:sz w:val="21"/>
                <w:szCs w:val="21"/>
                <w:highlight w:val="none"/>
              </w:rPr>
              <w:t xml:space="preserve">定位功能：支持北斗；支持GPS；</w:t>
            </w:r>
            <w:r>
              <w:rPr>
                <w:rFonts w:hint="eastAsia"/>
                <w:color w:val="auto"/>
                <w:sz w:val="21"/>
                <w:szCs w:val="21"/>
                <w:highlight w:val="none"/>
              </w:rPr>
              <w:br/>
            </w:r>
            <w:r>
              <w:rPr>
                <w:rFonts w:hint="eastAsia"/>
                <w:color w:val="auto"/>
                <w:sz w:val="21"/>
                <w:szCs w:val="21"/>
                <w:highlight w:val="none"/>
              </w:rPr>
              <w:t xml:space="preserve">视频结构化：支持机动车、非机动车、人脸、人体检测；支持跟踪；支持优选；支持抓拍；支持上报最优的抓图机动车属性（车牌，车牌颜色，车辆类型，车身颜色，车标，车系/年款，遮阳板，安全带，抽烟，打电话，车内饰品，年检标志）非机动车属性（类型，车身颜色，骑车人数，上衣类型，上衣颜色，帽子）人体属性（上衣类型，下衣类型，上衣颜色，下衣颜色，背包，帽子，性别，雨伞）人脸属性（性别，年龄，表情，戴眼镜，戴口罩，胡子）；</w:t>
            </w:r>
            <w:r>
              <w:rPr>
                <w:rFonts w:hint="eastAsia"/>
                <w:color w:val="auto"/>
                <w:sz w:val="21"/>
                <w:szCs w:val="21"/>
                <w:highlight w:val="none"/>
              </w:rPr>
              <w:br/>
            </w:r>
            <w:r>
              <w:rPr>
                <w:rFonts w:hint="eastAsia"/>
                <w:color w:val="auto"/>
                <w:sz w:val="21"/>
                <w:szCs w:val="21"/>
                <w:highlight w:val="none"/>
              </w:rPr>
              <w:t xml:space="preserve">周界防范：支持绊线入侵；支持区域入侵；支持穿越围栏；支持徘徊检测；支持物品遗留；支持物品搬移；支持快速移动；支持停车检测；支持人员聚集；支持人车分类报警；支持多种规则触发后联动细节相机定位、跟踪；</w:t>
            </w:r>
            <w:r>
              <w:rPr>
                <w:rFonts w:hint="eastAsia"/>
                <w:color w:val="auto"/>
                <w:sz w:val="21"/>
                <w:szCs w:val="21"/>
                <w:highlight w:val="none"/>
              </w:rPr>
              <w:br/>
            </w:r>
            <w:r>
              <w:rPr>
                <w:rFonts w:hint="eastAsia"/>
                <w:color w:val="auto"/>
                <w:sz w:val="21"/>
                <w:szCs w:val="21"/>
                <w:highlight w:val="none"/>
              </w:rPr>
              <w:t xml:space="preserve">人脸识别：支持人脸检测；支持优选；支持抓拍；支持上报最优的人脸抓图；支持人脸增强；支持人脸属性提取，支持6种属性，8种表情：性别，年龄，眼镜，表情（愤怒，悲伤，厌恶，害怕，惊讶，平静，高兴，困惑），口罩，胡子；支持人脸抠图区域可设：人脸，单寸照；支持实时抓拍，优选抓拍，质量优先三种抓拍策略；支持添加5个人脸库；支持单个以及批量人员注册；支持人脸识别相似度设置；支持1万人脸底库的人脸比对；</w:t>
            </w:r>
            <w:r>
              <w:rPr>
                <w:rFonts w:hint="eastAsia"/>
                <w:color w:val="auto"/>
                <w:sz w:val="21"/>
                <w:szCs w:val="21"/>
                <w:highlight w:val="none"/>
              </w:rPr>
              <w:br/>
            </w:r>
            <w:r>
              <w:rPr>
                <w:rFonts w:hint="eastAsia"/>
                <w:color w:val="auto"/>
                <w:sz w:val="21"/>
                <w:szCs w:val="21"/>
                <w:highlight w:val="none"/>
              </w:rPr>
              <w:t xml:space="preserve">透雾功能：全景电子透雾细节电子透雾；</w:t>
            </w:r>
            <w:r>
              <w:rPr>
                <w:rFonts w:hint="eastAsia"/>
                <w:color w:val="auto"/>
                <w:sz w:val="21"/>
                <w:szCs w:val="21"/>
                <w:highlight w:val="none"/>
              </w:rPr>
              <w:br/>
            </w:r>
            <w:r>
              <w:rPr>
                <w:rFonts w:hint="eastAsia"/>
                <w:color w:val="auto"/>
                <w:sz w:val="21"/>
                <w:szCs w:val="21"/>
                <w:highlight w:val="none"/>
              </w:rPr>
              <w:t xml:space="preserve">支持MAC采集；电子防抖；</w:t>
            </w:r>
            <w:r>
              <w:rPr>
                <w:rFonts w:hint="eastAsia"/>
                <w:color w:val="auto"/>
                <w:sz w:val="21"/>
                <w:szCs w:val="21"/>
                <w:highlight w:val="none"/>
              </w:rPr>
              <w:br/>
            </w:r>
            <w:r>
              <w:rPr>
                <w:rFonts w:hint="eastAsia"/>
                <w:color w:val="auto"/>
                <w:sz w:val="21"/>
                <w:szCs w:val="21"/>
                <w:highlight w:val="none"/>
              </w:rPr>
              <w:t xml:space="preserve">支持音频输入/输出；报警输入/输出；语音对讲；</w:t>
            </w:r>
            <w:r>
              <w:rPr>
                <w:rFonts w:hint="eastAsia"/>
                <w:color w:val="auto"/>
                <w:sz w:val="21"/>
                <w:szCs w:val="21"/>
                <w:highlight w:val="none"/>
              </w:rPr>
              <w:br/>
            </w:r>
            <w:r>
              <w:rPr>
                <w:rFonts w:hint="eastAsia"/>
                <w:color w:val="auto"/>
                <w:sz w:val="21"/>
                <w:szCs w:val="21"/>
                <w:highlight w:val="none"/>
              </w:rPr>
              <w:t xml:space="preserve">报警输入：2路；</w:t>
            </w:r>
            <w:r>
              <w:rPr>
                <w:rFonts w:hint="eastAsia"/>
                <w:color w:val="auto"/>
                <w:sz w:val="21"/>
                <w:szCs w:val="21"/>
                <w:highlight w:val="none"/>
              </w:rPr>
              <w:br/>
            </w:r>
            <w:r>
              <w:rPr>
                <w:rFonts w:hint="eastAsia"/>
                <w:color w:val="auto"/>
                <w:sz w:val="21"/>
                <w:szCs w:val="21"/>
                <w:highlight w:val="none"/>
              </w:rPr>
              <w:t xml:space="preserve">供电方式：AC24V/3A±25%（标配）；</w:t>
            </w:r>
            <w:r>
              <w:rPr>
                <w:rFonts w:hint="eastAsia"/>
                <w:color w:val="auto"/>
                <w:sz w:val="21"/>
                <w:szCs w:val="21"/>
                <w:highlight w:val="none"/>
              </w:rPr>
              <w:br/>
            </w:r>
            <w:r>
              <w:rPr>
                <w:rFonts w:hint="eastAsia"/>
                <w:color w:val="auto"/>
                <w:sz w:val="21"/>
                <w:szCs w:val="21"/>
                <w:highlight w:val="none"/>
              </w:rPr>
              <w:t xml:space="preserve">接口类型：RJ45接口；含专用支架</w:t>
            </w:r>
            <w:r/>
          </w:p>
        </w:tc>
        <w:tc>
          <w:tcPr>
            <w:tcW w:w="623" w:type="dxa"/>
            <w:textDirection w:val="lrTb"/>
            <w:noWrap w:val="false"/>
          </w:tcPr>
          <w:p>
            <w:pPr>
              <w:pStyle w:val="1159"/>
              <w:rPr>
                <w:color w:val="auto"/>
                <w:sz w:val="21"/>
                <w:szCs w:val="21"/>
                <w:highlight w:val="none"/>
              </w:rPr>
            </w:pPr>
            <w:r>
              <w:rPr>
                <w:rFonts w:hint="eastAsia"/>
                <w:color w:val="auto"/>
                <w:sz w:val="21"/>
                <w:szCs w:val="21"/>
                <w:highlight w:val="none"/>
              </w:rPr>
              <w:t xml:space="preserve">台</w:t>
            </w:r>
            <w:r/>
          </w:p>
        </w:tc>
        <w:tc>
          <w:tcPr>
            <w:tcW w:w="769" w:type="dxa"/>
            <w:textDirection w:val="lrTb"/>
            <w:noWrap w:val="false"/>
          </w:tcPr>
          <w:p>
            <w:pPr>
              <w:pStyle w:val="1159"/>
              <w:rPr>
                <w:color w:val="auto"/>
                <w:sz w:val="21"/>
                <w:szCs w:val="21"/>
                <w:highlight w:val="none"/>
              </w:rPr>
            </w:pPr>
            <w:r>
              <w:rPr>
                <w:rFonts w:hint="eastAsia"/>
                <w:color w:val="auto"/>
                <w:sz w:val="21"/>
                <w:szCs w:val="21"/>
                <w:highlight w:val="none"/>
              </w:rPr>
              <w:t xml:space="preserve">2</w:t>
            </w:r>
            <w:r/>
          </w:p>
        </w:tc>
      </w:tr>
      <w:tr>
        <w:trPr>
          <w:trHeight w:val="20"/>
        </w:trPr>
        <w:tc>
          <w:tcPr>
            <w:tcW w:w="624" w:type="dxa"/>
            <w:textDirection w:val="lrTb"/>
            <w:noWrap w:val="false"/>
          </w:tcPr>
          <w:p>
            <w:pPr>
              <w:pStyle w:val="1159"/>
              <w:rPr>
                <w:color w:val="auto"/>
                <w:sz w:val="21"/>
                <w:szCs w:val="21"/>
                <w:highlight w:val="none"/>
              </w:rPr>
            </w:pPr>
            <w:r>
              <w:rPr>
                <w:rFonts w:hint="eastAsia"/>
                <w:color w:val="auto"/>
                <w:sz w:val="21"/>
                <w:szCs w:val="21"/>
                <w:highlight w:val="none"/>
              </w:rPr>
              <w:t xml:space="preserve">4</w:t>
            </w:r>
            <w:r/>
          </w:p>
        </w:tc>
        <w:tc>
          <w:tcPr>
            <w:tcW w:w="1072" w:type="dxa"/>
            <w:textDirection w:val="lrTb"/>
            <w:noWrap w:val="false"/>
          </w:tcPr>
          <w:p>
            <w:pPr>
              <w:pStyle w:val="1159"/>
              <w:rPr>
                <w:color w:val="auto"/>
                <w:sz w:val="21"/>
                <w:szCs w:val="21"/>
                <w:highlight w:val="none"/>
              </w:rPr>
            </w:pPr>
            <w:r>
              <w:rPr>
                <w:rFonts w:hint="eastAsia"/>
                <w:color w:val="auto"/>
                <w:sz w:val="21"/>
                <w:szCs w:val="21"/>
                <w:highlight w:val="none"/>
              </w:rPr>
              <w:t xml:space="preserve">抓拍摄像机</w:t>
            </w:r>
            <w:r/>
          </w:p>
        </w:tc>
        <w:tc>
          <w:tcPr>
            <w:tcW w:w="5208" w:type="dxa"/>
            <w:textDirection w:val="lrTb"/>
            <w:noWrap w:val="false"/>
          </w:tcPr>
          <w:p>
            <w:pPr>
              <w:pStyle w:val="1159"/>
              <w:rPr>
                <w:color w:val="auto"/>
                <w:sz w:val="21"/>
                <w:szCs w:val="21"/>
                <w:highlight w:val="none"/>
              </w:rPr>
            </w:pPr>
            <w:r>
              <w:rPr>
                <w:rFonts w:hint="eastAsia"/>
                <w:color w:val="auto"/>
                <w:sz w:val="21"/>
                <w:szCs w:val="21"/>
                <w:highlight w:val="none"/>
              </w:rPr>
              <w:t xml:space="preserve">采用性能不低于1/1.8英寸CMOS传感器；镜头标配10mm~30mm变焦镜头；支持图像分辨率2688×1520（不包含OSD黑边）；支持视频分辨率4M(2688×1520)/1080P(1920×1080)/UXGA(1600×1200)/720P(1280×720)/D1(704×576)/CIF(352×288) </w:t>
            </w:r>
            <w:r>
              <w:rPr>
                <w:rFonts w:hint="eastAsia"/>
                <w:color w:val="auto"/>
                <w:sz w:val="21"/>
                <w:szCs w:val="21"/>
                <w:highlight w:val="none"/>
              </w:rPr>
              <w:br/>
            </w:r>
            <w:r>
              <w:rPr>
                <w:rFonts w:hint="eastAsia"/>
                <w:color w:val="auto"/>
                <w:sz w:val="21"/>
                <w:szCs w:val="21"/>
                <w:highlight w:val="none"/>
              </w:rPr>
              <w:t xml:space="preserve">最大支持25fps；默认主码流(2688×1520@25fps)，辅码流(704×576@25fps)；校时功能支持，NTP校时；；视频压缩标准MJPEG；H.26</w:t>
            </w:r>
            <w:r>
              <w:rPr>
                <w:rFonts w:hint="eastAsia"/>
                <w:color w:val="auto"/>
                <w:sz w:val="21"/>
                <w:szCs w:val="21"/>
                <w:highlight w:val="none"/>
              </w:rPr>
              <w:t xml:space="preserve">4；H.265；图片合成支持1、2、3、4张图片合成；OSD信息叠加时间；地点（通道地址）；车道信息（车道号、车道方向）；车牌信息（车牌及颜色）；车速；车长（线圈模式）；车身颜色；车标；车系；车辆类型；违法信息（违法事件名称及违法代码）；属性信息（非机动车属性、人体属性、人脸属性）；存储功能FTP；TF卡（最大支持256GB@Class10）；推荐使用颗粒MLC及以上；自动注册支持；目标检测支持机动车、非机动车、行人；人脸检测支持非机动车驾驶员、行人人脸检测并抠人脸小图；车辆类型识别支持普通车型：大客车、中</w:t>
            </w:r>
            <w:r>
              <w:rPr>
                <w:rFonts w:hint="eastAsia"/>
                <w:color w:val="auto"/>
                <w:sz w:val="21"/>
                <w:szCs w:val="21"/>
                <w:highlight w:val="none"/>
              </w:rPr>
              <w:t xml:space="preserve">客车、大货车、中货车、轿车、面包车、小货车、厢式三轮车、载人敞篷三轮车、不载人敞篷三轮车、二轮车、SUV、MPV、公交车、皮卡车、微型车；支持特种车型：普通罐车、渣土车、混凝土搅拌车、出租车、警车、救护车、普通车、洒水车、危险品车、消防车、拖拉机、工程车、粉粒物料车、吸污车；车身颜色识别支持白色、粉色、黑色、红色、黄色、灰色、蓝色、绿色、深橙色、紫色、棕色、银灰色；流量检测支持按车道和时段进行车辆流量、平均速度、占有率、平均车头时距、平均排队长度、道路状态等指标的统计，且支持表格导出展示；交通事件支持对逆行</w:t>
            </w:r>
            <w:r>
              <w:rPr>
                <w:rFonts w:hint="eastAsia"/>
                <w:color w:val="auto"/>
                <w:sz w:val="21"/>
                <w:szCs w:val="21"/>
                <w:highlight w:val="none"/>
              </w:rPr>
              <w:t xml:space="preserve">、行人、违法停车、交通拥堵等事件进行抓拍、短录像并进行报警；视频结构化1、机动车：车牌，车辆类型，车身颜色，车牌颜色，车标，车辆年款，车系等；2、非机动车：类型(二轮车、三轮车)，颜色，是否戴头盔，骑车人数(1人、2人、3人、多人)，是否有遮阳伞；3、人体：上衣类型(长袖、短袖)，下衣类型(长裤、短裤、裙子)，上下衣颜色，带包(手提包、背包)，帽子，性别，肤色，年龄段；4、人脸：性别，年龄，表情(生气、厌恶、恐惧、高兴、悲伤、惊讶、平静、困惑)，眼镜类型，是否戴口罩，是否有胡子，发型；采用高性能AI处理器，</w:t>
            </w:r>
            <w:r>
              <w:rPr>
                <w:rFonts w:hint="eastAsia"/>
                <w:color w:val="auto"/>
                <w:sz w:val="21"/>
                <w:szCs w:val="21"/>
                <w:highlight w:val="none"/>
              </w:rPr>
              <w:t xml:space="preserve">支持机非人全结构化信息提取，为业务决策提供丰富的特征信息；多场景：支持多样性混合场景应用，集道路监控全线业务、流量采集、事件检测于一体，全方位适配道路交通场景；采用一体化结构设计，支持网络防雷、防浪涌、防静电，IP66防护等级，适用于各种恶劣环境；支持双码流，且满足H.265&amp;H.264编码，超低延时，超低码率，压缩比高，处理灵活；支持自动白平衡、自动电子快门、自动光圈；设备自带常亮灯；支持1~3车道车辆抓拍、车牌识别和车辆结构化信息提取，支持最大8车道监控；支持单快门；支持机动车、非机动车和行人目标检测、</w:t>
            </w:r>
            <w:r>
              <w:rPr>
                <w:rFonts w:hint="eastAsia"/>
                <w:color w:val="auto"/>
                <w:sz w:val="21"/>
                <w:szCs w:val="21"/>
                <w:highlight w:val="none"/>
              </w:rPr>
              <w:t xml:space="preserve">非机动车和行人人脸检测、车牌识别、车辆类型识别、非机动车违法抓拍、机动车违法抓拍、车身颜色识别、视频结构化抓拍、图片合成、OSD信息叠加；支持1-4车道车辆逆行、拥堵检测、违法停车、行人事件等交通事件的检测；支持1-4车道车辆流量、平均速度、占有率、平均车头时距、平均排队长度、道路状态等流量信息采集；支持根据实际车道自动配置规则线；支持视频检测、线圈两种触发方式；支持最大256G TF卡本地存储，抓拍图片可断网续传；支持网络接口、USB接口、RS-485接口、报警输入输出、外置灯接口；支持1400视图库协议</w:t>
            </w:r>
            <w:r/>
          </w:p>
        </w:tc>
        <w:tc>
          <w:tcPr>
            <w:tcW w:w="623" w:type="dxa"/>
            <w:textDirection w:val="lrTb"/>
            <w:noWrap w:val="false"/>
          </w:tcPr>
          <w:p>
            <w:pPr>
              <w:pStyle w:val="1159"/>
              <w:rPr>
                <w:color w:val="auto"/>
                <w:sz w:val="21"/>
                <w:szCs w:val="21"/>
                <w:highlight w:val="none"/>
              </w:rPr>
            </w:pPr>
            <w:r>
              <w:rPr>
                <w:rFonts w:hint="eastAsia"/>
                <w:color w:val="auto"/>
                <w:sz w:val="21"/>
                <w:szCs w:val="21"/>
                <w:highlight w:val="none"/>
              </w:rPr>
              <w:t xml:space="preserve">台</w:t>
            </w:r>
            <w:r/>
          </w:p>
        </w:tc>
        <w:tc>
          <w:tcPr>
            <w:tcW w:w="769" w:type="dxa"/>
            <w:textDirection w:val="lrTb"/>
            <w:noWrap w:val="false"/>
          </w:tcPr>
          <w:p>
            <w:pPr>
              <w:pStyle w:val="1159"/>
              <w:rPr>
                <w:color w:val="auto"/>
                <w:sz w:val="21"/>
                <w:szCs w:val="21"/>
                <w:highlight w:val="none"/>
              </w:rPr>
            </w:pPr>
            <w:r>
              <w:rPr>
                <w:rFonts w:hint="eastAsia"/>
                <w:color w:val="auto"/>
                <w:sz w:val="21"/>
                <w:szCs w:val="21"/>
                <w:highlight w:val="none"/>
              </w:rPr>
              <w:t xml:space="preserve">4</w:t>
            </w:r>
            <w:r/>
          </w:p>
        </w:tc>
      </w:tr>
      <w:tr>
        <w:trPr>
          <w:trHeight w:val="20"/>
        </w:trPr>
        <w:tc>
          <w:tcPr>
            <w:tcW w:w="624" w:type="dxa"/>
            <w:textDirection w:val="lrTb"/>
            <w:noWrap w:val="false"/>
          </w:tcPr>
          <w:p>
            <w:pPr>
              <w:pStyle w:val="1159"/>
              <w:rPr>
                <w:color w:val="auto"/>
                <w:sz w:val="21"/>
                <w:szCs w:val="21"/>
                <w:highlight w:val="none"/>
              </w:rPr>
            </w:pPr>
            <w:r>
              <w:rPr>
                <w:rFonts w:hint="eastAsia"/>
                <w:color w:val="auto"/>
                <w:sz w:val="21"/>
                <w:szCs w:val="21"/>
                <w:highlight w:val="none"/>
              </w:rPr>
              <w:t xml:space="preserve">5</w:t>
            </w:r>
            <w:r/>
          </w:p>
        </w:tc>
        <w:tc>
          <w:tcPr>
            <w:tcW w:w="1072" w:type="dxa"/>
            <w:textDirection w:val="lrTb"/>
            <w:noWrap w:val="false"/>
          </w:tcPr>
          <w:p>
            <w:pPr>
              <w:pStyle w:val="1159"/>
              <w:rPr>
                <w:color w:val="auto"/>
                <w:sz w:val="21"/>
                <w:szCs w:val="21"/>
                <w:highlight w:val="none"/>
              </w:rPr>
            </w:pPr>
            <w:r>
              <w:rPr>
                <w:rFonts w:hint="eastAsia"/>
                <w:color w:val="auto"/>
                <w:sz w:val="21"/>
                <w:szCs w:val="21"/>
                <w:highlight w:val="none"/>
              </w:rPr>
              <w:t xml:space="preserve">车辆抓拍主机</w:t>
            </w:r>
            <w:r/>
          </w:p>
        </w:tc>
        <w:tc>
          <w:tcPr>
            <w:tcW w:w="5208" w:type="dxa"/>
            <w:textDirection w:val="lrTb"/>
            <w:noWrap w:val="false"/>
          </w:tcPr>
          <w:p>
            <w:pPr>
              <w:pStyle w:val="1159"/>
              <w:rPr>
                <w:color w:val="auto"/>
                <w:sz w:val="21"/>
                <w:szCs w:val="21"/>
                <w:highlight w:val="none"/>
              </w:rPr>
            </w:pPr>
            <w:r>
              <w:rPr>
                <w:rFonts w:hint="eastAsia"/>
                <w:color w:val="auto"/>
                <w:sz w:val="21"/>
                <w:szCs w:val="21"/>
                <w:highlight w:val="none"/>
              </w:rPr>
              <w:t xml:space="preserve">操作系统：Linux；</w:t>
            </w:r>
            <w:r>
              <w:rPr>
                <w:rFonts w:hint="eastAsia"/>
                <w:color w:val="auto"/>
                <w:sz w:val="21"/>
                <w:szCs w:val="21"/>
                <w:highlight w:val="none"/>
              </w:rPr>
              <w:br/>
            </w:r>
            <w:r>
              <w:rPr>
                <w:rFonts w:hint="eastAsia"/>
                <w:color w:val="auto"/>
                <w:sz w:val="21"/>
                <w:szCs w:val="21"/>
                <w:highlight w:val="none"/>
              </w:rPr>
              <w:t xml:space="preserve">支持WEB方式操作界面；</w:t>
            </w:r>
            <w:r>
              <w:rPr>
                <w:rFonts w:hint="eastAsia"/>
                <w:color w:val="auto"/>
                <w:sz w:val="21"/>
                <w:szCs w:val="21"/>
                <w:highlight w:val="none"/>
              </w:rPr>
              <w:br/>
            </w:r>
            <w:r>
              <w:rPr>
                <w:rFonts w:hint="eastAsia"/>
                <w:color w:val="auto"/>
                <w:sz w:val="21"/>
                <w:szCs w:val="21"/>
                <w:highlight w:val="none"/>
              </w:rPr>
              <w:t xml:space="preserve">网络协议：TCP/IP、HTTP、HTTPS、SFTP、FTP、DNS、RTP、RTSP、RTC、NTP、DHCP、IEEE802.1X；</w:t>
            </w:r>
            <w:r>
              <w:rPr>
                <w:rFonts w:hint="eastAsia"/>
                <w:color w:val="auto"/>
                <w:sz w:val="21"/>
                <w:szCs w:val="21"/>
                <w:highlight w:val="none"/>
              </w:rPr>
              <w:br/>
            </w:r>
            <w:r>
              <w:rPr>
                <w:rFonts w:hint="eastAsia"/>
                <w:color w:val="auto"/>
                <w:sz w:val="21"/>
                <w:szCs w:val="21"/>
                <w:highlight w:val="none"/>
              </w:rPr>
              <w:t xml:space="preserve">图片编码格式：JPEG；</w:t>
            </w:r>
            <w:r>
              <w:rPr>
                <w:rFonts w:hint="eastAsia"/>
                <w:color w:val="auto"/>
                <w:sz w:val="21"/>
                <w:szCs w:val="21"/>
                <w:highlight w:val="none"/>
              </w:rPr>
              <w:br/>
            </w:r>
            <w:r>
              <w:rPr>
                <w:rFonts w:hint="eastAsia"/>
                <w:color w:val="auto"/>
                <w:sz w:val="21"/>
                <w:szCs w:val="21"/>
                <w:highlight w:val="none"/>
              </w:rPr>
              <w:t xml:space="preserve">存储功能：硬盘（标配1个1T硬盘）；FTP；SFTP；</w:t>
            </w:r>
            <w:r>
              <w:rPr>
                <w:rFonts w:hint="eastAsia"/>
                <w:color w:val="auto"/>
                <w:sz w:val="21"/>
                <w:szCs w:val="21"/>
                <w:highlight w:val="none"/>
              </w:rPr>
              <w:br/>
            </w:r>
            <w:r>
              <w:rPr>
                <w:rFonts w:hint="eastAsia"/>
                <w:color w:val="auto"/>
                <w:sz w:val="21"/>
                <w:szCs w:val="21"/>
                <w:highlight w:val="none"/>
              </w:rPr>
              <w:t xml:space="preserve">定位功能：支持GPS；支持北斗；</w:t>
            </w:r>
            <w:r>
              <w:rPr>
                <w:rFonts w:hint="eastAsia"/>
                <w:color w:val="auto"/>
                <w:sz w:val="21"/>
                <w:szCs w:val="21"/>
                <w:highlight w:val="none"/>
              </w:rPr>
              <w:br/>
            </w:r>
            <w:r>
              <w:rPr>
                <w:rFonts w:hint="eastAsia"/>
                <w:color w:val="auto"/>
                <w:sz w:val="21"/>
                <w:szCs w:val="21"/>
                <w:highlight w:val="none"/>
              </w:rPr>
              <w:t xml:space="preserve">图片合成：支持1/2/3/4/5/6张原始图片普通合成和关联合成；支持两通道、三通道、多通道关联匹配并将图片合成或编组；支持ID匹配、车牌匹配、先ID后车牌匹配方式；支持以车型、车道、车牌颜色、车身颜色进行模糊匹配；支持合成顺序和特写图序号选择；</w:t>
            </w:r>
            <w:r>
              <w:rPr>
                <w:rFonts w:hint="eastAsia"/>
                <w:color w:val="auto"/>
                <w:sz w:val="21"/>
                <w:szCs w:val="21"/>
                <w:highlight w:val="none"/>
              </w:rPr>
              <w:br/>
            </w:r>
            <w:r>
              <w:rPr>
                <w:rFonts w:hint="eastAsia"/>
                <w:color w:val="auto"/>
                <w:sz w:val="21"/>
                <w:szCs w:val="21"/>
                <w:highlight w:val="none"/>
              </w:rPr>
              <w:t xml:space="preserve">断网续传：支持平台断网续传、FTP断网续传；支持手动上传；</w:t>
            </w:r>
            <w:r>
              <w:rPr>
                <w:rFonts w:hint="eastAsia"/>
                <w:color w:val="auto"/>
                <w:sz w:val="21"/>
                <w:szCs w:val="21"/>
                <w:highlight w:val="none"/>
              </w:rPr>
              <w:br/>
            </w:r>
            <w:r>
              <w:rPr>
                <w:rFonts w:hint="eastAsia"/>
                <w:color w:val="auto"/>
                <w:sz w:val="21"/>
                <w:szCs w:val="21"/>
                <w:highlight w:val="none"/>
              </w:rPr>
              <w:t xml:space="preserve">硬盘接口：2个，SATA接口3.5"硬盘；</w:t>
            </w:r>
            <w:r>
              <w:rPr>
                <w:rFonts w:hint="eastAsia"/>
                <w:color w:val="auto"/>
                <w:sz w:val="21"/>
                <w:szCs w:val="21"/>
                <w:highlight w:val="none"/>
              </w:rPr>
              <w:br/>
            </w:r>
            <w:r>
              <w:rPr>
                <w:rFonts w:hint="eastAsia"/>
                <w:color w:val="auto"/>
                <w:sz w:val="21"/>
                <w:szCs w:val="21"/>
                <w:highlight w:val="none"/>
              </w:rPr>
              <w:t xml:space="preserve">支持RS-232接口、RS-485接口、USB 3.0接口；</w:t>
            </w:r>
            <w:r>
              <w:rPr>
                <w:rFonts w:hint="eastAsia"/>
                <w:color w:val="auto"/>
                <w:sz w:val="21"/>
                <w:szCs w:val="21"/>
                <w:highlight w:val="none"/>
              </w:rPr>
              <w:br/>
            </w:r>
            <w:r>
              <w:rPr>
                <w:rFonts w:hint="eastAsia"/>
                <w:color w:val="auto"/>
                <w:sz w:val="21"/>
                <w:szCs w:val="21"/>
                <w:highlight w:val="none"/>
              </w:rPr>
              <w:t xml:space="preserve">网络接口：10个，2个10M/100M/1000M自适应以太网口（RJ-45），8个10M/100M自适应以太网口（RJ-45）；</w:t>
            </w:r>
            <w:r>
              <w:rPr>
                <w:rFonts w:hint="eastAsia"/>
                <w:color w:val="auto"/>
                <w:sz w:val="21"/>
                <w:szCs w:val="21"/>
                <w:highlight w:val="none"/>
              </w:rPr>
              <w:br/>
            </w:r>
            <w:r>
              <w:rPr>
                <w:rFonts w:hint="eastAsia"/>
                <w:color w:val="auto"/>
                <w:sz w:val="21"/>
                <w:szCs w:val="21"/>
                <w:highlight w:val="none"/>
              </w:rPr>
              <w:t xml:space="preserve">视频输入：8路网络压缩高清视频输入；</w:t>
            </w:r>
            <w:r>
              <w:rPr>
                <w:rFonts w:hint="eastAsia"/>
                <w:color w:val="auto"/>
                <w:sz w:val="21"/>
                <w:szCs w:val="21"/>
                <w:highlight w:val="none"/>
              </w:rPr>
              <w:br/>
            </w:r>
            <w:r>
              <w:rPr>
                <w:rFonts w:hint="eastAsia"/>
                <w:color w:val="auto"/>
                <w:sz w:val="21"/>
                <w:szCs w:val="21"/>
                <w:highlight w:val="none"/>
              </w:rPr>
              <w:t xml:space="preserve">报警输入：2路；</w:t>
            </w:r>
            <w:r>
              <w:rPr>
                <w:rFonts w:hint="eastAsia"/>
                <w:color w:val="auto"/>
                <w:sz w:val="21"/>
                <w:szCs w:val="21"/>
                <w:highlight w:val="none"/>
              </w:rPr>
              <w:br/>
            </w:r>
            <w:r>
              <w:rPr>
                <w:rFonts w:hint="eastAsia"/>
                <w:color w:val="auto"/>
                <w:sz w:val="21"/>
                <w:szCs w:val="21"/>
                <w:highlight w:val="none"/>
              </w:rPr>
              <w:t xml:space="preserve">报警输出：2路；</w:t>
            </w:r>
            <w:r/>
          </w:p>
        </w:tc>
        <w:tc>
          <w:tcPr>
            <w:tcW w:w="623" w:type="dxa"/>
            <w:textDirection w:val="lrTb"/>
            <w:noWrap w:val="false"/>
          </w:tcPr>
          <w:p>
            <w:pPr>
              <w:pStyle w:val="1159"/>
              <w:rPr>
                <w:color w:val="auto"/>
                <w:sz w:val="21"/>
                <w:szCs w:val="21"/>
                <w:highlight w:val="none"/>
              </w:rPr>
            </w:pPr>
            <w:r>
              <w:rPr>
                <w:rFonts w:hint="eastAsia"/>
                <w:color w:val="auto"/>
                <w:sz w:val="21"/>
                <w:szCs w:val="21"/>
                <w:highlight w:val="none"/>
              </w:rPr>
              <w:t xml:space="preserve">台</w:t>
            </w:r>
            <w:r/>
          </w:p>
        </w:tc>
        <w:tc>
          <w:tcPr>
            <w:tcW w:w="769" w:type="dxa"/>
            <w:textDirection w:val="lrTb"/>
            <w:noWrap w:val="false"/>
          </w:tcPr>
          <w:p>
            <w:pPr>
              <w:pStyle w:val="1159"/>
              <w:rPr>
                <w:color w:val="auto"/>
                <w:sz w:val="21"/>
                <w:szCs w:val="21"/>
                <w:highlight w:val="none"/>
              </w:rPr>
            </w:pPr>
            <w:r>
              <w:rPr>
                <w:rFonts w:hint="eastAsia"/>
                <w:color w:val="auto"/>
                <w:sz w:val="21"/>
                <w:szCs w:val="21"/>
                <w:highlight w:val="none"/>
              </w:rPr>
              <w:t xml:space="preserve">1</w:t>
            </w:r>
            <w:r/>
          </w:p>
        </w:tc>
      </w:tr>
      <w:tr>
        <w:trPr>
          <w:trHeight w:val="20"/>
        </w:trPr>
        <w:tc>
          <w:tcPr>
            <w:tcW w:w="624" w:type="dxa"/>
            <w:textDirection w:val="lrTb"/>
            <w:noWrap w:val="false"/>
          </w:tcPr>
          <w:p>
            <w:pPr>
              <w:pStyle w:val="1159"/>
              <w:rPr>
                <w:color w:val="auto"/>
                <w:sz w:val="21"/>
                <w:szCs w:val="21"/>
                <w:highlight w:val="none"/>
              </w:rPr>
            </w:pPr>
            <w:r>
              <w:rPr>
                <w:rFonts w:hint="eastAsia"/>
                <w:color w:val="auto"/>
                <w:sz w:val="21"/>
                <w:szCs w:val="21"/>
                <w:highlight w:val="none"/>
              </w:rPr>
              <w:t xml:space="preserve">6</w:t>
            </w:r>
            <w:r/>
          </w:p>
        </w:tc>
        <w:tc>
          <w:tcPr>
            <w:tcW w:w="1072" w:type="dxa"/>
            <w:textDirection w:val="lrTb"/>
            <w:noWrap w:val="false"/>
          </w:tcPr>
          <w:p>
            <w:pPr>
              <w:pStyle w:val="1159"/>
              <w:rPr>
                <w:color w:val="auto"/>
                <w:sz w:val="21"/>
                <w:szCs w:val="21"/>
                <w:highlight w:val="none"/>
              </w:rPr>
            </w:pPr>
            <w:r>
              <w:rPr>
                <w:rFonts w:hint="eastAsia"/>
                <w:color w:val="auto"/>
                <w:sz w:val="21"/>
                <w:szCs w:val="21"/>
                <w:highlight w:val="none"/>
              </w:rPr>
              <w:t xml:space="preserve">摄像机支架1</w:t>
            </w:r>
            <w:r/>
          </w:p>
        </w:tc>
        <w:tc>
          <w:tcPr>
            <w:tcW w:w="5208" w:type="dxa"/>
            <w:textDirection w:val="lrTb"/>
            <w:noWrap w:val="false"/>
          </w:tcPr>
          <w:p>
            <w:pPr>
              <w:pStyle w:val="1159"/>
              <w:rPr>
                <w:color w:val="auto"/>
                <w:sz w:val="21"/>
                <w:szCs w:val="21"/>
                <w:highlight w:val="none"/>
              </w:rPr>
            </w:pPr>
            <w:r>
              <w:rPr>
                <w:rFonts w:hint="eastAsia"/>
                <w:color w:val="auto"/>
                <w:sz w:val="21"/>
                <w:szCs w:val="21"/>
                <w:highlight w:val="none"/>
              </w:rPr>
              <w:t xml:space="preserve">加强版支架，采用铝合金材质，白色</w:t>
            </w:r>
            <w:r/>
          </w:p>
        </w:tc>
        <w:tc>
          <w:tcPr>
            <w:tcW w:w="623" w:type="dxa"/>
            <w:textDirection w:val="lrTb"/>
            <w:noWrap w:val="false"/>
          </w:tcPr>
          <w:p>
            <w:pPr>
              <w:pStyle w:val="1159"/>
              <w:rPr>
                <w:color w:val="auto"/>
                <w:sz w:val="21"/>
                <w:szCs w:val="21"/>
                <w:highlight w:val="none"/>
              </w:rPr>
            </w:pPr>
            <w:r>
              <w:rPr>
                <w:rFonts w:hint="eastAsia"/>
                <w:color w:val="auto"/>
                <w:sz w:val="21"/>
                <w:szCs w:val="21"/>
                <w:highlight w:val="none"/>
              </w:rPr>
              <w:t xml:space="preserve">只</w:t>
            </w:r>
            <w:r/>
          </w:p>
        </w:tc>
        <w:tc>
          <w:tcPr>
            <w:tcW w:w="769" w:type="dxa"/>
            <w:textDirection w:val="lrTb"/>
            <w:noWrap w:val="false"/>
          </w:tcPr>
          <w:p>
            <w:pPr>
              <w:pStyle w:val="1159"/>
              <w:rPr>
                <w:color w:val="auto"/>
                <w:sz w:val="21"/>
                <w:szCs w:val="21"/>
                <w:highlight w:val="none"/>
              </w:rPr>
            </w:pPr>
            <w:r>
              <w:rPr>
                <w:rFonts w:hint="eastAsia"/>
                <w:color w:val="auto"/>
                <w:sz w:val="21"/>
                <w:szCs w:val="21"/>
                <w:highlight w:val="none"/>
              </w:rPr>
              <w:t xml:space="preserve">55</w:t>
            </w:r>
            <w:r/>
          </w:p>
        </w:tc>
      </w:tr>
      <w:tr>
        <w:trPr>
          <w:trHeight w:val="20"/>
        </w:trPr>
        <w:tc>
          <w:tcPr>
            <w:tcW w:w="624" w:type="dxa"/>
            <w:textDirection w:val="lrTb"/>
            <w:noWrap w:val="false"/>
          </w:tcPr>
          <w:p>
            <w:pPr>
              <w:pStyle w:val="1159"/>
              <w:rPr>
                <w:color w:val="auto"/>
                <w:sz w:val="21"/>
                <w:szCs w:val="21"/>
                <w:highlight w:val="none"/>
              </w:rPr>
            </w:pPr>
            <w:r>
              <w:rPr>
                <w:rFonts w:hint="eastAsia"/>
                <w:color w:val="auto"/>
                <w:sz w:val="21"/>
                <w:szCs w:val="21"/>
                <w:highlight w:val="none"/>
              </w:rPr>
              <w:t xml:space="preserve">7</w:t>
            </w:r>
            <w:r/>
          </w:p>
        </w:tc>
        <w:tc>
          <w:tcPr>
            <w:tcW w:w="1072" w:type="dxa"/>
            <w:textDirection w:val="lrTb"/>
            <w:noWrap w:val="false"/>
          </w:tcPr>
          <w:p>
            <w:pPr>
              <w:pStyle w:val="1159"/>
              <w:rPr>
                <w:color w:val="auto"/>
                <w:sz w:val="21"/>
                <w:szCs w:val="21"/>
                <w:highlight w:val="none"/>
              </w:rPr>
            </w:pPr>
            <w:r>
              <w:rPr>
                <w:rFonts w:hint="eastAsia"/>
                <w:color w:val="auto"/>
                <w:sz w:val="21"/>
                <w:szCs w:val="21"/>
                <w:highlight w:val="none"/>
              </w:rPr>
              <w:t xml:space="preserve">智能出入口摄像机（可变焦）</w:t>
            </w:r>
            <w:r/>
          </w:p>
        </w:tc>
        <w:tc>
          <w:tcPr>
            <w:tcW w:w="5208" w:type="dxa"/>
            <w:textDirection w:val="lrTb"/>
            <w:noWrap w:val="false"/>
          </w:tcPr>
          <w:p>
            <w:pPr>
              <w:pStyle w:val="1159"/>
              <w:rPr>
                <w:color w:val="auto"/>
                <w:sz w:val="21"/>
                <w:szCs w:val="21"/>
                <w:highlight w:val="none"/>
              </w:rPr>
            </w:pPr>
            <w:r>
              <w:rPr>
                <w:rFonts w:hint="eastAsia"/>
                <w:color w:val="auto"/>
                <w:sz w:val="21"/>
                <w:szCs w:val="21"/>
                <w:highlight w:val="none"/>
              </w:rPr>
              <w:t xml:space="preserve">支持全天候车辆信息全结构化深度提取，车辆捕获率和车牌识别率都达到99.9%以上</w:t>
            </w:r>
            <w:r>
              <w:rPr>
                <w:rFonts w:hint="eastAsia"/>
                <w:color w:val="auto"/>
                <w:sz w:val="21"/>
                <w:szCs w:val="21"/>
                <w:highlight w:val="none"/>
              </w:rPr>
              <w:br/>
            </w:r>
            <w:r>
              <w:rPr>
                <w:rFonts w:hint="eastAsia"/>
                <w:color w:val="auto"/>
                <w:sz w:val="21"/>
                <w:szCs w:val="21"/>
                <w:highlight w:val="none"/>
              </w:rPr>
              <w:t xml:space="preserve">丰富多样的信号通讯接口，可控制出入口道闸等外设</w:t>
            </w:r>
            <w:r>
              <w:rPr>
                <w:rFonts w:hint="eastAsia"/>
                <w:color w:val="auto"/>
                <w:sz w:val="21"/>
                <w:szCs w:val="21"/>
                <w:highlight w:val="none"/>
              </w:rPr>
              <w:br/>
            </w:r>
            <w:r>
              <w:rPr>
                <w:rFonts w:hint="eastAsia"/>
                <w:color w:val="auto"/>
                <w:sz w:val="21"/>
                <w:szCs w:val="21"/>
                <w:highlight w:val="none"/>
              </w:rPr>
              <w:t xml:space="preserve">内置暖光、红外双光补光灯（可根据需求自由切换），根据环境亮度自动控制开关或调节补光亮度，降低光污染和功耗</w:t>
            </w:r>
            <w:r>
              <w:rPr>
                <w:rFonts w:hint="eastAsia"/>
                <w:color w:val="auto"/>
                <w:sz w:val="21"/>
                <w:szCs w:val="21"/>
                <w:highlight w:val="none"/>
              </w:rPr>
              <w:br/>
            </w:r>
            <w:r>
              <w:rPr>
                <w:rFonts w:hint="eastAsia"/>
                <w:color w:val="auto"/>
                <w:sz w:val="21"/>
                <w:szCs w:val="21"/>
                <w:highlight w:val="none"/>
              </w:rPr>
              <w:t xml:space="preserve">采用电动变焦镜头，场景适应性强</w:t>
            </w:r>
            <w:r>
              <w:rPr>
                <w:rFonts w:hint="eastAsia"/>
                <w:color w:val="auto"/>
                <w:sz w:val="21"/>
                <w:szCs w:val="21"/>
                <w:highlight w:val="none"/>
              </w:rPr>
              <w:br/>
            </w:r>
            <w:r>
              <w:rPr>
                <w:rFonts w:hint="eastAsia"/>
                <w:color w:val="auto"/>
                <w:sz w:val="21"/>
                <w:szCs w:val="21"/>
                <w:highlight w:val="none"/>
              </w:rPr>
              <w:t xml:space="preserve">通过485可配置雷达和道闸，监控出入口系统设备运行状态，减少调试和故障定位困难问题</w:t>
            </w:r>
            <w:r>
              <w:rPr>
                <w:rFonts w:hint="eastAsia"/>
                <w:color w:val="auto"/>
                <w:sz w:val="21"/>
                <w:szCs w:val="21"/>
                <w:highlight w:val="none"/>
              </w:rPr>
              <w:br/>
            </w:r>
            <w:r>
              <w:rPr>
                <w:rFonts w:hint="eastAsia"/>
                <w:color w:val="auto"/>
                <w:sz w:val="21"/>
                <w:szCs w:val="21"/>
                <w:highlight w:val="none"/>
              </w:rPr>
              <w:t xml:space="preserve">完善的低功耗一体化结构设计，IP67防护等级</w:t>
            </w:r>
            <w:r/>
          </w:p>
        </w:tc>
        <w:tc>
          <w:tcPr>
            <w:tcW w:w="623" w:type="dxa"/>
            <w:textDirection w:val="lrTb"/>
            <w:noWrap w:val="false"/>
          </w:tcPr>
          <w:p>
            <w:pPr>
              <w:pStyle w:val="1159"/>
              <w:rPr>
                <w:color w:val="auto"/>
                <w:sz w:val="21"/>
                <w:szCs w:val="21"/>
                <w:highlight w:val="none"/>
              </w:rPr>
            </w:pPr>
            <w:r>
              <w:rPr>
                <w:rFonts w:hint="eastAsia"/>
                <w:color w:val="auto"/>
                <w:sz w:val="21"/>
                <w:szCs w:val="21"/>
                <w:highlight w:val="none"/>
              </w:rPr>
              <w:t xml:space="preserve">台</w:t>
            </w:r>
            <w:r/>
          </w:p>
        </w:tc>
        <w:tc>
          <w:tcPr>
            <w:tcW w:w="769" w:type="dxa"/>
            <w:textDirection w:val="lrTb"/>
            <w:noWrap w:val="false"/>
          </w:tcPr>
          <w:p>
            <w:pPr>
              <w:pStyle w:val="1159"/>
              <w:rPr>
                <w:color w:val="auto"/>
                <w:sz w:val="21"/>
                <w:szCs w:val="21"/>
                <w:highlight w:val="none"/>
              </w:rPr>
            </w:pPr>
            <w:r>
              <w:rPr>
                <w:rFonts w:hint="eastAsia"/>
                <w:color w:val="auto"/>
                <w:sz w:val="21"/>
                <w:szCs w:val="21"/>
                <w:highlight w:val="none"/>
              </w:rPr>
              <w:t xml:space="preserve">2</w:t>
            </w:r>
            <w:r/>
          </w:p>
        </w:tc>
      </w:tr>
      <w:tr>
        <w:trPr>
          <w:trHeight w:val="20"/>
        </w:trPr>
        <w:tc>
          <w:tcPr>
            <w:tcW w:w="624" w:type="dxa"/>
            <w:textDirection w:val="lrTb"/>
            <w:noWrap w:val="false"/>
          </w:tcPr>
          <w:p>
            <w:pPr>
              <w:pStyle w:val="1159"/>
              <w:rPr>
                <w:color w:val="auto"/>
                <w:sz w:val="21"/>
                <w:szCs w:val="21"/>
                <w:highlight w:val="none"/>
              </w:rPr>
            </w:pPr>
            <w:r>
              <w:rPr>
                <w:rFonts w:hint="eastAsia"/>
                <w:color w:val="auto"/>
                <w:sz w:val="21"/>
                <w:szCs w:val="21"/>
                <w:highlight w:val="none"/>
              </w:rPr>
              <w:t xml:space="preserve">8</w:t>
            </w:r>
            <w:r/>
          </w:p>
        </w:tc>
        <w:tc>
          <w:tcPr>
            <w:tcW w:w="1072" w:type="dxa"/>
            <w:textDirection w:val="lrTb"/>
            <w:noWrap w:val="false"/>
          </w:tcPr>
          <w:p>
            <w:pPr>
              <w:pStyle w:val="1159"/>
              <w:rPr>
                <w:color w:val="auto"/>
                <w:sz w:val="21"/>
                <w:szCs w:val="21"/>
                <w:highlight w:val="none"/>
              </w:rPr>
            </w:pPr>
            <w:r>
              <w:rPr>
                <w:rFonts w:hint="eastAsia"/>
                <w:color w:val="auto"/>
                <w:sz w:val="21"/>
                <w:szCs w:val="21"/>
                <w:highlight w:val="none"/>
              </w:rPr>
              <w:t xml:space="preserve">支架</w:t>
            </w:r>
            <w:r/>
          </w:p>
        </w:tc>
        <w:tc>
          <w:tcPr>
            <w:tcW w:w="5208" w:type="dxa"/>
            <w:textDirection w:val="lrTb"/>
            <w:noWrap w:val="false"/>
          </w:tcPr>
          <w:p>
            <w:pPr>
              <w:pStyle w:val="1159"/>
              <w:rPr>
                <w:color w:val="auto"/>
                <w:sz w:val="21"/>
                <w:szCs w:val="21"/>
                <w:highlight w:val="none"/>
              </w:rPr>
            </w:pPr>
            <w:r>
              <w:rPr>
                <w:rFonts w:hint="eastAsia"/>
                <w:color w:val="auto"/>
                <w:sz w:val="21"/>
                <w:szCs w:val="21"/>
                <w:highlight w:val="none"/>
              </w:rPr>
              <w:t xml:space="preserve">1.2m白色立杆支架；支持摄像机360度旋转；支持内走线应用场景；与摄像机配套使用；带补光灯</w:t>
            </w:r>
            <w:r/>
          </w:p>
        </w:tc>
        <w:tc>
          <w:tcPr>
            <w:tcW w:w="623" w:type="dxa"/>
            <w:textDirection w:val="lrTb"/>
            <w:noWrap w:val="false"/>
          </w:tcPr>
          <w:p>
            <w:pPr>
              <w:pStyle w:val="1159"/>
              <w:rPr>
                <w:color w:val="auto"/>
                <w:sz w:val="21"/>
                <w:szCs w:val="21"/>
                <w:highlight w:val="none"/>
              </w:rPr>
            </w:pPr>
            <w:r>
              <w:rPr>
                <w:rFonts w:hint="eastAsia"/>
                <w:color w:val="auto"/>
                <w:sz w:val="21"/>
                <w:szCs w:val="21"/>
                <w:highlight w:val="none"/>
              </w:rPr>
              <w:t xml:space="preserve">根</w:t>
            </w:r>
            <w:r/>
          </w:p>
        </w:tc>
        <w:tc>
          <w:tcPr>
            <w:tcW w:w="769" w:type="dxa"/>
            <w:textDirection w:val="lrTb"/>
            <w:noWrap w:val="false"/>
          </w:tcPr>
          <w:p>
            <w:pPr>
              <w:pStyle w:val="1159"/>
              <w:rPr>
                <w:color w:val="auto"/>
                <w:sz w:val="21"/>
                <w:szCs w:val="21"/>
                <w:highlight w:val="none"/>
              </w:rPr>
            </w:pPr>
            <w:r>
              <w:rPr>
                <w:rFonts w:hint="eastAsia"/>
                <w:color w:val="auto"/>
                <w:sz w:val="21"/>
                <w:szCs w:val="21"/>
                <w:highlight w:val="none"/>
              </w:rPr>
              <w:t xml:space="preserve">2</w:t>
            </w:r>
            <w:r/>
          </w:p>
        </w:tc>
      </w:tr>
      <w:tr>
        <w:trPr>
          <w:trHeight w:val="20"/>
        </w:trPr>
        <w:tc>
          <w:tcPr>
            <w:tcW w:w="624" w:type="dxa"/>
            <w:textDirection w:val="lrTb"/>
            <w:noWrap w:val="false"/>
          </w:tcPr>
          <w:p>
            <w:pPr>
              <w:pStyle w:val="1159"/>
              <w:rPr>
                <w:color w:val="auto"/>
                <w:sz w:val="21"/>
                <w:szCs w:val="21"/>
                <w:highlight w:val="none"/>
              </w:rPr>
            </w:pPr>
            <w:r>
              <w:rPr>
                <w:rFonts w:hint="eastAsia"/>
                <w:color w:val="auto"/>
                <w:sz w:val="21"/>
                <w:szCs w:val="21"/>
                <w:highlight w:val="none"/>
              </w:rPr>
              <w:t xml:space="preserve">9</w:t>
            </w:r>
            <w:r/>
          </w:p>
        </w:tc>
        <w:tc>
          <w:tcPr>
            <w:tcW w:w="1072" w:type="dxa"/>
            <w:textDirection w:val="lrTb"/>
            <w:noWrap w:val="false"/>
          </w:tcPr>
          <w:p>
            <w:pPr>
              <w:pStyle w:val="1159"/>
              <w:rPr>
                <w:color w:val="auto"/>
                <w:sz w:val="21"/>
                <w:szCs w:val="21"/>
                <w:highlight w:val="none"/>
              </w:rPr>
            </w:pPr>
            <w:r>
              <w:rPr>
                <w:rFonts w:hint="eastAsia"/>
                <w:color w:val="auto"/>
                <w:sz w:val="21"/>
                <w:szCs w:val="21"/>
                <w:highlight w:val="none"/>
              </w:rPr>
              <w:t xml:space="preserve">2*1.0电源线1</w:t>
            </w:r>
            <w:r/>
          </w:p>
        </w:tc>
        <w:tc>
          <w:tcPr>
            <w:tcW w:w="5208" w:type="dxa"/>
            <w:textDirection w:val="lrTb"/>
            <w:noWrap w:val="false"/>
          </w:tcPr>
          <w:p>
            <w:pPr>
              <w:pStyle w:val="1159"/>
              <w:rPr>
                <w:color w:val="auto"/>
                <w:sz w:val="21"/>
                <w:szCs w:val="21"/>
                <w:highlight w:val="none"/>
              </w:rPr>
            </w:pPr>
            <w:r>
              <w:rPr>
                <w:rFonts w:hint="eastAsia"/>
                <w:color w:val="auto"/>
                <w:sz w:val="21"/>
                <w:szCs w:val="21"/>
                <w:highlight w:val="none"/>
              </w:rPr>
              <w:t xml:space="preserve">国标RVV 2*1</w:t>
            </w:r>
            <w:r/>
          </w:p>
        </w:tc>
        <w:tc>
          <w:tcPr>
            <w:tcW w:w="623" w:type="dxa"/>
            <w:textDirection w:val="lrTb"/>
            <w:noWrap w:val="false"/>
          </w:tcPr>
          <w:p>
            <w:pPr>
              <w:pStyle w:val="1159"/>
              <w:rPr>
                <w:color w:val="auto"/>
                <w:sz w:val="21"/>
                <w:szCs w:val="21"/>
                <w:highlight w:val="none"/>
              </w:rPr>
            </w:pPr>
            <w:r>
              <w:rPr>
                <w:rFonts w:hint="eastAsia"/>
                <w:color w:val="auto"/>
                <w:sz w:val="21"/>
                <w:szCs w:val="21"/>
                <w:highlight w:val="none"/>
              </w:rPr>
              <w:t xml:space="preserve">米</w:t>
            </w:r>
            <w:r/>
          </w:p>
        </w:tc>
        <w:tc>
          <w:tcPr>
            <w:tcW w:w="769" w:type="dxa"/>
            <w:textDirection w:val="lrTb"/>
            <w:noWrap w:val="false"/>
          </w:tcPr>
          <w:p>
            <w:pPr>
              <w:pStyle w:val="1159"/>
              <w:rPr>
                <w:color w:val="auto"/>
                <w:sz w:val="21"/>
                <w:szCs w:val="21"/>
                <w:highlight w:val="none"/>
              </w:rPr>
            </w:pPr>
            <w:r>
              <w:rPr>
                <w:rFonts w:hint="eastAsia"/>
                <w:color w:val="auto"/>
                <w:sz w:val="21"/>
                <w:szCs w:val="21"/>
                <w:highlight w:val="none"/>
              </w:rPr>
              <w:t xml:space="preserve">60</w:t>
            </w:r>
            <w:r/>
          </w:p>
        </w:tc>
      </w:tr>
      <w:tr>
        <w:trPr>
          <w:trHeight w:val="20"/>
        </w:trPr>
        <w:tc>
          <w:tcPr>
            <w:tcW w:w="624" w:type="dxa"/>
            <w:textDirection w:val="lrTb"/>
            <w:noWrap w:val="false"/>
          </w:tcPr>
          <w:p>
            <w:pPr>
              <w:pStyle w:val="1159"/>
              <w:rPr>
                <w:color w:val="auto"/>
                <w:sz w:val="21"/>
                <w:szCs w:val="21"/>
                <w:highlight w:val="none"/>
              </w:rPr>
            </w:pPr>
            <w:r>
              <w:rPr>
                <w:rFonts w:hint="eastAsia"/>
                <w:color w:val="auto"/>
                <w:sz w:val="21"/>
                <w:szCs w:val="21"/>
                <w:highlight w:val="none"/>
              </w:rPr>
              <w:t xml:space="preserve">10</w:t>
            </w:r>
            <w:r/>
          </w:p>
        </w:tc>
        <w:tc>
          <w:tcPr>
            <w:tcW w:w="1072" w:type="dxa"/>
            <w:textDirection w:val="lrTb"/>
            <w:noWrap w:val="false"/>
          </w:tcPr>
          <w:p>
            <w:pPr>
              <w:pStyle w:val="1159"/>
              <w:rPr>
                <w:color w:val="auto"/>
                <w:sz w:val="21"/>
                <w:szCs w:val="21"/>
                <w:highlight w:val="none"/>
              </w:rPr>
            </w:pPr>
            <w:r>
              <w:rPr>
                <w:rFonts w:hint="eastAsia"/>
                <w:color w:val="auto"/>
                <w:sz w:val="21"/>
                <w:szCs w:val="21"/>
                <w:highlight w:val="none"/>
              </w:rPr>
              <w:t xml:space="preserve">超五类网线1</w:t>
            </w:r>
            <w:r/>
          </w:p>
        </w:tc>
        <w:tc>
          <w:tcPr>
            <w:tcW w:w="5208" w:type="dxa"/>
            <w:textDirection w:val="lrTb"/>
            <w:noWrap w:val="false"/>
          </w:tcPr>
          <w:p>
            <w:pPr>
              <w:pStyle w:val="1159"/>
              <w:rPr>
                <w:color w:val="auto"/>
                <w:sz w:val="21"/>
                <w:szCs w:val="21"/>
                <w:highlight w:val="none"/>
              </w:rPr>
            </w:pPr>
            <w:r>
              <w:rPr>
                <w:rFonts w:hint="eastAsia"/>
                <w:color w:val="auto"/>
                <w:sz w:val="21"/>
                <w:szCs w:val="21"/>
                <w:highlight w:val="none"/>
              </w:rPr>
              <w:t xml:space="preserve">国标超五类，305米/箱，双层护套</w:t>
            </w:r>
            <w:r/>
          </w:p>
        </w:tc>
        <w:tc>
          <w:tcPr>
            <w:tcW w:w="623" w:type="dxa"/>
            <w:textDirection w:val="lrTb"/>
            <w:noWrap w:val="false"/>
          </w:tcPr>
          <w:p>
            <w:pPr>
              <w:pStyle w:val="1159"/>
              <w:rPr>
                <w:color w:val="auto"/>
                <w:sz w:val="21"/>
                <w:szCs w:val="21"/>
                <w:highlight w:val="none"/>
              </w:rPr>
            </w:pPr>
            <w:r>
              <w:rPr>
                <w:rFonts w:hint="eastAsia"/>
                <w:color w:val="auto"/>
                <w:sz w:val="21"/>
                <w:szCs w:val="21"/>
                <w:highlight w:val="none"/>
              </w:rPr>
              <w:t xml:space="preserve">米</w:t>
            </w:r>
            <w:r/>
          </w:p>
        </w:tc>
        <w:tc>
          <w:tcPr>
            <w:tcW w:w="769" w:type="dxa"/>
            <w:textDirection w:val="lrTb"/>
            <w:noWrap w:val="false"/>
          </w:tcPr>
          <w:p>
            <w:pPr>
              <w:pStyle w:val="1159"/>
              <w:rPr>
                <w:color w:val="auto"/>
                <w:sz w:val="21"/>
                <w:szCs w:val="21"/>
                <w:highlight w:val="none"/>
              </w:rPr>
            </w:pPr>
            <w:r>
              <w:rPr>
                <w:rFonts w:hint="eastAsia"/>
                <w:color w:val="auto"/>
                <w:sz w:val="21"/>
                <w:szCs w:val="21"/>
                <w:highlight w:val="none"/>
              </w:rPr>
              <w:t xml:space="preserve">60</w:t>
            </w:r>
            <w:r/>
          </w:p>
        </w:tc>
      </w:tr>
      <w:tr>
        <w:trPr>
          <w:trHeight w:val="20"/>
        </w:trPr>
        <w:tc>
          <w:tcPr>
            <w:tcW w:w="624" w:type="dxa"/>
            <w:textDirection w:val="lrTb"/>
            <w:noWrap w:val="false"/>
          </w:tcPr>
          <w:p>
            <w:pPr>
              <w:pStyle w:val="1159"/>
              <w:rPr>
                <w:color w:val="auto"/>
                <w:sz w:val="21"/>
                <w:szCs w:val="21"/>
                <w:highlight w:val="none"/>
              </w:rPr>
            </w:pPr>
            <w:r>
              <w:rPr>
                <w:rFonts w:hint="eastAsia"/>
                <w:color w:val="auto"/>
                <w:sz w:val="21"/>
                <w:szCs w:val="21"/>
                <w:highlight w:val="none"/>
              </w:rPr>
              <w:t xml:space="preserve">11</w:t>
            </w:r>
            <w:r/>
          </w:p>
        </w:tc>
        <w:tc>
          <w:tcPr>
            <w:tcW w:w="1072" w:type="dxa"/>
            <w:textDirection w:val="lrTb"/>
            <w:noWrap w:val="false"/>
          </w:tcPr>
          <w:p>
            <w:pPr>
              <w:pStyle w:val="1159"/>
              <w:rPr>
                <w:color w:val="auto"/>
                <w:sz w:val="21"/>
                <w:szCs w:val="21"/>
                <w:highlight w:val="none"/>
              </w:rPr>
            </w:pPr>
            <w:r>
              <w:rPr>
                <w:rFonts w:hint="eastAsia"/>
                <w:color w:val="auto"/>
                <w:sz w:val="21"/>
                <w:szCs w:val="21"/>
                <w:highlight w:val="none"/>
              </w:rPr>
              <w:t xml:space="preserve">PVC管1</w:t>
            </w:r>
            <w:r/>
          </w:p>
        </w:tc>
        <w:tc>
          <w:tcPr>
            <w:tcW w:w="5208" w:type="dxa"/>
            <w:textDirection w:val="lrTb"/>
            <w:noWrap w:val="false"/>
          </w:tcPr>
          <w:p>
            <w:pPr>
              <w:pStyle w:val="1159"/>
              <w:rPr>
                <w:color w:val="auto"/>
                <w:sz w:val="21"/>
                <w:szCs w:val="21"/>
                <w:highlight w:val="none"/>
              </w:rPr>
            </w:pPr>
            <w:r>
              <w:rPr>
                <w:rFonts w:hint="eastAsia"/>
                <w:color w:val="auto"/>
                <w:sz w:val="21"/>
                <w:szCs w:val="21"/>
                <w:highlight w:val="none"/>
              </w:rPr>
              <w:t xml:space="preserve">国标Φ25，含附件</w:t>
            </w:r>
            <w:r/>
          </w:p>
        </w:tc>
        <w:tc>
          <w:tcPr>
            <w:tcW w:w="623" w:type="dxa"/>
            <w:textDirection w:val="lrTb"/>
            <w:noWrap w:val="false"/>
          </w:tcPr>
          <w:p>
            <w:pPr>
              <w:pStyle w:val="1159"/>
              <w:rPr>
                <w:color w:val="auto"/>
                <w:sz w:val="21"/>
                <w:szCs w:val="21"/>
                <w:highlight w:val="none"/>
              </w:rPr>
            </w:pPr>
            <w:r>
              <w:rPr>
                <w:rFonts w:hint="eastAsia"/>
                <w:color w:val="auto"/>
                <w:sz w:val="21"/>
                <w:szCs w:val="21"/>
                <w:highlight w:val="none"/>
              </w:rPr>
              <w:t xml:space="preserve">米</w:t>
            </w:r>
            <w:r/>
          </w:p>
        </w:tc>
        <w:tc>
          <w:tcPr>
            <w:tcW w:w="769" w:type="dxa"/>
            <w:textDirection w:val="lrTb"/>
            <w:noWrap w:val="false"/>
          </w:tcPr>
          <w:p>
            <w:pPr>
              <w:pStyle w:val="1159"/>
              <w:rPr>
                <w:color w:val="auto"/>
                <w:sz w:val="21"/>
                <w:szCs w:val="21"/>
                <w:highlight w:val="none"/>
              </w:rPr>
            </w:pPr>
            <w:r>
              <w:rPr>
                <w:rFonts w:hint="eastAsia"/>
                <w:color w:val="auto"/>
                <w:sz w:val="21"/>
                <w:szCs w:val="21"/>
                <w:highlight w:val="none"/>
              </w:rPr>
              <w:t xml:space="preserve">40</w:t>
            </w:r>
            <w:r/>
          </w:p>
        </w:tc>
      </w:tr>
      <w:tr>
        <w:trPr>
          <w:trHeight w:val="20"/>
        </w:trPr>
        <w:tc>
          <w:tcPr>
            <w:tcW w:w="624" w:type="dxa"/>
            <w:textDirection w:val="lrTb"/>
            <w:noWrap w:val="false"/>
          </w:tcPr>
          <w:p>
            <w:pPr>
              <w:pStyle w:val="1159"/>
              <w:rPr>
                <w:color w:val="auto"/>
                <w:sz w:val="21"/>
                <w:szCs w:val="21"/>
                <w:highlight w:val="none"/>
              </w:rPr>
            </w:pPr>
            <w:r>
              <w:rPr>
                <w:rFonts w:hint="eastAsia"/>
                <w:color w:val="auto"/>
                <w:sz w:val="21"/>
                <w:szCs w:val="21"/>
                <w:highlight w:val="none"/>
              </w:rPr>
              <w:t xml:space="preserve">12</w:t>
            </w:r>
            <w:r/>
          </w:p>
        </w:tc>
        <w:tc>
          <w:tcPr>
            <w:tcW w:w="1072" w:type="dxa"/>
            <w:textDirection w:val="lrTb"/>
            <w:noWrap w:val="false"/>
          </w:tcPr>
          <w:p>
            <w:pPr>
              <w:pStyle w:val="1159"/>
              <w:rPr>
                <w:color w:val="auto"/>
                <w:sz w:val="21"/>
                <w:szCs w:val="21"/>
                <w:highlight w:val="none"/>
              </w:rPr>
            </w:pPr>
            <w:r>
              <w:rPr>
                <w:rFonts w:hint="eastAsia"/>
                <w:color w:val="auto"/>
                <w:sz w:val="21"/>
                <w:szCs w:val="21"/>
                <w:highlight w:val="none"/>
              </w:rPr>
              <w:t xml:space="preserve">轨迹抓拍摄像机</w:t>
            </w:r>
            <w:r/>
          </w:p>
        </w:tc>
        <w:tc>
          <w:tcPr>
            <w:tcW w:w="5208" w:type="dxa"/>
            <w:textDirection w:val="lrTb"/>
            <w:noWrap w:val="false"/>
          </w:tcPr>
          <w:p>
            <w:pPr>
              <w:pStyle w:val="1159"/>
              <w:rPr>
                <w:color w:val="auto"/>
                <w:sz w:val="21"/>
                <w:szCs w:val="21"/>
                <w:highlight w:val="none"/>
              </w:rPr>
            </w:pPr>
            <w:r>
              <w:rPr>
                <w:rFonts w:hint="eastAsia"/>
                <w:color w:val="auto"/>
                <w:sz w:val="21"/>
                <w:szCs w:val="21"/>
                <w:highlight w:val="none"/>
              </w:rPr>
              <w:t xml:space="preserve">采用性能不低于400万像素1/1.8英寸CMOS传感器；支持分辨率2688×1520；最低照度：≤0.001Lux（彩色模式）；≤0.0001Lux（黑白模式）；0Lux（补光灯开启）；支持补光距离40m</w:t>
            </w:r>
            <w:r>
              <w:rPr>
                <w:rFonts w:hint="eastAsia"/>
                <w:color w:val="auto"/>
                <w:sz w:val="21"/>
                <w:szCs w:val="21"/>
                <w:highlight w:val="none"/>
              </w:rPr>
              <w:t xml:space="preserve">（视频监控距离）15m（人脸检测距离）；镜头类型电动变焦；镜头焦距2.7-12mm；通用行为分析物品遗留；物品搬移；热度图支持；周界防范绊线入侵；区域入侵；快速移动（三项均支持人车分类及精准检测）；徘徊检测；人员聚集；停车检测；人脸检测支持人脸检测；支持跟踪；支持优选；支持抓拍（抓图分辨率1080P）；支持上报最优的人脸抓图；支持人脸增强，支持人脸曝光；支持人脸属性提取，支持7种属性8种表情：性别，年龄，眼镜，表情（愤怒，悲伤，厌恶，害怕，惊讶，平静，高兴，困惑），口罩，肤色，胡子；支持人脸抠图区域可设：人</w:t>
            </w:r>
            <w:r>
              <w:rPr>
                <w:rFonts w:hint="eastAsia"/>
                <w:color w:val="auto"/>
                <w:sz w:val="21"/>
                <w:szCs w:val="21"/>
                <w:highlight w:val="none"/>
              </w:rPr>
              <w:t xml:space="preserve">脸，单寸照；支持实时抓拍；支持优选抓拍；支持质量优先三种抓拍策略；支持人脸角度过滤功能；支持优选时长可设；人数统计支持对进入、离开以及经过的人员进行数量统计，支持区域内人员进行数量统计，并可显示及输出日、月、年统计报表支持排队管理，支持4条规则配置，对限定的排队人数和排队时间进行统计并联动报警；视频压缩标准H.265；H.264；H.264H；H.264B；MJPEG（仅辅码流1支持）；智能编码H.264：支持H.265：支持；宽动态120dB；透雾功能支持；报警事件无SD卡；SD卡空间不足；SD卡出错；S</w:t>
            </w:r>
            <w:r>
              <w:rPr>
                <w:rFonts w:hint="eastAsia"/>
                <w:color w:val="auto"/>
                <w:sz w:val="21"/>
                <w:szCs w:val="21"/>
                <w:highlight w:val="none"/>
              </w:rPr>
              <w:t xml:space="preserve">D卡寿命不足（安防智能卡支持）；网络断开；IP冲突；非法访问；动态检测；视频遮挡；绊线入侵；区域入侵；快速移动；物品遗留；物品搬移；徘徊检测；人员聚集；停车检测；场景变更；音频异常侦测；电压检测；虚焦侦测；外部报警；人脸检测；区域内人数统计；滞留报警；人数统计；人数异常检测；排队人数；排队时间；安全异常；接入标准ONVIF（ProfileS/ProfileG/ProfileT）；GB/T28181（双国标）；CGI；最大MicroSD卡256GB；支持音频输入输出；支持报警输入输出；防护等级不低于IP67；</w:t>
            </w:r>
            <w:r>
              <w:rPr>
                <w:rFonts w:hint="eastAsia"/>
                <w:color w:val="auto"/>
                <w:sz w:val="21"/>
                <w:szCs w:val="21"/>
                <w:highlight w:val="none"/>
              </w:rPr>
              <w:br/>
            </w:r>
            <w:r>
              <w:rPr>
                <w:rFonts w:hint="eastAsia"/>
                <w:color w:val="auto"/>
                <w:sz w:val="21"/>
                <w:szCs w:val="21"/>
                <w:highlight w:val="none"/>
              </w:rPr>
              <w:t xml:space="preserve">★智能编码功能检验:同一静止场景相同图像质量下，设备开启智能编码功能和不开启智能编码相比，码率节约4/5；</w:t>
            </w:r>
            <w:r>
              <w:rPr>
                <w:rFonts w:hint="eastAsia"/>
                <w:color w:val="auto"/>
                <w:sz w:val="21"/>
                <w:szCs w:val="21"/>
                <w:highlight w:val="none"/>
              </w:rPr>
              <w:br/>
            </w:r>
            <w:r>
              <w:rPr>
                <w:rFonts w:hint="eastAsia"/>
                <w:color w:val="auto"/>
                <w:sz w:val="21"/>
                <w:szCs w:val="21"/>
                <w:highlight w:val="none"/>
              </w:rPr>
              <w:t xml:space="preserve">★智能物品检测功能检查:支持物品监测功能，可设置8组智能规则并进行独立布防，每组的布撤防时间可单独设置，目标在布防区域和布防时间段内出现会触发报警，并联动相关操作:可对画面中出现的箱子、包、盒、非机动车进行检测；</w:t>
            </w:r>
            <w:r>
              <w:rPr>
                <w:rFonts w:hint="eastAsia"/>
                <w:color w:val="auto"/>
                <w:sz w:val="21"/>
                <w:szCs w:val="21"/>
                <w:highlight w:val="none"/>
              </w:rPr>
              <w:br/>
            </w:r>
            <w:r>
              <w:rPr>
                <w:rFonts w:hint="eastAsia"/>
                <w:color w:val="auto"/>
                <w:sz w:val="21"/>
                <w:szCs w:val="21"/>
                <w:highlight w:val="none"/>
              </w:rPr>
              <w:t xml:space="preserve">★支持对智能行为分析目标规则进行设置，可设置为遗留或拿取，检测最短持续时间可设置为6~300秒；可对目标大小(像素值)范围进行设置，使样机只对预设大小(像素值)范围内的物体进行检测；支持行为分析触发后联动抓图、录像、目标跟踪、报警上传、发送邮件、声光警戒等多种报警触发方式。</w:t>
            </w:r>
            <w:r/>
          </w:p>
        </w:tc>
        <w:tc>
          <w:tcPr>
            <w:tcW w:w="623" w:type="dxa"/>
            <w:textDirection w:val="lrTb"/>
            <w:noWrap w:val="false"/>
          </w:tcPr>
          <w:p>
            <w:pPr>
              <w:pStyle w:val="1159"/>
              <w:rPr>
                <w:color w:val="auto"/>
                <w:sz w:val="21"/>
                <w:szCs w:val="21"/>
                <w:highlight w:val="none"/>
              </w:rPr>
            </w:pPr>
            <w:r>
              <w:rPr>
                <w:rFonts w:hint="eastAsia"/>
                <w:color w:val="auto"/>
                <w:sz w:val="21"/>
                <w:szCs w:val="21"/>
                <w:highlight w:val="none"/>
              </w:rPr>
              <w:t xml:space="preserve">台</w:t>
            </w:r>
            <w:r/>
          </w:p>
        </w:tc>
        <w:tc>
          <w:tcPr>
            <w:tcW w:w="769" w:type="dxa"/>
            <w:textDirection w:val="lrTb"/>
            <w:noWrap w:val="false"/>
          </w:tcPr>
          <w:p>
            <w:pPr>
              <w:pStyle w:val="1159"/>
              <w:rPr>
                <w:color w:val="auto"/>
                <w:sz w:val="21"/>
                <w:szCs w:val="21"/>
                <w:highlight w:val="none"/>
              </w:rPr>
            </w:pPr>
            <w:r>
              <w:rPr>
                <w:rFonts w:hint="eastAsia"/>
                <w:color w:val="auto"/>
                <w:sz w:val="21"/>
                <w:szCs w:val="21"/>
                <w:highlight w:val="none"/>
              </w:rPr>
              <w:t xml:space="preserve">19</w:t>
            </w:r>
            <w:r/>
          </w:p>
        </w:tc>
      </w:tr>
      <w:tr>
        <w:trPr>
          <w:trHeight w:val="20"/>
        </w:trPr>
        <w:tc>
          <w:tcPr>
            <w:tcW w:w="624" w:type="dxa"/>
            <w:textDirection w:val="lrTb"/>
            <w:noWrap w:val="false"/>
          </w:tcPr>
          <w:p>
            <w:pPr>
              <w:pStyle w:val="1159"/>
              <w:rPr>
                <w:color w:val="auto"/>
                <w:sz w:val="21"/>
                <w:szCs w:val="21"/>
                <w:highlight w:val="none"/>
              </w:rPr>
            </w:pPr>
            <w:r>
              <w:rPr>
                <w:rFonts w:hint="eastAsia"/>
                <w:color w:val="auto"/>
                <w:sz w:val="21"/>
                <w:szCs w:val="21"/>
                <w:highlight w:val="none"/>
              </w:rPr>
              <w:t xml:space="preserve">13</w:t>
            </w:r>
            <w:r/>
          </w:p>
        </w:tc>
        <w:tc>
          <w:tcPr>
            <w:tcW w:w="1072" w:type="dxa"/>
            <w:textDirection w:val="lrTb"/>
            <w:noWrap w:val="false"/>
          </w:tcPr>
          <w:p>
            <w:pPr>
              <w:pStyle w:val="1159"/>
              <w:rPr>
                <w:color w:val="auto"/>
                <w:sz w:val="21"/>
                <w:szCs w:val="21"/>
                <w:highlight w:val="none"/>
              </w:rPr>
            </w:pPr>
            <w:r>
              <w:rPr>
                <w:rFonts w:hint="eastAsia"/>
                <w:color w:val="auto"/>
                <w:sz w:val="21"/>
                <w:szCs w:val="21"/>
                <w:highlight w:val="none"/>
              </w:rPr>
              <w:t xml:space="preserve">红外数字高清枪式摄像机</w:t>
            </w:r>
            <w:r/>
          </w:p>
        </w:tc>
        <w:tc>
          <w:tcPr>
            <w:tcW w:w="5208" w:type="dxa"/>
            <w:textDirection w:val="lrTb"/>
            <w:noWrap w:val="false"/>
          </w:tcPr>
          <w:p>
            <w:pPr>
              <w:pStyle w:val="1159"/>
              <w:rPr>
                <w:color w:val="auto"/>
                <w:sz w:val="21"/>
                <w:szCs w:val="21"/>
                <w:highlight w:val="none"/>
              </w:rPr>
            </w:pPr>
            <w:r>
              <w:rPr>
                <w:rFonts w:hint="eastAsia"/>
                <w:color w:val="auto"/>
                <w:sz w:val="21"/>
                <w:szCs w:val="21"/>
                <w:highlight w:val="none"/>
              </w:rPr>
              <w:t xml:space="preserve">内置GPU芯片，支持深度学习算法，有效提升检测准确率；</w:t>
            </w:r>
            <w:r>
              <w:rPr>
                <w:rFonts w:hint="eastAsia"/>
                <w:color w:val="auto"/>
                <w:sz w:val="21"/>
                <w:szCs w:val="21"/>
                <w:highlight w:val="none"/>
              </w:rPr>
              <w:br/>
            </w:r>
            <w:r>
              <w:rPr>
                <w:rFonts w:hint="eastAsia"/>
                <w:color w:val="auto"/>
                <w:sz w:val="21"/>
                <w:szCs w:val="21"/>
                <w:highlight w:val="none"/>
              </w:rPr>
              <w:t xml:space="preserve">支持通用行为分析、智能动检，满足通用场景检测需求；</w:t>
            </w:r>
            <w:r>
              <w:rPr>
                <w:rFonts w:hint="eastAsia"/>
                <w:color w:val="auto"/>
                <w:sz w:val="21"/>
                <w:szCs w:val="21"/>
                <w:highlight w:val="none"/>
              </w:rPr>
              <w:br/>
            </w:r>
            <w:r>
              <w:rPr>
                <w:rFonts w:hint="eastAsia"/>
                <w:color w:val="auto"/>
                <w:sz w:val="21"/>
                <w:szCs w:val="21"/>
                <w:highlight w:val="none"/>
              </w:rPr>
              <w:t xml:space="preserve">支持两路码流功能；</w:t>
            </w:r>
            <w:r>
              <w:rPr>
                <w:rFonts w:hint="eastAsia"/>
                <w:color w:val="auto"/>
                <w:sz w:val="21"/>
                <w:szCs w:val="21"/>
                <w:highlight w:val="none"/>
              </w:rPr>
              <w:br/>
            </w:r>
            <w:r>
              <w:rPr>
                <w:rFonts w:hint="eastAsia"/>
                <w:color w:val="auto"/>
                <w:sz w:val="21"/>
                <w:szCs w:val="21"/>
                <w:highlight w:val="none"/>
              </w:rPr>
              <w:t xml:space="preserve">采用性能不低于400万像素1/2.7英寸CMOS图像传感器，低照度效果好，图像清晰度高；</w:t>
            </w:r>
            <w:r>
              <w:rPr>
                <w:rFonts w:hint="eastAsia"/>
                <w:color w:val="auto"/>
                <w:sz w:val="21"/>
                <w:szCs w:val="21"/>
                <w:highlight w:val="none"/>
              </w:rPr>
              <w:br/>
            </w:r>
            <w:r>
              <w:rPr>
                <w:rFonts w:hint="eastAsia"/>
                <w:color w:val="auto"/>
                <w:sz w:val="21"/>
                <w:szCs w:val="21"/>
                <w:highlight w:val="none"/>
              </w:rPr>
              <w:t xml:space="preserve">最低照度：(彩色模式)≤0.002Lux；(黑白模式)≤0.0002Lux；0Lux(补光灯开启)；</w:t>
            </w:r>
            <w:r>
              <w:rPr>
                <w:rFonts w:hint="eastAsia"/>
                <w:color w:val="auto"/>
                <w:sz w:val="21"/>
                <w:szCs w:val="21"/>
                <w:highlight w:val="none"/>
              </w:rPr>
              <w:br/>
            </w:r>
            <w:r>
              <w:rPr>
                <w:rFonts w:hint="eastAsia"/>
                <w:color w:val="auto"/>
                <w:sz w:val="21"/>
                <w:szCs w:val="21"/>
                <w:highlight w:val="none"/>
              </w:rPr>
              <w:t xml:space="preserve">最大可输出400万(2688×1520)@25fps；</w:t>
            </w:r>
            <w:r>
              <w:rPr>
                <w:rFonts w:hint="eastAsia"/>
                <w:color w:val="auto"/>
                <w:sz w:val="21"/>
                <w:szCs w:val="21"/>
                <w:highlight w:val="none"/>
              </w:rPr>
              <w:br/>
            </w:r>
            <w:r>
              <w:rPr>
                <w:rFonts w:hint="eastAsia"/>
                <w:color w:val="auto"/>
                <w:sz w:val="21"/>
                <w:szCs w:val="21"/>
                <w:highlight w:val="none"/>
              </w:rPr>
              <w:t xml:space="preserve">内置高效红外补光灯，最大红外监控距离50米；</w:t>
            </w:r>
            <w:r>
              <w:rPr>
                <w:rFonts w:hint="eastAsia"/>
                <w:color w:val="auto"/>
                <w:sz w:val="21"/>
                <w:szCs w:val="21"/>
                <w:highlight w:val="none"/>
              </w:rPr>
              <w:br/>
            </w:r>
            <w:r>
              <w:rPr>
                <w:rFonts w:hint="eastAsia"/>
                <w:color w:val="auto"/>
                <w:sz w:val="21"/>
                <w:szCs w:val="21"/>
                <w:highlight w:val="none"/>
              </w:rPr>
              <w:t xml:space="preserve">支持走廊模式，宽动态，3D降噪，强光抑制，背光补偿，数字水印，适用不同监控环境；</w:t>
            </w:r>
            <w:r>
              <w:rPr>
                <w:rFonts w:hint="eastAsia"/>
                <w:color w:val="auto"/>
                <w:sz w:val="21"/>
                <w:szCs w:val="21"/>
                <w:highlight w:val="none"/>
              </w:rPr>
              <w:br/>
            </w:r>
            <w:r>
              <w:rPr>
                <w:rFonts w:hint="eastAsia"/>
                <w:color w:val="auto"/>
                <w:sz w:val="21"/>
                <w:szCs w:val="21"/>
                <w:highlight w:val="none"/>
              </w:rPr>
              <w:t xml:space="preserve">支持ROI，SMART H.264/H.265，AI H.264/H.265，灵活编码，适用不同带宽和存储环境；</w:t>
            </w:r>
            <w:r>
              <w:rPr>
                <w:rFonts w:hint="eastAsia"/>
                <w:color w:val="auto"/>
                <w:sz w:val="21"/>
                <w:szCs w:val="21"/>
                <w:highlight w:val="none"/>
              </w:rPr>
              <w:br/>
            </w:r>
            <w:r>
              <w:rPr>
                <w:rFonts w:hint="eastAsia"/>
                <w:color w:val="auto"/>
                <w:sz w:val="21"/>
                <w:szCs w:val="21"/>
                <w:highlight w:val="none"/>
              </w:rPr>
              <w:t xml:space="preserve">内置MIC；宽动态120dB；</w:t>
            </w:r>
            <w:r>
              <w:rPr>
                <w:rFonts w:hint="eastAsia"/>
                <w:color w:val="auto"/>
                <w:sz w:val="21"/>
                <w:szCs w:val="21"/>
                <w:highlight w:val="none"/>
              </w:rPr>
              <w:br/>
            </w:r>
            <w:r>
              <w:rPr>
                <w:rFonts w:hint="eastAsia"/>
                <w:color w:val="auto"/>
                <w:sz w:val="21"/>
                <w:szCs w:val="21"/>
                <w:highlight w:val="none"/>
              </w:rPr>
              <w:t xml:space="preserve">支持IP67防护等级</w:t>
            </w:r>
            <w:r/>
          </w:p>
        </w:tc>
        <w:tc>
          <w:tcPr>
            <w:tcW w:w="623" w:type="dxa"/>
            <w:textDirection w:val="lrTb"/>
            <w:noWrap w:val="false"/>
          </w:tcPr>
          <w:p>
            <w:pPr>
              <w:pStyle w:val="1159"/>
              <w:rPr>
                <w:color w:val="auto"/>
                <w:sz w:val="21"/>
                <w:szCs w:val="21"/>
                <w:highlight w:val="none"/>
              </w:rPr>
            </w:pPr>
            <w:r>
              <w:rPr>
                <w:rFonts w:hint="eastAsia"/>
                <w:color w:val="auto"/>
                <w:sz w:val="21"/>
                <w:szCs w:val="21"/>
                <w:highlight w:val="none"/>
              </w:rPr>
              <w:t xml:space="preserve">台</w:t>
            </w:r>
            <w:r/>
          </w:p>
        </w:tc>
        <w:tc>
          <w:tcPr>
            <w:tcW w:w="769" w:type="dxa"/>
            <w:textDirection w:val="lrTb"/>
            <w:noWrap w:val="false"/>
          </w:tcPr>
          <w:p>
            <w:pPr>
              <w:pStyle w:val="1159"/>
              <w:rPr>
                <w:color w:val="auto"/>
                <w:sz w:val="21"/>
                <w:szCs w:val="21"/>
                <w:highlight w:val="none"/>
              </w:rPr>
            </w:pPr>
            <w:r>
              <w:rPr>
                <w:rFonts w:hint="eastAsia"/>
                <w:color w:val="auto"/>
                <w:sz w:val="21"/>
                <w:szCs w:val="21"/>
                <w:highlight w:val="none"/>
              </w:rPr>
              <w:t xml:space="preserve">22</w:t>
            </w:r>
            <w:r/>
          </w:p>
        </w:tc>
      </w:tr>
      <w:tr>
        <w:trPr>
          <w:trHeight w:val="20"/>
        </w:trPr>
        <w:tc>
          <w:tcPr>
            <w:tcW w:w="624" w:type="dxa"/>
            <w:textDirection w:val="lrTb"/>
            <w:noWrap w:val="false"/>
          </w:tcPr>
          <w:p>
            <w:pPr>
              <w:pStyle w:val="1159"/>
              <w:rPr>
                <w:color w:val="auto"/>
                <w:sz w:val="21"/>
                <w:szCs w:val="21"/>
                <w:highlight w:val="none"/>
              </w:rPr>
            </w:pPr>
            <w:r>
              <w:rPr>
                <w:rFonts w:hint="eastAsia"/>
                <w:color w:val="auto"/>
                <w:sz w:val="21"/>
                <w:szCs w:val="21"/>
                <w:highlight w:val="none"/>
              </w:rPr>
              <w:t xml:space="preserve">14</w:t>
            </w:r>
            <w:r/>
          </w:p>
        </w:tc>
        <w:tc>
          <w:tcPr>
            <w:tcW w:w="1072" w:type="dxa"/>
            <w:textDirection w:val="lrTb"/>
            <w:noWrap w:val="false"/>
          </w:tcPr>
          <w:p>
            <w:pPr>
              <w:pStyle w:val="1159"/>
              <w:rPr>
                <w:color w:val="auto"/>
                <w:sz w:val="21"/>
                <w:szCs w:val="21"/>
                <w:highlight w:val="none"/>
              </w:rPr>
            </w:pPr>
            <w:r>
              <w:rPr>
                <w:rFonts w:hint="eastAsia"/>
                <w:color w:val="auto"/>
                <w:sz w:val="21"/>
                <w:szCs w:val="21"/>
                <w:highlight w:val="none"/>
              </w:rPr>
              <w:t xml:space="preserve">低照度摄像机</w:t>
            </w:r>
            <w:r/>
          </w:p>
        </w:tc>
        <w:tc>
          <w:tcPr>
            <w:tcW w:w="5208" w:type="dxa"/>
            <w:textDirection w:val="lrTb"/>
            <w:noWrap w:val="false"/>
          </w:tcPr>
          <w:p>
            <w:pPr>
              <w:pStyle w:val="1159"/>
              <w:rPr>
                <w:color w:val="auto"/>
                <w:sz w:val="21"/>
                <w:szCs w:val="21"/>
                <w:highlight w:val="none"/>
              </w:rPr>
            </w:pPr>
            <w:r>
              <w:rPr>
                <w:rFonts w:hint="eastAsia"/>
                <w:color w:val="auto"/>
                <w:sz w:val="21"/>
                <w:szCs w:val="21"/>
                <w:highlight w:val="none"/>
              </w:rPr>
              <w:t xml:space="preserve">不低于200万像素1/2.7英寸CMOS标准机，低照度效果好，图像清晰度高可输出20</w:t>
            </w:r>
            <w:r>
              <w:rPr>
                <w:rFonts w:hint="eastAsia"/>
                <w:color w:val="auto"/>
                <w:sz w:val="21"/>
                <w:szCs w:val="21"/>
                <w:highlight w:val="none"/>
              </w:rPr>
              <w:t xml:space="preserve">0万(1920*1080) 支持H.265编码，压缩比高，超低码流支持走廊模式，宽动态，3D降噪，强光抑制，背光补偿，数字水印，适用不同监控环境支持ROI，SVC，SMART H.265/H.264，灵活编码，适用不同带宽和存储环境支持移动检测；视频遮挡；虚焦侦测；场景变更；音频异常侦测；区域入侵；绊线入侵；物品遗留；物品搬移；快速移动；停车检测；人员聚集；徘徊检测；人脸检测支持报警2进1出，音频1进1出，485，BNC，支持内置卡存储（最大128G）支持AC24V/DC12V/POE供电方式，方便工程安装</w:t>
            </w:r>
            <w:r/>
          </w:p>
        </w:tc>
        <w:tc>
          <w:tcPr>
            <w:tcW w:w="623" w:type="dxa"/>
            <w:textDirection w:val="lrTb"/>
            <w:noWrap w:val="false"/>
          </w:tcPr>
          <w:p>
            <w:pPr>
              <w:pStyle w:val="1159"/>
              <w:rPr>
                <w:color w:val="auto"/>
                <w:sz w:val="21"/>
                <w:szCs w:val="21"/>
                <w:highlight w:val="none"/>
              </w:rPr>
            </w:pPr>
            <w:r>
              <w:rPr>
                <w:rFonts w:hint="eastAsia"/>
                <w:color w:val="auto"/>
                <w:sz w:val="21"/>
                <w:szCs w:val="21"/>
                <w:highlight w:val="none"/>
              </w:rPr>
              <w:t xml:space="preserve">台</w:t>
            </w:r>
            <w:r/>
          </w:p>
        </w:tc>
        <w:tc>
          <w:tcPr>
            <w:tcW w:w="769" w:type="dxa"/>
            <w:textDirection w:val="lrTb"/>
            <w:noWrap w:val="false"/>
          </w:tcPr>
          <w:p>
            <w:pPr>
              <w:pStyle w:val="1159"/>
              <w:rPr>
                <w:color w:val="auto"/>
                <w:sz w:val="21"/>
                <w:szCs w:val="21"/>
                <w:highlight w:val="none"/>
              </w:rPr>
            </w:pPr>
            <w:r>
              <w:rPr>
                <w:rFonts w:hint="eastAsia"/>
                <w:color w:val="auto"/>
                <w:sz w:val="21"/>
                <w:szCs w:val="21"/>
                <w:highlight w:val="none"/>
              </w:rPr>
              <w:t xml:space="preserve">10</w:t>
            </w:r>
            <w:r/>
          </w:p>
        </w:tc>
      </w:tr>
      <w:tr>
        <w:trPr>
          <w:trHeight w:val="20"/>
        </w:trPr>
        <w:tc>
          <w:tcPr>
            <w:tcW w:w="624" w:type="dxa"/>
            <w:textDirection w:val="lrTb"/>
            <w:noWrap w:val="false"/>
          </w:tcPr>
          <w:p>
            <w:pPr>
              <w:pStyle w:val="1159"/>
              <w:rPr>
                <w:color w:val="auto"/>
                <w:sz w:val="21"/>
                <w:szCs w:val="21"/>
                <w:highlight w:val="none"/>
              </w:rPr>
            </w:pPr>
            <w:r>
              <w:rPr>
                <w:rFonts w:hint="eastAsia"/>
                <w:color w:val="auto"/>
                <w:sz w:val="21"/>
                <w:szCs w:val="21"/>
                <w:highlight w:val="none"/>
              </w:rPr>
              <w:t xml:space="preserve">15</w:t>
            </w:r>
            <w:r/>
          </w:p>
        </w:tc>
        <w:tc>
          <w:tcPr>
            <w:tcW w:w="1072" w:type="dxa"/>
            <w:textDirection w:val="lrTb"/>
            <w:noWrap w:val="false"/>
          </w:tcPr>
          <w:p>
            <w:pPr>
              <w:pStyle w:val="1159"/>
              <w:rPr>
                <w:color w:val="auto"/>
                <w:sz w:val="21"/>
                <w:szCs w:val="21"/>
                <w:highlight w:val="none"/>
              </w:rPr>
            </w:pPr>
            <w:r>
              <w:rPr>
                <w:rFonts w:hint="eastAsia"/>
                <w:color w:val="auto"/>
                <w:sz w:val="21"/>
                <w:szCs w:val="21"/>
                <w:highlight w:val="none"/>
              </w:rPr>
              <w:t xml:space="preserve">低照度摄像机镜头</w:t>
            </w:r>
            <w:r/>
          </w:p>
        </w:tc>
        <w:tc>
          <w:tcPr>
            <w:tcW w:w="5208" w:type="dxa"/>
            <w:textDirection w:val="lrTb"/>
            <w:noWrap w:val="false"/>
          </w:tcPr>
          <w:p>
            <w:pPr>
              <w:pStyle w:val="1159"/>
              <w:rPr>
                <w:color w:val="auto"/>
                <w:sz w:val="21"/>
                <w:szCs w:val="21"/>
                <w:highlight w:val="none"/>
              </w:rPr>
            </w:pPr>
            <w:r>
              <w:rPr>
                <w:rFonts w:hint="eastAsia"/>
                <w:color w:val="auto"/>
                <w:sz w:val="21"/>
                <w:szCs w:val="21"/>
                <w:highlight w:val="none"/>
              </w:rPr>
              <w:t xml:space="preserve">靶面尺寸满足1/2.8"英寸镜头焦距满足4-12mm 镜头像素不低于200万最小物距为0.3m 支持红外功能支持手动变焦功能支持手动聚焦功能支持DC光圈驱动方式</w:t>
            </w:r>
            <w:r/>
          </w:p>
        </w:tc>
        <w:tc>
          <w:tcPr>
            <w:tcW w:w="623" w:type="dxa"/>
            <w:textDirection w:val="lrTb"/>
            <w:noWrap w:val="false"/>
          </w:tcPr>
          <w:p>
            <w:pPr>
              <w:pStyle w:val="1159"/>
              <w:rPr>
                <w:color w:val="auto"/>
                <w:sz w:val="21"/>
                <w:szCs w:val="21"/>
                <w:highlight w:val="none"/>
              </w:rPr>
            </w:pPr>
            <w:r>
              <w:rPr>
                <w:rFonts w:hint="eastAsia"/>
                <w:color w:val="auto"/>
                <w:sz w:val="21"/>
                <w:szCs w:val="21"/>
                <w:highlight w:val="none"/>
              </w:rPr>
              <w:t xml:space="preserve">台</w:t>
            </w:r>
            <w:r/>
          </w:p>
        </w:tc>
        <w:tc>
          <w:tcPr>
            <w:tcW w:w="769" w:type="dxa"/>
            <w:textDirection w:val="lrTb"/>
            <w:noWrap w:val="false"/>
          </w:tcPr>
          <w:p>
            <w:pPr>
              <w:pStyle w:val="1159"/>
              <w:rPr>
                <w:color w:val="auto"/>
                <w:sz w:val="21"/>
                <w:szCs w:val="21"/>
                <w:highlight w:val="none"/>
              </w:rPr>
            </w:pPr>
            <w:r>
              <w:rPr>
                <w:rFonts w:hint="eastAsia"/>
                <w:color w:val="auto"/>
                <w:sz w:val="21"/>
                <w:szCs w:val="21"/>
                <w:highlight w:val="none"/>
              </w:rPr>
              <w:t xml:space="preserve">10</w:t>
            </w:r>
            <w:r/>
          </w:p>
        </w:tc>
      </w:tr>
      <w:tr>
        <w:trPr>
          <w:trHeight w:val="20"/>
        </w:trPr>
        <w:tc>
          <w:tcPr>
            <w:tcW w:w="624" w:type="dxa"/>
            <w:textDirection w:val="lrTb"/>
            <w:noWrap w:val="false"/>
          </w:tcPr>
          <w:p>
            <w:pPr>
              <w:pStyle w:val="1159"/>
              <w:rPr>
                <w:color w:val="auto"/>
                <w:sz w:val="21"/>
                <w:szCs w:val="21"/>
                <w:highlight w:val="none"/>
              </w:rPr>
            </w:pPr>
            <w:r>
              <w:rPr>
                <w:rFonts w:hint="eastAsia"/>
                <w:color w:val="auto"/>
                <w:sz w:val="21"/>
                <w:szCs w:val="21"/>
                <w:highlight w:val="none"/>
              </w:rPr>
              <w:t xml:space="preserve">16</w:t>
            </w:r>
            <w:r/>
          </w:p>
        </w:tc>
        <w:tc>
          <w:tcPr>
            <w:tcW w:w="1072" w:type="dxa"/>
            <w:textDirection w:val="lrTb"/>
            <w:noWrap w:val="false"/>
          </w:tcPr>
          <w:p>
            <w:pPr>
              <w:pStyle w:val="1159"/>
              <w:rPr>
                <w:color w:val="auto"/>
                <w:sz w:val="21"/>
                <w:szCs w:val="21"/>
                <w:highlight w:val="none"/>
              </w:rPr>
            </w:pPr>
            <w:r>
              <w:rPr>
                <w:rFonts w:hint="eastAsia"/>
                <w:color w:val="auto"/>
                <w:sz w:val="21"/>
                <w:szCs w:val="21"/>
                <w:highlight w:val="none"/>
              </w:rPr>
              <w:t xml:space="preserve">低照度摄像机护罩</w:t>
            </w:r>
            <w:r/>
          </w:p>
        </w:tc>
        <w:tc>
          <w:tcPr>
            <w:tcW w:w="5208" w:type="dxa"/>
            <w:textDirection w:val="lrTb"/>
            <w:noWrap w:val="false"/>
          </w:tcPr>
          <w:p>
            <w:pPr>
              <w:pStyle w:val="1159"/>
              <w:rPr>
                <w:color w:val="auto"/>
                <w:sz w:val="21"/>
                <w:szCs w:val="21"/>
                <w:highlight w:val="none"/>
              </w:rPr>
            </w:pPr>
            <w:r>
              <w:rPr>
                <w:rFonts w:hint="eastAsia"/>
                <w:color w:val="auto"/>
                <w:sz w:val="21"/>
                <w:szCs w:val="21"/>
                <w:highlight w:val="none"/>
              </w:rPr>
              <w:t xml:space="preserve">采用铝合金材质，不易生锈，适用IPC、同轴各种标枪，支持吊装，壁装，面装安装方式，支持IP66防护等级</w:t>
            </w:r>
            <w:r/>
          </w:p>
        </w:tc>
        <w:tc>
          <w:tcPr>
            <w:tcW w:w="623" w:type="dxa"/>
            <w:textDirection w:val="lrTb"/>
            <w:noWrap w:val="false"/>
          </w:tcPr>
          <w:p>
            <w:pPr>
              <w:pStyle w:val="1159"/>
              <w:rPr>
                <w:color w:val="auto"/>
                <w:sz w:val="21"/>
                <w:szCs w:val="21"/>
                <w:highlight w:val="none"/>
              </w:rPr>
            </w:pPr>
            <w:r>
              <w:rPr>
                <w:rFonts w:hint="eastAsia"/>
                <w:color w:val="auto"/>
                <w:sz w:val="21"/>
                <w:szCs w:val="21"/>
                <w:highlight w:val="none"/>
              </w:rPr>
              <w:t xml:space="preserve">台</w:t>
            </w:r>
            <w:r/>
          </w:p>
        </w:tc>
        <w:tc>
          <w:tcPr>
            <w:tcW w:w="769" w:type="dxa"/>
            <w:textDirection w:val="lrTb"/>
            <w:noWrap w:val="false"/>
          </w:tcPr>
          <w:p>
            <w:pPr>
              <w:pStyle w:val="1159"/>
              <w:rPr>
                <w:color w:val="auto"/>
                <w:sz w:val="21"/>
                <w:szCs w:val="21"/>
                <w:highlight w:val="none"/>
              </w:rPr>
            </w:pPr>
            <w:r>
              <w:rPr>
                <w:rFonts w:hint="eastAsia"/>
                <w:color w:val="auto"/>
                <w:sz w:val="21"/>
                <w:szCs w:val="21"/>
                <w:highlight w:val="none"/>
              </w:rPr>
              <w:t xml:space="preserve">10</w:t>
            </w:r>
            <w:r/>
          </w:p>
        </w:tc>
      </w:tr>
      <w:tr>
        <w:trPr>
          <w:trHeight w:val="20"/>
        </w:trPr>
        <w:tc>
          <w:tcPr>
            <w:tcW w:w="624" w:type="dxa"/>
            <w:textDirection w:val="lrTb"/>
            <w:noWrap w:val="false"/>
          </w:tcPr>
          <w:p>
            <w:pPr>
              <w:pStyle w:val="1159"/>
              <w:rPr>
                <w:color w:val="auto"/>
                <w:sz w:val="21"/>
                <w:szCs w:val="21"/>
                <w:highlight w:val="none"/>
              </w:rPr>
            </w:pPr>
            <w:r>
              <w:rPr>
                <w:rFonts w:hint="eastAsia"/>
                <w:color w:val="auto"/>
                <w:sz w:val="21"/>
                <w:szCs w:val="21"/>
                <w:highlight w:val="none"/>
              </w:rPr>
              <w:t xml:space="preserve">17</w:t>
            </w:r>
            <w:r/>
          </w:p>
        </w:tc>
        <w:tc>
          <w:tcPr>
            <w:tcW w:w="1072" w:type="dxa"/>
            <w:textDirection w:val="lrTb"/>
            <w:noWrap w:val="false"/>
          </w:tcPr>
          <w:p>
            <w:pPr>
              <w:pStyle w:val="1159"/>
              <w:rPr>
                <w:color w:val="auto"/>
                <w:sz w:val="21"/>
                <w:szCs w:val="21"/>
                <w:highlight w:val="none"/>
              </w:rPr>
            </w:pPr>
            <w:r>
              <w:rPr>
                <w:rFonts w:hint="eastAsia"/>
                <w:color w:val="auto"/>
                <w:sz w:val="21"/>
                <w:szCs w:val="21"/>
                <w:highlight w:val="none"/>
              </w:rPr>
              <w:t xml:space="preserve">拥挤防范摄像机</w:t>
            </w:r>
            <w:r/>
          </w:p>
        </w:tc>
        <w:tc>
          <w:tcPr>
            <w:tcW w:w="5208" w:type="dxa"/>
            <w:textDirection w:val="lrTb"/>
            <w:noWrap w:val="false"/>
          </w:tcPr>
          <w:p>
            <w:pPr>
              <w:pStyle w:val="1159"/>
              <w:rPr>
                <w:color w:val="auto"/>
                <w:sz w:val="21"/>
                <w:szCs w:val="21"/>
                <w:highlight w:val="none"/>
              </w:rPr>
            </w:pPr>
            <w:r>
              <w:rPr>
                <w:rFonts w:hint="eastAsia"/>
                <w:color w:val="auto"/>
                <w:sz w:val="21"/>
                <w:szCs w:val="21"/>
                <w:highlight w:val="none"/>
              </w:rPr>
              <w:t xml:space="preserve">内置GPU芯片，支持深度学习算法，有效提升检测准确率</w:t>
            </w:r>
            <w:r>
              <w:rPr>
                <w:rFonts w:hint="eastAsia"/>
                <w:color w:val="auto"/>
                <w:sz w:val="21"/>
                <w:szCs w:val="21"/>
                <w:highlight w:val="none"/>
              </w:rPr>
              <w:br/>
            </w:r>
            <w:r>
              <w:rPr>
                <w:rFonts w:hint="eastAsia"/>
                <w:color w:val="auto"/>
                <w:sz w:val="21"/>
                <w:szCs w:val="21"/>
                <w:highlight w:val="none"/>
              </w:rPr>
              <w:t xml:space="preserve">支持三种智能资源切换：通用行为分析、人脸检测、人数统计</w:t>
            </w:r>
            <w:r>
              <w:rPr>
                <w:rFonts w:hint="eastAsia"/>
                <w:color w:val="auto"/>
                <w:sz w:val="21"/>
                <w:szCs w:val="21"/>
                <w:highlight w:val="none"/>
              </w:rPr>
              <w:br/>
            </w:r>
            <w:r>
              <w:rPr>
                <w:rFonts w:hint="eastAsia"/>
                <w:color w:val="auto"/>
                <w:sz w:val="21"/>
                <w:szCs w:val="21"/>
                <w:highlight w:val="none"/>
              </w:rPr>
              <w:t xml:space="preserve">支持人脸检测：支持跟踪，支持优选，支持抓拍，支持上报最优的人脸抓图，支持人脸增强，人脸曝光</w:t>
            </w:r>
            <w:r>
              <w:rPr>
                <w:rFonts w:hint="eastAsia"/>
                <w:color w:val="auto"/>
                <w:sz w:val="21"/>
                <w:szCs w:val="21"/>
                <w:highlight w:val="none"/>
              </w:rPr>
              <w:br/>
            </w:r>
            <w:r>
              <w:rPr>
                <w:rFonts w:hint="eastAsia"/>
                <w:color w:val="auto"/>
                <w:sz w:val="21"/>
                <w:szCs w:val="21"/>
                <w:highlight w:val="none"/>
              </w:rPr>
              <w:t xml:space="preserve">支持智能侦测：区域入侵，绊线入侵，快速移动（可人车分类及精准检测），物品遗留，物品搬移，徘徊检测，人员聚集，停车检测，热度图</w:t>
            </w:r>
            <w:r>
              <w:rPr>
                <w:rFonts w:hint="eastAsia"/>
                <w:color w:val="auto"/>
                <w:sz w:val="21"/>
                <w:szCs w:val="21"/>
                <w:highlight w:val="none"/>
              </w:rPr>
              <w:br/>
            </w:r>
            <w:r>
              <w:rPr>
                <w:rFonts w:hint="eastAsia"/>
                <w:color w:val="auto"/>
                <w:sz w:val="21"/>
                <w:szCs w:val="21"/>
                <w:highlight w:val="none"/>
              </w:rPr>
              <w:t xml:space="preserve">支持声光报警联动，当报警产生时，可触发联动声音警报和灯光闪烁</w:t>
            </w:r>
            <w:r>
              <w:rPr>
                <w:rFonts w:hint="eastAsia"/>
                <w:color w:val="auto"/>
                <w:sz w:val="21"/>
                <w:szCs w:val="21"/>
                <w:highlight w:val="none"/>
              </w:rPr>
              <w:br/>
            </w:r>
            <w:r>
              <w:rPr>
                <w:rFonts w:hint="eastAsia"/>
                <w:color w:val="auto"/>
                <w:sz w:val="21"/>
                <w:szCs w:val="21"/>
                <w:highlight w:val="none"/>
              </w:rPr>
              <w:t xml:space="preserve">支持人数统计：支持进入/离开人数统计，并可生成人数统计日/月/年报表，导出使用；支持排队管理；支持区域内人数统计</w:t>
            </w:r>
            <w:r>
              <w:rPr>
                <w:rFonts w:hint="eastAsia"/>
                <w:color w:val="auto"/>
                <w:sz w:val="21"/>
                <w:szCs w:val="21"/>
                <w:highlight w:val="none"/>
              </w:rPr>
              <w:br/>
            </w:r>
            <w:r>
              <w:rPr>
                <w:rFonts w:hint="eastAsia"/>
                <w:color w:val="auto"/>
                <w:sz w:val="21"/>
                <w:szCs w:val="21"/>
                <w:highlight w:val="none"/>
              </w:rPr>
              <w:t xml:space="preserve">采用性能不低于星光级低照度400万像素1/2.7英寸CMOS图像传感器，低照度效果好，图像清晰度高</w:t>
            </w:r>
            <w:r>
              <w:rPr>
                <w:rFonts w:hint="eastAsia"/>
                <w:color w:val="auto"/>
                <w:sz w:val="21"/>
                <w:szCs w:val="21"/>
                <w:highlight w:val="none"/>
              </w:rPr>
              <w:br/>
            </w:r>
            <w:r>
              <w:rPr>
                <w:rFonts w:hint="eastAsia"/>
                <w:color w:val="auto"/>
                <w:sz w:val="21"/>
                <w:szCs w:val="21"/>
                <w:highlight w:val="none"/>
              </w:rPr>
              <w:t xml:space="preserve">可输出400万(2688×1520)@25fps</w:t>
            </w:r>
            <w:r>
              <w:rPr>
                <w:rFonts w:hint="eastAsia"/>
                <w:color w:val="auto"/>
                <w:sz w:val="21"/>
                <w:szCs w:val="21"/>
                <w:highlight w:val="none"/>
              </w:rPr>
              <w:br/>
            </w:r>
            <w:r>
              <w:rPr>
                <w:rFonts w:hint="eastAsia"/>
                <w:color w:val="auto"/>
                <w:sz w:val="21"/>
                <w:szCs w:val="21"/>
                <w:highlight w:val="none"/>
              </w:rPr>
              <w:t xml:space="preserve">支持H.265编码，压缩比高，实现超低码流传输</w:t>
            </w:r>
            <w:r>
              <w:rPr>
                <w:rFonts w:hint="eastAsia"/>
                <w:color w:val="auto"/>
                <w:sz w:val="21"/>
                <w:szCs w:val="21"/>
                <w:highlight w:val="none"/>
              </w:rPr>
              <w:br/>
            </w:r>
            <w:r>
              <w:rPr>
                <w:rFonts w:hint="eastAsia"/>
                <w:color w:val="auto"/>
                <w:sz w:val="21"/>
                <w:szCs w:val="21"/>
                <w:highlight w:val="none"/>
              </w:rPr>
              <w:t xml:space="preserve">内置高效暖光灯和红外补光灯，支持红外监控距离≥80米，暖光监控距离≥30米</w:t>
            </w:r>
            <w:r>
              <w:rPr>
                <w:rFonts w:hint="eastAsia"/>
                <w:color w:val="auto"/>
                <w:sz w:val="21"/>
                <w:szCs w:val="21"/>
                <w:highlight w:val="none"/>
              </w:rPr>
              <w:br/>
            </w:r>
            <w:r>
              <w:rPr>
                <w:rFonts w:hint="eastAsia"/>
                <w:color w:val="auto"/>
                <w:sz w:val="21"/>
                <w:szCs w:val="21"/>
                <w:highlight w:val="none"/>
              </w:rPr>
              <w:t xml:space="preserve">支持走廊模式，宽动态，3D降噪，强光抑制，背光补偿，数字水印，适用不同监控环境</w:t>
            </w:r>
            <w:r>
              <w:rPr>
                <w:rFonts w:hint="eastAsia"/>
                <w:color w:val="auto"/>
                <w:sz w:val="21"/>
                <w:szCs w:val="21"/>
                <w:highlight w:val="none"/>
              </w:rPr>
              <w:br/>
            </w:r>
            <w:r>
              <w:rPr>
                <w:rFonts w:hint="eastAsia"/>
                <w:color w:val="auto"/>
                <w:sz w:val="21"/>
                <w:szCs w:val="21"/>
                <w:highlight w:val="none"/>
              </w:rPr>
              <w:t xml:space="preserve">支持ROI，SVC，SMART H.264/H.265，帧前滤波，灵活编码，适用不同带宽和存储环境</w:t>
            </w:r>
            <w:r>
              <w:rPr>
                <w:rFonts w:hint="eastAsia"/>
                <w:color w:val="auto"/>
                <w:sz w:val="21"/>
                <w:szCs w:val="21"/>
                <w:highlight w:val="none"/>
              </w:rPr>
              <w:br/>
            </w:r>
            <w:r>
              <w:rPr>
                <w:rFonts w:hint="eastAsia"/>
                <w:color w:val="auto"/>
                <w:sz w:val="21"/>
                <w:szCs w:val="21"/>
                <w:highlight w:val="none"/>
              </w:rPr>
              <w:t xml:space="preserve">支持一键撤防，可在自定义设置的时间段内对报警输出，邮件，音频，灯光等事件联动项进行统一撤防控制</w:t>
            </w:r>
            <w:r>
              <w:rPr>
                <w:rFonts w:hint="eastAsia"/>
                <w:color w:val="auto"/>
                <w:sz w:val="21"/>
                <w:szCs w:val="21"/>
                <w:highlight w:val="none"/>
              </w:rPr>
              <w:br/>
            </w:r>
            <w:r>
              <w:rPr>
                <w:rFonts w:hint="eastAsia"/>
                <w:color w:val="auto"/>
                <w:sz w:val="21"/>
                <w:szCs w:val="21"/>
                <w:highlight w:val="none"/>
              </w:rPr>
              <w:t xml:space="preserve">内置MIC和扬声器，支持256G Micro SD卡</w:t>
            </w:r>
            <w:r>
              <w:rPr>
                <w:rFonts w:hint="eastAsia"/>
                <w:color w:val="auto"/>
                <w:sz w:val="21"/>
                <w:szCs w:val="21"/>
                <w:highlight w:val="none"/>
              </w:rPr>
              <w:br/>
            </w:r>
            <w:r>
              <w:rPr>
                <w:rFonts w:hint="eastAsia"/>
                <w:color w:val="auto"/>
                <w:sz w:val="21"/>
                <w:szCs w:val="21"/>
                <w:highlight w:val="none"/>
              </w:rPr>
              <w:t xml:space="preserve">支持DC12V/POE供电方式</w:t>
            </w:r>
            <w:r>
              <w:rPr>
                <w:rFonts w:hint="eastAsia"/>
                <w:color w:val="auto"/>
                <w:sz w:val="21"/>
                <w:szCs w:val="21"/>
                <w:highlight w:val="none"/>
              </w:rPr>
              <w:br/>
            </w:r>
            <w:r>
              <w:rPr>
                <w:rFonts w:hint="eastAsia"/>
                <w:color w:val="auto"/>
                <w:sz w:val="21"/>
                <w:szCs w:val="21"/>
                <w:highlight w:val="none"/>
              </w:rPr>
              <w:t xml:space="preserve">支持不低于IP67防护等级</w:t>
            </w:r>
            <w:r/>
          </w:p>
        </w:tc>
        <w:tc>
          <w:tcPr>
            <w:tcW w:w="623" w:type="dxa"/>
            <w:textDirection w:val="lrTb"/>
            <w:noWrap w:val="false"/>
          </w:tcPr>
          <w:p>
            <w:pPr>
              <w:pStyle w:val="1159"/>
              <w:rPr>
                <w:color w:val="auto"/>
                <w:sz w:val="21"/>
                <w:szCs w:val="21"/>
                <w:highlight w:val="none"/>
              </w:rPr>
            </w:pPr>
            <w:r>
              <w:rPr>
                <w:rFonts w:hint="eastAsia"/>
                <w:color w:val="auto"/>
                <w:sz w:val="21"/>
                <w:szCs w:val="21"/>
                <w:highlight w:val="none"/>
              </w:rPr>
              <w:t xml:space="preserve">台</w:t>
            </w:r>
            <w:r/>
          </w:p>
        </w:tc>
        <w:tc>
          <w:tcPr>
            <w:tcW w:w="769" w:type="dxa"/>
            <w:textDirection w:val="lrTb"/>
            <w:noWrap w:val="false"/>
          </w:tcPr>
          <w:p>
            <w:pPr>
              <w:pStyle w:val="1159"/>
              <w:rPr>
                <w:color w:val="auto"/>
                <w:sz w:val="21"/>
                <w:szCs w:val="21"/>
                <w:highlight w:val="none"/>
              </w:rPr>
            </w:pPr>
            <w:r>
              <w:rPr>
                <w:rFonts w:hint="eastAsia"/>
                <w:color w:val="auto"/>
                <w:sz w:val="21"/>
                <w:szCs w:val="21"/>
                <w:highlight w:val="none"/>
              </w:rPr>
              <w:t xml:space="preserve">6</w:t>
            </w:r>
            <w:r/>
          </w:p>
        </w:tc>
      </w:tr>
      <w:tr>
        <w:trPr>
          <w:trHeight w:val="20"/>
        </w:trPr>
        <w:tc>
          <w:tcPr>
            <w:tcW w:w="624" w:type="dxa"/>
            <w:textDirection w:val="lrTb"/>
            <w:noWrap w:val="false"/>
          </w:tcPr>
          <w:p>
            <w:pPr>
              <w:pStyle w:val="1159"/>
              <w:rPr>
                <w:color w:val="auto"/>
                <w:sz w:val="21"/>
                <w:szCs w:val="21"/>
                <w:highlight w:val="none"/>
              </w:rPr>
            </w:pPr>
            <w:r>
              <w:rPr>
                <w:rFonts w:hint="eastAsia"/>
                <w:color w:val="auto"/>
                <w:sz w:val="21"/>
                <w:szCs w:val="21"/>
                <w:highlight w:val="none"/>
              </w:rPr>
              <w:t xml:space="preserve">18</w:t>
            </w:r>
            <w:r/>
          </w:p>
        </w:tc>
        <w:tc>
          <w:tcPr>
            <w:tcW w:w="1072" w:type="dxa"/>
            <w:textDirection w:val="lrTb"/>
            <w:noWrap w:val="false"/>
          </w:tcPr>
          <w:p>
            <w:pPr>
              <w:pStyle w:val="1159"/>
              <w:rPr>
                <w:color w:val="auto"/>
                <w:sz w:val="21"/>
                <w:szCs w:val="21"/>
                <w:highlight w:val="none"/>
              </w:rPr>
            </w:pPr>
            <w:r>
              <w:rPr>
                <w:rFonts w:hint="eastAsia"/>
                <w:color w:val="auto"/>
                <w:sz w:val="21"/>
                <w:szCs w:val="21"/>
                <w:highlight w:val="none"/>
              </w:rPr>
              <w:t xml:space="preserve">摄像机支架2</w:t>
            </w:r>
            <w:r/>
          </w:p>
        </w:tc>
        <w:tc>
          <w:tcPr>
            <w:tcW w:w="5208" w:type="dxa"/>
            <w:textDirection w:val="lrTb"/>
            <w:noWrap w:val="false"/>
          </w:tcPr>
          <w:p>
            <w:pPr>
              <w:pStyle w:val="1159"/>
              <w:rPr>
                <w:color w:val="auto"/>
                <w:sz w:val="21"/>
                <w:szCs w:val="21"/>
                <w:highlight w:val="none"/>
              </w:rPr>
            </w:pPr>
            <w:r>
              <w:rPr>
                <w:rFonts w:hint="eastAsia"/>
                <w:color w:val="auto"/>
                <w:sz w:val="21"/>
                <w:szCs w:val="21"/>
                <w:highlight w:val="none"/>
              </w:rPr>
              <w:t xml:space="preserve">采用铝合金材质，白色</w:t>
            </w:r>
            <w:r/>
          </w:p>
        </w:tc>
        <w:tc>
          <w:tcPr>
            <w:tcW w:w="623" w:type="dxa"/>
            <w:textDirection w:val="lrTb"/>
            <w:noWrap w:val="false"/>
          </w:tcPr>
          <w:p>
            <w:pPr>
              <w:pStyle w:val="1159"/>
              <w:rPr>
                <w:color w:val="auto"/>
                <w:sz w:val="21"/>
                <w:szCs w:val="21"/>
                <w:highlight w:val="none"/>
              </w:rPr>
            </w:pPr>
            <w:r>
              <w:rPr>
                <w:rFonts w:hint="eastAsia"/>
                <w:color w:val="auto"/>
                <w:sz w:val="21"/>
                <w:szCs w:val="21"/>
                <w:highlight w:val="none"/>
              </w:rPr>
              <w:t xml:space="preserve">只</w:t>
            </w:r>
            <w:r/>
          </w:p>
        </w:tc>
        <w:tc>
          <w:tcPr>
            <w:tcW w:w="769" w:type="dxa"/>
            <w:textDirection w:val="lrTb"/>
            <w:noWrap w:val="false"/>
          </w:tcPr>
          <w:p>
            <w:pPr>
              <w:pStyle w:val="1159"/>
              <w:rPr>
                <w:color w:val="auto"/>
                <w:sz w:val="21"/>
                <w:szCs w:val="21"/>
                <w:highlight w:val="none"/>
              </w:rPr>
            </w:pPr>
            <w:r>
              <w:rPr>
                <w:rFonts w:hint="eastAsia"/>
                <w:color w:val="auto"/>
                <w:sz w:val="21"/>
                <w:szCs w:val="21"/>
                <w:highlight w:val="none"/>
              </w:rPr>
              <w:t xml:space="preserve">9</w:t>
            </w:r>
            <w:r/>
          </w:p>
        </w:tc>
      </w:tr>
      <w:tr>
        <w:trPr>
          <w:trHeight w:val="20"/>
        </w:trPr>
        <w:tc>
          <w:tcPr>
            <w:tcW w:w="624" w:type="dxa"/>
            <w:textDirection w:val="lrTb"/>
            <w:noWrap w:val="false"/>
          </w:tcPr>
          <w:p>
            <w:pPr>
              <w:pStyle w:val="1159"/>
              <w:rPr>
                <w:color w:val="auto"/>
                <w:sz w:val="21"/>
                <w:szCs w:val="21"/>
                <w:highlight w:val="none"/>
              </w:rPr>
            </w:pPr>
            <w:r>
              <w:rPr>
                <w:rFonts w:hint="eastAsia"/>
                <w:color w:val="auto"/>
                <w:sz w:val="21"/>
                <w:szCs w:val="21"/>
                <w:highlight w:val="none"/>
              </w:rPr>
              <w:t xml:space="preserve">19</w:t>
            </w:r>
            <w:r/>
          </w:p>
        </w:tc>
        <w:tc>
          <w:tcPr>
            <w:tcW w:w="1072" w:type="dxa"/>
            <w:textDirection w:val="lrTb"/>
            <w:noWrap w:val="false"/>
          </w:tcPr>
          <w:p>
            <w:pPr>
              <w:pStyle w:val="1159"/>
              <w:rPr>
                <w:color w:val="auto"/>
                <w:sz w:val="21"/>
                <w:szCs w:val="21"/>
                <w:highlight w:val="none"/>
              </w:rPr>
            </w:pPr>
            <w:r>
              <w:rPr>
                <w:rFonts w:hint="eastAsia"/>
                <w:color w:val="auto"/>
                <w:sz w:val="21"/>
                <w:szCs w:val="21"/>
                <w:highlight w:val="none"/>
              </w:rPr>
              <w:t xml:space="preserve">180度全景摄像机</w:t>
            </w:r>
            <w:r/>
          </w:p>
        </w:tc>
        <w:tc>
          <w:tcPr>
            <w:tcW w:w="5208" w:type="dxa"/>
            <w:textDirection w:val="lrTb"/>
            <w:noWrap w:val="false"/>
          </w:tcPr>
          <w:p>
            <w:pPr>
              <w:pStyle w:val="1159"/>
              <w:rPr>
                <w:color w:val="auto"/>
                <w:sz w:val="21"/>
                <w:szCs w:val="21"/>
                <w:highlight w:val="none"/>
              </w:rPr>
            </w:pPr>
            <w:r>
              <w:rPr>
                <w:rFonts w:hint="eastAsia"/>
                <w:color w:val="auto"/>
                <w:sz w:val="21"/>
                <w:szCs w:val="21"/>
                <w:highlight w:val="none"/>
              </w:rPr>
              <w:t xml:space="preserve">采用性能不低于1/2.8英寸CMOS传感器；像素800万；最大分辨率4096×1800；最低照度≤0.002Lux(彩色模式)；≤0.0002Lux(黑白模式)；0Lux(补光灯开启)；最大补光距离30m（红外）；镜头类型定焦；镜头焦距2.8mm；通用行为分析绊线入侵；区域入侵；视频压缩标准H.265；H.264；H.264H；H.264B；MJPEG（仅辅码流支持）；智能编码H.264：支持H.265：支持；宽动态支持；透雾功能支持；报警事件无SD卡；SD卡空间不足；SD卡出错；网络断开</w:t>
            </w:r>
            <w:r>
              <w:rPr>
                <w:rFonts w:hint="eastAsia"/>
                <w:color w:val="auto"/>
                <w:sz w:val="21"/>
                <w:szCs w:val="21"/>
                <w:highlight w:val="none"/>
              </w:rPr>
              <w:t xml:space="preserve">；IP冲突；非法访问；动态检测；视频遮挡；绊线入侵；区域入侵；场景变更；音频异常侦测；声强突变；电压检测；外部报警；安全异常；人群分布图；车辆拥堵；停车上限；接入标准ONVIF（Profile S/Profile G/Profile T）； CGI；乐橙；GB/T28181（双国标）；最大Micro SD卡256 GB；RS-485接口1个（波特率范围:1200bps~115200bps）；音频输入/输出1路（RCA头）；报警输入/输出；模拟输出接口（CVBS输出 BNC接口）；防护等级IP67；含专用支架</w:t>
            </w:r>
            <w:r/>
          </w:p>
        </w:tc>
        <w:tc>
          <w:tcPr>
            <w:tcW w:w="623" w:type="dxa"/>
            <w:textDirection w:val="lrTb"/>
            <w:noWrap w:val="false"/>
          </w:tcPr>
          <w:p>
            <w:pPr>
              <w:pStyle w:val="1159"/>
              <w:rPr>
                <w:color w:val="auto"/>
                <w:sz w:val="21"/>
                <w:szCs w:val="21"/>
                <w:highlight w:val="none"/>
              </w:rPr>
            </w:pPr>
            <w:r>
              <w:rPr>
                <w:rFonts w:hint="eastAsia"/>
                <w:color w:val="auto"/>
                <w:sz w:val="21"/>
                <w:szCs w:val="21"/>
                <w:highlight w:val="none"/>
              </w:rPr>
              <w:t xml:space="preserve">台</w:t>
            </w:r>
            <w:r/>
          </w:p>
        </w:tc>
        <w:tc>
          <w:tcPr>
            <w:tcW w:w="769" w:type="dxa"/>
            <w:textDirection w:val="lrTb"/>
            <w:noWrap w:val="false"/>
          </w:tcPr>
          <w:p>
            <w:pPr>
              <w:pStyle w:val="1159"/>
              <w:rPr>
                <w:color w:val="auto"/>
                <w:sz w:val="21"/>
                <w:szCs w:val="21"/>
                <w:highlight w:val="none"/>
              </w:rPr>
            </w:pPr>
            <w:r>
              <w:rPr>
                <w:rFonts w:hint="eastAsia"/>
                <w:color w:val="auto"/>
                <w:sz w:val="21"/>
                <w:szCs w:val="21"/>
                <w:highlight w:val="none"/>
              </w:rPr>
              <w:t xml:space="preserve">1</w:t>
            </w:r>
            <w:r/>
          </w:p>
        </w:tc>
      </w:tr>
      <w:tr>
        <w:trPr>
          <w:trHeight w:val="20"/>
        </w:trPr>
        <w:tc>
          <w:tcPr>
            <w:tcW w:w="624" w:type="dxa"/>
            <w:textDirection w:val="lrTb"/>
            <w:noWrap w:val="false"/>
          </w:tcPr>
          <w:p>
            <w:pPr>
              <w:pStyle w:val="1159"/>
              <w:rPr>
                <w:color w:val="auto"/>
                <w:sz w:val="21"/>
                <w:szCs w:val="21"/>
                <w:highlight w:val="none"/>
              </w:rPr>
            </w:pPr>
            <w:r>
              <w:rPr>
                <w:rFonts w:hint="eastAsia"/>
                <w:color w:val="auto"/>
                <w:sz w:val="21"/>
                <w:szCs w:val="21"/>
                <w:highlight w:val="none"/>
              </w:rPr>
              <w:t xml:space="preserve">20</w:t>
            </w:r>
            <w:r/>
          </w:p>
        </w:tc>
        <w:tc>
          <w:tcPr>
            <w:tcW w:w="1072" w:type="dxa"/>
            <w:textDirection w:val="lrTb"/>
            <w:noWrap w:val="false"/>
          </w:tcPr>
          <w:p>
            <w:pPr>
              <w:pStyle w:val="1159"/>
              <w:rPr>
                <w:color w:val="auto"/>
                <w:sz w:val="21"/>
                <w:szCs w:val="21"/>
                <w:highlight w:val="none"/>
              </w:rPr>
            </w:pPr>
            <w:r>
              <w:rPr>
                <w:rFonts w:hint="eastAsia"/>
                <w:color w:val="auto"/>
                <w:sz w:val="21"/>
                <w:szCs w:val="21"/>
                <w:highlight w:val="none"/>
              </w:rPr>
              <w:t xml:space="preserve">图像压缩编码器</w:t>
            </w:r>
            <w:r/>
          </w:p>
        </w:tc>
        <w:tc>
          <w:tcPr>
            <w:tcW w:w="5208" w:type="dxa"/>
            <w:textDirection w:val="lrTb"/>
            <w:noWrap w:val="false"/>
          </w:tcPr>
          <w:p>
            <w:pPr>
              <w:pStyle w:val="1159"/>
              <w:rPr>
                <w:color w:val="auto"/>
                <w:sz w:val="21"/>
                <w:szCs w:val="21"/>
                <w:highlight w:val="none"/>
              </w:rPr>
            </w:pPr>
            <w:r>
              <w:rPr>
                <w:rFonts w:hint="eastAsia"/>
                <w:color w:val="auto"/>
                <w:sz w:val="21"/>
                <w:szCs w:val="21"/>
                <w:highlight w:val="none"/>
              </w:rPr>
              <w:t xml:space="preserve">输入/输出标准：H.265，H.264 输出协议：传输层支持基础的UDP/TCP，和基于其的RTP传输协议；应用层方面支持RTSP、RTMP的控制协议输出分辨率：720P/1080P/2K</w:t>
            </w:r>
            <w:r>
              <w:rPr>
                <w:rFonts w:hint="eastAsia"/>
                <w:color w:val="auto"/>
                <w:sz w:val="21"/>
                <w:szCs w:val="21"/>
                <w:highlight w:val="none"/>
              </w:rPr>
              <w:br/>
            </w:r>
            <w:r>
              <w:rPr>
                <w:rFonts w:hint="eastAsia"/>
                <w:color w:val="auto"/>
                <w:sz w:val="21"/>
                <w:szCs w:val="21"/>
                <w:highlight w:val="none"/>
              </w:rPr>
              <w:t xml:space="preserve">支持主码流、辅码流输出码率控制：支持CBR/VBR/AVBR/FIXQP码率控制方式传输协议：TCP、UDP、RTSP、RTMP 接入标准：Onvif、国标</w:t>
            </w:r>
            <w:r>
              <w:rPr>
                <w:rFonts w:hint="eastAsia"/>
                <w:color w:val="auto"/>
                <w:sz w:val="21"/>
                <w:szCs w:val="21"/>
                <w:highlight w:val="none"/>
              </w:rPr>
              <w:br/>
            </w:r>
            <w:r>
              <w:rPr>
                <w:rFonts w:hint="eastAsia"/>
                <w:color w:val="auto"/>
                <w:sz w:val="21"/>
                <w:szCs w:val="21"/>
                <w:highlight w:val="none"/>
              </w:rPr>
              <w:t xml:space="preserve">在浏览器界面里，具有ONVIF协议接入前端设备的选项，设备应具有同时输出双（多）路码流或者存储一路的同时输出另一路码流的能力。</w:t>
            </w:r>
            <w:r>
              <w:rPr>
                <w:rFonts w:hint="eastAsia"/>
                <w:color w:val="auto"/>
                <w:sz w:val="21"/>
                <w:szCs w:val="21"/>
                <w:highlight w:val="none"/>
              </w:rPr>
              <w:br/>
            </w:r>
            <w:r>
              <w:rPr>
                <w:rFonts w:hint="eastAsia"/>
                <w:color w:val="auto"/>
                <w:sz w:val="21"/>
                <w:szCs w:val="21"/>
                <w:highlight w:val="none"/>
              </w:rPr>
              <w:t xml:space="preserve">★支持通过网络获取视频流数据并解码输出。</w:t>
            </w:r>
            <w:r>
              <w:rPr>
                <w:rFonts w:hint="eastAsia"/>
                <w:color w:val="auto"/>
                <w:sz w:val="21"/>
                <w:szCs w:val="21"/>
                <w:highlight w:val="none"/>
              </w:rPr>
              <w:br/>
            </w:r>
            <w:r>
              <w:rPr>
                <w:rFonts w:hint="eastAsia"/>
                <w:color w:val="auto"/>
                <w:sz w:val="21"/>
                <w:szCs w:val="21"/>
                <w:highlight w:val="none"/>
              </w:rPr>
              <w:t xml:space="preserve">★在静态场景下，经过压缩后的视频平均码流不大于原视频平均码流的20%；动态场景下，经过压缩后的视频平均码流不大于原视频平均码流的40%。</w:t>
            </w:r>
            <w:r>
              <w:rPr>
                <w:rFonts w:hint="eastAsia"/>
                <w:color w:val="auto"/>
                <w:sz w:val="21"/>
                <w:szCs w:val="21"/>
                <w:highlight w:val="none"/>
              </w:rPr>
              <w:br/>
            </w:r>
            <w:r>
              <w:rPr>
                <w:rFonts w:hint="eastAsia"/>
                <w:color w:val="auto"/>
                <w:sz w:val="21"/>
                <w:szCs w:val="21"/>
                <w:highlight w:val="none"/>
              </w:rPr>
              <w:t xml:space="preserve">★经压缩后，视频分辨率应与原视频分辨率相同，经压缩后视频帧数应于原视频帧数相同。</w:t>
            </w:r>
            <w:r>
              <w:rPr>
                <w:rFonts w:hint="eastAsia"/>
                <w:color w:val="auto"/>
                <w:sz w:val="21"/>
                <w:szCs w:val="21"/>
                <w:highlight w:val="none"/>
              </w:rPr>
              <w:br/>
            </w:r>
            <w:r>
              <w:rPr>
                <w:rFonts w:hint="eastAsia"/>
                <w:color w:val="auto"/>
                <w:sz w:val="21"/>
                <w:szCs w:val="21"/>
                <w:highlight w:val="none"/>
              </w:rPr>
              <w:t xml:space="preserve">★经压缩后，峰值信噪比（PSNR）应不小于40dB。</w:t>
            </w:r>
            <w:r>
              <w:rPr>
                <w:rFonts w:hint="eastAsia"/>
                <w:color w:val="auto"/>
                <w:sz w:val="21"/>
                <w:szCs w:val="21"/>
                <w:highlight w:val="none"/>
              </w:rPr>
              <w:br/>
            </w:r>
            <w:r>
              <w:rPr>
                <w:rFonts w:hint="eastAsia"/>
                <w:color w:val="auto"/>
                <w:sz w:val="21"/>
                <w:szCs w:val="21"/>
                <w:highlight w:val="none"/>
              </w:rPr>
              <w:t xml:space="preserve">★经压缩后，结构相似性（SSIM）应不小于0.9。</w:t>
            </w:r>
            <w:r/>
          </w:p>
        </w:tc>
        <w:tc>
          <w:tcPr>
            <w:tcW w:w="623" w:type="dxa"/>
            <w:textDirection w:val="lrTb"/>
            <w:noWrap w:val="false"/>
          </w:tcPr>
          <w:p>
            <w:pPr>
              <w:pStyle w:val="1159"/>
              <w:rPr>
                <w:color w:val="auto"/>
                <w:sz w:val="21"/>
                <w:szCs w:val="21"/>
                <w:highlight w:val="none"/>
              </w:rPr>
            </w:pPr>
            <w:r>
              <w:rPr>
                <w:rFonts w:hint="eastAsia"/>
                <w:color w:val="auto"/>
                <w:sz w:val="21"/>
                <w:szCs w:val="21"/>
                <w:highlight w:val="none"/>
              </w:rPr>
              <w:t xml:space="preserve">台</w:t>
            </w:r>
            <w:r/>
          </w:p>
        </w:tc>
        <w:tc>
          <w:tcPr>
            <w:tcW w:w="769" w:type="dxa"/>
            <w:textDirection w:val="lrTb"/>
            <w:noWrap w:val="false"/>
          </w:tcPr>
          <w:p>
            <w:pPr>
              <w:pStyle w:val="1159"/>
              <w:rPr>
                <w:color w:val="auto"/>
                <w:sz w:val="21"/>
                <w:szCs w:val="21"/>
                <w:highlight w:val="none"/>
              </w:rPr>
            </w:pPr>
            <w:r>
              <w:rPr>
                <w:rFonts w:hint="eastAsia"/>
                <w:color w:val="auto"/>
                <w:sz w:val="21"/>
                <w:szCs w:val="21"/>
                <w:highlight w:val="none"/>
              </w:rPr>
              <w:t xml:space="preserve">1</w:t>
            </w:r>
            <w:r/>
          </w:p>
        </w:tc>
      </w:tr>
      <w:tr>
        <w:trPr>
          <w:trHeight w:val="20"/>
        </w:trPr>
        <w:tc>
          <w:tcPr>
            <w:tcW w:w="624" w:type="dxa"/>
            <w:textDirection w:val="lrTb"/>
            <w:noWrap w:val="false"/>
          </w:tcPr>
          <w:p>
            <w:pPr>
              <w:pStyle w:val="1159"/>
              <w:rPr>
                <w:color w:val="auto"/>
                <w:sz w:val="21"/>
                <w:szCs w:val="21"/>
                <w:highlight w:val="none"/>
              </w:rPr>
            </w:pPr>
            <w:r>
              <w:rPr>
                <w:rFonts w:hint="eastAsia"/>
                <w:color w:val="auto"/>
                <w:sz w:val="21"/>
                <w:szCs w:val="21"/>
                <w:highlight w:val="none"/>
              </w:rPr>
              <w:t xml:space="preserve">21</w:t>
            </w:r>
            <w:r/>
          </w:p>
        </w:tc>
        <w:tc>
          <w:tcPr>
            <w:tcW w:w="1072" w:type="dxa"/>
            <w:textDirection w:val="lrTb"/>
            <w:noWrap w:val="false"/>
          </w:tcPr>
          <w:p>
            <w:pPr>
              <w:pStyle w:val="1159"/>
              <w:rPr>
                <w:color w:val="auto"/>
                <w:sz w:val="21"/>
                <w:szCs w:val="21"/>
                <w:highlight w:val="none"/>
              </w:rPr>
            </w:pPr>
            <w:r>
              <w:rPr>
                <w:rFonts w:hint="eastAsia"/>
                <w:color w:val="auto"/>
                <w:sz w:val="21"/>
                <w:szCs w:val="21"/>
                <w:highlight w:val="none"/>
              </w:rPr>
              <w:t xml:space="preserve">荧光灯</w:t>
            </w:r>
            <w:r/>
          </w:p>
        </w:tc>
        <w:tc>
          <w:tcPr>
            <w:tcW w:w="5208" w:type="dxa"/>
            <w:textDirection w:val="lrTb"/>
            <w:noWrap w:val="false"/>
          </w:tcPr>
          <w:p>
            <w:pPr>
              <w:pStyle w:val="1159"/>
              <w:rPr>
                <w:color w:val="auto"/>
                <w:sz w:val="21"/>
                <w:szCs w:val="21"/>
                <w:highlight w:val="none"/>
              </w:rPr>
            </w:pPr>
            <w:r>
              <w:rPr>
                <w:rFonts w:hint="eastAsia"/>
                <w:color w:val="auto"/>
                <w:sz w:val="21"/>
                <w:szCs w:val="21"/>
                <w:highlight w:val="none"/>
              </w:rPr>
              <w:t xml:space="preserve">1.2米白光，36W</w:t>
            </w:r>
            <w:r/>
          </w:p>
        </w:tc>
        <w:tc>
          <w:tcPr>
            <w:tcW w:w="623" w:type="dxa"/>
            <w:textDirection w:val="lrTb"/>
            <w:noWrap w:val="false"/>
          </w:tcPr>
          <w:p>
            <w:pPr>
              <w:pStyle w:val="1159"/>
              <w:rPr>
                <w:color w:val="auto"/>
                <w:sz w:val="21"/>
                <w:szCs w:val="21"/>
                <w:highlight w:val="none"/>
              </w:rPr>
            </w:pPr>
            <w:r>
              <w:rPr>
                <w:rFonts w:hint="eastAsia"/>
                <w:color w:val="auto"/>
                <w:sz w:val="21"/>
                <w:szCs w:val="21"/>
                <w:highlight w:val="none"/>
              </w:rPr>
              <w:t xml:space="preserve">只</w:t>
            </w:r>
            <w:r/>
          </w:p>
        </w:tc>
        <w:tc>
          <w:tcPr>
            <w:tcW w:w="769" w:type="dxa"/>
            <w:textDirection w:val="lrTb"/>
            <w:noWrap w:val="false"/>
          </w:tcPr>
          <w:p>
            <w:pPr>
              <w:pStyle w:val="1159"/>
              <w:rPr>
                <w:color w:val="auto"/>
                <w:sz w:val="21"/>
                <w:szCs w:val="21"/>
                <w:highlight w:val="none"/>
              </w:rPr>
            </w:pPr>
            <w:r>
              <w:rPr>
                <w:rFonts w:hint="eastAsia"/>
                <w:color w:val="auto"/>
                <w:sz w:val="21"/>
                <w:szCs w:val="21"/>
                <w:highlight w:val="none"/>
              </w:rPr>
              <w:t xml:space="preserve">8</w:t>
            </w:r>
            <w:r/>
          </w:p>
        </w:tc>
      </w:tr>
      <w:tr>
        <w:trPr>
          <w:trHeight w:val="20"/>
        </w:trPr>
        <w:tc>
          <w:tcPr>
            <w:tcW w:w="624" w:type="dxa"/>
            <w:textDirection w:val="lrTb"/>
            <w:noWrap w:val="false"/>
          </w:tcPr>
          <w:p>
            <w:pPr>
              <w:pStyle w:val="1159"/>
              <w:rPr>
                <w:color w:val="auto"/>
                <w:sz w:val="21"/>
                <w:szCs w:val="21"/>
                <w:highlight w:val="none"/>
              </w:rPr>
            </w:pPr>
            <w:r>
              <w:rPr>
                <w:rFonts w:hint="eastAsia"/>
                <w:color w:val="auto"/>
                <w:sz w:val="21"/>
                <w:szCs w:val="21"/>
                <w:highlight w:val="none"/>
              </w:rPr>
              <w:t xml:space="preserve">22</w:t>
            </w:r>
            <w:r/>
          </w:p>
        </w:tc>
        <w:tc>
          <w:tcPr>
            <w:tcW w:w="1072" w:type="dxa"/>
            <w:textDirection w:val="lrTb"/>
            <w:noWrap w:val="false"/>
          </w:tcPr>
          <w:p>
            <w:pPr>
              <w:pStyle w:val="1159"/>
              <w:rPr>
                <w:color w:val="auto"/>
                <w:sz w:val="21"/>
                <w:szCs w:val="21"/>
                <w:highlight w:val="none"/>
              </w:rPr>
            </w:pPr>
            <w:r>
              <w:rPr>
                <w:rFonts w:hint="eastAsia"/>
                <w:color w:val="auto"/>
                <w:sz w:val="21"/>
                <w:szCs w:val="21"/>
                <w:highlight w:val="none"/>
              </w:rPr>
              <w:t xml:space="preserve">12路高清解码器</w:t>
            </w:r>
            <w:r/>
          </w:p>
        </w:tc>
        <w:tc>
          <w:tcPr>
            <w:tcW w:w="5208" w:type="dxa"/>
            <w:textDirection w:val="lrTb"/>
            <w:noWrap w:val="false"/>
          </w:tcPr>
          <w:p>
            <w:pPr>
              <w:pStyle w:val="1159"/>
              <w:rPr>
                <w:color w:val="auto"/>
                <w:sz w:val="21"/>
                <w:szCs w:val="21"/>
                <w:highlight w:val="none"/>
              </w:rPr>
            </w:pPr>
            <w:r>
              <w:rPr>
                <w:rFonts w:hint="eastAsia"/>
                <w:color w:val="auto"/>
                <w:sz w:val="21"/>
                <w:szCs w:val="21"/>
                <w:highlight w:val="none"/>
              </w:rPr>
              <w:t xml:space="preserve">嵌入式LINUX操作系统，高性能嵌入式处理器；</w:t>
            </w:r>
            <w:r>
              <w:rPr>
                <w:rFonts w:hint="eastAsia"/>
                <w:color w:val="auto"/>
                <w:sz w:val="21"/>
                <w:szCs w:val="21"/>
                <w:highlight w:val="none"/>
              </w:rPr>
              <w:br/>
            </w:r>
            <w:r>
              <w:rPr>
                <w:rFonts w:hint="eastAsia"/>
                <w:color w:val="auto"/>
                <w:sz w:val="21"/>
                <w:szCs w:val="21"/>
                <w:highlight w:val="none"/>
              </w:rPr>
              <w:t xml:space="preserve">解码要求：不少于64路1080P@30fps图像解码输出；</w:t>
            </w:r>
            <w:r>
              <w:rPr>
                <w:rFonts w:hint="eastAsia"/>
                <w:color w:val="auto"/>
                <w:sz w:val="21"/>
                <w:szCs w:val="21"/>
                <w:highlight w:val="none"/>
              </w:rPr>
              <w:br/>
            </w:r>
            <w:r>
              <w:rPr>
                <w:rFonts w:hint="eastAsia"/>
                <w:color w:val="auto"/>
                <w:sz w:val="21"/>
                <w:szCs w:val="21"/>
                <w:highlight w:val="none"/>
              </w:rPr>
              <w:t xml:space="preserve">不少于12路HDMI解码输出接口；</w:t>
            </w:r>
            <w:r>
              <w:rPr>
                <w:rFonts w:hint="eastAsia"/>
                <w:color w:val="auto"/>
                <w:sz w:val="21"/>
                <w:szCs w:val="21"/>
                <w:highlight w:val="none"/>
              </w:rPr>
              <w:br/>
            </w:r>
            <w:r>
              <w:rPr>
                <w:rFonts w:hint="eastAsia"/>
                <w:color w:val="auto"/>
                <w:sz w:val="21"/>
                <w:szCs w:val="21"/>
                <w:highlight w:val="none"/>
              </w:rPr>
              <w:t xml:space="preserve">可以实现9台液晶拼接单元解码上墙</w:t>
            </w:r>
            <w:r>
              <w:rPr>
                <w:rFonts w:hint="eastAsia"/>
                <w:color w:val="auto"/>
                <w:sz w:val="21"/>
                <w:szCs w:val="21"/>
                <w:highlight w:val="none"/>
              </w:rPr>
              <w:br/>
            </w:r>
            <w:r>
              <w:rPr>
                <w:rFonts w:hint="eastAsia"/>
                <w:color w:val="auto"/>
                <w:sz w:val="21"/>
                <w:szCs w:val="21"/>
                <w:highlight w:val="none"/>
              </w:rPr>
              <w:t xml:space="preserve">显示要求：采用工业级面板，适合7*24小时连续工作</w:t>
            </w:r>
            <w:r>
              <w:rPr>
                <w:rFonts w:hint="eastAsia"/>
                <w:color w:val="auto"/>
                <w:sz w:val="21"/>
                <w:szCs w:val="21"/>
                <w:highlight w:val="none"/>
              </w:rPr>
              <w:br/>
            </w:r>
            <w:r>
              <w:rPr>
                <w:rFonts w:hint="eastAsia"/>
                <w:color w:val="auto"/>
                <w:sz w:val="21"/>
                <w:szCs w:val="21"/>
                <w:highlight w:val="none"/>
              </w:rPr>
              <w:t xml:space="preserve">物理双边拼缝：双边物理拼缝≤3.5mm</w:t>
            </w:r>
            <w:r>
              <w:rPr>
                <w:rFonts w:hint="eastAsia"/>
                <w:color w:val="auto"/>
                <w:sz w:val="21"/>
                <w:szCs w:val="21"/>
                <w:highlight w:val="none"/>
              </w:rPr>
              <w:br/>
            </w:r>
            <w:r>
              <w:rPr>
                <w:rFonts w:hint="eastAsia"/>
                <w:color w:val="auto"/>
                <w:sz w:val="21"/>
                <w:szCs w:val="21"/>
                <w:highlight w:val="none"/>
              </w:rPr>
              <w:t xml:space="preserve">高清显示：物理分辨率高达1920 *1080</w:t>
            </w:r>
            <w:r>
              <w:rPr>
                <w:rFonts w:hint="eastAsia"/>
                <w:color w:val="auto"/>
                <w:sz w:val="21"/>
                <w:szCs w:val="21"/>
                <w:highlight w:val="none"/>
              </w:rPr>
              <w:br/>
            </w:r>
            <w:r>
              <w:rPr>
                <w:rFonts w:hint="eastAsia"/>
                <w:color w:val="auto"/>
                <w:sz w:val="21"/>
                <w:szCs w:val="21"/>
                <w:highlight w:val="none"/>
              </w:rPr>
              <w:t xml:space="preserve">安装方式：壁挂式</w:t>
            </w:r>
            <w:r>
              <w:rPr>
                <w:rFonts w:hint="eastAsia"/>
                <w:color w:val="auto"/>
                <w:sz w:val="21"/>
                <w:szCs w:val="21"/>
                <w:highlight w:val="none"/>
              </w:rPr>
              <w:br/>
            </w:r>
            <w:r>
              <w:rPr>
                <w:rFonts w:hint="eastAsia"/>
                <w:color w:val="auto"/>
                <w:sz w:val="21"/>
                <w:szCs w:val="21"/>
                <w:highlight w:val="none"/>
              </w:rPr>
              <w:t xml:space="preserve">电磁辐射：金属外壳，防辐射、防磁场、防强电场干扰</w:t>
            </w:r>
            <w:r>
              <w:rPr>
                <w:rFonts w:hint="eastAsia"/>
                <w:color w:val="auto"/>
                <w:sz w:val="21"/>
                <w:szCs w:val="21"/>
                <w:highlight w:val="none"/>
              </w:rPr>
              <w:br/>
            </w:r>
            <w:r>
              <w:rPr>
                <w:rFonts w:hint="eastAsia"/>
                <w:color w:val="auto"/>
                <w:sz w:val="21"/>
                <w:szCs w:val="21"/>
                <w:highlight w:val="none"/>
              </w:rPr>
              <w:t xml:space="preserve">同轴高清接入：支持同轴高清HDCVI信号接入，轻松实现模拟高清显示</w:t>
            </w:r>
            <w:r>
              <w:rPr>
                <w:rFonts w:hint="eastAsia"/>
                <w:color w:val="auto"/>
                <w:sz w:val="21"/>
                <w:szCs w:val="21"/>
                <w:highlight w:val="none"/>
              </w:rPr>
              <w:br/>
            </w:r>
            <w:r>
              <w:rPr>
                <w:rFonts w:hint="eastAsia"/>
                <w:color w:val="auto"/>
                <w:sz w:val="21"/>
                <w:szCs w:val="21"/>
                <w:highlight w:val="none"/>
              </w:rPr>
              <w:t xml:space="preserve">网络解码模块：支持选配高清网络解码模块，支持IPC、NVR等视频流接入并解码显示,尺寸：46寸,含配套安装所需的框架、底座、线缆等附件。</w:t>
            </w:r>
            <w:r/>
          </w:p>
        </w:tc>
        <w:tc>
          <w:tcPr>
            <w:tcW w:w="623" w:type="dxa"/>
            <w:textDirection w:val="lrTb"/>
            <w:noWrap w:val="false"/>
          </w:tcPr>
          <w:p>
            <w:pPr>
              <w:pStyle w:val="1159"/>
              <w:rPr>
                <w:color w:val="auto"/>
                <w:sz w:val="21"/>
                <w:szCs w:val="21"/>
                <w:highlight w:val="none"/>
              </w:rPr>
            </w:pPr>
            <w:r>
              <w:rPr>
                <w:rFonts w:hint="eastAsia"/>
                <w:color w:val="auto"/>
                <w:sz w:val="21"/>
                <w:szCs w:val="21"/>
                <w:highlight w:val="none"/>
              </w:rPr>
              <w:t xml:space="preserve">台</w:t>
            </w:r>
            <w:r/>
          </w:p>
        </w:tc>
        <w:tc>
          <w:tcPr>
            <w:tcW w:w="769" w:type="dxa"/>
            <w:textDirection w:val="lrTb"/>
            <w:noWrap w:val="false"/>
          </w:tcPr>
          <w:p>
            <w:pPr>
              <w:pStyle w:val="1159"/>
              <w:rPr>
                <w:color w:val="auto"/>
                <w:sz w:val="21"/>
                <w:szCs w:val="21"/>
                <w:highlight w:val="none"/>
              </w:rPr>
            </w:pPr>
            <w:r>
              <w:rPr>
                <w:rFonts w:hint="eastAsia"/>
                <w:color w:val="auto"/>
                <w:sz w:val="21"/>
                <w:szCs w:val="21"/>
                <w:highlight w:val="none"/>
              </w:rPr>
              <w:t xml:space="preserve">1</w:t>
            </w:r>
            <w:r/>
          </w:p>
        </w:tc>
      </w:tr>
      <w:tr>
        <w:trPr>
          <w:trHeight w:val="20"/>
        </w:trPr>
        <w:tc>
          <w:tcPr>
            <w:tcW w:w="624" w:type="dxa"/>
            <w:textDirection w:val="lrTb"/>
            <w:noWrap w:val="false"/>
          </w:tcPr>
          <w:p>
            <w:pPr>
              <w:pStyle w:val="1159"/>
              <w:rPr>
                <w:color w:val="auto"/>
                <w:sz w:val="21"/>
                <w:szCs w:val="21"/>
                <w:highlight w:val="none"/>
              </w:rPr>
            </w:pPr>
            <w:r>
              <w:rPr>
                <w:rFonts w:hint="eastAsia"/>
                <w:color w:val="auto"/>
                <w:sz w:val="21"/>
                <w:szCs w:val="21"/>
                <w:highlight w:val="none"/>
              </w:rPr>
              <w:t xml:space="preserve">23</w:t>
            </w:r>
            <w:r/>
          </w:p>
        </w:tc>
        <w:tc>
          <w:tcPr>
            <w:tcW w:w="1072" w:type="dxa"/>
            <w:textDirection w:val="lrTb"/>
            <w:noWrap w:val="false"/>
          </w:tcPr>
          <w:p>
            <w:pPr>
              <w:pStyle w:val="1159"/>
              <w:rPr>
                <w:color w:val="auto"/>
                <w:sz w:val="21"/>
                <w:szCs w:val="21"/>
                <w:highlight w:val="none"/>
              </w:rPr>
            </w:pPr>
            <w:r>
              <w:rPr>
                <w:rFonts w:hint="eastAsia"/>
                <w:color w:val="auto"/>
                <w:sz w:val="21"/>
                <w:szCs w:val="21"/>
                <w:highlight w:val="none"/>
              </w:rPr>
              <w:t xml:space="preserve">64路硬盘录像机</w:t>
            </w:r>
            <w:r/>
          </w:p>
        </w:tc>
        <w:tc>
          <w:tcPr>
            <w:tcW w:w="5208" w:type="dxa"/>
            <w:textDirection w:val="lrTb"/>
            <w:noWrap w:val="false"/>
          </w:tcPr>
          <w:p>
            <w:pPr>
              <w:pStyle w:val="1159"/>
              <w:rPr>
                <w:color w:val="auto"/>
                <w:sz w:val="21"/>
                <w:szCs w:val="21"/>
                <w:highlight w:val="none"/>
              </w:rPr>
            </w:pPr>
            <w:r>
              <w:rPr>
                <w:rFonts w:hint="eastAsia"/>
                <w:color w:val="auto"/>
                <w:sz w:val="21"/>
                <w:szCs w:val="21"/>
                <w:highlight w:val="none"/>
              </w:rPr>
              <w:t xml:space="preserve">eSATA接口1个外置eSATA接口；HDMI2路；HDMI1 (画面分割)1、4、8、9、16、25、36、64分割；HDMI2 (画面分割)1、4、8、9、16分割；IPC分辨率12M/4K/6M/5M/4M/3M/1080P/1.3M/720P；USB接口2个前置USB2.0接口/2个后置USB3.0接口；VGA2路；报警接口16进6出；操作界面WEB、本地GUI；操作系统嵌入式Linux实时操作系统；多路回放最大支持</w:t>
            </w:r>
            <w:r>
              <w:rPr>
                <w:rFonts w:hint="eastAsia"/>
                <w:color w:val="auto"/>
                <w:sz w:val="21"/>
                <w:szCs w:val="21"/>
                <w:highlight w:val="none"/>
              </w:rPr>
              <w:t xml:space="preserve">16路回放；后智能不支持；解码能力2×12M/4×4K/6×5M/8×4M/11×3M/16×1080P/32×720P；盘位16；前智能接入支持Smart IPC接入、绊线入侵、区域入侵、场景变化、移动侦测、人脸检测、物品遗留和物品搬移时，可给出报警提示，可对检测到的人脸图像进行裁切可实现智能规则配置和智能录像查询，同时支持热度图，人数统计，车牌检测（支持卡口ITC、球机）、智能跟踪球；视频输出2路VGA输出，2路HDMI输出，支持VGA1和HDMI 1同源输出，双HDMI 异源输出；网络带宽满足：接入3</w:t>
            </w:r>
            <w:r>
              <w:rPr>
                <w:rFonts w:hint="eastAsia"/>
                <w:color w:val="auto"/>
                <w:sz w:val="21"/>
                <w:szCs w:val="21"/>
                <w:highlight w:val="none"/>
              </w:rPr>
              <w:t xml:space="preserve">20Mbps，储存320Mbps，转发320Mbps；网络接口2个RJ45 10/100/1000Mbps自适应以太网口；网络视频接入64路；网络协议IPv4、IPv6、HTTP、UPnP、NTP、SADP、SNMP、PPPoE、DNS、FTP、ONVIF（支持2.4版本）；音频接口1路，RCA支持IPC复合音频输入/2路，RCA支持语音对讲输出；硬盘接口16个内置SATA接口，单盘容量支持8T，可配置成单盘，支持Raid0、Raid1、Raid5、Raid10各种数据保护模式；主处理器工业级嵌入式微控制器</w:t>
            </w:r>
            <w:r/>
          </w:p>
        </w:tc>
        <w:tc>
          <w:tcPr>
            <w:tcW w:w="623" w:type="dxa"/>
            <w:textDirection w:val="lrTb"/>
            <w:noWrap w:val="false"/>
          </w:tcPr>
          <w:p>
            <w:pPr>
              <w:pStyle w:val="1159"/>
              <w:rPr>
                <w:color w:val="auto"/>
                <w:sz w:val="21"/>
                <w:szCs w:val="21"/>
                <w:highlight w:val="none"/>
              </w:rPr>
            </w:pPr>
            <w:r>
              <w:rPr>
                <w:rFonts w:hint="eastAsia"/>
                <w:color w:val="auto"/>
                <w:sz w:val="21"/>
                <w:szCs w:val="21"/>
                <w:highlight w:val="none"/>
              </w:rPr>
              <w:t xml:space="preserve">台</w:t>
            </w:r>
            <w:r/>
          </w:p>
        </w:tc>
        <w:tc>
          <w:tcPr>
            <w:tcW w:w="769" w:type="dxa"/>
            <w:textDirection w:val="lrTb"/>
            <w:noWrap w:val="false"/>
          </w:tcPr>
          <w:p>
            <w:pPr>
              <w:pStyle w:val="1159"/>
              <w:rPr>
                <w:color w:val="auto"/>
                <w:sz w:val="21"/>
                <w:szCs w:val="21"/>
                <w:highlight w:val="none"/>
              </w:rPr>
            </w:pPr>
            <w:r>
              <w:rPr>
                <w:rFonts w:hint="eastAsia"/>
                <w:color w:val="auto"/>
                <w:sz w:val="21"/>
                <w:szCs w:val="21"/>
                <w:highlight w:val="none"/>
              </w:rPr>
              <w:t xml:space="preserve">4</w:t>
            </w:r>
            <w:r/>
          </w:p>
        </w:tc>
      </w:tr>
      <w:tr>
        <w:trPr>
          <w:trHeight w:val="20"/>
        </w:trPr>
        <w:tc>
          <w:tcPr>
            <w:tcW w:w="624" w:type="dxa"/>
            <w:textDirection w:val="lrTb"/>
            <w:noWrap w:val="false"/>
          </w:tcPr>
          <w:p>
            <w:pPr>
              <w:pStyle w:val="1159"/>
              <w:rPr>
                <w:color w:val="auto"/>
                <w:sz w:val="21"/>
                <w:szCs w:val="21"/>
                <w:highlight w:val="none"/>
              </w:rPr>
            </w:pPr>
            <w:r>
              <w:rPr>
                <w:rFonts w:hint="eastAsia"/>
                <w:color w:val="auto"/>
                <w:sz w:val="21"/>
                <w:szCs w:val="21"/>
                <w:highlight w:val="none"/>
              </w:rPr>
              <w:t xml:space="preserve">24</w:t>
            </w:r>
            <w:r/>
          </w:p>
        </w:tc>
        <w:tc>
          <w:tcPr>
            <w:tcW w:w="1072" w:type="dxa"/>
            <w:textDirection w:val="lrTb"/>
            <w:noWrap w:val="false"/>
          </w:tcPr>
          <w:p>
            <w:pPr>
              <w:pStyle w:val="1159"/>
              <w:rPr>
                <w:color w:val="auto"/>
                <w:sz w:val="21"/>
                <w:szCs w:val="21"/>
                <w:highlight w:val="none"/>
              </w:rPr>
            </w:pPr>
            <w:r>
              <w:rPr>
                <w:rFonts w:hint="eastAsia"/>
                <w:color w:val="auto"/>
                <w:sz w:val="21"/>
                <w:szCs w:val="21"/>
                <w:highlight w:val="none"/>
              </w:rPr>
              <w:t xml:space="preserve">人脸分析终端</w:t>
            </w:r>
            <w:r/>
          </w:p>
        </w:tc>
        <w:tc>
          <w:tcPr>
            <w:tcW w:w="5208" w:type="dxa"/>
            <w:textDirection w:val="lrTb"/>
            <w:noWrap w:val="false"/>
          </w:tcPr>
          <w:p>
            <w:pPr>
              <w:pStyle w:val="1159"/>
              <w:rPr>
                <w:color w:val="auto"/>
                <w:sz w:val="21"/>
                <w:szCs w:val="21"/>
                <w:highlight w:val="none"/>
              </w:rPr>
            </w:pPr>
            <w:r>
              <w:rPr>
                <w:rFonts w:hint="eastAsia"/>
                <w:color w:val="auto"/>
                <w:sz w:val="21"/>
                <w:szCs w:val="21"/>
                <w:highlight w:val="none"/>
              </w:rPr>
              <w:t xml:space="preserve">主处理器：工业级嵌入式微控制器；</w:t>
            </w:r>
            <w:r>
              <w:rPr>
                <w:rFonts w:hint="eastAsia"/>
                <w:color w:val="auto"/>
                <w:sz w:val="21"/>
                <w:szCs w:val="21"/>
                <w:highlight w:val="none"/>
              </w:rPr>
              <w:br/>
            </w:r>
            <w:r>
              <w:rPr>
                <w:rFonts w:hint="eastAsia"/>
                <w:color w:val="auto"/>
                <w:sz w:val="21"/>
                <w:szCs w:val="21"/>
                <w:highlight w:val="none"/>
              </w:rPr>
              <w:t xml:space="preserve">操作系统：嵌入式Linux操作系统；</w:t>
            </w:r>
            <w:r>
              <w:rPr>
                <w:rFonts w:hint="eastAsia"/>
                <w:color w:val="auto"/>
                <w:sz w:val="21"/>
                <w:szCs w:val="21"/>
                <w:highlight w:val="none"/>
              </w:rPr>
              <w:br/>
            </w:r>
            <w:r>
              <w:rPr>
                <w:rFonts w:hint="eastAsia"/>
                <w:color w:val="auto"/>
                <w:sz w:val="21"/>
                <w:szCs w:val="21"/>
                <w:highlight w:val="none"/>
              </w:rPr>
              <w:t xml:space="preserve">接入路数：128路；</w:t>
            </w:r>
            <w:r>
              <w:rPr>
                <w:rFonts w:hint="eastAsia"/>
                <w:color w:val="auto"/>
                <w:sz w:val="21"/>
                <w:szCs w:val="21"/>
                <w:highlight w:val="none"/>
              </w:rPr>
              <w:br/>
            </w:r>
            <w:r>
              <w:rPr>
                <w:rFonts w:hint="eastAsia"/>
                <w:color w:val="auto"/>
                <w:sz w:val="21"/>
                <w:szCs w:val="21"/>
                <w:highlight w:val="none"/>
              </w:rPr>
              <w:t xml:space="preserve">硬盘接口：12个，SATA 3.0，单盘最大16TB；</w:t>
            </w:r>
            <w:r>
              <w:rPr>
                <w:rFonts w:hint="eastAsia"/>
                <w:color w:val="auto"/>
                <w:sz w:val="21"/>
                <w:szCs w:val="21"/>
                <w:highlight w:val="none"/>
              </w:rPr>
              <w:br/>
            </w:r>
            <w:r>
              <w:rPr>
                <w:rFonts w:hint="eastAsia"/>
                <w:color w:val="auto"/>
                <w:sz w:val="21"/>
                <w:szCs w:val="21"/>
                <w:highlight w:val="none"/>
              </w:rPr>
              <w:t xml:space="preserve">网络带宽：400Mbps接入、320Mbps存储、96Mbps转发；</w:t>
            </w:r>
            <w:r>
              <w:rPr>
                <w:rFonts w:hint="eastAsia"/>
                <w:color w:val="auto"/>
                <w:sz w:val="21"/>
                <w:szCs w:val="21"/>
                <w:highlight w:val="none"/>
              </w:rPr>
              <w:br/>
            </w:r>
            <w:r>
              <w:rPr>
                <w:rFonts w:hint="eastAsia"/>
                <w:color w:val="auto"/>
                <w:sz w:val="21"/>
                <w:szCs w:val="21"/>
                <w:highlight w:val="none"/>
              </w:rPr>
              <w:t xml:space="preserve">分辨率：24MP；16MP；12MP；8MP；6MP；5MP；4MP；3MP；1080p；720p；</w:t>
            </w:r>
            <w:r>
              <w:rPr>
                <w:rFonts w:hint="eastAsia"/>
                <w:color w:val="auto"/>
                <w:sz w:val="21"/>
                <w:szCs w:val="21"/>
                <w:highlight w:val="none"/>
              </w:rPr>
              <w:br/>
            </w:r>
            <w:r>
              <w:rPr>
                <w:rFonts w:hint="eastAsia"/>
                <w:color w:val="auto"/>
                <w:sz w:val="21"/>
                <w:szCs w:val="21"/>
                <w:highlight w:val="none"/>
              </w:rPr>
              <w:t xml:space="preserve">解码能力：1路24MP，2路16MP，5路12MP（20fps），6路12MP（15fps），5路8MP（30fps），10路8MP（15fps），6路6MP（30fps），8路5MP（30fps），9路5MP（25fps），10路4MP（30fps），15路4MP（20fps），16路3MP（25fps），10路1080p（60fps），20路1080p（30fps），30路720p（30fps）；</w:t>
            </w:r>
            <w:r>
              <w:rPr>
                <w:rFonts w:hint="eastAsia"/>
                <w:color w:val="auto"/>
                <w:sz w:val="21"/>
                <w:szCs w:val="21"/>
                <w:highlight w:val="none"/>
              </w:rPr>
              <w:br/>
            </w:r>
            <w:r>
              <w:rPr>
                <w:rFonts w:hint="eastAsia"/>
                <w:color w:val="auto"/>
                <w:sz w:val="21"/>
                <w:szCs w:val="21"/>
                <w:highlight w:val="none"/>
              </w:rPr>
              <w:t xml:space="preserve">电源接口：单电源；</w:t>
            </w:r>
            <w:r>
              <w:rPr>
                <w:rFonts w:hint="eastAsia"/>
                <w:color w:val="auto"/>
                <w:sz w:val="21"/>
                <w:szCs w:val="21"/>
                <w:highlight w:val="none"/>
              </w:rPr>
              <w:br/>
            </w:r>
            <w:r>
              <w:rPr>
                <w:rFonts w:hint="eastAsia"/>
                <w:color w:val="auto"/>
                <w:sz w:val="21"/>
                <w:szCs w:val="21"/>
                <w:highlight w:val="none"/>
              </w:rPr>
              <w:t xml:space="preserve">网络接口：4个RJ-45，10/100/1000Mbps自适应以太网口（千兆电口）；</w:t>
            </w:r>
            <w:r>
              <w:rPr>
                <w:rFonts w:hint="eastAsia"/>
                <w:color w:val="auto"/>
                <w:sz w:val="21"/>
                <w:szCs w:val="21"/>
                <w:highlight w:val="none"/>
              </w:rPr>
              <w:br/>
            </w:r>
            <w:r>
              <w:rPr>
                <w:rFonts w:hint="eastAsia"/>
                <w:color w:val="auto"/>
                <w:sz w:val="21"/>
                <w:szCs w:val="21"/>
                <w:highlight w:val="none"/>
              </w:rPr>
              <w:t xml:space="preserve">视频输出：2路VGA输出，3路HDMI输出，其中VGA1和HDMI 1同源输出，VGA2和HDMI2同源输出支持4K显示；</w:t>
            </w:r>
            <w:r>
              <w:rPr>
                <w:rFonts w:hint="eastAsia"/>
                <w:color w:val="auto"/>
                <w:sz w:val="21"/>
                <w:szCs w:val="21"/>
                <w:highlight w:val="none"/>
              </w:rPr>
              <w:br/>
            </w:r>
            <w:r>
              <w:rPr>
                <w:rFonts w:hint="eastAsia"/>
                <w:color w:val="auto"/>
                <w:sz w:val="21"/>
                <w:szCs w:val="21"/>
                <w:highlight w:val="none"/>
              </w:rPr>
              <w:t xml:space="preserve">人脸检测：1. 支持24路200万或16路400万分辨率视频流分析；2. 属性：支持6种属性，性别，年龄段（6个），眼镜，表情（8种），口罩，胡子；</w:t>
            </w:r>
            <w:r>
              <w:rPr>
                <w:rFonts w:hint="eastAsia"/>
                <w:color w:val="auto"/>
                <w:sz w:val="21"/>
                <w:szCs w:val="21"/>
                <w:highlight w:val="none"/>
              </w:rPr>
              <w:br/>
            </w:r>
            <w:r>
              <w:rPr>
                <w:rFonts w:hint="eastAsia"/>
                <w:color w:val="auto"/>
                <w:sz w:val="21"/>
                <w:szCs w:val="21"/>
                <w:highlight w:val="none"/>
              </w:rPr>
              <w:t xml:space="preserve">人脸库容量：1、样本库最大50个，50万张图片，单库最大50万张图片2、路人库最大5个，50万张图片，单库最大50万张图片人脸库样本库容量、条数共享；</w:t>
            </w:r>
            <w:r>
              <w:rPr>
                <w:rFonts w:hint="eastAsia"/>
                <w:color w:val="auto"/>
                <w:sz w:val="21"/>
                <w:szCs w:val="21"/>
                <w:highlight w:val="none"/>
              </w:rPr>
              <w:br/>
            </w:r>
            <w:r>
              <w:rPr>
                <w:rFonts w:hint="eastAsia"/>
                <w:color w:val="auto"/>
                <w:sz w:val="21"/>
                <w:szCs w:val="21"/>
                <w:highlight w:val="none"/>
              </w:rPr>
              <w:t xml:space="preserve">人脸识别：1. 图片流：支持48路200万或32路400万分辨率图片流分析；2. 视频流：支持24路200万或16路400万分辨率视频流分析；3. 支持人员频次高频报警；</w:t>
            </w:r>
            <w:r>
              <w:rPr>
                <w:rFonts w:hint="eastAsia"/>
                <w:color w:val="auto"/>
                <w:sz w:val="21"/>
                <w:szCs w:val="21"/>
                <w:highlight w:val="none"/>
              </w:rPr>
              <w:br/>
            </w:r>
            <w:r>
              <w:rPr>
                <w:rFonts w:hint="eastAsia"/>
                <w:color w:val="auto"/>
                <w:sz w:val="21"/>
                <w:szCs w:val="21"/>
                <w:highlight w:val="none"/>
              </w:rPr>
              <w:t xml:space="preserve">车牌比对：1. 后智能：支持48路200万或32路400万分辨率；</w:t>
            </w:r>
            <w:r>
              <w:rPr>
                <w:rFonts w:hint="eastAsia"/>
                <w:color w:val="auto"/>
                <w:sz w:val="21"/>
                <w:szCs w:val="21"/>
                <w:highlight w:val="none"/>
              </w:rPr>
              <w:br/>
            </w:r>
            <w:r>
              <w:rPr>
                <w:rFonts w:hint="eastAsia"/>
                <w:color w:val="auto"/>
                <w:sz w:val="21"/>
                <w:szCs w:val="21"/>
                <w:highlight w:val="none"/>
              </w:rPr>
              <w:t xml:space="preserve">视频结构化：1. 支持24路200万或16路400万分辨率视频流分析；2. 目标类型：人体：性别；年龄；袖长；上装颜色；下装类型；下装颜色；包；雨伞；雨披；帽子；发型；朝向；抱小孩；口罩；机动车：车牌号；车型；车色；车标；车牌颜色；车内饰品；打电话；安全带；非机动车：车型；车色；车上人数；包；袖长；上装颜色；帽子；发型；雨伞；雨披；口罩；3. 支持属性合规报警；支持符合和不符合筛选属性条件报警；</w:t>
            </w:r>
            <w:r>
              <w:rPr>
                <w:rFonts w:hint="eastAsia"/>
                <w:color w:val="auto"/>
                <w:sz w:val="21"/>
                <w:szCs w:val="21"/>
                <w:highlight w:val="none"/>
              </w:rPr>
              <w:br/>
            </w:r>
            <w:r>
              <w:rPr>
                <w:rFonts w:hint="eastAsia"/>
                <w:color w:val="auto"/>
                <w:sz w:val="21"/>
                <w:szCs w:val="21"/>
                <w:highlight w:val="none"/>
              </w:rPr>
              <w:t xml:space="preserve">通用行为分析：1. 支持24路200万或16路400万分辨率视频流分析；2. 规则：绊线入侵；区域入侵；人员聚集；停车检测；徘徊检测；</w:t>
            </w:r>
            <w:r>
              <w:rPr>
                <w:rFonts w:hint="eastAsia"/>
                <w:color w:val="auto"/>
                <w:sz w:val="21"/>
                <w:szCs w:val="21"/>
                <w:highlight w:val="none"/>
              </w:rPr>
              <w:br/>
            </w:r>
            <w:r>
              <w:rPr>
                <w:rFonts w:hint="eastAsia"/>
                <w:color w:val="auto"/>
                <w:sz w:val="21"/>
                <w:szCs w:val="21"/>
                <w:highlight w:val="none"/>
              </w:rPr>
              <w:t xml:space="preserve">人数统计：配套前端摄像机，支持绊线人数统计；区域人数统计；排队人数统计；拥堵检测；</w:t>
            </w:r>
            <w:r>
              <w:rPr>
                <w:rFonts w:hint="eastAsia"/>
                <w:color w:val="auto"/>
                <w:sz w:val="21"/>
                <w:szCs w:val="21"/>
                <w:highlight w:val="none"/>
              </w:rPr>
              <w:br/>
            </w:r>
            <w:r>
              <w:rPr>
                <w:rFonts w:hint="eastAsia"/>
                <w:color w:val="auto"/>
                <w:sz w:val="21"/>
                <w:szCs w:val="21"/>
                <w:highlight w:val="none"/>
              </w:rPr>
              <w:t xml:space="preserve">历史抓拍库容量：支持1000万人脸历史抓拍库；支持1000万人体历史抓拍库；支持1000万机动车历史抓拍库；支持500万通用行为分析历史抓拍库；支持100万人数统计报表记录；</w:t>
            </w:r>
            <w:r>
              <w:rPr>
                <w:rFonts w:hint="eastAsia"/>
                <w:color w:val="auto"/>
                <w:sz w:val="21"/>
                <w:szCs w:val="21"/>
                <w:highlight w:val="none"/>
              </w:rPr>
              <w:br/>
            </w:r>
            <w:r>
              <w:rPr>
                <w:rFonts w:hint="eastAsia"/>
                <w:color w:val="auto"/>
                <w:sz w:val="21"/>
                <w:szCs w:val="21"/>
                <w:highlight w:val="none"/>
              </w:rPr>
              <w:t xml:space="preserve">为分析设置为区域入侵、越界入侵侦测时，可以对人、车进行检测；</w:t>
            </w:r>
            <w:r>
              <w:rPr>
                <w:rFonts w:hint="eastAsia"/>
                <w:color w:val="auto"/>
                <w:sz w:val="21"/>
                <w:szCs w:val="21"/>
                <w:highlight w:val="none"/>
              </w:rPr>
              <w:br/>
            </w:r>
            <w:r>
              <w:rPr>
                <w:rFonts w:hint="eastAsia"/>
                <w:color w:val="auto"/>
                <w:sz w:val="21"/>
                <w:szCs w:val="21"/>
                <w:highlight w:val="none"/>
              </w:rPr>
              <w:t xml:space="preserve">支持人脸检测、人脸比对、人员特征识别、车辆检测报警触发联动蜂鸣、日志记录、抓拍图片、I/O接口报警信号输出、云台预置点、发送邮件、网口报警信号输出，可对报警事件关联录像进行回放；配合具有通用行为分析功能的摄像机，支持周界防范（区域入侵、绊线入侵）、物品遗留，物品搬移，快速移动，人员聚集，徘徊检测，穿越围栏。最大支持128路</w:t>
            </w:r>
            <w:r/>
          </w:p>
        </w:tc>
        <w:tc>
          <w:tcPr>
            <w:tcW w:w="623" w:type="dxa"/>
            <w:textDirection w:val="lrTb"/>
            <w:noWrap w:val="false"/>
          </w:tcPr>
          <w:p>
            <w:pPr>
              <w:pStyle w:val="1159"/>
              <w:rPr>
                <w:color w:val="auto"/>
                <w:sz w:val="21"/>
                <w:szCs w:val="21"/>
                <w:highlight w:val="none"/>
              </w:rPr>
            </w:pPr>
            <w:r>
              <w:rPr>
                <w:rFonts w:hint="eastAsia"/>
                <w:color w:val="auto"/>
                <w:sz w:val="21"/>
                <w:szCs w:val="21"/>
                <w:highlight w:val="none"/>
              </w:rPr>
              <w:t xml:space="preserve">台</w:t>
            </w:r>
            <w:r/>
          </w:p>
        </w:tc>
        <w:tc>
          <w:tcPr>
            <w:tcW w:w="769" w:type="dxa"/>
            <w:textDirection w:val="lrTb"/>
            <w:noWrap w:val="false"/>
          </w:tcPr>
          <w:p>
            <w:pPr>
              <w:pStyle w:val="1159"/>
              <w:rPr>
                <w:color w:val="auto"/>
                <w:sz w:val="21"/>
                <w:szCs w:val="21"/>
                <w:highlight w:val="none"/>
              </w:rPr>
            </w:pPr>
            <w:r>
              <w:rPr>
                <w:rFonts w:hint="eastAsia"/>
                <w:color w:val="auto"/>
                <w:sz w:val="21"/>
                <w:szCs w:val="21"/>
                <w:highlight w:val="none"/>
              </w:rPr>
              <w:t xml:space="preserve">1</w:t>
            </w:r>
            <w:r/>
          </w:p>
        </w:tc>
      </w:tr>
      <w:tr>
        <w:trPr>
          <w:trHeight w:val="20"/>
        </w:trPr>
        <w:tc>
          <w:tcPr>
            <w:tcW w:w="624" w:type="dxa"/>
            <w:textDirection w:val="lrTb"/>
            <w:noWrap w:val="false"/>
          </w:tcPr>
          <w:p>
            <w:pPr>
              <w:pStyle w:val="1159"/>
              <w:rPr>
                <w:color w:val="auto"/>
                <w:sz w:val="21"/>
                <w:szCs w:val="21"/>
                <w:highlight w:val="none"/>
              </w:rPr>
            </w:pPr>
            <w:r>
              <w:rPr>
                <w:rFonts w:hint="eastAsia"/>
                <w:color w:val="auto"/>
                <w:sz w:val="21"/>
                <w:szCs w:val="21"/>
                <w:highlight w:val="none"/>
              </w:rPr>
              <w:t xml:space="preserve">25</w:t>
            </w:r>
            <w:r/>
          </w:p>
        </w:tc>
        <w:tc>
          <w:tcPr>
            <w:tcW w:w="1072" w:type="dxa"/>
            <w:textDirection w:val="lrTb"/>
            <w:noWrap w:val="false"/>
          </w:tcPr>
          <w:p>
            <w:pPr>
              <w:pStyle w:val="1159"/>
              <w:rPr>
                <w:color w:val="auto"/>
                <w:sz w:val="21"/>
                <w:szCs w:val="21"/>
                <w:highlight w:val="none"/>
              </w:rPr>
            </w:pPr>
            <w:r>
              <w:rPr>
                <w:rFonts w:hint="eastAsia"/>
                <w:color w:val="auto"/>
                <w:sz w:val="21"/>
                <w:szCs w:val="21"/>
                <w:highlight w:val="none"/>
              </w:rPr>
              <w:t xml:space="preserve">数据对接</w:t>
            </w:r>
            <w:r/>
          </w:p>
        </w:tc>
        <w:tc>
          <w:tcPr>
            <w:tcW w:w="5208" w:type="dxa"/>
            <w:textDirection w:val="lrTb"/>
            <w:noWrap w:val="false"/>
          </w:tcPr>
          <w:p>
            <w:pPr>
              <w:pStyle w:val="1159"/>
              <w:rPr>
                <w:color w:val="auto"/>
                <w:sz w:val="21"/>
                <w:szCs w:val="21"/>
                <w:highlight w:val="none"/>
              </w:rPr>
            </w:pPr>
            <w:r>
              <w:rPr>
                <w:rFonts w:hint="eastAsia"/>
                <w:color w:val="auto"/>
                <w:sz w:val="21"/>
                <w:szCs w:val="21"/>
                <w:highlight w:val="none"/>
              </w:rPr>
              <w:t xml:space="preserve">实现与原有数据库无缝对接，实时数据互传、人脸库共享等功能。</w:t>
            </w:r>
            <w:r/>
          </w:p>
        </w:tc>
        <w:tc>
          <w:tcPr>
            <w:tcW w:w="623" w:type="dxa"/>
            <w:textDirection w:val="lrTb"/>
            <w:noWrap w:val="false"/>
          </w:tcPr>
          <w:p>
            <w:pPr>
              <w:pStyle w:val="1159"/>
              <w:rPr>
                <w:color w:val="auto"/>
                <w:sz w:val="21"/>
                <w:szCs w:val="21"/>
                <w:highlight w:val="none"/>
              </w:rPr>
            </w:pPr>
            <w:r>
              <w:rPr>
                <w:rFonts w:hint="eastAsia"/>
                <w:color w:val="auto"/>
                <w:sz w:val="21"/>
                <w:szCs w:val="21"/>
                <w:highlight w:val="none"/>
              </w:rPr>
              <w:t xml:space="preserve">项</w:t>
            </w:r>
            <w:r/>
          </w:p>
        </w:tc>
        <w:tc>
          <w:tcPr>
            <w:tcW w:w="769" w:type="dxa"/>
            <w:textDirection w:val="lrTb"/>
            <w:noWrap w:val="false"/>
          </w:tcPr>
          <w:p>
            <w:pPr>
              <w:pStyle w:val="1159"/>
              <w:rPr>
                <w:color w:val="auto"/>
                <w:sz w:val="21"/>
                <w:szCs w:val="21"/>
                <w:highlight w:val="none"/>
              </w:rPr>
            </w:pPr>
            <w:r>
              <w:rPr>
                <w:rFonts w:hint="eastAsia"/>
                <w:color w:val="auto"/>
                <w:sz w:val="21"/>
                <w:szCs w:val="21"/>
                <w:highlight w:val="none"/>
              </w:rPr>
              <w:t xml:space="preserve">1</w:t>
            </w:r>
            <w:r/>
          </w:p>
        </w:tc>
      </w:tr>
      <w:tr>
        <w:trPr>
          <w:trHeight w:val="20"/>
        </w:trPr>
        <w:tc>
          <w:tcPr>
            <w:tcW w:w="624" w:type="dxa"/>
            <w:textDirection w:val="lrTb"/>
            <w:noWrap w:val="false"/>
          </w:tcPr>
          <w:p>
            <w:pPr>
              <w:pStyle w:val="1159"/>
              <w:rPr>
                <w:color w:val="auto"/>
                <w:sz w:val="21"/>
                <w:szCs w:val="21"/>
                <w:highlight w:val="none"/>
              </w:rPr>
            </w:pPr>
            <w:r>
              <w:rPr>
                <w:rFonts w:hint="eastAsia"/>
                <w:color w:val="auto"/>
                <w:sz w:val="21"/>
                <w:szCs w:val="21"/>
                <w:highlight w:val="none"/>
              </w:rPr>
              <w:t xml:space="preserve">26</w:t>
            </w:r>
            <w:r/>
          </w:p>
        </w:tc>
        <w:tc>
          <w:tcPr>
            <w:tcW w:w="1072" w:type="dxa"/>
            <w:textDirection w:val="lrTb"/>
            <w:noWrap w:val="false"/>
          </w:tcPr>
          <w:p>
            <w:pPr>
              <w:pStyle w:val="1159"/>
              <w:rPr>
                <w:color w:val="auto"/>
                <w:sz w:val="21"/>
                <w:szCs w:val="21"/>
                <w:highlight w:val="none"/>
              </w:rPr>
            </w:pPr>
            <w:r>
              <w:rPr>
                <w:rFonts w:hint="eastAsia"/>
                <w:color w:val="auto"/>
                <w:sz w:val="21"/>
                <w:szCs w:val="21"/>
                <w:highlight w:val="none"/>
              </w:rPr>
              <w:t xml:space="preserve">监控专用硬盘</w:t>
            </w:r>
            <w:r/>
          </w:p>
        </w:tc>
        <w:tc>
          <w:tcPr>
            <w:tcW w:w="5208" w:type="dxa"/>
            <w:textDirection w:val="lrTb"/>
            <w:noWrap w:val="false"/>
          </w:tcPr>
          <w:p>
            <w:pPr>
              <w:pStyle w:val="1159"/>
              <w:rPr>
                <w:color w:val="auto"/>
                <w:sz w:val="21"/>
                <w:szCs w:val="21"/>
                <w:highlight w:val="none"/>
              </w:rPr>
            </w:pPr>
            <w:r>
              <w:rPr>
                <w:rFonts w:hint="eastAsia"/>
                <w:color w:val="auto"/>
                <w:sz w:val="21"/>
                <w:szCs w:val="21"/>
                <w:highlight w:val="none"/>
              </w:rPr>
              <w:t xml:space="preserve">接口类型SATA，容量6TB，缓存64MB，转速5400转</w:t>
            </w:r>
            <w:r/>
          </w:p>
        </w:tc>
        <w:tc>
          <w:tcPr>
            <w:tcW w:w="623" w:type="dxa"/>
            <w:textDirection w:val="lrTb"/>
            <w:noWrap w:val="false"/>
          </w:tcPr>
          <w:p>
            <w:pPr>
              <w:pStyle w:val="1159"/>
              <w:rPr>
                <w:color w:val="auto"/>
                <w:sz w:val="21"/>
                <w:szCs w:val="21"/>
                <w:highlight w:val="none"/>
              </w:rPr>
            </w:pPr>
            <w:r>
              <w:rPr>
                <w:rFonts w:hint="eastAsia"/>
                <w:color w:val="auto"/>
                <w:sz w:val="21"/>
                <w:szCs w:val="21"/>
                <w:highlight w:val="none"/>
              </w:rPr>
              <w:t xml:space="preserve">块</w:t>
            </w:r>
            <w:r/>
          </w:p>
        </w:tc>
        <w:tc>
          <w:tcPr>
            <w:tcW w:w="769" w:type="dxa"/>
            <w:textDirection w:val="lrTb"/>
            <w:noWrap w:val="false"/>
          </w:tcPr>
          <w:p>
            <w:pPr>
              <w:pStyle w:val="1159"/>
              <w:rPr>
                <w:color w:val="auto"/>
                <w:sz w:val="21"/>
                <w:szCs w:val="21"/>
                <w:highlight w:val="none"/>
              </w:rPr>
            </w:pPr>
            <w:r>
              <w:rPr>
                <w:rFonts w:hint="eastAsia"/>
                <w:color w:val="auto"/>
                <w:sz w:val="21"/>
                <w:szCs w:val="21"/>
                <w:highlight w:val="none"/>
              </w:rPr>
              <w:t xml:space="preserve">62</w:t>
            </w:r>
            <w:r/>
          </w:p>
        </w:tc>
      </w:tr>
      <w:tr>
        <w:trPr>
          <w:trHeight w:val="20"/>
        </w:trPr>
        <w:tc>
          <w:tcPr>
            <w:tcW w:w="624" w:type="dxa"/>
            <w:textDirection w:val="lrTb"/>
            <w:noWrap w:val="false"/>
          </w:tcPr>
          <w:p>
            <w:pPr>
              <w:pStyle w:val="1159"/>
              <w:rPr>
                <w:color w:val="auto"/>
                <w:sz w:val="21"/>
                <w:szCs w:val="21"/>
                <w:highlight w:val="none"/>
              </w:rPr>
            </w:pPr>
            <w:r>
              <w:rPr>
                <w:rFonts w:hint="eastAsia"/>
                <w:color w:val="auto"/>
                <w:sz w:val="21"/>
                <w:szCs w:val="21"/>
                <w:highlight w:val="none"/>
              </w:rPr>
              <w:t xml:space="preserve">27</w:t>
            </w:r>
            <w:r/>
          </w:p>
        </w:tc>
        <w:tc>
          <w:tcPr>
            <w:tcW w:w="1072" w:type="dxa"/>
            <w:textDirection w:val="lrTb"/>
            <w:noWrap w:val="false"/>
          </w:tcPr>
          <w:p>
            <w:pPr>
              <w:pStyle w:val="1159"/>
              <w:rPr>
                <w:color w:val="auto"/>
                <w:sz w:val="21"/>
                <w:szCs w:val="21"/>
                <w:highlight w:val="none"/>
              </w:rPr>
            </w:pPr>
            <w:r>
              <w:rPr>
                <w:rFonts w:hint="eastAsia"/>
                <w:color w:val="auto"/>
                <w:sz w:val="21"/>
                <w:szCs w:val="21"/>
                <w:highlight w:val="none"/>
              </w:rPr>
              <w:t xml:space="preserve">服务器机柜</w:t>
            </w:r>
            <w:r/>
          </w:p>
        </w:tc>
        <w:tc>
          <w:tcPr>
            <w:tcW w:w="5208" w:type="dxa"/>
            <w:textDirection w:val="lrTb"/>
            <w:noWrap w:val="false"/>
          </w:tcPr>
          <w:p>
            <w:pPr>
              <w:pStyle w:val="1159"/>
              <w:rPr>
                <w:color w:val="auto"/>
                <w:sz w:val="21"/>
                <w:szCs w:val="21"/>
                <w:highlight w:val="none"/>
              </w:rPr>
            </w:pPr>
            <w:r>
              <w:rPr>
                <w:rFonts w:hint="eastAsia"/>
                <w:color w:val="auto"/>
                <w:sz w:val="21"/>
                <w:szCs w:val="21"/>
                <w:highlight w:val="none"/>
              </w:rPr>
              <w:t xml:space="preserve">37U，宽600mm深900mm</w:t>
            </w:r>
            <w:r/>
          </w:p>
        </w:tc>
        <w:tc>
          <w:tcPr>
            <w:tcW w:w="623" w:type="dxa"/>
            <w:textDirection w:val="lrTb"/>
            <w:noWrap w:val="false"/>
          </w:tcPr>
          <w:p>
            <w:pPr>
              <w:pStyle w:val="1159"/>
              <w:rPr>
                <w:color w:val="auto"/>
                <w:sz w:val="21"/>
                <w:szCs w:val="21"/>
                <w:highlight w:val="none"/>
              </w:rPr>
            </w:pPr>
            <w:r>
              <w:rPr>
                <w:rFonts w:hint="eastAsia"/>
                <w:color w:val="auto"/>
                <w:sz w:val="21"/>
                <w:szCs w:val="21"/>
                <w:highlight w:val="none"/>
              </w:rPr>
              <w:t xml:space="preserve">台</w:t>
            </w:r>
            <w:r/>
          </w:p>
        </w:tc>
        <w:tc>
          <w:tcPr>
            <w:tcW w:w="769" w:type="dxa"/>
            <w:textDirection w:val="lrTb"/>
            <w:noWrap w:val="false"/>
          </w:tcPr>
          <w:p>
            <w:pPr>
              <w:pStyle w:val="1159"/>
              <w:rPr>
                <w:color w:val="auto"/>
                <w:sz w:val="21"/>
                <w:szCs w:val="21"/>
                <w:highlight w:val="none"/>
              </w:rPr>
            </w:pPr>
            <w:r>
              <w:rPr>
                <w:rFonts w:hint="eastAsia"/>
                <w:color w:val="auto"/>
                <w:sz w:val="21"/>
                <w:szCs w:val="21"/>
                <w:highlight w:val="none"/>
              </w:rPr>
              <w:t xml:space="preserve">2</w:t>
            </w:r>
            <w:r/>
          </w:p>
        </w:tc>
      </w:tr>
      <w:tr>
        <w:trPr>
          <w:trHeight w:val="20"/>
        </w:trPr>
        <w:tc>
          <w:tcPr>
            <w:tcW w:w="624" w:type="dxa"/>
            <w:textDirection w:val="lrTb"/>
            <w:noWrap w:val="false"/>
          </w:tcPr>
          <w:p>
            <w:pPr>
              <w:pStyle w:val="1159"/>
              <w:rPr>
                <w:color w:val="auto"/>
                <w:sz w:val="21"/>
                <w:szCs w:val="21"/>
                <w:highlight w:val="none"/>
              </w:rPr>
            </w:pPr>
            <w:r>
              <w:rPr>
                <w:rFonts w:hint="eastAsia"/>
                <w:color w:val="auto"/>
                <w:sz w:val="21"/>
                <w:szCs w:val="21"/>
                <w:highlight w:val="none"/>
              </w:rPr>
              <w:t xml:space="preserve">28</w:t>
            </w:r>
            <w:r/>
          </w:p>
        </w:tc>
        <w:tc>
          <w:tcPr>
            <w:tcW w:w="1072" w:type="dxa"/>
            <w:textDirection w:val="lrTb"/>
            <w:noWrap w:val="false"/>
          </w:tcPr>
          <w:p>
            <w:pPr>
              <w:pStyle w:val="1159"/>
              <w:rPr>
                <w:color w:val="auto"/>
                <w:sz w:val="21"/>
                <w:szCs w:val="21"/>
                <w:highlight w:val="none"/>
              </w:rPr>
            </w:pPr>
            <w:r>
              <w:rPr>
                <w:rFonts w:hint="eastAsia"/>
                <w:color w:val="auto"/>
                <w:sz w:val="21"/>
                <w:szCs w:val="21"/>
                <w:highlight w:val="none"/>
              </w:rPr>
              <w:t xml:space="preserve">电池</w:t>
            </w:r>
            <w:r/>
          </w:p>
        </w:tc>
        <w:tc>
          <w:tcPr>
            <w:tcW w:w="5208" w:type="dxa"/>
            <w:textDirection w:val="lrTb"/>
            <w:noWrap w:val="false"/>
          </w:tcPr>
          <w:p>
            <w:pPr>
              <w:pStyle w:val="1159"/>
              <w:rPr>
                <w:color w:val="auto"/>
                <w:sz w:val="21"/>
                <w:szCs w:val="21"/>
                <w:highlight w:val="none"/>
              </w:rPr>
            </w:pPr>
            <w:r>
              <w:rPr>
                <w:rFonts w:hint="eastAsia"/>
                <w:color w:val="auto"/>
                <w:sz w:val="21"/>
                <w:szCs w:val="21"/>
                <w:highlight w:val="none"/>
              </w:rPr>
              <w:t xml:space="preserve">铅酸免维护蓄电池12V150AH</w:t>
            </w:r>
            <w:r/>
          </w:p>
        </w:tc>
        <w:tc>
          <w:tcPr>
            <w:tcW w:w="623" w:type="dxa"/>
            <w:textDirection w:val="lrTb"/>
            <w:noWrap w:val="false"/>
          </w:tcPr>
          <w:p>
            <w:pPr>
              <w:pStyle w:val="1159"/>
              <w:rPr>
                <w:color w:val="auto"/>
                <w:sz w:val="21"/>
                <w:szCs w:val="21"/>
                <w:highlight w:val="none"/>
              </w:rPr>
            </w:pPr>
            <w:r>
              <w:rPr>
                <w:rFonts w:hint="eastAsia"/>
                <w:color w:val="auto"/>
                <w:sz w:val="21"/>
                <w:szCs w:val="21"/>
                <w:highlight w:val="none"/>
              </w:rPr>
              <w:t xml:space="preserve">块</w:t>
            </w:r>
            <w:r/>
          </w:p>
        </w:tc>
        <w:tc>
          <w:tcPr>
            <w:tcW w:w="769" w:type="dxa"/>
            <w:textDirection w:val="lrTb"/>
            <w:noWrap w:val="false"/>
          </w:tcPr>
          <w:p>
            <w:pPr>
              <w:pStyle w:val="1159"/>
              <w:rPr>
                <w:color w:val="auto"/>
                <w:sz w:val="21"/>
                <w:szCs w:val="21"/>
                <w:highlight w:val="none"/>
              </w:rPr>
            </w:pPr>
            <w:r>
              <w:rPr>
                <w:rFonts w:hint="eastAsia"/>
                <w:color w:val="auto"/>
                <w:sz w:val="21"/>
                <w:szCs w:val="21"/>
                <w:highlight w:val="none"/>
              </w:rPr>
              <w:t xml:space="preserve">32</w:t>
            </w:r>
            <w:r/>
          </w:p>
        </w:tc>
      </w:tr>
      <w:tr>
        <w:trPr>
          <w:trHeight w:val="20"/>
        </w:trPr>
        <w:tc>
          <w:tcPr>
            <w:tcW w:w="624" w:type="dxa"/>
            <w:textDirection w:val="lrTb"/>
            <w:noWrap w:val="false"/>
          </w:tcPr>
          <w:p>
            <w:pPr>
              <w:pStyle w:val="1159"/>
              <w:rPr>
                <w:color w:val="auto"/>
                <w:sz w:val="21"/>
                <w:szCs w:val="21"/>
                <w:highlight w:val="none"/>
              </w:rPr>
            </w:pPr>
            <w:r>
              <w:rPr>
                <w:rFonts w:hint="eastAsia"/>
                <w:color w:val="auto"/>
                <w:sz w:val="21"/>
                <w:szCs w:val="21"/>
                <w:highlight w:val="none"/>
              </w:rPr>
              <w:t xml:space="preserve">29</w:t>
            </w:r>
            <w:r/>
          </w:p>
        </w:tc>
        <w:tc>
          <w:tcPr>
            <w:tcW w:w="1072" w:type="dxa"/>
            <w:textDirection w:val="lrTb"/>
            <w:noWrap w:val="false"/>
          </w:tcPr>
          <w:p>
            <w:pPr>
              <w:pStyle w:val="1159"/>
              <w:rPr>
                <w:color w:val="auto"/>
                <w:sz w:val="21"/>
                <w:szCs w:val="21"/>
                <w:highlight w:val="none"/>
              </w:rPr>
            </w:pPr>
            <w:r>
              <w:rPr>
                <w:rFonts w:hint="eastAsia"/>
                <w:color w:val="auto"/>
                <w:sz w:val="21"/>
                <w:szCs w:val="21"/>
                <w:highlight w:val="none"/>
              </w:rPr>
              <w:t xml:space="preserve">电池柜</w:t>
            </w:r>
            <w:r/>
          </w:p>
        </w:tc>
        <w:tc>
          <w:tcPr>
            <w:tcW w:w="5208" w:type="dxa"/>
            <w:textDirection w:val="lrTb"/>
            <w:noWrap w:val="false"/>
          </w:tcPr>
          <w:p>
            <w:pPr>
              <w:pStyle w:val="1159"/>
              <w:rPr>
                <w:color w:val="auto"/>
                <w:sz w:val="21"/>
                <w:szCs w:val="21"/>
                <w:highlight w:val="none"/>
              </w:rPr>
            </w:pPr>
            <w:r>
              <w:rPr>
                <w:rFonts w:hint="eastAsia"/>
                <w:color w:val="auto"/>
                <w:sz w:val="21"/>
                <w:szCs w:val="21"/>
                <w:highlight w:val="none"/>
              </w:rPr>
              <w:t xml:space="preserve">A32节柜及配件</w:t>
            </w:r>
            <w:r/>
          </w:p>
        </w:tc>
        <w:tc>
          <w:tcPr>
            <w:tcW w:w="623" w:type="dxa"/>
            <w:textDirection w:val="lrTb"/>
            <w:noWrap w:val="false"/>
          </w:tcPr>
          <w:p>
            <w:pPr>
              <w:pStyle w:val="1159"/>
              <w:rPr>
                <w:color w:val="auto"/>
                <w:sz w:val="21"/>
                <w:szCs w:val="21"/>
                <w:highlight w:val="none"/>
              </w:rPr>
            </w:pPr>
            <w:r>
              <w:rPr>
                <w:rFonts w:hint="eastAsia"/>
                <w:color w:val="auto"/>
                <w:sz w:val="21"/>
                <w:szCs w:val="21"/>
                <w:highlight w:val="none"/>
              </w:rPr>
              <w:t xml:space="preserve">台</w:t>
            </w:r>
            <w:r/>
          </w:p>
        </w:tc>
        <w:tc>
          <w:tcPr>
            <w:tcW w:w="769" w:type="dxa"/>
            <w:textDirection w:val="lrTb"/>
            <w:noWrap w:val="false"/>
          </w:tcPr>
          <w:p>
            <w:pPr>
              <w:pStyle w:val="1159"/>
              <w:rPr>
                <w:color w:val="auto"/>
                <w:sz w:val="21"/>
                <w:szCs w:val="21"/>
                <w:highlight w:val="none"/>
              </w:rPr>
            </w:pPr>
            <w:r>
              <w:rPr>
                <w:rFonts w:hint="eastAsia"/>
                <w:color w:val="auto"/>
                <w:sz w:val="21"/>
                <w:szCs w:val="21"/>
                <w:highlight w:val="none"/>
              </w:rPr>
              <w:t xml:space="preserve">1</w:t>
            </w:r>
            <w:r/>
          </w:p>
        </w:tc>
      </w:tr>
      <w:tr>
        <w:trPr>
          <w:trHeight w:val="20"/>
        </w:trPr>
        <w:tc>
          <w:tcPr>
            <w:tcW w:w="624" w:type="dxa"/>
            <w:textDirection w:val="lrTb"/>
            <w:noWrap w:val="false"/>
          </w:tcPr>
          <w:p>
            <w:pPr>
              <w:pStyle w:val="1159"/>
              <w:rPr>
                <w:color w:val="auto"/>
                <w:sz w:val="21"/>
                <w:szCs w:val="21"/>
                <w:highlight w:val="none"/>
              </w:rPr>
            </w:pPr>
            <w:r>
              <w:rPr>
                <w:rFonts w:hint="eastAsia"/>
                <w:color w:val="auto"/>
                <w:sz w:val="21"/>
                <w:szCs w:val="21"/>
                <w:highlight w:val="none"/>
              </w:rPr>
              <w:t xml:space="preserve">30</w:t>
            </w:r>
            <w:r/>
          </w:p>
        </w:tc>
        <w:tc>
          <w:tcPr>
            <w:tcW w:w="1072" w:type="dxa"/>
            <w:textDirection w:val="lrTb"/>
            <w:noWrap w:val="false"/>
          </w:tcPr>
          <w:p>
            <w:pPr>
              <w:pStyle w:val="1159"/>
              <w:rPr>
                <w:color w:val="auto"/>
                <w:sz w:val="21"/>
                <w:szCs w:val="21"/>
                <w:highlight w:val="none"/>
              </w:rPr>
            </w:pPr>
            <w:r>
              <w:rPr>
                <w:rFonts w:hint="eastAsia"/>
                <w:color w:val="auto"/>
                <w:sz w:val="21"/>
                <w:szCs w:val="21"/>
                <w:highlight w:val="none"/>
              </w:rPr>
              <w:t xml:space="preserve">报警通信主机</w:t>
            </w:r>
            <w:r/>
          </w:p>
        </w:tc>
        <w:tc>
          <w:tcPr>
            <w:tcW w:w="5208" w:type="dxa"/>
            <w:textDirection w:val="lrTb"/>
            <w:noWrap w:val="false"/>
          </w:tcPr>
          <w:p>
            <w:pPr>
              <w:pStyle w:val="1159"/>
              <w:rPr>
                <w:color w:val="auto"/>
                <w:sz w:val="21"/>
                <w:szCs w:val="21"/>
                <w:highlight w:val="none"/>
              </w:rPr>
            </w:pPr>
            <w:r>
              <w:rPr>
                <w:rFonts w:hint="eastAsia"/>
                <w:color w:val="auto"/>
                <w:sz w:val="21"/>
                <w:szCs w:val="21"/>
                <w:highlight w:val="none"/>
              </w:rPr>
              <w:t xml:space="preserve">可编地址码的大型报警控制通讯主机，含键盘。主机自带8个防区，最多可扩展到248个；而且可提供多种类型的报警输入和本地报警输出，遥控编程，90个用户码，键盘编程，事件记忆，8个分区，带总线驱动器。★设防、撤防报警功能满足GB12663-2019国家标准。</w:t>
            </w:r>
            <w:r/>
          </w:p>
        </w:tc>
        <w:tc>
          <w:tcPr>
            <w:tcW w:w="623" w:type="dxa"/>
            <w:textDirection w:val="lrTb"/>
            <w:noWrap w:val="false"/>
          </w:tcPr>
          <w:p>
            <w:pPr>
              <w:pStyle w:val="1159"/>
              <w:rPr>
                <w:color w:val="auto"/>
                <w:sz w:val="21"/>
                <w:szCs w:val="21"/>
                <w:highlight w:val="none"/>
              </w:rPr>
            </w:pPr>
            <w:r>
              <w:rPr>
                <w:rFonts w:hint="eastAsia"/>
                <w:color w:val="auto"/>
                <w:sz w:val="21"/>
                <w:szCs w:val="21"/>
                <w:highlight w:val="none"/>
              </w:rPr>
              <w:t xml:space="preserve">台</w:t>
            </w:r>
            <w:r/>
          </w:p>
        </w:tc>
        <w:tc>
          <w:tcPr>
            <w:tcW w:w="769" w:type="dxa"/>
            <w:textDirection w:val="lrTb"/>
            <w:noWrap w:val="false"/>
          </w:tcPr>
          <w:p>
            <w:pPr>
              <w:pStyle w:val="1159"/>
              <w:rPr>
                <w:color w:val="auto"/>
                <w:sz w:val="21"/>
                <w:szCs w:val="21"/>
                <w:highlight w:val="none"/>
              </w:rPr>
            </w:pPr>
            <w:r>
              <w:rPr>
                <w:rFonts w:hint="eastAsia"/>
                <w:color w:val="auto"/>
                <w:sz w:val="21"/>
                <w:szCs w:val="21"/>
                <w:highlight w:val="none"/>
              </w:rPr>
              <w:t xml:space="preserve">1</w:t>
            </w:r>
            <w:r/>
          </w:p>
        </w:tc>
      </w:tr>
      <w:tr>
        <w:trPr>
          <w:trHeight w:val="20"/>
        </w:trPr>
        <w:tc>
          <w:tcPr>
            <w:tcW w:w="624" w:type="dxa"/>
            <w:textDirection w:val="lrTb"/>
            <w:noWrap w:val="false"/>
          </w:tcPr>
          <w:p>
            <w:pPr>
              <w:pStyle w:val="1159"/>
              <w:rPr>
                <w:color w:val="auto"/>
                <w:sz w:val="21"/>
                <w:szCs w:val="21"/>
                <w:highlight w:val="none"/>
              </w:rPr>
            </w:pPr>
            <w:r>
              <w:rPr>
                <w:rFonts w:hint="eastAsia"/>
                <w:color w:val="auto"/>
                <w:sz w:val="21"/>
                <w:szCs w:val="21"/>
                <w:highlight w:val="none"/>
              </w:rPr>
              <w:t xml:space="preserve">31</w:t>
            </w:r>
            <w:r/>
          </w:p>
        </w:tc>
        <w:tc>
          <w:tcPr>
            <w:tcW w:w="1072" w:type="dxa"/>
            <w:textDirection w:val="lrTb"/>
            <w:noWrap w:val="false"/>
          </w:tcPr>
          <w:p>
            <w:pPr>
              <w:pStyle w:val="1159"/>
              <w:rPr>
                <w:color w:val="auto"/>
                <w:sz w:val="21"/>
                <w:szCs w:val="21"/>
                <w:highlight w:val="none"/>
              </w:rPr>
            </w:pPr>
            <w:r>
              <w:rPr>
                <w:rFonts w:hint="eastAsia"/>
                <w:color w:val="auto"/>
                <w:sz w:val="21"/>
                <w:szCs w:val="21"/>
                <w:highlight w:val="none"/>
              </w:rPr>
              <w:t xml:space="preserve">接入交换机</w:t>
            </w:r>
            <w:r/>
          </w:p>
        </w:tc>
        <w:tc>
          <w:tcPr>
            <w:tcW w:w="5208" w:type="dxa"/>
            <w:textDirection w:val="lrTb"/>
            <w:noWrap w:val="false"/>
          </w:tcPr>
          <w:p>
            <w:pPr>
              <w:pStyle w:val="1159"/>
              <w:rPr>
                <w:color w:val="auto"/>
                <w:sz w:val="21"/>
                <w:szCs w:val="21"/>
                <w:highlight w:val="none"/>
              </w:rPr>
            </w:pPr>
            <w:r>
              <w:rPr>
                <w:rFonts w:hint="eastAsia"/>
                <w:color w:val="auto"/>
                <w:sz w:val="21"/>
                <w:szCs w:val="21"/>
                <w:highlight w:val="none"/>
              </w:rPr>
              <w:t xml:space="preserve">二层网管交换机，交换容量≥336Gbps，包转发率≥42Mpps，端口满足：24口10/1001000Mbps自适应电口，4个SFP千兆光口，支持VLAN、ACL、端口镜像、端口聚合等功能</w:t>
            </w:r>
            <w:r/>
          </w:p>
        </w:tc>
        <w:tc>
          <w:tcPr>
            <w:tcW w:w="623" w:type="dxa"/>
            <w:textDirection w:val="lrTb"/>
            <w:noWrap w:val="false"/>
          </w:tcPr>
          <w:p>
            <w:pPr>
              <w:pStyle w:val="1159"/>
              <w:rPr>
                <w:color w:val="auto"/>
                <w:sz w:val="21"/>
                <w:szCs w:val="21"/>
                <w:highlight w:val="none"/>
              </w:rPr>
            </w:pPr>
            <w:r>
              <w:rPr>
                <w:rFonts w:hint="eastAsia"/>
                <w:color w:val="auto"/>
                <w:sz w:val="21"/>
                <w:szCs w:val="21"/>
                <w:highlight w:val="none"/>
              </w:rPr>
              <w:t xml:space="preserve">台</w:t>
            </w:r>
            <w:r/>
          </w:p>
        </w:tc>
        <w:tc>
          <w:tcPr>
            <w:tcW w:w="769" w:type="dxa"/>
            <w:textDirection w:val="lrTb"/>
            <w:noWrap w:val="false"/>
          </w:tcPr>
          <w:p>
            <w:pPr>
              <w:pStyle w:val="1159"/>
              <w:rPr>
                <w:color w:val="auto"/>
                <w:sz w:val="21"/>
                <w:szCs w:val="21"/>
                <w:highlight w:val="none"/>
              </w:rPr>
            </w:pPr>
            <w:r>
              <w:rPr>
                <w:rFonts w:hint="eastAsia"/>
                <w:color w:val="auto"/>
                <w:sz w:val="21"/>
                <w:szCs w:val="21"/>
                <w:highlight w:val="none"/>
              </w:rPr>
              <w:t xml:space="preserve">16</w:t>
            </w:r>
            <w:r/>
          </w:p>
        </w:tc>
      </w:tr>
      <w:tr>
        <w:trPr>
          <w:trHeight w:val="20"/>
        </w:trPr>
        <w:tc>
          <w:tcPr>
            <w:tcW w:w="624" w:type="dxa"/>
            <w:textDirection w:val="lrTb"/>
            <w:noWrap w:val="false"/>
          </w:tcPr>
          <w:p>
            <w:pPr>
              <w:pStyle w:val="1159"/>
              <w:rPr>
                <w:color w:val="auto"/>
                <w:sz w:val="21"/>
                <w:szCs w:val="21"/>
                <w:highlight w:val="none"/>
              </w:rPr>
            </w:pPr>
            <w:r>
              <w:rPr>
                <w:rFonts w:hint="eastAsia"/>
                <w:color w:val="auto"/>
                <w:sz w:val="21"/>
                <w:szCs w:val="21"/>
                <w:highlight w:val="none"/>
              </w:rPr>
              <w:t xml:space="preserve">32</w:t>
            </w:r>
            <w:r/>
          </w:p>
        </w:tc>
        <w:tc>
          <w:tcPr>
            <w:tcW w:w="1072" w:type="dxa"/>
            <w:textDirection w:val="lrTb"/>
            <w:noWrap w:val="false"/>
          </w:tcPr>
          <w:p>
            <w:pPr>
              <w:pStyle w:val="1159"/>
              <w:rPr>
                <w:color w:val="auto"/>
                <w:sz w:val="21"/>
                <w:szCs w:val="21"/>
                <w:highlight w:val="none"/>
              </w:rPr>
            </w:pPr>
            <w:r>
              <w:rPr>
                <w:rFonts w:hint="eastAsia"/>
                <w:color w:val="auto"/>
                <w:sz w:val="21"/>
                <w:szCs w:val="21"/>
                <w:highlight w:val="none"/>
              </w:rPr>
              <w:t xml:space="preserve">汇集交换机</w:t>
            </w:r>
            <w:r/>
          </w:p>
        </w:tc>
        <w:tc>
          <w:tcPr>
            <w:tcW w:w="5208" w:type="dxa"/>
            <w:textDirection w:val="lrTb"/>
            <w:noWrap w:val="false"/>
          </w:tcPr>
          <w:p>
            <w:pPr>
              <w:pStyle w:val="1159"/>
              <w:rPr>
                <w:color w:val="auto"/>
                <w:sz w:val="21"/>
                <w:szCs w:val="21"/>
                <w:highlight w:val="none"/>
              </w:rPr>
            </w:pPr>
            <w:r>
              <w:rPr>
                <w:rFonts w:hint="eastAsia"/>
                <w:color w:val="auto"/>
                <w:sz w:val="21"/>
                <w:szCs w:val="21"/>
                <w:highlight w:val="none"/>
              </w:rPr>
              <w:t xml:space="preserve">固定端口满足:24个100/1000M自适应SFP光口，8个复用的10/100/1000M自适应电口，4个SFP+万兆光口，固化单交流电源</w:t>
            </w:r>
            <w:r>
              <w:rPr>
                <w:rFonts w:hint="eastAsia"/>
                <w:color w:val="auto"/>
                <w:sz w:val="21"/>
                <w:szCs w:val="21"/>
                <w:highlight w:val="none"/>
              </w:rPr>
              <w:br/>
            </w:r>
            <w:r>
              <w:rPr>
                <w:rFonts w:hint="eastAsia"/>
                <w:color w:val="auto"/>
                <w:sz w:val="21"/>
                <w:szCs w:val="21"/>
                <w:highlight w:val="none"/>
              </w:rPr>
              <w:t xml:space="preserve">交换容量≥432Gbps</w:t>
            </w:r>
            <w:r>
              <w:rPr>
                <w:rFonts w:hint="eastAsia"/>
                <w:color w:val="auto"/>
                <w:sz w:val="21"/>
                <w:szCs w:val="21"/>
                <w:highlight w:val="none"/>
              </w:rPr>
              <w:br/>
            </w:r>
            <w:r>
              <w:rPr>
                <w:rFonts w:hint="eastAsia"/>
                <w:color w:val="auto"/>
                <w:sz w:val="21"/>
                <w:szCs w:val="21"/>
                <w:highlight w:val="none"/>
              </w:rPr>
              <w:t xml:space="preserve">包转发率≥108Mpps</w:t>
            </w:r>
            <w:r>
              <w:rPr>
                <w:rFonts w:hint="eastAsia"/>
                <w:color w:val="auto"/>
                <w:sz w:val="21"/>
                <w:szCs w:val="21"/>
                <w:highlight w:val="none"/>
              </w:rPr>
              <w:br/>
            </w:r>
            <w:r>
              <w:rPr>
                <w:rFonts w:hint="eastAsia"/>
                <w:color w:val="auto"/>
                <w:sz w:val="21"/>
                <w:szCs w:val="21"/>
                <w:highlight w:val="none"/>
              </w:rPr>
              <w:t xml:space="preserve">MAC地址:支持静态MAC地址、支持MAC地址过滤</w:t>
            </w:r>
            <w:r>
              <w:rPr>
                <w:rFonts w:hint="eastAsia"/>
                <w:color w:val="auto"/>
                <w:sz w:val="21"/>
                <w:szCs w:val="21"/>
                <w:highlight w:val="none"/>
              </w:rPr>
              <w:br/>
            </w:r>
            <w:r>
              <w:rPr>
                <w:rFonts w:hint="eastAsia"/>
                <w:color w:val="auto"/>
                <w:sz w:val="21"/>
                <w:szCs w:val="21"/>
                <w:highlight w:val="none"/>
              </w:rPr>
              <w:t xml:space="preserve">MAC表项:16K</w:t>
            </w:r>
            <w:r>
              <w:rPr>
                <w:rFonts w:hint="eastAsia"/>
                <w:color w:val="auto"/>
                <w:sz w:val="21"/>
                <w:szCs w:val="21"/>
                <w:highlight w:val="none"/>
              </w:rPr>
              <w:br/>
            </w:r>
            <w:r>
              <w:rPr>
                <w:rFonts w:hint="eastAsia"/>
                <w:color w:val="auto"/>
                <w:sz w:val="21"/>
                <w:szCs w:val="21"/>
                <w:highlight w:val="none"/>
              </w:rPr>
              <w:t xml:space="preserve">VLAN数量:4094</w:t>
            </w:r>
            <w:r>
              <w:rPr>
                <w:rFonts w:hint="eastAsia"/>
                <w:color w:val="auto"/>
                <w:sz w:val="21"/>
                <w:szCs w:val="21"/>
                <w:highlight w:val="none"/>
              </w:rPr>
              <w:br/>
            </w:r>
            <w:r>
              <w:rPr>
                <w:rFonts w:hint="eastAsia"/>
                <w:color w:val="auto"/>
                <w:sz w:val="21"/>
                <w:szCs w:val="21"/>
                <w:highlight w:val="none"/>
              </w:rPr>
              <w:t xml:space="preserve">链路聚合:支持</w:t>
            </w:r>
            <w:r>
              <w:rPr>
                <w:rFonts w:hint="eastAsia"/>
                <w:color w:val="auto"/>
                <w:sz w:val="21"/>
                <w:szCs w:val="21"/>
                <w:highlight w:val="none"/>
              </w:rPr>
              <w:br/>
            </w:r>
            <w:r>
              <w:rPr>
                <w:rFonts w:hint="eastAsia"/>
                <w:color w:val="auto"/>
                <w:sz w:val="21"/>
                <w:szCs w:val="21"/>
                <w:highlight w:val="none"/>
              </w:rPr>
              <w:t xml:space="preserve">端口镜像:支持多对一镜像</w:t>
            </w:r>
            <w:r>
              <w:rPr>
                <w:rFonts w:hint="eastAsia"/>
                <w:color w:val="auto"/>
                <w:sz w:val="21"/>
                <w:szCs w:val="21"/>
                <w:highlight w:val="none"/>
              </w:rPr>
              <w:br/>
            </w:r>
            <w:r>
              <w:rPr>
                <w:rFonts w:hint="eastAsia"/>
                <w:color w:val="auto"/>
                <w:sz w:val="21"/>
                <w:szCs w:val="21"/>
                <w:highlight w:val="none"/>
              </w:rPr>
              <w:t xml:space="preserve">生成树:支持STP、RSTP</w:t>
            </w:r>
            <w:r>
              <w:rPr>
                <w:rFonts w:hint="eastAsia"/>
                <w:color w:val="auto"/>
                <w:sz w:val="21"/>
                <w:szCs w:val="21"/>
                <w:highlight w:val="none"/>
              </w:rPr>
              <w:br/>
            </w:r>
            <w:r>
              <w:rPr>
                <w:rFonts w:hint="eastAsia"/>
                <w:color w:val="auto"/>
                <w:sz w:val="21"/>
                <w:szCs w:val="21"/>
                <w:highlight w:val="none"/>
              </w:rPr>
              <w:t xml:space="preserve">防环协议:支持RLDP</w:t>
            </w:r>
            <w:r/>
          </w:p>
        </w:tc>
        <w:tc>
          <w:tcPr>
            <w:tcW w:w="623" w:type="dxa"/>
            <w:textDirection w:val="lrTb"/>
            <w:noWrap w:val="false"/>
          </w:tcPr>
          <w:p>
            <w:pPr>
              <w:pStyle w:val="1159"/>
              <w:rPr>
                <w:color w:val="auto"/>
                <w:sz w:val="21"/>
                <w:szCs w:val="21"/>
                <w:highlight w:val="none"/>
              </w:rPr>
            </w:pPr>
            <w:r>
              <w:rPr>
                <w:rFonts w:hint="eastAsia"/>
                <w:color w:val="auto"/>
                <w:sz w:val="21"/>
                <w:szCs w:val="21"/>
                <w:highlight w:val="none"/>
              </w:rPr>
              <w:t xml:space="preserve">台</w:t>
            </w:r>
            <w:r/>
          </w:p>
        </w:tc>
        <w:tc>
          <w:tcPr>
            <w:tcW w:w="769" w:type="dxa"/>
            <w:textDirection w:val="lrTb"/>
            <w:noWrap w:val="false"/>
          </w:tcPr>
          <w:p>
            <w:pPr>
              <w:pStyle w:val="1159"/>
              <w:rPr>
                <w:color w:val="auto"/>
                <w:sz w:val="21"/>
                <w:szCs w:val="21"/>
                <w:highlight w:val="none"/>
              </w:rPr>
            </w:pPr>
            <w:r>
              <w:rPr>
                <w:rFonts w:hint="eastAsia"/>
                <w:color w:val="auto"/>
                <w:sz w:val="21"/>
                <w:szCs w:val="21"/>
                <w:highlight w:val="none"/>
              </w:rPr>
              <w:t xml:space="preserve">1</w:t>
            </w:r>
            <w:r/>
          </w:p>
        </w:tc>
      </w:tr>
      <w:tr>
        <w:trPr>
          <w:trHeight w:val="20"/>
        </w:trPr>
        <w:tc>
          <w:tcPr>
            <w:tcW w:w="624" w:type="dxa"/>
            <w:textDirection w:val="lrTb"/>
            <w:noWrap w:val="false"/>
          </w:tcPr>
          <w:p>
            <w:pPr>
              <w:pStyle w:val="1159"/>
              <w:rPr>
                <w:color w:val="auto"/>
                <w:sz w:val="21"/>
                <w:szCs w:val="21"/>
                <w:highlight w:val="none"/>
              </w:rPr>
            </w:pPr>
            <w:r>
              <w:rPr>
                <w:rFonts w:hint="eastAsia"/>
                <w:color w:val="auto"/>
                <w:sz w:val="21"/>
                <w:szCs w:val="21"/>
                <w:highlight w:val="none"/>
              </w:rPr>
              <w:t xml:space="preserve">33</w:t>
            </w:r>
            <w:r/>
          </w:p>
        </w:tc>
        <w:tc>
          <w:tcPr>
            <w:tcW w:w="1072" w:type="dxa"/>
            <w:textDirection w:val="lrTb"/>
            <w:noWrap w:val="false"/>
          </w:tcPr>
          <w:p>
            <w:pPr>
              <w:pStyle w:val="1159"/>
              <w:rPr>
                <w:color w:val="auto"/>
                <w:sz w:val="21"/>
                <w:szCs w:val="21"/>
                <w:highlight w:val="none"/>
              </w:rPr>
            </w:pPr>
            <w:r>
              <w:rPr>
                <w:rFonts w:hint="eastAsia"/>
                <w:color w:val="auto"/>
                <w:sz w:val="21"/>
                <w:szCs w:val="21"/>
                <w:highlight w:val="none"/>
              </w:rPr>
              <w:t xml:space="preserve">工业级接入交换机</w:t>
            </w:r>
            <w:r/>
          </w:p>
        </w:tc>
        <w:tc>
          <w:tcPr>
            <w:tcW w:w="5208" w:type="dxa"/>
            <w:textDirection w:val="lrTb"/>
            <w:noWrap w:val="false"/>
          </w:tcPr>
          <w:p>
            <w:pPr>
              <w:pStyle w:val="1159"/>
              <w:rPr>
                <w:color w:val="auto"/>
                <w:sz w:val="21"/>
                <w:szCs w:val="21"/>
                <w:highlight w:val="none"/>
              </w:rPr>
            </w:pPr>
            <w:r>
              <w:rPr>
                <w:rFonts w:hint="eastAsia"/>
                <w:color w:val="auto"/>
                <w:sz w:val="21"/>
                <w:szCs w:val="21"/>
                <w:highlight w:val="none"/>
              </w:rPr>
              <w:t xml:space="preserve">二层网管交换机</w:t>
            </w:r>
            <w:r>
              <w:rPr>
                <w:rFonts w:hint="eastAsia"/>
                <w:color w:val="auto"/>
                <w:sz w:val="21"/>
                <w:szCs w:val="21"/>
                <w:highlight w:val="none"/>
              </w:rPr>
              <w:br/>
            </w:r>
            <w:r>
              <w:rPr>
                <w:rFonts w:hint="eastAsia"/>
                <w:color w:val="auto"/>
                <w:sz w:val="21"/>
                <w:szCs w:val="21"/>
                <w:highlight w:val="none"/>
              </w:rPr>
              <w:t xml:space="preserve">固定接口:不少于8个10/100/1000 Mbps自适应以太网接口，2个1G SFP接口</w:t>
            </w:r>
            <w:r>
              <w:rPr>
                <w:rFonts w:hint="eastAsia"/>
                <w:color w:val="auto"/>
                <w:sz w:val="21"/>
                <w:szCs w:val="21"/>
                <w:highlight w:val="none"/>
              </w:rPr>
              <w:br/>
            </w:r>
            <w:r>
              <w:rPr>
                <w:rFonts w:hint="eastAsia"/>
                <w:color w:val="auto"/>
                <w:sz w:val="21"/>
                <w:szCs w:val="21"/>
                <w:highlight w:val="none"/>
              </w:rPr>
              <w:t xml:space="preserve">交换容量≥20Gbps，包转发率≥15Mpps，支持壁挂、导轨安装</w:t>
            </w:r>
            <w:r/>
          </w:p>
        </w:tc>
        <w:tc>
          <w:tcPr>
            <w:tcW w:w="623" w:type="dxa"/>
            <w:textDirection w:val="lrTb"/>
            <w:noWrap w:val="false"/>
          </w:tcPr>
          <w:p>
            <w:pPr>
              <w:pStyle w:val="1159"/>
              <w:rPr>
                <w:color w:val="auto"/>
                <w:sz w:val="21"/>
                <w:szCs w:val="21"/>
                <w:highlight w:val="none"/>
              </w:rPr>
            </w:pPr>
            <w:r>
              <w:rPr>
                <w:rFonts w:hint="eastAsia"/>
                <w:color w:val="auto"/>
                <w:sz w:val="21"/>
                <w:szCs w:val="21"/>
                <w:highlight w:val="none"/>
              </w:rPr>
              <w:t xml:space="preserve">台</w:t>
            </w:r>
            <w:r/>
          </w:p>
        </w:tc>
        <w:tc>
          <w:tcPr>
            <w:tcW w:w="769" w:type="dxa"/>
            <w:textDirection w:val="lrTb"/>
            <w:noWrap w:val="false"/>
          </w:tcPr>
          <w:p>
            <w:pPr>
              <w:pStyle w:val="1159"/>
              <w:rPr>
                <w:color w:val="auto"/>
                <w:sz w:val="21"/>
                <w:szCs w:val="21"/>
                <w:highlight w:val="none"/>
              </w:rPr>
            </w:pPr>
            <w:r>
              <w:rPr>
                <w:rFonts w:hint="eastAsia"/>
                <w:color w:val="auto"/>
                <w:sz w:val="21"/>
                <w:szCs w:val="21"/>
                <w:highlight w:val="none"/>
              </w:rPr>
              <w:t xml:space="preserve">12</w:t>
            </w:r>
            <w:r/>
          </w:p>
        </w:tc>
      </w:tr>
      <w:tr>
        <w:trPr>
          <w:trHeight w:val="20"/>
        </w:trPr>
        <w:tc>
          <w:tcPr>
            <w:tcW w:w="624" w:type="dxa"/>
            <w:textDirection w:val="lrTb"/>
            <w:noWrap w:val="false"/>
          </w:tcPr>
          <w:p>
            <w:pPr>
              <w:pStyle w:val="1159"/>
              <w:rPr>
                <w:color w:val="auto"/>
                <w:sz w:val="21"/>
                <w:szCs w:val="21"/>
                <w:highlight w:val="none"/>
              </w:rPr>
            </w:pPr>
            <w:r>
              <w:rPr>
                <w:rFonts w:hint="eastAsia"/>
                <w:color w:val="auto"/>
                <w:sz w:val="21"/>
                <w:szCs w:val="21"/>
                <w:highlight w:val="none"/>
              </w:rPr>
              <w:t xml:space="preserve">34</w:t>
            </w:r>
            <w:r/>
          </w:p>
        </w:tc>
        <w:tc>
          <w:tcPr>
            <w:tcW w:w="1072" w:type="dxa"/>
            <w:textDirection w:val="lrTb"/>
            <w:noWrap w:val="false"/>
          </w:tcPr>
          <w:p>
            <w:pPr>
              <w:pStyle w:val="1159"/>
              <w:rPr>
                <w:color w:val="auto"/>
                <w:sz w:val="21"/>
                <w:szCs w:val="21"/>
                <w:highlight w:val="none"/>
              </w:rPr>
            </w:pPr>
            <w:r>
              <w:rPr>
                <w:rFonts w:hint="eastAsia"/>
                <w:color w:val="auto"/>
                <w:sz w:val="21"/>
                <w:szCs w:val="21"/>
                <w:highlight w:val="none"/>
              </w:rPr>
              <w:t xml:space="preserve">千兆光模块</w:t>
            </w:r>
            <w:r/>
          </w:p>
        </w:tc>
        <w:tc>
          <w:tcPr>
            <w:tcW w:w="5208" w:type="dxa"/>
            <w:textDirection w:val="lrTb"/>
            <w:noWrap w:val="false"/>
          </w:tcPr>
          <w:p>
            <w:pPr>
              <w:pStyle w:val="1159"/>
              <w:rPr>
                <w:color w:val="auto"/>
                <w:sz w:val="21"/>
                <w:szCs w:val="21"/>
                <w:highlight w:val="none"/>
              </w:rPr>
            </w:pPr>
            <w:r>
              <w:rPr>
                <w:rFonts w:hint="eastAsia"/>
                <w:color w:val="auto"/>
                <w:sz w:val="21"/>
                <w:szCs w:val="21"/>
                <w:highlight w:val="none"/>
              </w:rPr>
              <w:t xml:space="preserve">千兆单模单纤 SFP交换机光纤模块</w:t>
            </w:r>
            <w:r/>
          </w:p>
        </w:tc>
        <w:tc>
          <w:tcPr>
            <w:tcW w:w="623" w:type="dxa"/>
            <w:textDirection w:val="lrTb"/>
            <w:noWrap w:val="false"/>
          </w:tcPr>
          <w:p>
            <w:pPr>
              <w:pStyle w:val="1159"/>
              <w:rPr>
                <w:color w:val="auto"/>
                <w:sz w:val="21"/>
                <w:szCs w:val="21"/>
                <w:highlight w:val="none"/>
              </w:rPr>
            </w:pPr>
            <w:r>
              <w:rPr>
                <w:rFonts w:hint="eastAsia"/>
                <w:color w:val="auto"/>
                <w:sz w:val="21"/>
                <w:szCs w:val="21"/>
                <w:highlight w:val="none"/>
              </w:rPr>
              <w:t xml:space="preserve">台</w:t>
            </w:r>
            <w:r/>
          </w:p>
        </w:tc>
        <w:tc>
          <w:tcPr>
            <w:tcW w:w="769" w:type="dxa"/>
            <w:textDirection w:val="lrTb"/>
            <w:noWrap w:val="false"/>
          </w:tcPr>
          <w:p>
            <w:pPr>
              <w:pStyle w:val="1159"/>
              <w:rPr>
                <w:color w:val="auto"/>
                <w:sz w:val="21"/>
                <w:szCs w:val="21"/>
                <w:highlight w:val="none"/>
              </w:rPr>
            </w:pPr>
            <w:r>
              <w:rPr>
                <w:rFonts w:hint="eastAsia"/>
                <w:color w:val="auto"/>
                <w:sz w:val="21"/>
                <w:szCs w:val="21"/>
                <w:highlight w:val="none"/>
              </w:rPr>
              <w:t xml:space="preserve">56</w:t>
            </w:r>
            <w:r/>
          </w:p>
        </w:tc>
      </w:tr>
      <w:tr>
        <w:trPr>
          <w:trHeight w:val="20"/>
        </w:trPr>
        <w:tc>
          <w:tcPr>
            <w:tcW w:w="624" w:type="dxa"/>
            <w:textDirection w:val="lrTb"/>
            <w:noWrap w:val="false"/>
          </w:tcPr>
          <w:p>
            <w:pPr>
              <w:pStyle w:val="1159"/>
              <w:rPr>
                <w:color w:val="auto"/>
                <w:sz w:val="21"/>
                <w:szCs w:val="21"/>
                <w:highlight w:val="none"/>
              </w:rPr>
            </w:pPr>
            <w:r>
              <w:rPr>
                <w:rFonts w:hint="eastAsia"/>
                <w:color w:val="auto"/>
                <w:sz w:val="21"/>
                <w:szCs w:val="21"/>
                <w:highlight w:val="none"/>
              </w:rPr>
              <w:t xml:space="preserve">35</w:t>
            </w:r>
            <w:r/>
          </w:p>
        </w:tc>
        <w:tc>
          <w:tcPr>
            <w:tcW w:w="1072" w:type="dxa"/>
            <w:textDirection w:val="lrTb"/>
            <w:noWrap w:val="false"/>
          </w:tcPr>
          <w:p>
            <w:pPr>
              <w:pStyle w:val="1159"/>
              <w:rPr>
                <w:color w:val="auto"/>
                <w:sz w:val="21"/>
                <w:szCs w:val="21"/>
                <w:highlight w:val="none"/>
              </w:rPr>
            </w:pPr>
            <w:r>
              <w:rPr>
                <w:rFonts w:hint="eastAsia"/>
                <w:color w:val="auto"/>
                <w:sz w:val="21"/>
                <w:szCs w:val="21"/>
                <w:highlight w:val="none"/>
              </w:rPr>
              <w:t xml:space="preserve">万兆光模块</w:t>
            </w:r>
            <w:r/>
          </w:p>
        </w:tc>
        <w:tc>
          <w:tcPr>
            <w:tcW w:w="5208" w:type="dxa"/>
            <w:textDirection w:val="lrTb"/>
            <w:noWrap w:val="false"/>
          </w:tcPr>
          <w:p>
            <w:pPr>
              <w:pStyle w:val="1159"/>
              <w:rPr>
                <w:color w:val="auto"/>
                <w:sz w:val="21"/>
                <w:szCs w:val="21"/>
                <w:highlight w:val="none"/>
              </w:rPr>
            </w:pPr>
            <w:r>
              <w:rPr>
                <w:rFonts w:hint="eastAsia"/>
                <w:color w:val="auto"/>
                <w:sz w:val="21"/>
                <w:szCs w:val="21"/>
                <w:highlight w:val="none"/>
              </w:rPr>
              <w:t xml:space="preserve">万兆单模单纤 SFP+ (1270nm /1330nm ，传输距离≥10km，LC）</w:t>
            </w:r>
            <w:r/>
          </w:p>
        </w:tc>
        <w:tc>
          <w:tcPr>
            <w:tcW w:w="623" w:type="dxa"/>
            <w:textDirection w:val="lrTb"/>
            <w:noWrap w:val="false"/>
          </w:tcPr>
          <w:p>
            <w:pPr>
              <w:pStyle w:val="1159"/>
              <w:rPr>
                <w:color w:val="auto"/>
                <w:sz w:val="21"/>
                <w:szCs w:val="21"/>
                <w:highlight w:val="none"/>
              </w:rPr>
            </w:pPr>
            <w:r>
              <w:rPr>
                <w:rFonts w:hint="eastAsia"/>
                <w:color w:val="auto"/>
                <w:sz w:val="21"/>
                <w:szCs w:val="21"/>
                <w:highlight w:val="none"/>
              </w:rPr>
              <w:t xml:space="preserve">块</w:t>
            </w:r>
            <w:r/>
          </w:p>
        </w:tc>
        <w:tc>
          <w:tcPr>
            <w:tcW w:w="769" w:type="dxa"/>
            <w:textDirection w:val="lrTb"/>
            <w:noWrap w:val="false"/>
          </w:tcPr>
          <w:p>
            <w:pPr>
              <w:pStyle w:val="1159"/>
              <w:rPr>
                <w:color w:val="auto"/>
                <w:sz w:val="21"/>
                <w:szCs w:val="21"/>
                <w:highlight w:val="none"/>
              </w:rPr>
            </w:pPr>
            <w:r>
              <w:rPr>
                <w:rFonts w:hint="eastAsia"/>
                <w:color w:val="auto"/>
                <w:sz w:val="21"/>
                <w:szCs w:val="21"/>
                <w:highlight w:val="none"/>
              </w:rPr>
              <w:t xml:space="preserve">2</w:t>
            </w:r>
            <w:r/>
          </w:p>
        </w:tc>
      </w:tr>
      <w:tr>
        <w:trPr>
          <w:trHeight w:val="20"/>
        </w:trPr>
        <w:tc>
          <w:tcPr>
            <w:tcW w:w="624" w:type="dxa"/>
            <w:textDirection w:val="lrTb"/>
            <w:noWrap w:val="false"/>
          </w:tcPr>
          <w:p>
            <w:pPr>
              <w:pStyle w:val="1159"/>
              <w:rPr>
                <w:color w:val="auto"/>
                <w:sz w:val="21"/>
                <w:szCs w:val="21"/>
                <w:highlight w:val="none"/>
              </w:rPr>
            </w:pPr>
            <w:r>
              <w:rPr>
                <w:rFonts w:hint="eastAsia"/>
                <w:color w:val="auto"/>
                <w:sz w:val="21"/>
                <w:szCs w:val="21"/>
                <w:highlight w:val="none"/>
              </w:rPr>
              <w:t xml:space="preserve">36</w:t>
            </w:r>
            <w:r/>
          </w:p>
        </w:tc>
        <w:tc>
          <w:tcPr>
            <w:tcW w:w="1072" w:type="dxa"/>
            <w:textDirection w:val="lrTb"/>
            <w:noWrap w:val="false"/>
          </w:tcPr>
          <w:p>
            <w:pPr>
              <w:pStyle w:val="1159"/>
              <w:rPr>
                <w:color w:val="auto"/>
                <w:sz w:val="21"/>
                <w:szCs w:val="21"/>
                <w:highlight w:val="none"/>
              </w:rPr>
            </w:pPr>
            <w:r>
              <w:rPr>
                <w:rFonts w:hint="eastAsia"/>
                <w:color w:val="auto"/>
                <w:sz w:val="21"/>
                <w:szCs w:val="21"/>
                <w:highlight w:val="none"/>
              </w:rPr>
              <w:t xml:space="preserve">光纤跳线</w:t>
            </w:r>
            <w:r/>
          </w:p>
        </w:tc>
        <w:tc>
          <w:tcPr>
            <w:tcW w:w="5208" w:type="dxa"/>
            <w:textDirection w:val="lrTb"/>
            <w:noWrap w:val="false"/>
          </w:tcPr>
          <w:p>
            <w:pPr>
              <w:pStyle w:val="1159"/>
              <w:rPr>
                <w:color w:val="auto"/>
                <w:sz w:val="21"/>
                <w:szCs w:val="21"/>
                <w:highlight w:val="none"/>
              </w:rPr>
            </w:pPr>
            <w:r>
              <w:rPr>
                <w:rFonts w:hint="eastAsia"/>
                <w:color w:val="auto"/>
                <w:sz w:val="21"/>
                <w:szCs w:val="21"/>
                <w:highlight w:val="none"/>
              </w:rPr>
              <w:t xml:space="preserve">国标SC-LC</w:t>
            </w:r>
            <w:r/>
          </w:p>
        </w:tc>
        <w:tc>
          <w:tcPr>
            <w:tcW w:w="623" w:type="dxa"/>
            <w:textDirection w:val="lrTb"/>
            <w:noWrap w:val="false"/>
          </w:tcPr>
          <w:p>
            <w:pPr>
              <w:pStyle w:val="1159"/>
              <w:rPr>
                <w:color w:val="auto"/>
                <w:sz w:val="21"/>
                <w:szCs w:val="21"/>
                <w:highlight w:val="none"/>
              </w:rPr>
            </w:pPr>
            <w:r>
              <w:rPr>
                <w:rFonts w:hint="eastAsia"/>
                <w:color w:val="auto"/>
                <w:sz w:val="21"/>
                <w:szCs w:val="21"/>
                <w:highlight w:val="none"/>
              </w:rPr>
              <w:t xml:space="preserve">根</w:t>
            </w:r>
            <w:r/>
          </w:p>
        </w:tc>
        <w:tc>
          <w:tcPr>
            <w:tcW w:w="769" w:type="dxa"/>
            <w:textDirection w:val="lrTb"/>
            <w:noWrap w:val="false"/>
          </w:tcPr>
          <w:p>
            <w:pPr>
              <w:pStyle w:val="1159"/>
              <w:rPr>
                <w:color w:val="auto"/>
                <w:sz w:val="21"/>
                <w:szCs w:val="21"/>
                <w:highlight w:val="none"/>
              </w:rPr>
            </w:pPr>
            <w:r>
              <w:rPr>
                <w:rFonts w:hint="eastAsia"/>
                <w:color w:val="auto"/>
                <w:sz w:val="21"/>
                <w:szCs w:val="21"/>
                <w:highlight w:val="none"/>
              </w:rPr>
              <w:t xml:space="preserve">58</w:t>
            </w:r>
            <w:r/>
          </w:p>
        </w:tc>
      </w:tr>
      <w:tr>
        <w:trPr>
          <w:trHeight w:val="20"/>
        </w:trPr>
        <w:tc>
          <w:tcPr>
            <w:tcW w:w="624" w:type="dxa"/>
            <w:textDirection w:val="lrTb"/>
            <w:noWrap w:val="false"/>
          </w:tcPr>
          <w:p>
            <w:pPr>
              <w:pStyle w:val="1159"/>
              <w:rPr>
                <w:color w:val="auto"/>
                <w:sz w:val="21"/>
                <w:szCs w:val="21"/>
                <w:highlight w:val="none"/>
              </w:rPr>
            </w:pPr>
            <w:r>
              <w:rPr>
                <w:rFonts w:hint="eastAsia"/>
                <w:color w:val="auto"/>
                <w:sz w:val="21"/>
                <w:szCs w:val="21"/>
                <w:highlight w:val="none"/>
              </w:rPr>
              <w:t xml:space="preserve">37</w:t>
            </w:r>
            <w:r/>
          </w:p>
        </w:tc>
        <w:tc>
          <w:tcPr>
            <w:tcW w:w="1072" w:type="dxa"/>
            <w:textDirection w:val="lrTb"/>
            <w:noWrap w:val="false"/>
          </w:tcPr>
          <w:p>
            <w:pPr>
              <w:pStyle w:val="1159"/>
              <w:rPr>
                <w:color w:val="auto"/>
                <w:sz w:val="21"/>
                <w:szCs w:val="21"/>
                <w:highlight w:val="none"/>
              </w:rPr>
            </w:pPr>
            <w:r>
              <w:rPr>
                <w:rFonts w:hint="eastAsia"/>
                <w:color w:val="auto"/>
                <w:sz w:val="21"/>
                <w:szCs w:val="21"/>
                <w:highlight w:val="none"/>
              </w:rPr>
              <w:t xml:space="preserve">防雷器</w:t>
            </w:r>
            <w:r/>
          </w:p>
        </w:tc>
        <w:tc>
          <w:tcPr>
            <w:tcW w:w="5208" w:type="dxa"/>
            <w:textDirection w:val="lrTb"/>
            <w:noWrap w:val="false"/>
          </w:tcPr>
          <w:p>
            <w:pPr>
              <w:pStyle w:val="1159"/>
              <w:rPr>
                <w:color w:val="auto"/>
                <w:sz w:val="21"/>
                <w:szCs w:val="21"/>
                <w:highlight w:val="none"/>
              </w:rPr>
            </w:pPr>
            <w:r>
              <w:rPr>
                <w:rFonts w:hint="eastAsia"/>
                <w:color w:val="auto"/>
                <w:sz w:val="21"/>
                <w:szCs w:val="21"/>
                <w:highlight w:val="none"/>
              </w:rPr>
              <w:t xml:space="preserve">二合一防雷器（SPD）两端口，串联保护。</w:t>
            </w:r>
            <w:r>
              <w:rPr>
                <w:rFonts w:hint="eastAsia"/>
                <w:color w:val="auto"/>
                <w:sz w:val="21"/>
                <w:szCs w:val="21"/>
                <w:highlight w:val="none"/>
              </w:rPr>
              <w:br/>
            </w:r>
            <w:r>
              <w:rPr>
                <w:rFonts w:hint="eastAsia"/>
                <w:color w:val="auto"/>
                <w:sz w:val="21"/>
                <w:szCs w:val="21"/>
                <w:highlight w:val="none"/>
              </w:rPr>
              <w:t xml:space="preserve">网络参数：</w:t>
            </w:r>
            <w:r>
              <w:rPr>
                <w:rFonts w:hint="eastAsia"/>
                <w:color w:val="auto"/>
                <w:sz w:val="21"/>
                <w:szCs w:val="21"/>
                <w:highlight w:val="none"/>
              </w:rPr>
              <w:br/>
            </w:r>
            <w:r>
              <w:rPr>
                <w:rFonts w:hint="eastAsia"/>
                <w:color w:val="auto"/>
                <w:sz w:val="21"/>
                <w:szCs w:val="21"/>
                <w:highlight w:val="none"/>
              </w:rPr>
              <w:t xml:space="preserve">冲击电压：3000V，冲击电流：1500A，保护水平(X-PE)Up:≤600V，</w:t>
            </w:r>
            <w:r>
              <w:rPr>
                <w:rFonts w:hint="eastAsia"/>
                <w:color w:val="auto"/>
                <w:sz w:val="21"/>
                <w:szCs w:val="21"/>
                <w:highlight w:val="none"/>
              </w:rPr>
              <w:br/>
            </w:r>
            <w:r>
              <w:rPr>
                <w:rFonts w:hint="eastAsia"/>
                <w:color w:val="auto"/>
                <w:sz w:val="21"/>
                <w:szCs w:val="21"/>
                <w:highlight w:val="none"/>
              </w:rPr>
              <w:t xml:space="preserve">电源参数：</w:t>
            </w:r>
            <w:r>
              <w:rPr>
                <w:rFonts w:hint="eastAsia"/>
                <w:color w:val="auto"/>
                <w:sz w:val="21"/>
                <w:szCs w:val="21"/>
                <w:highlight w:val="none"/>
              </w:rPr>
              <w:br/>
            </w:r>
            <w:r>
              <w:rPr>
                <w:rFonts w:hint="eastAsia"/>
                <w:color w:val="auto"/>
                <w:sz w:val="21"/>
                <w:szCs w:val="21"/>
                <w:highlight w:val="none"/>
              </w:rPr>
              <w:t xml:space="preserve">标准工作电压220VAC，最大持续工作电压275VAC.工作频率50Hz</w:t>
            </w:r>
            <w:r>
              <w:rPr>
                <w:rFonts w:hint="eastAsia"/>
                <w:color w:val="auto"/>
                <w:sz w:val="21"/>
                <w:szCs w:val="21"/>
                <w:highlight w:val="none"/>
              </w:rPr>
              <w:br/>
            </w:r>
            <w:r>
              <w:rPr>
                <w:rFonts w:hint="eastAsia"/>
                <w:color w:val="auto"/>
                <w:sz w:val="21"/>
                <w:szCs w:val="21"/>
                <w:highlight w:val="none"/>
              </w:rPr>
              <w:t xml:space="preserve">易遭雷击电源部分重要参数：</w:t>
            </w:r>
            <w:r>
              <w:rPr>
                <w:rFonts w:hint="eastAsia"/>
                <w:color w:val="auto"/>
                <w:sz w:val="21"/>
                <w:szCs w:val="21"/>
                <w:highlight w:val="none"/>
              </w:rPr>
              <w:br/>
            </w:r>
            <w:r>
              <w:rPr>
                <w:rFonts w:hint="eastAsia"/>
                <w:color w:val="auto"/>
                <w:sz w:val="21"/>
                <w:szCs w:val="21"/>
                <w:highlight w:val="none"/>
              </w:rPr>
              <w:t xml:space="preserve">①★Ⅰ类试验：T1(10/350 μs)limp:15KA；</w:t>
            </w:r>
            <w:r>
              <w:rPr>
                <w:rFonts w:hint="eastAsia"/>
                <w:color w:val="auto"/>
                <w:sz w:val="21"/>
                <w:szCs w:val="21"/>
                <w:highlight w:val="none"/>
              </w:rPr>
              <w:br/>
            </w:r>
            <w:r>
              <w:rPr>
                <w:rFonts w:hint="eastAsia"/>
                <w:color w:val="auto"/>
                <w:sz w:val="21"/>
                <w:szCs w:val="21"/>
                <w:highlight w:val="none"/>
              </w:rPr>
              <w:t xml:space="preserve">②★Ⅱ类试验：T2(8/20μs)Imax:40KA；</w:t>
            </w:r>
            <w:r>
              <w:rPr>
                <w:rFonts w:hint="eastAsia"/>
                <w:color w:val="auto"/>
                <w:sz w:val="21"/>
                <w:szCs w:val="21"/>
                <w:highlight w:val="none"/>
              </w:rPr>
              <w:br/>
            </w:r>
            <w:r>
              <w:rPr>
                <w:rFonts w:hint="eastAsia"/>
                <w:color w:val="auto"/>
                <w:sz w:val="21"/>
                <w:szCs w:val="21"/>
                <w:highlight w:val="none"/>
              </w:rPr>
              <w:t xml:space="preserve">③★残压值L-N(40kA @8/20μs) ≤200V ；</w:t>
            </w:r>
            <w:r>
              <w:rPr>
                <w:rFonts w:hint="eastAsia"/>
                <w:color w:val="auto"/>
                <w:sz w:val="21"/>
                <w:szCs w:val="21"/>
                <w:highlight w:val="none"/>
              </w:rPr>
              <w:br/>
            </w:r>
            <w:r>
              <w:rPr>
                <w:rFonts w:hint="eastAsia"/>
                <w:color w:val="auto"/>
                <w:sz w:val="21"/>
                <w:szCs w:val="21"/>
                <w:highlight w:val="none"/>
              </w:rPr>
              <w:t xml:space="preserve">④★续流遮断试验:L-N 275VAC 50Hz  Ifi：3KA 续流都能自熄；</w:t>
            </w:r>
            <w:r/>
          </w:p>
        </w:tc>
        <w:tc>
          <w:tcPr>
            <w:tcW w:w="623" w:type="dxa"/>
            <w:textDirection w:val="lrTb"/>
            <w:noWrap w:val="false"/>
          </w:tcPr>
          <w:p>
            <w:pPr>
              <w:pStyle w:val="1159"/>
              <w:rPr>
                <w:color w:val="auto"/>
                <w:sz w:val="21"/>
                <w:szCs w:val="21"/>
                <w:highlight w:val="none"/>
              </w:rPr>
            </w:pPr>
            <w:r>
              <w:rPr>
                <w:rFonts w:hint="eastAsia"/>
                <w:color w:val="auto"/>
                <w:sz w:val="21"/>
                <w:szCs w:val="21"/>
                <w:highlight w:val="none"/>
              </w:rPr>
              <w:t xml:space="preserve">台</w:t>
            </w:r>
            <w:r/>
          </w:p>
        </w:tc>
        <w:tc>
          <w:tcPr>
            <w:tcW w:w="769" w:type="dxa"/>
            <w:textDirection w:val="lrTb"/>
            <w:noWrap w:val="false"/>
          </w:tcPr>
          <w:p>
            <w:pPr>
              <w:pStyle w:val="1159"/>
              <w:rPr>
                <w:color w:val="auto"/>
                <w:sz w:val="21"/>
                <w:szCs w:val="21"/>
                <w:highlight w:val="none"/>
              </w:rPr>
            </w:pPr>
            <w:r>
              <w:rPr>
                <w:rFonts w:hint="eastAsia"/>
                <w:color w:val="auto"/>
                <w:sz w:val="21"/>
                <w:szCs w:val="21"/>
                <w:highlight w:val="none"/>
              </w:rPr>
              <w:t xml:space="preserve">52</w:t>
            </w:r>
            <w:r/>
          </w:p>
        </w:tc>
      </w:tr>
      <w:tr>
        <w:trPr>
          <w:trHeight w:val="20"/>
        </w:trPr>
        <w:tc>
          <w:tcPr>
            <w:tcW w:w="624" w:type="dxa"/>
            <w:textDirection w:val="lrTb"/>
            <w:noWrap w:val="false"/>
          </w:tcPr>
          <w:p>
            <w:pPr>
              <w:pStyle w:val="1159"/>
              <w:rPr>
                <w:color w:val="auto"/>
                <w:sz w:val="21"/>
                <w:szCs w:val="21"/>
                <w:highlight w:val="none"/>
              </w:rPr>
            </w:pPr>
            <w:r>
              <w:rPr>
                <w:rFonts w:hint="eastAsia"/>
                <w:color w:val="auto"/>
                <w:sz w:val="21"/>
                <w:szCs w:val="21"/>
                <w:highlight w:val="none"/>
              </w:rPr>
              <w:t xml:space="preserve">38</w:t>
            </w:r>
            <w:r/>
          </w:p>
        </w:tc>
        <w:tc>
          <w:tcPr>
            <w:tcW w:w="1072" w:type="dxa"/>
            <w:textDirection w:val="lrTb"/>
            <w:noWrap w:val="false"/>
          </w:tcPr>
          <w:p>
            <w:pPr>
              <w:pStyle w:val="1159"/>
              <w:rPr>
                <w:color w:val="auto"/>
                <w:sz w:val="21"/>
                <w:szCs w:val="21"/>
                <w:highlight w:val="none"/>
              </w:rPr>
            </w:pPr>
            <w:r>
              <w:rPr>
                <w:rFonts w:hint="eastAsia"/>
                <w:color w:val="auto"/>
                <w:sz w:val="21"/>
                <w:szCs w:val="21"/>
                <w:highlight w:val="none"/>
              </w:rPr>
              <w:t xml:space="preserve">3.5立杆</w:t>
            </w:r>
            <w:r/>
          </w:p>
        </w:tc>
        <w:tc>
          <w:tcPr>
            <w:tcW w:w="5208" w:type="dxa"/>
            <w:textDirection w:val="lrTb"/>
            <w:noWrap w:val="false"/>
          </w:tcPr>
          <w:p>
            <w:pPr>
              <w:pStyle w:val="1159"/>
              <w:rPr>
                <w:color w:val="auto"/>
                <w:sz w:val="21"/>
                <w:szCs w:val="21"/>
                <w:highlight w:val="none"/>
              </w:rPr>
            </w:pPr>
            <w:r>
              <w:rPr>
                <w:rFonts w:hint="eastAsia"/>
                <w:color w:val="auto"/>
                <w:sz w:val="21"/>
                <w:szCs w:val="21"/>
                <w:highlight w:val="none"/>
              </w:rPr>
              <w:t xml:space="preserve">高3.5m挑臂0.5m-2m 整体热镀锌，壁厚4mm；★立杆钢材材质应不低于国家标准Q235B低硅低碳高强度钢</w:t>
            </w:r>
            <w:r/>
          </w:p>
        </w:tc>
        <w:tc>
          <w:tcPr>
            <w:tcW w:w="623" w:type="dxa"/>
            <w:textDirection w:val="lrTb"/>
            <w:noWrap w:val="false"/>
          </w:tcPr>
          <w:p>
            <w:pPr>
              <w:pStyle w:val="1159"/>
              <w:rPr>
                <w:color w:val="auto"/>
                <w:sz w:val="21"/>
                <w:szCs w:val="21"/>
                <w:highlight w:val="none"/>
              </w:rPr>
            </w:pPr>
            <w:r>
              <w:rPr>
                <w:rFonts w:hint="eastAsia"/>
                <w:color w:val="auto"/>
                <w:sz w:val="21"/>
                <w:szCs w:val="21"/>
                <w:highlight w:val="none"/>
              </w:rPr>
              <w:t xml:space="preserve">根</w:t>
            </w:r>
            <w:r/>
          </w:p>
        </w:tc>
        <w:tc>
          <w:tcPr>
            <w:tcW w:w="769" w:type="dxa"/>
            <w:textDirection w:val="lrTb"/>
            <w:noWrap w:val="false"/>
          </w:tcPr>
          <w:p>
            <w:pPr>
              <w:pStyle w:val="1159"/>
              <w:rPr>
                <w:color w:val="auto"/>
                <w:sz w:val="21"/>
                <w:szCs w:val="21"/>
                <w:highlight w:val="none"/>
              </w:rPr>
            </w:pPr>
            <w:r>
              <w:rPr>
                <w:rFonts w:hint="eastAsia"/>
                <w:color w:val="auto"/>
                <w:sz w:val="21"/>
                <w:szCs w:val="21"/>
                <w:highlight w:val="none"/>
              </w:rPr>
              <w:t xml:space="preserve">7</w:t>
            </w:r>
            <w:r/>
          </w:p>
        </w:tc>
      </w:tr>
      <w:tr>
        <w:trPr>
          <w:trHeight w:val="20"/>
        </w:trPr>
        <w:tc>
          <w:tcPr>
            <w:tcW w:w="624" w:type="dxa"/>
            <w:textDirection w:val="lrTb"/>
            <w:noWrap w:val="false"/>
          </w:tcPr>
          <w:p>
            <w:pPr>
              <w:pStyle w:val="1159"/>
              <w:rPr>
                <w:color w:val="auto"/>
                <w:sz w:val="21"/>
                <w:szCs w:val="21"/>
                <w:highlight w:val="none"/>
              </w:rPr>
            </w:pPr>
            <w:r>
              <w:rPr>
                <w:rFonts w:hint="eastAsia"/>
                <w:color w:val="auto"/>
                <w:sz w:val="21"/>
                <w:szCs w:val="21"/>
                <w:highlight w:val="none"/>
              </w:rPr>
              <w:t xml:space="preserve">39</w:t>
            </w:r>
            <w:r/>
          </w:p>
        </w:tc>
        <w:tc>
          <w:tcPr>
            <w:tcW w:w="1072" w:type="dxa"/>
            <w:textDirection w:val="lrTb"/>
            <w:noWrap w:val="false"/>
          </w:tcPr>
          <w:p>
            <w:pPr>
              <w:pStyle w:val="1159"/>
              <w:rPr>
                <w:color w:val="auto"/>
                <w:sz w:val="21"/>
                <w:szCs w:val="21"/>
                <w:highlight w:val="none"/>
              </w:rPr>
            </w:pPr>
            <w:r>
              <w:rPr>
                <w:rFonts w:hint="eastAsia"/>
                <w:color w:val="auto"/>
                <w:sz w:val="21"/>
                <w:szCs w:val="21"/>
                <w:highlight w:val="none"/>
              </w:rPr>
              <w:t xml:space="preserve">立杆基础</w:t>
            </w:r>
            <w:r/>
          </w:p>
        </w:tc>
        <w:tc>
          <w:tcPr>
            <w:tcW w:w="5208" w:type="dxa"/>
            <w:textDirection w:val="lrTb"/>
            <w:noWrap w:val="false"/>
          </w:tcPr>
          <w:p>
            <w:pPr>
              <w:pStyle w:val="1159"/>
              <w:rPr>
                <w:color w:val="auto"/>
                <w:sz w:val="21"/>
                <w:szCs w:val="21"/>
                <w:highlight w:val="none"/>
              </w:rPr>
            </w:pPr>
            <w:r>
              <w:rPr>
                <w:rFonts w:hint="eastAsia"/>
                <w:color w:val="auto"/>
                <w:sz w:val="21"/>
                <w:szCs w:val="21"/>
                <w:highlight w:val="none"/>
              </w:rPr>
              <w:t xml:space="preserve">600*600*800 mm，含地笼</w:t>
            </w:r>
            <w:r/>
          </w:p>
        </w:tc>
        <w:tc>
          <w:tcPr>
            <w:tcW w:w="623" w:type="dxa"/>
            <w:textDirection w:val="lrTb"/>
            <w:noWrap w:val="false"/>
          </w:tcPr>
          <w:p>
            <w:pPr>
              <w:pStyle w:val="1159"/>
              <w:rPr>
                <w:color w:val="auto"/>
                <w:sz w:val="21"/>
                <w:szCs w:val="21"/>
                <w:highlight w:val="none"/>
              </w:rPr>
            </w:pPr>
            <w:r>
              <w:rPr>
                <w:rFonts w:hint="eastAsia"/>
                <w:color w:val="auto"/>
                <w:sz w:val="21"/>
                <w:szCs w:val="21"/>
                <w:highlight w:val="none"/>
              </w:rPr>
              <w:t xml:space="preserve">座</w:t>
            </w:r>
            <w:r/>
          </w:p>
        </w:tc>
        <w:tc>
          <w:tcPr>
            <w:tcW w:w="769" w:type="dxa"/>
            <w:textDirection w:val="lrTb"/>
            <w:noWrap w:val="false"/>
          </w:tcPr>
          <w:p>
            <w:pPr>
              <w:pStyle w:val="1159"/>
              <w:rPr>
                <w:color w:val="auto"/>
                <w:sz w:val="21"/>
                <w:szCs w:val="21"/>
                <w:highlight w:val="none"/>
              </w:rPr>
            </w:pPr>
            <w:r>
              <w:rPr>
                <w:rFonts w:hint="eastAsia"/>
                <w:color w:val="auto"/>
                <w:sz w:val="21"/>
                <w:szCs w:val="21"/>
                <w:highlight w:val="none"/>
              </w:rPr>
              <w:t xml:space="preserve">7</w:t>
            </w:r>
            <w:r/>
          </w:p>
        </w:tc>
      </w:tr>
      <w:tr>
        <w:trPr>
          <w:trHeight w:val="20"/>
        </w:trPr>
        <w:tc>
          <w:tcPr>
            <w:tcW w:w="624" w:type="dxa"/>
            <w:textDirection w:val="lrTb"/>
            <w:noWrap w:val="false"/>
          </w:tcPr>
          <w:p>
            <w:pPr>
              <w:pStyle w:val="1159"/>
              <w:rPr>
                <w:color w:val="auto"/>
                <w:sz w:val="21"/>
                <w:szCs w:val="21"/>
                <w:highlight w:val="none"/>
              </w:rPr>
            </w:pPr>
            <w:r>
              <w:rPr>
                <w:rFonts w:hint="eastAsia"/>
                <w:color w:val="auto"/>
                <w:sz w:val="21"/>
                <w:szCs w:val="21"/>
                <w:highlight w:val="none"/>
              </w:rPr>
              <w:t xml:space="preserve">40</w:t>
            </w:r>
            <w:r/>
          </w:p>
        </w:tc>
        <w:tc>
          <w:tcPr>
            <w:tcW w:w="1072" w:type="dxa"/>
            <w:textDirection w:val="lrTb"/>
            <w:noWrap w:val="false"/>
          </w:tcPr>
          <w:p>
            <w:pPr>
              <w:pStyle w:val="1159"/>
              <w:rPr>
                <w:color w:val="auto"/>
                <w:sz w:val="21"/>
                <w:szCs w:val="21"/>
                <w:highlight w:val="none"/>
              </w:rPr>
            </w:pPr>
            <w:r>
              <w:rPr>
                <w:rFonts w:hint="eastAsia"/>
                <w:color w:val="auto"/>
                <w:sz w:val="21"/>
                <w:szCs w:val="21"/>
                <w:highlight w:val="none"/>
              </w:rPr>
              <w:t xml:space="preserve">挂壁立杆箱</w:t>
            </w:r>
            <w:r/>
          </w:p>
        </w:tc>
        <w:tc>
          <w:tcPr>
            <w:tcW w:w="5208" w:type="dxa"/>
            <w:textDirection w:val="lrTb"/>
            <w:noWrap w:val="false"/>
          </w:tcPr>
          <w:p>
            <w:pPr>
              <w:pStyle w:val="1159"/>
              <w:rPr>
                <w:color w:val="auto"/>
                <w:sz w:val="21"/>
                <w:szCs w:val="21"/>
                <w:highlight w:val="none"/>
              </w:rPr>
            </w:pPr>
            <w:r>
              <w:rPr>
                <w:rFonts w:hint="eastAsia"/>
                <w:color w:val="auto"/>
                <w:sz w:val="21"/>
                <w:szCs w:val="21"/>
                <w:highlight w:val="none"/>
              </w:rPr>
              <w:t xml:space="preserve">室外不锈钢400*300*170 mm</w:t>
            </w:r>
            <w:r/>
          </w:p>
        </w:tc>
        <w:tc>
          <w:tcPr>
            <w:tcW w:w="623" w:type="dxa"/>
            <w:textDirection w:val="lrTb"/>
            <w:noWrap w:val="false"/>
          </w:tcPr>
          <w:p>
            <w:pPr>
              <w:pStyle w:val="1159"/>
              <w:rPr>
                <w:color w:val="auto"/>
                <w:sz w:val="21"/>
                <w:szCs w:val="21"/>
                <w:highlight w:val="none"/>
              </w:rPr>
            </w:pPr>
            <w:r>
              <w:rPr>
                <w:rFonts w:hint="eastAsia"/>
                <w:color w:val="auto"/>
                <w:sz w:val="21"/>
                <w:szCs w:val="21"/>
                <w:highlight w:val="none"/>
              </w:rPr>
              <w:t xml:space="preserve">只</w:t>
            </w:r>
            <w:r/>
          </w:p>
        </w:tc>
        <w:tc>
          <w:tcPr>
            <w:tcW w:w="769" w:type="dxa"/>
            <w:textDirection w:val="lrTb"/>
            <w:noWrap w:val="false"/>
          </w:tcPr>
          <w:p>
            <w:pPr>
              <w:pStyle w:val="1159"/>
              <w:rPr>
                <w:color w:val="auto"/>
                <w:sz w:val="21"/>
                <w:szCs w:val="21"/>
                <w:highlight w:val="none"/>
              </w:rPr>
            </w:pPr>
            <w:r>
              <w:rPr>
                <w:rFonts w:hint="eastAsia"/>
                <w:color w:val="auto"/>
                <w:sz w:val="21"/>
                <w:szCs w:val="21"/>
                <w:highlight w:val="none"/>
              </w:rPr>
              <w:t xml:space="preserve">7</w:t>
            </w:r>
            <w:r/>
          </w:p>
        </w:tc>
      </w:tr>
      <w:tr>
        <w:trPr>
          <w:trHeight w:val="20"/>
        </w:trPr>
        <w:tc>
          <w:tcPr>
            <w:tcW w:w="624" w:type="dxa"/>
            <w:textDirection w:val="lrTb"/>
            <w:noWrap w:val="false"/>
          </w:tcPr>
          <w:p>
            <w:pPr>
              <w:pStyle w:val="1159"/>
              <w:rPr>
                <w:color w:val="auto"/>
                <w:sz w:val="21"/>
                <w:szCs w:val="21"/>
                <w:highlight w:val="none"/>
              </w:rPr>
            </w:pPr>
            <w:r>
              <w:rPr>
                <w:rFonts w:hint="eastAsia"/>
                <w:color w:val="auto"/>
                <w:sz w:val="21"/>
                <w:szCs w:val="21"/>
                <w:highlight w:val="none"/>
              </w:rPr>
              <w:t xml:space="preserve">41</w:t>
            </w:r>
            <w:r/>
          </w:p>
        </w:tc>
        <w:tc>
          <w:tcPr>
            <w:tcW w:w="1072" w:type="dxa"/>
            <w:textDirection w:val="lrTb"/>
            <w:noWrap w:val="false"/>
          </w:tcPr>
          <w:p>
            <w:pPr>
              <w:pStyle w:val="1159"/>
              <w:rPr>
                <w:color w:val="auto"/>
                <w:sz w:val="21"/>
                <w:szCs w:val="21"/>
                <w:highlight w:val="none"/>
              </w:rPr>
            </w:pPr>
            <w:r>
              <w:rPr>
                <w:rFonts w:hint="eastAsia"/>
                <w:color w:val="auto"/>
                <w:sz w:val="21"/>
                <w:szCs w:val="21"/>
                <w:highlight w:val="none"/>
              </w:rPr>
              <w:t xml:space="preserve">室外光纤</w:t>
            </w:r>
            <w:r/>
          </w:p>
        </w:tc>
        <w:tc>
          <w:tcPr>
            <w:tcW w:w="5208" w:type="dxa"/>
            <w:textDirection w:val="lrTb"/>
            <w:noWrap w:val="false"/>
          </w:tcPr>
          <w:p>
            <w:pPr>
              <w:pStyle w:val="1159"/>
              <w:rPr>
                <w:color w:val="auto"/>
                <w:sz w:val="21"/>
                <w:szCs w:val="21"/>
                <w:highlight w:val="none"/>
              </w:rPr>
            </w:pPr>
            <w:r>
              <w:rPr>
                <w:rFonts w:hint="eastAsia"/>
                <w:color w:val="auto"/>
                <w:sz w:val="21"/>
                <w:szCs w:val="21"/>
                <w:highlight w:val="none"/>
              </w:rPr>
              <w:t xml:space="preserve">国标六芯室外光缆</w:t>
            </w:r>
            <w:r/>
          </w:p>
        </w:tc>
        <w:tc>
          <w:tcPr>
            <w:tcW w:w="623" w:type="dxa"/>
            <w:textDirection w:val="lrTb"/>
            <w:noWrap w:val="false"/>
          </w:tcPr>
          <w:p>
            <w:pPr>
              <w:pStyle w:val="1159"/>
              <w:rPr>
                <w:color w:val="auto"/>
                <w:sz w:val="21"/>
                <w:szCs w:val="21"/>
                <w:highlight w:val="none"/>
              </w:rPr>
            </w:pPr>
            <w:r>
              <w:rPr>
                <w:rFonts w:hint="eastAsia"/>
                <w:color w:val="auto"/>
                <w:sz w:val="21"/>
                <w:szCs w:val="21"/>
                <w:highlight w:val="none"/>
              </w:rPr>
              <w:t xml:space="preserve">米</w:t>
            </w:r>
            <w:r/>
          </w:p>
        </w:tc>
        <w:tc>
          <w:tcPr>
            <w:tcW w:w="769" w:type="dxa"/>
            <w:textDirection w:val="lrTb"/>
            <w:noWrap w:val="false"/>
          </w:tcPr>
          <w:p>
            <w:pPr>
              <w:pStyle w:val="1159"/>
              <w:rPr>
                <w:color w:val="auto"/>
                <w:sz w:val="21"/>
                <w:szCs w:val="21"/>
                <w:highlight w:val="none"/>
              </w:rPr>
            </w:pPr>
            <w:r>
              <w:rPr>
                <w:rFonts w:hint="eastAsia"/>
                <w:color w:val="auto"/>
                <w:sz w:val="21"/>
                <w:szCs w:val="21"/>
                <w:highlight w:val="none"/>
              </w:rPr>
              <w:t xml:space="preserve">1350</w:t>
            </w:r>
            <w:r/>
          </w:p>
        </w:tc>
      </w:tr>
      <w:tr>
        <w:trPr>
          <w:trHeight w:val="20"/>
        </w:trPr>
        <w:tc>
          <w:tcPr>
            <w:tcW w:w="624" w:type="dxa"/>
            <w:textDirection w:val="lrTb"/>
            <w:noWrap w:val="false"/>
          </w:tcPr>
          <w:p>
            <w:pPr>
              <w:pStyle w:val="1159"/>
              <w:rPr>
                <w:color w:val="auto"/>
                <w:sz w:val="21"/>
                <w:szCs w:val="21"/>
                <w:highlight w:val="none"/>
              </w:rPr>
            </w:pPr>
            <w:r>
              <w:rPr>
                <w:rFonts w:hint="eastAsia"/>
                <w:color w:val="auto"/>
                <w:sz w:val="21"/>
                <w:szCs w:val="21"/>
                <w:highlight w:val="none"/>
              </w:rPr>
              <w:t xml:space="preserve">42</w:t>
            </w:r>
            <w:r/>
          </w:p>
        </w:tc>
        <w:tc>
          <w:tcPr>
            <w:tcW w:w="1072" w:type="dxa"/>
            <w:textDirection w:val="lrTb"/>
            <w:noWrap w:val="false"/>
          </w:tcPr>
          <w:p>
            <w:pPr>
              <w:pStyle w:val="1159"/>
              <w:rPr>
                <w:color w:val="auto"/>
                <w:sz w:val="21"/>
                <w:szCs w:val="21"/>
                <w:highlight w:val="none"/>
              </w:rPr>
            </w:pPr>
            <w:r>
              <w:rPr>
                <w:rFonts w:hint="eastAsia"/>
                <w:color w:val="auto"/>
                <w:sz w:val="21"/>
                <w:szCs w:val="21"/>
                <w:highlight w:val="none"/>
              </w:rPr>
              <w:t xml:space="preserve">2*2.5电源线</w:t>
            </w:r>
            <w:r/>
          </w:p>
        </w:tc>
        <w:tc>
          <w:tcPr>
            <w:tcW w:w="5208" w:type="dxa"/>
            <w:textDirection w:val="lrTb"/>
            <w:noWrap w:val="false"/>
          </w:tcPr>
          <w:p>
            <w:pPr>
              <w:pStyle w:val="1159"/>
              <w:rPr>
                <w:color w:val="auto"/>
                <w:sz w:val="21"/>
                <w:szCs w:val="21"/>
                <w:highlight w:val="none"/>
              </w:rPr>
            </w:pPr>
            <w:r>
              <w:rPr>
                <w:rFonts w:hint="eastAsia"/>
                <w:color w:val="auto"/>
                <w:sz w:val="21"/>
                <w:szCs w:val="21"/>
                <w:highlight w:val="none"/>
              </w:rPr>
              <w:t xml:space="preserve">国标RVV 2*2.5</w:t>
            </w:r>
            <w:r/>
          </w:p>
        </w:tc>
        <w:tc>
          <w:tcPr>
            <w:tcW w:w="623" w:type="dxa"/>
            <w:textDirection w:val="lrTb"/>
            <w:noWrap w:val="false"/>
          </w:tcPr>
          <w:p>
            <w:pPr>
              <w:pStyle w:val="1159"/>
              <w:rPr>
                <w:color w:val="auto"/>
                <w:sz w:val="21"/>
                <w:szCs w:val="21"/>
                <w:highlight w:val="none"/>
              </w:rPr>
            </w:pPr>
            <w:r>
              <w:rPr>
                <w:rFonts w:hint="eastAsia"/>
                <w:color w:val="auto"/>
                <w:sz w:val="21"/>
                <w:szCs w:val="21"/>
                <w:highlight w:val="none"/>
              </w:rPr>
              <w:t xml:space="preserve">米</w:t>
            </w:r>
            <w:r/>
          </w:p>
        </w:tc>
        <w:tc>
          <w:tcPr>
            <w:tcW w:w="769" w:type="dxa"/>
            <w:textDirection w:val="lrTb"/>
            <w:noWrap w:val="false"/>
          </w:tcPr>
          <w:p>
            <w:pPr>
              <w:pStyle w:val="1159"/>
              <w:rPr>
                <w:color w:val="auto"/>
                <w:sz w:val="21"/>
                <w:szCs w:val="21"/>
                <w:highlight w:val="none"/>
              </w:rPr>
            </w:pPr>
            <w:r>
              <w:rPr>
                <w:rFonts w:hint="eastAsia"/>
                <w:color w:val="auto"/>
                <w:sz w:val="21"/>
                <w:szCs w:val="21"/>
                <w:highlight w:val="none"/>
              </w:rPr>
              <w:t xml:space="preserve">1350</w:t>
            </w:r>
            <w:r/>
          </w:p>
        </w:tc>
      </w:tr>
      <w:tr>
        <w:trPr>
          <w:trHeight w:val="20"/>
        </w:trPr>
        <w:tc>
          <w:tcPr>
            <w:tcW w:w="624" w:type="dxa"/>
            <w:textDirection w:val="lrTb"/>
            <w:noWrap w:val="false"/>
          </w:tcPr>
          <w:p>
            <w:pPr>
              <w:pStyle w:val="1159"/>
              <w:rPr>
                <w:color w:val="auto"/>
                <w:sz w:val="21"/>
                <w:szCs w:val="21"/>
                <w:highlight w:val="none"/>
              </w:rPr>
            </w:pPr>
            <w:r>
              <w:rPr>
                <w:rFonts w:hint="eastAsia"/>
                <w:color w:val="auto"/>
                <w:sz w:val="21"/>
                <w:szCs w:val="21"/>
                <w:highlight w:val="none"/>
              </w:rPr>
              <w:t xml:space="preserve">43</w:t>
            </w:r>
            <w:r/>
          </w:p>
        </w:tc>
        <w:tc>
          <w:tcPr>
            <w:tcW w:w="1072" w:type="dxa"/>
            <w:textDirection w:val="lrTb"/>
            <w:noWrap w:val="false"/>
          </w:tcPr>
          <w:p>
            <w:pPr>
              <w:pStyle w:val="1159"/>
              <w:rPr>
                <w:color w:val="auto"/>
                <w:sz w:val="21"/>
                <w:szCs w:val="21"/>
                <w:highlight w:val="none"/>
              </w:rPr>
            </w:pPr>
            <w:r>
              <w:rPr>
                <w:rFonts w:hint="eastAsia"/>
                <w:color w:val="auto"/>
                <w:sz w:val="21"/>
                <w:szCs w:val="21"/>
                <w:highlight w:val="none"/>
              </w:rPr>
              <w:t xml:space="preserve">2*1.0电源线2</w:t>
            </w:r>
            <w:r/>
          </w:p>
        </w:tc>
        <w:tc>
          <w:tcPr>
            <w:tcW w:w="5208" w:type="dxa"/>
            <w:textDirection w:val="lrTb"/>
            <w:noWrap w:val="false"/>
          </w:tcPr>
          <w:p>
            <w:pPr>
              <w:pStyle w:val="1159"/>
              <w:rPr>
                <w:color w:val="auto"/>
                <w:sz w:val="21"/>
                <w:szCs w:val="21"/>
                <w:highlight w:val="none"/>
              </w:rPr>
            </w:pPr>
            <w:r>
              <w:rPr>
                <w:rFonts w:hint="eastAsia"/>
                <w:color w:val="auto"/>
                <w:sz w:val="21"/>
                <w:szCs w:val="21"/>
                <w:highlight w:val="none"/>
              </w:rPr>
              <w:t xml:space="preserve">国标RVV 2*1</w:t>
            </w:r>
            <w:r/>
          </w:p>
        </w:tc>
        <w:tc>
          <w:tcPr>
            <w:tcW w:w="623" w:type="dxa"/>
            <w:textDirection w:val="lrTb"/>
            <w:noWrap w:val="false"/>
          </w:tcPr>
          <w:p>
            <w:pPr>
              <w:pStyle w:val="1159"/>
              <w:rPr>
                <w:color w:val="auto"/>
                <w:sz w:val="21"/>
                <w:szCs w:val="21"/>
                <w:highlight w:val="none"/>
              </w:rPr>
            </w:pPr>
            <w:r>
              <w:rPr>
                <w:rFonts w:hint="eastAsia"/>
                <w:color w:val="auto"/>
                <w:sz w:val="21"/>
                <w:szCs w:val="21"/>
                <w:highlight w:val="none"/>
              </w:rPr>
              <w:t xml:space="preserve">米</w:t>
            </w:r>
            <w:r/>
          </w:p>
        </w:tc>
        <w:tc>
          <w:tcPr>
            <w:tcW w:w="769" w:type="dxa"/>
            <w:textDirection w:val="lrTb"/>
            <w:noWrap w:val="false"/>
          </w:tcPr>
          <w:p>
            <w:pPr>
              <w:pStyle w:val="1159"/>
              <w:rPr>
                <w:color w:val="auto"/>
                <w:sz w:val="21"/>
                <w:szCs w:val="21"/>
                <w:highlight w:val="none"/>
              </w:rPr>
            </w:pPr>
            <w:r>
              <w:rPr>
                <w:rFonts w:hint="eastAsia"/>
                <w:color w:val="auto"/>
                <w:sz w:val="21"/>
                <w:szCs w:val="21"/>
                <w:highlight w:val="none"/>
              </w:rPr>
              <w:t xml:space="preserve">1700</w:t>
            </w:r>
            <w:r/>
          </w:p>
        </w:tc>
      </w:tr>
      <w:tr>
        <w:trPr>
          <w:trHeight w:val="20"/>
        </w:trPr>
        <w:tc>
          <w:tcPr>
            <w:tcW w:w="624" w:type="dxa"/>
            <w:textDirection w:val="lrTb"/>
            <w:noWrap w:val="false"/>
          </w:tcPr>
          <w:p>
            <w:pPr>
              <w:pStyle w:val="1159"/>
              <w:rPr>
                <w:color w:val="auto"/>
                <w:sz w:val="21"/>
                <w:szCs w:val="21"/>
                <w:highlight w:val="none"/>
              </w:rPr>
            </w:pPr>
            <w:r>
              <w:rPr>
                <w:rFonts w:hint="eastAsia"/>
                <w:color w:val="auto"/>
                <w:sz w:val="21"/>
                <w:szCs w:val="21"/>
                <w:highlight w:val="none"/>
              </w:rPr>
              <w:t xml:space="preserve">44</w:t>
            </w:r>
            <w:r/>
          </w:p>
        </w:tc>
        <w:tc>
          <w:tcPr>
            <w:tcW w:w="1072" w:type="dxa"/>
            <w:textDirection w:val="lrTb"/>
            <w:noWrap w:val="false"/>
          </w:tcPr>
          <w:p>
            <w:pPr>
              <w:pStyle w:val="1159"/>
              <w:rPr>
                <w:color w:val="auto"/>
                <w:sz w:val="21"/>
                <w:szCs w:val="21"/>
                <w:highlight w:val="none"/>
              </w:rPr>
            </w:pPr>
            <w:r>
              <w:rPr>
                <w:rFonts w:hint="eastAsia"/>
                <w:color w:val="auto"/>
                <w:sz w:val="21"/>
                <w:szCs w:val="21"/>
                <w:highlight w:val="none"/>
              </w:rPr>
              <w:t xml:space="preserve">超五类网线2</w:t>
            </w:r>
            <w:r/>
          </w:p>
        </w:tc>
        <w:tc>
          <w:tcPr>
            <w:tcW w:w="5208" w:type="dxa"/>
            <w:textDirection w:val="lrTb"/>
            <w:noWrap w:val="false"/>
          </w:tcPr>
          <w:p>
            <w:pPr>
              <w:pStyle w:val="1159"/>
              <w:rPr>
                <w:color w:val="auto"/>
                <w:sz w:val="21"/>
                <w:szCs w:val="21"/>
                <w:highlight w:val="none"/>
              </w:rPr>
            </w:pPr>
            <w:r>
              <w:rPr>
                <w:rFonts w:hint="eastAsia"/>
                <w:color w:val="auto"/>
                <w:sz w:val="21"/>
                <w:szCs w:val="21"/>
                <w:highlight w:val="none"/>
              </w:rPr>
              <w:t xml:space="preserve">国标超五类，305米/箱，双层护套</w:t>
            </w:r>
            <w:r/>
          </w:p>
        </w:tc>
        <w:tc>
          <w:tcPr>
            <w:tcW w:w="623" w:type="dxa"/>
            <w:textDirection w:val="lrTb"/>
            <w:noWrap w:val="false"/>
          </w:tcPr>
          <w:p>
            <w:pPr>
              <w:pStyle w:val="1159"/>
              <w:rPr>
                <w:color w:val="auto"/>
                <w:sz w:val="21"/>
                <w:szCs w:val="21"/>
                <w:highlight w:val="none"/>
              </w:rPr>
            </w:pPr>
            <w:r>
              <w:rPr>
                <w:rFonts w:hint="eastAsia"/>
                <w:color w:val="auto"/>
                <w:sz w:val="21"/>
                <w:szCs w:val="21"/>
                <w:highlight w:val="none"/>
              </w:rPr>
              <w:t xml:space="preserve">箱</w:t>
            </w:r>
            <w:r/>
          </w:p>
        </w:tc>
        <w:tc>
          <w:tcPr>
            <w:tcW w:w="769" w:type="dxa"/>
            <w:textDirection w:val="lrTb"/>
            <w:noWrap w:val="false"/>
          </w:tcPr>
          <w:p>
            <w:pPr>
              <w:pStyle w:val="1159"/>
              <w:rPr>
                <w:color w:val="auto"/>
                <w:sz w:val="21"/>
                <w:szCs w:val="21"/>
                <w:highlight w:val="none"/>
              </w:rPr>
            </w:pPr>
            <w:r>
              <w:rPr>
                <w:rFonts w:hint="eastAsia"/>
                <w:color w:val="auto"/>
                <w:sz w:val="21"/>
                <w:szCs w:val="21"/>
                <w:highlight w:val="none"/>
              </w:rPr>
              <w:t xml:space="preserve">12</w:t>
            </w:r>
            <w:r/>
          </w:p>
        </w:tc>
      </w:tr>
      <w:tr>
        <w:trPr>
          <w:trHeight w:val="20"/>
        </w:trPr>
        <w:tc>
          <w:tcPr>
            <w:tcW w:w="624" w:type="dxa"/>
            <w:textDirection w:val="lrTb"/>
            <w:noWrap w:val="false"/>
          </w:tcPr>
          <w:p>
            <w:pPr>
              <w:pStyle w:val="1159"/>
              <w:rPr>
                <w:color w:val="auto"/>
                <w:sz w:val="21"/>
                <w:szCs w:val="21"/>
                <w:highlight w:val="none"/>
              </w:rPr>
            </w:pPr>
            <w:r>
              <w:rPr>
                <w:rFonts w:hint="eastAsia"/>
                <w:color w:val="auto"/>
                <w:sz w:val="21"/>
                <w:szCs w:val="21"/>
                <w:highlight w:val="none"/>
              </w:rPr>
              <w:t xml:space="preserve">45</w:t>
            </w:r>
            <w:r/>
          </w:p>
        </w:tc>
        <w:tc>
          <w:tcPr>
            <w:tcW w:w="1072" w:type="dxa"/>
            <w:textDirection w:val="lrTb"/>
            <w:noWrap w:val="false"/>
          </w:tcPr>
          <w:p>
            <w:pPr>
              <w:pStyle w:val="1159"/>
              <w:rPr>
                <w:color w:val="auto"/>
                <w:sz w:val="21"/>
                <w:szCs w:val="21"/>
                <w:highlight w:val="none"/>
              </w:rPr>
            </w:pPr>
            <w:r>
              <w:rPr>
                <w:rFonts w:hint="eastAsia"/>
                <w:color w:val="auto"/>
                <w:sz w:val="21"/>
                <w:szCs w:val="21"/>
                <w:highlight w:val="none"/>
              </w:rPr>
              <w:t xml:space="preserve">室内网线</w:t>
            </w:r>
            <w:r/>
          </w:p>
        </w:tc>
        <w:tc>
          <w:tcPr>
            <w:tcW w:w="5208" w:type="dxa"/>
            <w:textDirection w:val="lrTb"/>
            <w:noWrap w:val="false"/>
          </w:tcPr>
          <w:p>
            <w:pPr>
              <w:pStyle w:val="1159"/>
              <w:rPr>
                <w:color w:val="auto"/>
                <w:sz w:val="21"/>
                <w:szCs w:val="21"/>
                <w:highlight w:val="none"/>
              </w:rPr>
            </w:pPr>
            <w:r>
              <w:rPr>
                <w:rFonts w:hint="eastAsia"/>
                <w:color w:val="auto"/>
                <w:sz w:val="21"/>
                <w:szCs w:val="21"/>
                <w:highlight w:val="none"/>
              </w:rPr>
              <w:t xml:space="preserve">国标超五类，305米/箱</w:t>
            </w:r>
            <w:r/>
          </w:p>
        </w:tc>
        <w:tc>
          <w:tcPr>
            <w:tcW w:w="623" w:type="dxa"/>
            <w:textDirection w:val="lrTb"/>
            <w:noWrap w:val="false"/>
          </w:tcPr>
          <w:p>
            <w:pPr>
              <w:pStyle w:val="1159"/>
              <w:rPr>
                <w:color w:val="auto"/>
                <w:sz w:val="21"/>
                <w:szCs w:val="21"/>
                <w:highlight w:val="none"/>
              </w:rPr>
            </w:pPr>
            <w:r>
              <w:rPr>
                <w:rFonts w:hint="eastAsia"/>
                <w:color w:val="auto"/>
                <w:sz w:val="21"/>
                <w:szCs w:val="21"/>
                <w:highlight w:val="none"/>
              </w:rPr>
              <w:t xml:space="preserve">箱</w:t>
            </w:r>
            <w:r/>
          </w:p>
        </w:tc>
        <w:tc>
          <w:tcPr>
            <w:tcW w:w="769" w:type="dxa"/>
            <w:textDirection w:val="lrTb"/>
            <w:noWrap w:val="false"/>
          </w:tcPr>
          <w:p>
            <w:pPr>
              <w:pStyle w:val="1159"/>
              <w:rPr>
                <w:color w:val="auto"/>
                <w:sz w:val="21"/>
                <w:szCs w:val="21"/>
                <w:highlight w:val="none"/>
              </w:rPr>
            </w:pPr>
            <w:r>
              <w:rPr>
                <w:rFonts w:hint="eastAsia"/>
                <w:color w:val="auto"/>
                <w:sz w:val="21"/>
                <w:szCs w:val="21"/>
                <w:highlight w:val="none"/>
              </w:rPr>
              <w:t xml:space="preserve">10</w:t>
            </w:r>
            <w:r/>
          </w:p>
        </w:tc>
      </w:tr>
      <w:tr>
        <w:trPr>
          <w:trHeight w:val="20"/>
        </w:trPr>
        <w:tc>
          <w:tcPr>
            <w:tcW w:w="624" w:type="dxa"/>
            <w:textDirection w:val="lrTb"/>
            <w:noWrap w:val="false"/>
          </w:tcPr>
          <w:p>
            <w:pPr>
              <w:pStyle w:val="1159"/>
              <w:rPr>
                <w:color w:val="auto"/>
                <w:sz w:val="21"/>
                <w:szCs w:val="21"/>
                <w:highlight w:val="none"/>
              </w:rPr>
            </w:pPr>
            <w:r>
              <w:rPr>
                <w:rFonts w:hint="eastAsia"/>
                <w:color w:val="auto"/>
                <w:sz w:val="21"/>
                <w:szCs w:val="21"/>
                <w:highlight w:val="none"/>
              </w:rPr>
              <w:t xml:space="preserve">46</w:t>
            </w:r>
            <w:r/>
          </w:p>
        </w:tc>
        <w:tc>
          <w:tcPr>
            <w:tcW w:w="1072" w:type="dxa"/>
            <w:textDirection w:val="lrTb"/>
            <w:noWrap w:val="false"/>
          </w:tcPr>
          <w:p>
            <w:pPr>
              <w:pStyle w:val="1159"/>
              <w:rPr>
                <w:color w:val="auto"/>
                <w:sz w:val="21"/>
                <w:szCs w:val="21"/>
                <w:highlight w:val="none"/>
              </w:rPr>
            </w:pPr>
            <w:r>
              <w:rPr>
                <w:rFonts w:hint="eastAsia"/>
                <w:color w:val="auto"/>
                <w:sz w:val="21"/>
                <w:szCs w:val="21"/>
                <w:highlight w:val="none"/>
              </w:rPr>
              <w:t xml:space="preserve">室内外防水箱</w:t>
            </w:r>
            <w:r/>
          </w:p>
        </w:tc>
        <w:tc>
          <w:tcPr>
            <w:tcW w:w="5208" w:type="dxa"/>
            <w:textDirection w:val="lrTb"/>
            <w:noWrap w:val="false"/>
          </w:tcPr>
          <w:p>
            <w:pPr>
              <w:pStyle w:val="1159"/>
              <w:rPr>
                <w:color w:val="auto"/>
                <w:sz w:val="21"/>
                <w:szCs w:val="21"/>
                <w:highlight w:val="none"/>
              </w:rPr>
            </w:pPr>
            <w:r>
              <w:rPr>
                <w:rFonts w:hint="eastAsia"/>
                <w:color w:val="auto"/>
                <w:sz w:val="21"/>
                <w:szCs w:val="21"/>
                <w:highlight w:val="none"/>
              </w:rPr>
              <w:t xml:space="preserve">国标400*500*200mm，不锈钢材质</w:t>
            </w:r>
            <w:r/>
          </w:p>
        </w:tc>
        <w:tc>
          <w:tcPr>
            <w:tcW w:w="623" w:type="dxa"/>
            <w:textDirection w:val="lrTb"/>
            <w:noWrap w:val="false"/>
          </w:tcPr>
          <w:p>
            <w:pPr>
              <w:pStyle w:val="1159"/>
              <w:rPr>
                <w:color w:val="auto"/>
                <w:sz w:val="21"/>
                <w:szCs w:val="21"/>
                <w:highlight w:val="none"/>
              </w:rPr>
            </w:pPr>
            <w:r>
              <w:rPr>
                <w:rFonts w:hint="eastAsia"/>
                <w:color w:val="auto"/>
                <w:sz w:val="21"/>
                <w:szCs w:val="21"/>
                <w:highlight w:val="none"/>
              </w:rPr>
              <w:t xml:space="preserve">台</w:t>
            </w:r>
            <w:r/>
          </w:p>
        </w:tc>
        <w:tc>
          <w:tcPr>
            <w:tcW w:w="769" w:type="dxa"/>
            <w:textDirection w:val="lrTb"/>
            <w:noWrap w:val="false"/>
          </w:tcPr>
          <w:p>
            <w:pPr>
              <w:pStyle w:val="1159"/>
              <w:rPr>
                <w:color w:val="auto"/>
                <w:sz w:val="21"/>
                <w:szCs w:val="21"/>
                <w:highlight w:val="none"/>
              </w:rPr>
            </w:pPr>
            <w:r>
              <w:rPr>
                <w:rFonts w:hint="eastAsia"/>
                <w:color w:val="auto"/>
                <w:sz w:val="21"/>
                <w:szCs w:val="21"/>
                <w:highlight w:val="none"/>
              </w:rPr>
              <w:t xml:space="preserve">15</w:t>
            </w:r>
            <w:r/>
          </w:p>
        </w:tc>
      </w:tr>
      <w:tr>
        <w:trPr>
          <w:trHeight w:val="20"/>
        </w:trPr>
        <w:tc>
          <w:tcPr>
            <w:tcW w:w="624" w:type="dxa"/>
            <w:textDirection w:val="lrTb"/>
            <w:noWrap w:val="false"/>
          </w:tcPr>
          <w:p>
            <w:pPr>
              <w:pStyle w:val="1159"/>
              <w:rPr>
                <w:color w:val="auto"/>
                <w:sz w:val="21"/>
                <w:szCs w:val="21"/>
                <w:highlight w:val="none"/>
              </w:rPr>
            </w:pPr>
            <w:r>
              <w:rPr>
                <w:rFonts w:hint="eastAsia"/>
                <w:color w:val="auto"/>
                <w:sz w:val="21"/>
                <w:szCs w:val="21"/>
                <w:highlight w:val="none"/>
              </w:rPr>
              <w:t xml:space="preserve">47</w:t>
            </w:r>
            <w:r/>
          </w:p>
        </w:tc>
        <w:tc>
          <w:tcPr>
            <w:tcW w:w="1072" w:type="dxa"/>
            <w:textDirection w:val="lrTb"/>
            <w:noWrap w:val="false"/>
          </w:tcPr>
          <w:p>
            <w:pPr>
              <w:pStyle w:val="1159"/>
              <w:rPr>
                <w:color w:val="auto"/>
                <w:sz w:val="21"/>
                <w:szCs w:val="21"/>
                <w:highlight w:val="none"/>
              </w:rPr>
            </w:pPr>
            <w:r>
              <w:rPr>
                <w:rFonts w:hint="eastAsia"/>
                <w:color w:val="auto"/>
                <w:sz w:val="21"/>
                <w:szCs w:val="21"/>
                <w:highlight w:val="none"/>
              </w:rPr>
              <w:t xml:space="preserve">摄像机电源</w:t>
            </w:r>
            <w:r/>
          </w:p>
        </w:tc>
        <w:tc>
          <w:tcPr>
            <w:tcW w:w="5208" w:type="dxa"/>
            <w:textDirection w:val="lrTb"/>
            <w:noWrap w:val="false"/>
          </w:tcPr>
          <w:p>
            <w:pPr>
              <w:pStyle w:val="1159"/>
              <w:rPr>
                <w:color w:val="auto"/>
                <w:sz w:val="21"/>
                <w:szCs w:val="21"/>
                <w:highlight w:val="none"/>
              </w:rPr>
            </w:pPr>
            <w:r>
              <w:rPr>
                <w:rFonts w:hint="eastAsia"/>
                <w:color w:val="auto"/>
                <w:sz w:val="21"/>
                <w:szCs w:val="21"/>
                <w:highlight w:val="none"/>
              </w:rPr>
              <w:t xml:space="preserve">国标12V/24V150W</w:t>
            </w:r>
            <w:r/>
          </w:p>
        </w:tc>
        <w:tc>
          <w:tcPr>
            <w:tcW w:w="623" w:type="dxa"/>
            <w:textDirection w:val="lrTb"/>
            <w:noWrap w:val="false"/>
          </w:tcPr>
          <w:p>
            <w:pPr>
              <w:pStyle w:val="1159"/>
              <w:rPr>
                <w:color w:val="auto"/>
                <w:sz w:val="21"/>
                <w:szCs w:val="21"/>
                <w:highlight w:val="none"/>
              </w:rPr>
            </w:pPr>
            <w:r>
              <w:rPr>
                <w:rFonts w:hint="eastAsia"/>
                <w:color w:val="auto"/>
                <w:sz w:val="21"/>
                <w:szCs w:val="21"/>
                <w:highlight w:val="none"/>
              </w:rPr>
              <w:t xml:space="preserve">台</w:t>
            </w:r>
            <w:r/>
          </w:p>
        </w:tc>
        <w:tc>
          <w:tcPr>
            <w:tcW w:w="769" w:type="dxa"/>
            <w:textDirection w:val="lrTb"/>
            <w:noWrap w:val="false"/>
          </w:tcPr>
          <w:p>
            <w:pPr>
              <w:pStyle w:val="1159"/>
              <w:rPr>
                <w:color w:val="auto"/>
                <w:sz w:val="21"/>
                <w:szCs w:val="21"/>
                <w:highlight w:val="none"/>
              </w:rPr>
            </w:pPr>
            <w:r>
              <w:rPr>
                <w:rFonts w:hint="eastAsia"/>
                <w:color w:val="auto"/>
                <w:sz w:val="21"/>
                <w:szCs w:val="21"/>
                <w:highlight w:val="none"/>
              </w:rPr>
              <w:t xml:space="preserve">26</w:t>
            </w:r>
            <w:r/>
          </w:p>
        </w:tc>
      </w:tr>
      <w:tr>
        <w:trPr>
          <w:trHeight w:val="20"/>
        </w:trPr>
        <w:tc>
          <w:tcPr>
            <w:tcW w:w="624" w:type="dxa"/>
            <w:textDirection w:val="lrTb"/>
            <w:noWrap w:val="false"/>
          </w:tcPr>
          <w:p>
            <w:pPr>
              <w:pStyle w:val="1159"/>
              <w:rPr>
                <w:color w:val="auto"/>
                <w:sz w:val="21"/>
                <w:szCs w:val="21"/>
                <w:highlight w:val="none"/>
              </w:rPr>
            </w:pPr>
            <w:r>
              <w:rPr>
                <w:rFonts w:hint="eastAsia"/>
                <w:color w:val="auto"/>
                <w:sz w:val="21"/>
                <w:szCs w:val="21"/>
                <w:highlight w:val="none"/>
              </w:rPr>
              <w:t xml:space="preserve">48</w:t>
            </w:r>
            <w:r/>
          </w:p>
        </w:tc>
        <w:tc>
          <w:tcPr>
            <w:tcW w:w="1072" w:type="dxa"/>
            <w:textDirection w:val="lrTb"/>
            <w:noWrap w:val="false"/>
          </w:tcPr>
          <w:p>
            <w:pPr>
              <w:pStyle w:val="1159"/>
              <w:rPr>
                <w:color w:val="auto"/>
                <w:sz w:val="21"/>
                <w:szCs w:val="21"/>
                <w:highlight w:val="none"/>
              </w:rPr>
            </w:pPr>
            <w:r>
              <w:rPr>
                <w:rFonts w:hint="eastAsia"/>
                <w:color w:val="auto"/>
                <w:sz w:val="21"/>
                <w:szCs w:val="21"/>
                <w:highlight w:val="none"/>
              </w:rPr>
              <w:t xml:space="preserve">硅芯管</w:t>
            </w:r>
            <w:r/>
          </w:p>
        </w:tc>
        <w:tc>
          <w:tcPr>
            <w:tcW w:w="5208" w:type="dxa"/>
            <w:textDirection w:val="lrTb"/>
            <w:noWrap w:val="false"/>
          </w:tcPr>
          <w:p>
            <w:pPr>
              <w:pStyle w:val="1159"/>
              <w:rPr>
                <w:color w:val="auto"/>
                <w:sz w:val="21"/>
                <w:szCs w:val="21"/>
                <w:highlight w:val="none"/>
              </w:rPr>
            </w:pPr>
            <w:r>
              <w:rPr>
                <w:rFonts w:hint="eastAsia"/>
                <w:color w:val="auto"/>
                <w:sz w:val="21"/>
                <w:szCs w:val="21"/>
                <w:highlight w:val="none"/>
              </w:rPr>
              <w:t xml:space="preserve">国标Φ40</w:t>
            </w:r>
            <w:r/>
          </w:p>
        </w:tc>
        <w:tc>
          <w:tcPr>
            <w:tcW w:w="623" w:type="dxa"/>
            <w:textDirection w:val="lrTb"/>
            <w:noWrap w:val="false"/>
          </w:tcPr>
          <w:p>
            <w:pPr>
              <w:pStyle w:val="1159"/>
              <w:rPr>
                <w:color w:val="auto"/>
                <w:sz w:val="21"/>
                <w:szCs w:val="21"/>
                <w:highlight w:val="none"/>
              </w:rPr>
            </w:pPr>
            <w:r>
              <w:rPr>
                <w:rFonts w:hint="eastAsia"/>
                <w:color w:val="auto"/>
                <w:sz w:val="21"/>
                <w:szCs w:val="21"/>
                <w:highlight w:val="none"/>
              </w:rPr>
              <w:t xml:space="preserve">米</w:t>
            </w:r>
            <w:r/>
          </w:p>
        </w:tc>
        <w:tc>
          <w:tcPr>
            <w:tcW w:w="769" w:type="dxa"/>
            <w:textDirection w:val="lrTb"/>
            <w:noWrap w:val="false"/>
          </w:tcPr>
          <w:p>
            <w:pPr>
              <w:pStyle w:val="1159"/>
              <w:rPr>
                <w:color w:val="auto"/>
                <w:sz w:val="21"/>
                <w:szCs w:val="21"/>
                <w:highlight w:val="none"/>
              </w:rPr>
            </w:pPr>
            <w:r>
              <w:rPr>
                <w:rFonts w:hint="eastAsia"/>
                <w:color w:val="auto"/>
                <w:sz w:val="21"/>
                <w:szCs w:val="21"/>
                <w:highlight w:val="none"/>
              </w:rPr>
              <w:t xml:space="preserve">1350</w:t>
            </w:r>
            <w:r/>
          </w:p>
        </w:tc>
      </w:tr>
      <w:tr>
        <w:trPr>
          <w:trHeight w:val="20"/>
        </w:trPr>
        <w:tc>
          <w:tcPr>
            <w:tcW w:w="624" w:type="dxa"/>
            <w:textDirection w:val="lrTb"/>
            <w:noWrap w:val="false"/>
          </w:tcPr>
          <w:p>
            <w:pPr>
              <w:pStyle w:val="1159"/>
              <w:rPr>
                <w:color w:val="auto"/>
                <w:sz w:val="21"/>
                <w:szCs w:val="21"/>
                <w:highlight w:val="none"/>
              </w:rPr>
            </w:pPr>
            <w:r>
              <w:rPr>
                <w:rFonts w:hint="eastAsia"/>
                <w:color w:val="auto"/>
                <w:sz w:val="21"/>
                <w:szCs w:val="21"/>
                <w:highlight w:val="none"/>
              </w:rPr>
              <w:t xml:space="preserve">49</w:t>
            </w:r>
            <w:r/>
          </w:p>
        </w:tc>
        <w:tc>
          <w:tcPr>
            <w:tcW w:w="1072" w:type="dxa"/>
            <w:textDirection w:val="lrTb"/>
            <w:noWrap w:val="false"/>
          </w:tcPr>
          <w:p>
            <w:pPr>
              <w:pStyle w:val="1159"/>
              <w:rPr>
                <w:color w:val="auto"/>
                <w:sz w:val="21"/>
                <w:szCs w:val="21"/>
                <w:highlight w:val="none"/>
              </w:rPr>
            </w:pPr>
            <w:r>
              <w:rPr>
                <w:rFonts w:hint="eastAsia"/>
                <w:color w:val="auto"/>
                <w:sz w:val="21"/>
                <w:szCs w:val="21"/>
                <w:highlight w:val="none"/>
              </w:rPr>
              <w:t xml:space="preserve">PVC管2</w:t>
            </w:r>
            <w:r/>
          </w:p>
        </w:tc>
        <w:tc>
          <w:tcPr>
            <w:tcW w:w="5208" w:type="dxa"/>
            <w:textDirection w:val="lrTb"/>
            <w:noWrap w:val="false"/>
          </w:tcPr>
          <w:p>
            <w:pPr>
              <w:pStyle w:val="1159"/>
              <w:rPr>
                <w:color w:val="auto"/>
                <w:sz w:val="21"/>
                <w:szCs w:val="21"/>
                <w:highlight w:val="none"/>
              </w:rPr>
            </w:pPr>
            <w:r>
              <w:rPr>
                <w:rFonts w:hint="eastAsia"/>
                <w:color w:val="auto"/>
                <w:sz w:val="21"/>
                <w:szCs w:val="21"/>
                <w:highlight w:val="none"/>
              </w:rPr>
              <w:t xml:space="preserve">国标Φ25，含附件</w:t>
            </w:r>
            <w:r/>
          </w:p>
        </w:tc>
        <w:tc>
          <w:tcPr>
            <w:tcW w:w="623" w:type="dxa"/>
            <w:textDirection w:val="lrTb"/>
            <w:noWrap w:val="false"/>
          </w:tcPr>
          <w:p>
            <w:pPr>
              <w:pStyle w:val="1159"/>
              <w:rPr>
                <w:color w:val="auto"/>
                <w:sz w:val="21"/>
                <w:szCs w:val="21"/>
                <w:highlight w:val="none"/>
              </w:rPr>
            </w:pPr>
            <w:r>
              <w:rPr>
                <w:rFonts w:hint="eastAsia"/>
                <w:color w:val="auto"/>
                <w:sz w:val="21"/>
                <w:szCs w:val="21"/>
                <w:highlight w:val="none"/>
              </w:rPr>
              <w:t xml:space="preserve">米</w:t>
            </w:r>
            <w:r/>
          </w:p>
        </w:tc>
        <w:tc>
          <w:tcPr>
            <w:tcW w:w="769" w:type="dxa"/>
            <w:textDirection w:val="lrTb"/>
            <w:noWrap w:val="false"/>
          </w:tcPr>
          <w:p>
            <w:pPr>
              <w:pStyle w:val="1159"/>
              <w:rPr>
                <w:color w:val="auto"/>
                <w:sz w:val="21"/>
                <w:szCs w:val="21"/>
                <w:highlight w:val="none"/>
              </w:rPr>
            </w:pPr>
            <w:r>
              <w:rPr>
                <w:rFonts w:hint="eastAsia"/>
                <w:color w:val="auto"/>
                <w:sz w:val="21"/>
                <w:szCs w:val="21"/>
                <w:highlight w:val="none"/>
              </w:rPr>
              <w:t xml:space="preserve">1700</w:t>
            </w:r>
            <w:r/>
          </w:p>
        </w:tc>
      </w:tr>
      <w:tr>
        <w:trPr>
          <w:trHeight w:val="20"/>
        </w:trPr>
        <w:tc>
          <w:tcPr>
            <w:tcW w:w="624" w:type="dxa"/>
            <w:textDirection w:val="lrTb"/>
            <w:noWrap w:val="false"/>
          </w:tcPr>
          <w:p>
            <w:pPr>
              <w:pStyle w:val="1159"/>
              <w:rPr>
                <w:color w:val="auto"/>
                <w:sz w:val="21"/>
                <w:szCs w:val="21"/>
                <w:highlight w:val="none"/>
              </w:rPr>
            </w:pPr>
            <w:r>
              <w:rPr>
                <w:rFonts w:hint="eastAsia"/>
                <w:color w:val="auto"/>
                <w:sz w:val="21"/>
                <w:szCs w:val="21"/>
                <w:highlight w:val="none"/>
              </w:rPr>
              <w:t xml:space="preserve">50</w:t>
            </w:r>
            <w:r/>
          </w:p>
        </w:tc>
        <w:tc>
          <w:tcPr>
            <w:tcW w:w="1072" w:type="dxa"/>
            <w:textDirection w:val="lrTb"/>
            <w:noWrap w:val="false"/>
          </w:tcPr>
          <w:p>
            <w:pPr>
              <w:pStyle w:val="1159"/>
              <w:rPr>
                <w:color w:val="auto"/>
                <w:sz w:val="21"/>
                <w:szCs w:val="21"/>
                <w:highlight w:val="none"/>
              </w:rPr>
            </w:pPr>
            <w:r>
              <w:rPr>
                <w:rFonts w:hint="eastAsia"/>
                <w:color w:val="auto"/>
                <w:sz w:val="21"/>
                <w:szCs w:val="21"/>
                <w:highlight w:val="none"/>
              </w:rPr>
              <w:t xml:space="preserve">24口光纤熔接盒</w:t>
            </w:r>
            <w:r/>
          </w:p>
        </w:tc>
        <w:tc>
          <w:tcPr>
            <w:tcW w:w="5208" w:type="dxa"/>
            <w:textDirection w:val="lrTb"/>
            <w:noWrap w:val="false"/>
          </w:tcPr>
          <w:p>
            <w:pPr>
              <w:pStyle w:val="1159"/>
              <w:rPr>
                <w:color w:val="auto"/>
                <w:sz w:val="21"/>
                <w:szCs w:val="21"/>
                <w:highlight w:val="none"/>
              </w:rPr>
            </w:pPr>
            <w:r>
              <w:rPr>
                <w:rFonts w:hint="eastAsia"/>
                <w:color w:val="auto"/>
                <w:sz w:val="21"/>
                <w:szCs w:val="21"/>
                <w:highlight w:val="none"/>
              </w:rPr>
              <w:t xml:space="preserve">SC-SC</w:t>
            </w:r>
            <w:r/>
          </w:p>
        </w:tc>
        <w:tc>
          <w:tcPr>
            <w:tcW w:w="623" w:type="dxa"/>
            <w:textDirection w:val="lrTb"/>
            <w:noWrap w:val="false"/>
          </w:tcPr>
          <w:p>
            <w:pPr>
              <w:pStyle w:val="1159"/>
              <w:rPr>
                <w:color w:val="auto"/>
                <w:sz w:val="21"/>
                <w:szCs w:val="21"/>
                <w:highlight w:val="none"/>
              </w:rPr>
            </w:pPr>
            <w:r>
              <w:rPr>
                <w:rFonts w:hint="eastAsia"/>
                <w:color w:val="auto"/>
                <w:sz w:val="21"/>
                <w:szCs w:val="21"/>
                <w:highlight w:val="none"/>
              </w:rPr>
              <w:t xml:space="preserve">套</w:t>
            </w:r>
            <w:r/>
          </w:p>
        </w:tc>
        <w:tc>
          <w:tcPr>
            <w:tcW w:w="769" w:type="dxa"/>
            <w:textDirection w:val="lrTb"/>
            <w:noWrap w:val="false"/>
          </w:tcPr>
          <w:p>
            <w:pPr>
              <w:pStyle w:val="1159"/>
              <w:rPr>
                <w:color w:val="auto"/>
                <w:sz w:val="21"/>
                <w:szCs w:val="21"/>
                <w:highlight w:val="none"/>
              </w:rPr>
            </w:pPr>
            <w:r>
              <w:rPr>
                <w:rFonts w:hint="eastAsia"/>
                <w:color w:val="auto"/>
                <w:sz w:val="21"/>
                <w:szCs w:val="21"/>
                <w:highlight w:val="none"/>
              </w:rPr>
              <w:t xml:space="preserve">1</w:t>
            </w:r>
            <w:r/>
          </w:p>
        </w:tc>
      </w:tr>
      <w:tr>
        <w:trPr>
          <w:trHeight w:val="20"/>
        </w:trPr>
        <w:tc>
          <w:tcPr>
            <w:tcW w:w="624" w:type="dxa"/>
            <w:textDirection w:val="lrTb"/>
            <w:noWrap w:val="false"/>
          </w:tcPr>
          <w:p>
            <w:pPr>
              <w:pStyle w:val="1159"/>
              <w:rPr>
                <w:color w:val="auto"/>
                <w:sz w:val="21"/>
                <w:szCs w:val="21"/>
                <w:highlight w:val="none"/>
              </w:rPr>
            </w:pPr>
            <w:r>
              <w:rPr>
                <w:rFonts w:hint="eastAsia"/>
                <w:color w:val="auto"/>
                <w:sz w:val="21"/>
                <w:szCs w:val="21"/>
                <w:highlight w:val="none"/>
              </w:rPr>
              <w:t xml:space="preserve">51</w:t>
            </w:r>
            <w:r/>
          </w:p>
        </w:tc>
        <w:tc>
          <w:tcPr>
            <w:tcW w:w="1072" w:type="dxa"/>
            <w:textDirection w:val="lrTb"/>
            <w:noWrap w:val="false"/>
          </w:tcPr>
          <w:p>
            <w:pPr>
              <w:pStyle w:val="1159"/>
              <w:rPr>
                <w:color w:val="auto"/>
                <w:sz w:val="21"/>
                <w:szCs w:val="21"/>
                <w:highlight w:val="none"/>
              </w:rPr>
            </w:pPr>
            <w:r>
              <w:rPr>
                <w:rFonts w:hint="eastAsia"/>
                <w:color w:val="auto"/>
                <w:sz w:val="21"/>
                <w:szCs w:val="21"/>
                <w:highlight w:val="none"/>
              </w:rPr>
              <w:t xml:space="preserve">8口光纤熔接盒</w:t>
            </w:r>
            <w:r/>
          </w:p>
        </w:tc>
        <w:tc>
          <w:tcPr>
            <w:tcW w:w="5208" w:type="dxa"/>
            <w:textDirection w:val="lrTb"/>
            <w:noWrap w:val="false"/>
          </w:tcPr>
          <w:p>
            <w:pPr>
              <w:pStyle w:val="1159"/>
              <w:rPr>
                <w:color w:val="auto"/>
                <w:sz w:val="21"/>
                <w:szCs w:val="21"/>
                <w:highlight w:val="none"/>
              </w:rPr>
            </w:pPr>
            <w:r>
              <w:rPr>
                <w:rFonts w:hint="eastAsia"/>
                <w:color w:val="auto"/>
                <w:sz w:val="21"/>
                <w:szCs w:val="21"/>
                <w:highlight w:val="none"/>
              </w:rPr>
              <w:t xml:space="preserve">SC-SC</w:t>
            </w:r>
            <w:r/>
          </w:p>
        </w:tc>
        <w:tc>
          <w:tcPr>
            <w:tcW w:w="623" w:type="dxa"/>
            <w:textDirection w:val="lrTb"/>
            <w:noWrap w:val="false"/>
          </w:tcPr>
          <w:p>
            <w:pPr>
              <w:pStyle w:val="1159"/>
              <w:rPr>
                <w:color w:val="auto"/>
                <w:sz w:val="21"/>
                <w:szCs w:val="21"/>
                <w:highlight w:val="none"/>
              </w:rPr>
            </w:pPr>
            <w:r>
              <w:rPr>
                <w:rFonts w:hint="eastAsia"/>
                <w:color w:val="auto"/>
                <w:sz w:val="21"/>
                <w:szCs w:val="21"/>
                <w:highlight w:val="none"/>
              </w:rPr>
              <w:t xml:space="preserve">套</w:t>
            </w:r>
            <w:r/>
          </w:p>
        </w:tc>
        <w:tc>
          <w:tcPr>
            <w:tcW w:w="769" w:type="dxa"/>
            <w:textDirection w:val="lrTb"/>
            <w:noWrap w:val="false"/>
          </w:tcPr>
          <w:p>
            <w:pPr>
              <w:pStyle w:val="1159"/>
              <w:rPr>
                <w:color w:val="auto"/>
                <w:sz w:val="21"/>
                <w:szCs w:val="21"/>
                <w:highlight w:val="none"/>
              </w:rPr>
            </w:pPr>
            <w:r>
              <w:rPr>
                <w:rFonts w:hint="eastAsia"/>
                <w:color w:val="auto"/>
                <w:sz w:val="21"/>
                <w:szCs w:val="21"/>
                <w:highlight w:val="none"/>
              </w:rPr>
              <w:t xml:space="preserve">4</w:t>
            </w:r>
            <w:r/>
          </w:p>
        </w:tc>
      </w:tr>
      <w:tr>
        <w:trPr>
          <w:trHeight w:val="20"/>
        </w:trPr>
        <w:tc>
          <w:tcPr>
            <w:tcW w:w="624" w:type="dxa"/>
            <w:textDirection w:val="lrTb"/>
            <w:noWrap w:val="false"/>
          </w:tcPr>
          <w:p>
            <w:pPr>
              <w:pStyle w:val="1159"/>
              <w:rPr>
                <w:color w:val="auto"/>
                <w:sz w:val="21"/>
                <w:szCs w:val="21"/>
                <w:highlight w:val="none"/>
              </w:rPr>
            </w:pPr>
            <w:r>
              <w:rPr>
                <w:rFonts w:hint="eastAsia"/>
                <w:color w:val="auto"/>
                <w:sz w:val="21"/>
                <w:szCs w:val="21"/>
                <w:highlight w:val="none"/>
              </w:rPr>
              <w:t xml:space="preserve">52</w:t>
            </w:r>
            <w:r/>
          </w:p>
        </w:tc>
        <w:tc>
          <w:tcPr>
            <w:tcW w:w="1072" w:type="dxa"/>
            <w:textDirection w:val="lrTb"/>
            <w:noWrap w:val="false"/>
          </w:tcPr>
          <w:p>
            <w:pPr>
              <w:pStyle w:val="1159"/>
              <w:rPr>
                <w:color w:val="auto"/>
                <w:sz w:val="21"/>
                <w:szCs w:val="21"/>
                <w:highlight w:val="none"/>
              </w:rPr>
            </w:pPr>
            <w:r>
              <w:rPr>
                <w:rFonts w:hint="eastAsia"/>
                <w:color w:val="auto"/>
                <w:sz w:val="21"/>
                <w:szCs w:val="21"/>
                <w:highlight w:val="none"/>
              </w:rPr>
              <w:t xml:space="preserve">光缆熔接及配件</w:t>
            </w:r>
            <w:r/>
          </w:p>
        </w:tc>
        <w:tc>
          <w:tcPr>
            <w:tcW w:w="5208" w:type="dxa"/>
            <w:textDirection w:val="lrTb"/>
            <w:noWrap w:val="false"/>
          </w:tcPr>
          <w:p>
            <w:pPr>
              <w:pStyle w:val="1159"/>
              <w:rPr>
                <w:color w:val="auto"/>
                <w:sz w:val="21"/>
                <w:szCs w:val="21"/>
                <w:highlight w:val="none"/>
              </w:rPr>
            </w:pPr>
            <w:r>
              <w:rPr>
                <w:rFonts w:hint="eastAsia"/>
                <w:color w:val="auto"/>
                <w:sz w:val="21"/>
                <w:szCs w:val="21"/>
                <w:highlight w:val="none"/>
              </w:rPr>
              <w:t xml:space="preserve">国标</w:t>
            </w:r>
            <w:r/>
          </w:p>
        </w:tc>
        <w:tc>
          <w:tcPr>
            <w:tcW w:w="623" w:type="dxa"/>
            <w:textDirection w:val="lrTb"/>
            <w:noWrap w:val="false"/>
          </w:tcPr>
          <w:p>
            <w:pPr>
              <w:pStyle w:val="1159"/>
              <w:rPr>
                <w:color w:val="auto"/>
                <w:sz w:val="21"/>
                <w:szCs w:val="21"/>
                <w:highlight w:val="none"/>
              </w:rPr>
            </w:pPr>
            <w:r>
              <w:rPr>
                <w:rFonts w:hint="eastAsia"/>
                <w:color w:val="auto"/>
                <w:sz w:val="21"/>
                <w:szCs w:val="21"/>
                <w:highlight w:val="none"/>
              </w:rPr>
              <w:t xml:space="preserve">点</w:t>
            </w:r>
            <w:r/>
          </w:p>
        </w:tc>
        <w:tc>
          <w:tcPr>
            <w:tcW w:w="769" w:type="dxa"/>
            <w:textDirection w:val="lrTb"/>
            <w:noWrap w:val="false"/>
          </w:tcPr>
          <w:p>
            <w:pPr>
              <w:pStyle w:val="1159"/>
              <w:rPr>
                <w:color w:val="auto"/>
                <w:sz w:val="21"/>
                <w:szCs w:val="21"/>
                <w:highlight w:val="none"/>
              </w:rPr>
            </w:pPr>
            <w:r>
              <w:rPr>
                <w:rFonts w:hint="eastAsia"/>
                <w:color w:val="auto"/>
                <w:sz w:val="21"/>
                <w:szCs w:val="21"/>
                <w:highlight w:val="none"/>
              </w:rPr>
              <w:t xml:space="preserve">48</w:t>
            </w:r>
            <w:r/>
          </w:p>
        </w:tc>
      </w:tr>
      <w:tr>
        <w:trPr>
          <w:trHeight w:val="20"/>
        </w:trPr>
        <w:tc>
          <w:tcPr>
            <w:tcW w:w="624" w:type="dxa"/>
            <w:textDirection w:val="lrTb"/>
            <w:noWrap w:val="false"/>
          </w:tcPr>
          <w:p>
            <w:pPr>
              <w:pStyle w:val="1159"/>
              <w:rPr>
                <w:color w:val="auto"/>
                <w:sz w:val="21"/>
                <w:szCs w:val="21"/>
                <w:highlight w:val="none"/>
              </w:rPr>
            </w:pPr>
            <w:r>
              <w:rPr>
                <w:rFonts w:hint="eastAsia"/>
                <w:color w:val="auto"/>
                <w:sz w:val="21"/>
                <w:szCs w:val="21"/>
                <w:highlight w:val="none"/>
              </w:rPr>
              <w:t xml:space="preserve">53</w:t>
            </w:r>
            <w:r/>
          </w:p>
        </w:tc>
        <w:tc>
          <w:tcPr>
            <w:tcW w:w="1072" w:type="dxa"/>
            <w:textDirection w:val="lrTb"/>
            <w:noWrap w:val="false"/>
          </w:tcPr>
          <w:p>
            <w:pPr>
              <w:pStyle w:val="1159"/>
              <w:rPr>
                <w:color w:val="auto"/>
                <w:sz w:val="21"/>
                <w:szCs w:val="21"/>
                <w:highlight w:val="none"/>
              </w:rPr>
            </w:pPr>
            <w:r>
              <w:rPr>
                <w:rFonts w:hint="eastAsia"/>
                <w:color w:val="auto"/>
                <w:sz w:val="21"/>
                <w:szCs w:val="21"/>
                <w:highlight w:val="none"/>
              </w:rPr>
              <w:t xml:space="preserve">手井</w:t>
            </w:r>
            <w:r/>
          </w:p>
        </w:tc>
        <w:tc>
          <w:tcPr>
            <w:tcW w:w="5208" w:type="dxa"/>
            <w:textDirection w:val="lrTb"/>
            <w:noWrap w:val="false"/>
          </w:tcPr>
          <w:p>
            <w:pPr>
              <w:pStyle w:val="1159"/>
              <w:rPr>
                <w:color w:val="auto"/>
                <w:sz w:val="21"/>
                <w:szCs w:val="21"/>
                <w:highlight w:val="none"/>
              </w:rPr>
            </w:pPr>
            <w:r>
              <w:rPr>
                <w:rFonts w:hint="eastAsia"/>
                <w:color w:val="auto"/>
                <w:sz w:val="21"/>
                <w:szCs w:val="21"/>
                <w:highlight w:val="none"/>
              </w:rPr>
              <w:t xml:space="preserve">外径500mm*500mm</w:t>
            </w:r>
            <w:r/>
          </w:p>
        </w:tc>
        <w:tc>
          <w:tcPr>
            <w:tcW w:w="623" w:type="dxa"/>
            <w:textDirection w:val="lrTb"/>
            <w:noWrap w:val="false"/>
          </w:tcPr>
          <w:p>
            <w:pPr>
              <w:pStyle w:val="1159"/>
              <w:rPr>
                <w:color w:val="auto"/>
                <w:sz w:val="21"/>
                <w:szCs w:val="21"/>
                <w:highlight w:val="none"/>
              </w:rPr>
            </w:pPr>
            <w:r>
              <w:rPr>
                <w:rFonts w:hint="eastAsia"/>
                <w:color w:val="auto"/>
                <w:sz w:val="21"/>
                <w:szCs w:val="21"/>
                <w:highlight w:val="none"/>
              </w:rPr>
              <w:t xml:space="preserve">个</w:t>
            </w:r>
            <w:r/>
          </w:p>
        </w:tc>
        <w:tc>
          <w:tcPr>
            <w:tcW w:w="769" w:type="dxa"/>
            <w:textDirection w:val="lrTb"/>
            <w:noWrap w:val="false"/>
          </w:tcPr>
          <w:p>
            <w:pPr>
              <w:pStyle w:val="1159"/>
              <w:rPr>
                <w:color w:val="auto"/>
                <w:sz w:val="21"/>
                <w:szCs w:val="21"/>
                <w:highlight w:val="none"/>
              </w:rPr>
            </w:pPr>
            <w:r>
              <w:rPr>
                <w:rFonts w:hint="eastAsia"/>
                <w:color w:val="auto"/>
                <w:sz w:val="21"/>
                <w:szCs w:val="21"/>
                <w:highlight w:val="none"/>
              </w:rPr>
              <w:t xml:space="preserve">4</w:t>
            </w:r>
            <w:r/>
          </w:p>
        </w:tc>
      </w:tr>
      <w:tr>
        <w:trPr>
          <w:trHeight w:val="20"/>
        </w:trPr>
        <w:tc>
          <w:tcPr>
            <w:tcW w:w="624" w:type="dxa"/>
            <w:textDirection w:val="lrTb"/>
            <w:noWrap w:val="false"/>
          </w:tcPr>
          <w:p>
            <w:pPr>
              <w:pStyle w:val="1159"/>
              <w:rPr>
                <w:color w:val="auto"/>
                <w:sz w:val="21"/>
                <w:szCs w:val="21"/>
                <w:highlight w:val="none"/>
              </w:rPr>
            </w:pPr>
            <w:r>
              <w:rPr>
                <w:rFonts w:hint="eastAsia"/>
                <w:color w:val="auto"/>
                <w:sz w:val="21"/>
                <w:szCs w:val="21"/>
                <w:highlight w:val="none"/>
              </w:rPr>
              <w:t xml:space="preserve">54</w:t>
            </w:r>
            <w:r/>
          </w:p>
        </w:tc>
        <w:tc>
          <w:tcPr>
            <w:tcW w:w="1072" w:type="dxa"/>
            <w:textDirection w:val="lrTb"/>
            <w:noWrap w:val="false"/>
          </w:tcPr>
          <w:p>
            <w:pPr>
              <w:pStyle w:val="1159"/>
              <w:rPr>
                <w:color w:val="auto"/>
                <w:sz w:val="21"/>
                <w:szCs w:val="21"/>
                <w:highlight w:val="none"/>
              </w:rPr>
            </w:pPr>
            <w:r>
              <w:rPr>
                <w:rFonts w:hint="eastAsia"/>
                <w:color w:val="auto"/>
                <w:sz w:val="21"/>
                <w:szCs w:val="21"/>
                <w:highlight w:val="none"/>
              </w:rPr>
              <w:t xml:space="preserve">室外绿化路面开挖及恢复</w:t>
            </w:r>
            <w:r/>
          </w:p>
        </w:tc>
        <w:tc>
          <w:tcPr>
            <w:tcW w:w="5208" w:type="dxa"/>
            <w:textDirection w:val="lrTb"/>
            <w:noWrap w:val="false"/>
          </w:tcPr>
          <w:p>
            <w:pPr>
              <w:pStyle w:val="1159"/>
              <w:rPr>
                <w:color w:val="auto"/>
                <w:sz w:val="21"/>
                <w:szCs w:val="21"/>
                <w:highlight w:val="none"/>
              </w:rPr>
            </w:pPr>
            <w:r>
              <w:rPr>
                <w:rFonts w:hint="eastAsia"/>
                <w:color w:val="auto"/>
                <w:sz w:val="21"/>
                <w:szCs w:val="21"/>
                <w:highlight w:val="none"/>
              </w:rPr>
              <w:t xml:space="preserve">绿化带开挖及修复，开挖回填根据现场情况确定</w:t>
            </w:r>
            <w:r/>
          </w:p>
        </w:tc>
        <w:tc>
          <w:tcPr>
            <w:tcW w:w="623" w:type="dxa"/>
            <w:textDirection w:val="lrTb"/>
            <w:noWrap w:val="false"/>
          </w:tcPr>
          <w:p>
            <w:pPr>
              <w:pStyle w:val="1159"/>
              <w:rPr>
                <w:color w:val="auto"/>
                <w:sz w:val="21"/>
                <w:szCs w:val="21"/>
                <w:highlight w:val="none"/>
              </w:rPr>
            </w:pPr>
            <w:r>
              <w:rPr>
                <w:rFonts w:hint="eastAsia"/>
                <w:color w:val="auto"/>
                <w:sz w:val="21"/>
                <w:szCs w:val="21"/>
                <w:highlight w:val="none"/>
              </w:rPr>
              <w:t xml:space="preserve">米</w:t>
            </w:r>
            <w:r/>
          </w:p>
        </w:tc>
        <w:tc>
          <w:tcPr>
            <w:tcW w:w="769" w:type="dxa"/>
            <w:textDirection w:val="lrTb"/>
            <w:noWrap w:val="false"/>
          </w:tcPr>
          <w:p>
            <w:pPr>
              <w:pStyle w:val="1159"/>
              <w:rPr>
                <w:color w:val="auto"/>
                <w:sz w:val="21"/>
                <w:szCs w:val="21"/>
                <w:highlight w:val="none"/>
              </w:rPr>
            </w:pPr>
            <w:r>
              <w:rPr>
                <w:rFonts w:hint="eastAsia"/>
                <w:color w:val="auto"/>
                <w:sz w:val="21"/>
                <w:szCs w:val="21"/>
                <w:highlight w:val="none"/>
              </w:rPr>
              <w:t xml:space="preserve">200</w:t>
            </w:r>
            <w:r/>
          </w:p>
        </w:tc>
      </w:tr>
      <w:tr>
        <w:trPr>
          <w:trHeight w:val="20"/>
        </w:trPr>
        <w:tc>
          <w:tcPr>
            <w:tcW w:w="624" w:type="dxa"/>
            <w:textDirection w:val="lrTb"/>
            <w:noWrap w:val="false"/>
          </w:tcPr>
          <w:p>
            <w:pPr>
              <w:pStyle w:val="1159"/>
              <w:rPr>
                <w:color w:val="auto"/>
                <w:sz w:val="21"/>
                <w:szCs w:val="21"/>
                <w:highlight w:val="none"/>
              </w:rPr>
            </w:pPr>
            <w:r>
              <w:rPr>
                <w:rFonts w:hint="eastAsia"/>
                <w:color w:val="auto"/>
                <w:sz w:val="21"/>
                <w:szCs w:val="21"/>
                <w:highlight w:val="none"/>
              </w:rPr>
              <w:t xml:space="preserve">55</w:t>
            </w:r>
            <w:r/>
          </w:p>
        </w:tc>
        <w:tc>
          <w:tcPr>
            <w:tcW w:w="1072" w:type="dxa"/>
            <w:textDirection w:val="lrTb"/>
            <w:noWrap w:val="false"/>
          </w:tcPr>
          <w:p>
            <w:pPr>
              <w:pStyle w:val="1159"/>
              <w:rPr>
                <w:color w:val="auto"/>
                <w:sz w:val="21"/>
                <w:szCs w:val="21"/>
                <w:highlight w:val="none"/>
              </w:rPr>
            </w:pPr>
            <w:r>
              <w:rPr>
                <w:rFonts w:hint="eastAsia"/>
                <w:color w:val="auto"/>
                <w:sz w:val="21"/>
                <w:szCs w:val="21"/>
                <w:highlight w:val="none"/>
              </w:rPr>
              <w:t xml:space="preserve">辅件</w:t>
            </w:r>
            <w:r/>
          </w:p>
        </w:tc>
        <w:tc>
          <w:tcPr>
            <w:tcW w:w="5208" w:type="dxa"/>
            <w:textDirection w:val="lrTb"/>
            <w:noWrap w:val="false"/>
          </w:tcPr>
          <w:p>
            <w:pPr>
              <w:pStyle w:val="1159"/>
              <w:rPr>
                <w:color w:val="auto"/>
                <w:sz w:val="21"/>
                <w:szCs w:val="21"/>
                <w:highlight w:val="none"/>
              </w:rPr>
            </w:pPr>
            <w:r>
              <w:rPr>
                <w:rFonts w:hint="eastAsia"/>
                <w:color w:val="auto"/>
                <w:sz w:val="21"/>
                <w:szCs w:val="21"/>
                <w:highlight w:val="none"/>
              </w:rPr>
              <w:t xml:space="preserve">插座，接线排，胶布，卡钉等</w:t>
            </w:r>
            <w:r/>
          </w:p>
        </w:tc>
        <w:tc>
          <w:tcPr>
            <w:tcW w:w="623" w:type="dxa"/>
            <w:textDirection w:val="lrTb"/>
            <w:noWrap w:val="false"/>
          </w:tcPr>
          <w:p>
            <w:pPr>
              <w:pStyle w:val="1159"/>
              <w:rPr>
                <w:color w:val="auto"/>
                <w:sz w:val="21"/>
                <w:szCs w:val="21"/>
                <w:highlight w:val="none"/>
              </w:rPr>
            </w:pPr>
            <w:r>
              <w:rPr>
                <w:rFonts w:hint="eastAsia"/>
                <w:color w:val="auto"/>
                <w:sz w:val="21"/>
                <w:szCs w:val="21"/>
                <w:highlight w:val="none"/>
              </w:rPr>
              <w:t xml:space="preserve">项</w:t>
            </w:r>
            <w:r/>
          </w:p>
        </w:tc>
        <w:tc>
          <w:tcPr>
            <w:tcW w:w="769" w:type="dxa"/>
            <w:textDirection w:val="lrTb"/>
            <w:noWrap w:val="false"/>
          </w:tcPr>
          <w:p>
            <w:pPr>
              <w:pStyle w:val="1159"/>
              <w:rPr>
                <w:color w:val="auto"/>
                <w:sz w:val="21"/>
                <w:szCs w:val="21"/>
                <w:highlight w:val="none"/>
              </w:rPr>
            </w:pPr>
            <w:r>
              <w:rPr>
                <w:rFonts w:hint="eastAsia"/>
                <w:color w:val="auto"/>
                <w:sz w:val="21"/>
                <w:szCs w:val="21"/>
                <w:highlight w:val="none"/>
              </w:rPr>
              <w:t xml:space="preserve">1</w:t>
            </w:r>
            <w:r/>
          </w:p>
        </w:tc>
      </w:tr>
      <w:tr>
        <w:trPr>
          <w:trHeight w:val="20"/>
        </w:trPr>
        <w:tc>
          <w:tcPr>
            <w:tcW w:w="624" w:type="dxa"/>
            <w:textDirection w:val="lrTb"/>
            <w:noWrap w:val="false"/>
          </w:tcPr>
          <w:p>
            <w:pPr>
              <w:pStyle w:val="1159"/>
              <w:rPr>
                <w:color w:val="auto"/>
                <w:sz w:val="21"/>
                <w:szCs w:val="21"/>
                <w:highlight w:val="none"/>
              </w:rPr>
            </w:pPr>
            <w:r>
              <w:rPr>
                <w:rFonts w:hint="eastAsia"/>
                <w:color w:val="auto"/>
                <w:sz w:val="21"/>
                <w:szCs w:val="21"/>
                <w:highlight w:val="none"/>
              </w:rPr>
              <w:t xml:space="preserve">56</w:t>
            </w:r>
            <w:r/>
          </w:p>
        </w:tc>
        <w:tc>
          <w:tcPr>
            <w:tcW w:w="1072" w:type="dxa"/>
            <w:textDirection w:val="lrTb"/>
            <w:noWrap w:val="false"/>
          </w:tcPr>
          <w:p>
            <w:pPr>
              <w:pStyle w:val="1159"/>
              <w:rPr>
                <w:color w:val="auto"/>
                <w:sz w:val="21"/>
                <w:szCs w:val="21"/>
                <w:highlight w:val="none"/>
              </w:rPr>
            </w:pPr>
            <w:r>
              <w:rPr>
                <w:rFonts w:hint="eastAsia"/>
                <w:color w:val="auto"/>
                <w:sz w:val="21"/>
                <w:szCs w:val="21"/>
                <w:highlight w:val="none"/>
              </w:rPr>
              <w:t xml:space="preserve">系统集成</w:t>
            </w:r>
            <w:r/>
          </w:p>
        </w:tc>
        <w:tc>
          <w:tcPr>
            <w:tcW w:w="5208" w:type="dxa"/>
            <w:textDirection w:val="lrTb"/>
            <w:noWrap w:val="false"/>
          </w:tcPr>
          <w:p>
            <w:pPr>
              <w:pStyle w:val="1159"/>
              <w:rPr>
                <w:color w:val="auto"/>
                <w:sz w:val="21"/>
                <w:szCs w:val="21"/>
                <w:highlight w:val="none"/>
              </w:rPr>
            </w:pPr>
            <w:r>
              <w:rPr>
                <w:rFonts w:hint="eastAsia"/>
                <w:color w:val="auto"/>
                <w:sz w:val="21"/>
                <w:szCs w:val="21"/>
                <w:highlight w:val="none"/>
              </w:rPr>
              <w:t xml:space="preserve">安装、集成、测试、联调。</w:t>
            </w:r>
            <w:r/>
          </w:p>
        </w:tc>
        <w:tc>
          <w:tcPr>
            <w:tcW w:w="623" w:type="dxa"/>
            <w:textDirection w:val="lrTb"/>
            <w:noWrap w:val="false"/>
          </w:tcPr>
          <w:p>
            <w:pPr>
              <w:pStyle w:val="1159"/>
              <w:rPr>
                <w:color w:val="auto"/>
                <w:sz w:val="21"/>
                <w:szCs w:val="21"/>
                <w:highlight w:val="none"/>
              </w:rPr>
            </w:pPr>
            <w:r>
              <w:rPr>
                <w:rFonts w:hint="eastAsia"/>
                <w:color w:val="auto"/>
                <w:sz w:val="21"/>
                <w:szCs w:val="21"/>
                <w:highlight w:val="none"/>
              </w:rPr>
              <w:t xml:space="preserve">项</w:t>
            </w:r>
            <w:r/>
          </w:p>
        </w:tc>
        <w:tc>
          <w:tcPr>
            <w:tcW w:w="769" w:type="dxa"/>
            <w:textDirection w:val="lrTb"/>
            <w:noWrap w:val="false"/>
          </w:tcPr>
          <w:p>
            <w:pPr>
              <w:pStyle w:val="1159"/>
              <w:rPr>
                <w:color w:val="auto"/>
                <w:sz w:val="21"/>
                <w:szCs w:val="21"/>
                <w:highlight w:val="none"/>
              </w:rPr>
            </w:pPr>
            <w:r>
              <w:rPr>
                <w:rFonts w:hint="eastAsia"/>
                <w:color w:val="auto"/>
                <w:sz w:val="21"/>
                <w:szCs w:val="21"/>
                <w:highlight w:val="none"/>
              </w:rPr>
              <w:t xml:space="preserve">1</w:t>
            </w:r>
            <w:r/>
          </w:p>
        </w:tc>
      </w:tr>
    </w:tbl>
    <w:p>
      <w:pPr>
        <w:pStyle w:val="1159"/>
        <w:rPr>
          <w:color w:val="auto"/>
          <w:highlight w:val="none"/>
        </w:rPr>
      </w:pPr>
      <w:r>
        <w:rPr>
          <w:color w:val="auto"/>
          <w:highlight w:val="none"/>
        </w:rPr>
      </w:r>
      <w:r/>
    </w:p>
    <w:p>
      <w:pPr>
        <w:pStyle w:val="1308"/>
        <w:numPr>
          <w:ilvl w:val="0"/>
          <w:numId w:val="0"/>
        </w:numPr>
        <w:spacing w:line="360" w:lineRule="auto"/>
        <w:tabs>
          <w:tab w:val="left" w:pos="567" w:leader="none"/>
        </w:tabs>
        <w:rPr>
          <w:rFonts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注：1、本项目不接受进口产品。</w:t>
      </w:r>
      <w:r/>
    </w:p>
    <w:p>
      <w:pPr>
        <w:pStyle w:val="1308"/>
        <w:numPr>
          <w:ilvl w:val="0"/>
          <w:numId w:val="4"/>
        </w:numPr>
        <w:spacing w:line="360" w:lineRule="auto"/>
        <w:tabs>
          <w:tab w:val="left" w:pos="567" w:leader="none"/>
        </w:tabs>
        <w:rPr>
          <w:rFonts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其他要求</w:t>
      </w:r>
      <w:r/>
    </w:p>
    <w:p>
      <w:pPr>
        <w:pStyle w:val="1308"/>
        <w:numPr>
          <w:ilvl w:val="0"/>
          <w:numId w:val="0"/>
        </w:numPr>
        <w:spacing w:line="360" w:lineRule="auto"/>
        <w:tabs>
          <w:tab w:val="left" w:pos="567" w:leader="none"/>
        </w:tabs>
        <w:rPr>
          <w:rFonts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1、投标人所提供的相关服务应符合根据国家标准和规范，并遵循招标文件的要求，其服务的质量和标准应达到招标要求，并提供详细的服务说明。如其中某些条款不能完全满足时，应在投标文件中逐条列出。</w:t>
      </w:r>
      <w:r/>
    </w:p>
    <w:p>
      <w:pPr>
        <w:pStyle w:val="1308"/>
        <w:numPr>
          <w:ilvl w:val="0"/>
          <w:numId w:val="0"/>
        </w:numPr>
        <w:spacing w:line="360" w:lineRule="auto"/>
        <w:tabs>
          <w:tab w:val="left" w:pos="567" w:leader="none"/>
        </w:tabs>
        <w:rPr>
          <w:rFonts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2、投标文件内容必须真实、准确、有效，如提供虚假材料或对招标文件所要求说明的情况故意隐瞒或虚报，按《中华人民共和国政府采购法》第七十七条的相关办法处理。</w:t>
      </w:r>
      <w:r/>
    </w:p>
    <w:p>
      <w:pPr>
        <w:pStyle w:val="1308"/>
        <w:numPr>
          <w:ilvl w:val="0"/>
          <w:numId w:val="0"/>
        </w:numPr>
        <w:spacing w:line="360" w:lineRule="auto"/>
        <w:tabs>
          <w:tab w:val="left" w:pos="567" w:leader="none"/>
        </w:tabs>
        <w:rPr>
          <w:rFonts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3、质保要求：免费质保期：两年，时间自安装调试完毕验收合格之日起算。</w:t>
      </w:r>
      <w:r/>
    </w:p>
    <w:p>
      <w:pPr>
        <w:pStyle w:val="1308"/>
        <w:numPr>
          <w:ilvl w:val="0"/>
          <w:numId w:val="0"/>
        </w:numPr>
        <w:spacing w:line="360" w:lineRule="auto"/>
        <w:tabs>
          <w:tab w:val="left" w:pos="567" w:leader="none"/>
        </w:tabs>
        <w:rPr>
          <w:rFonts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4、售后服务要求：服务响应时间：如果出现技术问题或故障，中标单位应在2小时以内响应，8小时内完成采购方提出维修要求，如在8小时内不能解决问题，应免费用同样品牌、规格或更高的部件更换到位，如需更换设备或送修，必须在3个工作日内解决，否则采购方将自行采取必要的措施，由此产生的风险和费用由供应商承担。</w:t>
      </w:r>
      <w:r/>
    </w:p>
    <w:p>
      <w:pPr>
        <w:pStyle w:val="1308"/>
        <w:numPr>
          <w:ilvl w:val="0"/>
          <w:numId w:val="0"/>
        </w:numPr>
        <w:spacing w:line="360" w:lineRule="auto"/>
        <w:tabs>
          <w:tab w:val="left" w:pos="567" w:leader="none"/>
        </w:tabs>
        <w:rPr>
          <w:rFonts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5、验收标准：根据采购文件提出的要求进行验收（参考国家标准）。</w:t>
      </w:r>
      <w:r/>
    </w:p>
    <w:p>
      <w:pPr>
        <w:pStyle w:val="1308"/>
        <w:numPr>
          <w:ilvl w:val="0"/>
          <w:numId w:val="0"/>
        </w:numPr>
        <w:spacing w:line="360" w:lineRule="auto"/>
        <w:tabs>
          <w:tab w:val="left" w:pos="567" w:leader="none"/>
        </w:tabs>
        <w:rPr>
          <w:rFonts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6、供方提供的产品若存在质量问题，导致在安装及今后使用过程中造成供需双方、使用人或第三方人身伤亡或财产损失的，供方承担由此产生的全部责任。供方必需按规范要求安全、文明施工，在施工过程中因不当操作造成人员伤亡的，责任由供方承担。因操作不当对原有装饰或建筑物造成破坏的，乙方负责修复。</w:t>
      </w:r>
      <w:r/>
    </w:p>
    <w:p>
      <w:pPr>
        <w:pStyle w:val="1308"/>
        <w:numPr>
          <w:ilvl w:val="0"/>
          <w:numId w:val="0"/>
        </w:numPr>
        <w:spacing w:line="360" w:lineRule="auto"/>
        <w:tabs>
          <w:tab w:val="left" w:pos="567" w:leader="none"/>
        </w:tabs>
        <w:rPr>
          <w:rFonts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7、所提供货物质量必须符合国家相关标准，必须满足本次采购的要求，若所供货物经产品质量检测机构检测认定质量不合格，造成的损失和后果由该供应商负全责。中标供应商在交货时随产品一起向采购方提供产品原厂出厂资料。</w:t>
      </w:r>
      <w:r/>
    </w:p>
    <w:p>
      <w:pPr>
        <w:pStyle w:val="1308"/>
        <w:numPr>
          <w:ilvl w:val="0"/>
          <w:numId w:val="0"/>
        </w:numPr>
        <w:spacing w:line="360" w:lineRule="auto"/>
        <w:tabs>
          <w:tab w:val="left" w:pos="567" w:leader="none"/>
        </w:tabs>
        <w:rPr>
          <w:rFonts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8、安装地点：苏州市金阊实验中学校（采购方指定地点）</w:t>
      </w:r>
      <w:r/>
    </w:p>
    <w:p>
      <w:pPr>
        <w:pStyle w:val="1308"/>
        <w:numPr>
          <w:ilvl w:val="0"/>
          <w:numId w:val="0"/>
        </w:numPr>
        <w:spacing w:line="360" w:lineRule="auto"/>
        <w:tabs>
          <w:tab w:val="left" w:pos="567" w:leader="none"/>
        </w:tabs>
        <w:rPr>
          <w:rFonts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9、服务期限：自合同签订起30天内安装调试完成并交付甲方使用</w:t>
      </w:r>
      <w:r/>
    </w:p>
    <w:p>
      <w:pPr>
        <w:pStyle w:val="1308"/>
        <w:numPr>
          <w:ilvl w:val="0"/>
          <w:numId w:val="0"/>
        </w:numPr>
        <w:spacing w:line="360" w:lineRule="auto"/>
        <w:tabs>
          <w:tab w:val="left" w:pos="567" w:leader="none"/>
        </w:tabs>
        <w:rPr>
          <w:rFonts w:ascii="宋体" w:hAnsi="宋体" w:eastAsia="宋体" w:cs="宋体"/>
          <w:b w:val="0"/>
          <w:color w:val="auto"/>
          <w:sz w:val="21"/>
          <w:highlight w:val="none"/>
        </w:rPr>
      </w:pPr>
      <w:r>
        <w:rPr>
          <w:rFonts w:hint="eastAsia" w:ascii="宋体" w:hAnsi="宋体" w:eastAsia="宋体" w:cs="宋体"/>
          <w:b w:val="0"/>
          <w:color w:val="auto"/>
          <w:sz w:val="21"/>
          <w:highlight w:val="none"/>
        </w:rPr>
        <w:t xml:space="preserve">10、投标总报价一次报定，包括完成该项目所需一切产品及其备品、备件和专用工具费用、税费及包装、运至最终目的地的运输、保险、现场吊装、检测验收、安装、调试、</w:t>
      </w:r>
      <w:r>
        <w:rPr>
          <w:rFonts w:hint="eastAsia" w:ascii="宋体" w:hAnsi="宋体" w:eastAsia="宋体" w:cs="宋体"/>
          <w:b w:val="0"/>
          <w:color w:val="auto"/>
          <w:sz w:val="21"/>
          <w:highlight w:val="none"/>
        </w:rPr>
        <w:t xml:space="preserve">技术支持与培训、售后服务与维保及相关劳务支出等工作所发生的全部费用以及投标人企业利润、中标服务费、税金和政策性文件规定及合同包含的所有风险、责任等各项应有费用。投标人须对所要采购的全部内容进行报价，只投其中部分内容者，其投标文件将被拒绝。</w:t>
      </w:r>
      <w:r/>
    </w:p>
    <w:p>
      <w:pPr>
        <w:pStyle w:val="1117"/>
        <w:ind w:firstLine="0"/>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四、综合说明</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1、信用记录：</w:t>
      </w:r>
      <w:r/>
    </w:p>
    <w:p>
      <w:pPr>
        <w:pStyle w:val="994"/>
        <w:ind w:firstLine="420"/>
        <w:rPr>
          <w:rFonts w:hAnsi="宋体" w:cs="宋体"/>
          <w:bCs/>
          <w:color w:val="auto"/>
          <w:sz w:val="21"/>
          <w:szCs w:val="21"/>
          <w:highlight w:val="none"/>
        </w:rPr>
      </w:pPr>
      <w:r>
        <w:rPr>
          <w:rFonts w:hint="eastAsia" w:hAnsi="宋体" w:cs="宋体"/>
          <w:bCs/>
          <w:color w:val="auto"/>
          <w:sz w:val="21"/>
          <w:szCs w:val="21"/>
          <w:highlight w:val="none"/>
        </w:rPr>
        <w:t xml:space="preserve">根据政府采购法及相关法规的规定，我们将依法对供应商进行信用查询，凡经确认不符合政府采购相关法律法规规定的，将拒绝其参与政府采购活动。</w:t>
      </w:r>
      <w:r/>
    </w:p>
    <w:p>
      <w:pPr>
        <w:pStyle w:val="994"/>
        <w:ind w:firstLine="420"/>
        <w:rPr>
          <w:rFonts w:hAnsi="宋体" w:cs="宋体"/>
          <w:bCs/>
          <w:color w:val="auto"/>
          <w:sz w:val="21"/>
          <w:szCs w:val="21"/>
          <w:highlight w:val="none"/>
        </w:rPr>
      </w:pPr>
      <w:r>
        <w:rPr>
          <w:rFonts w:hint="eastAsia" w:hAnsi="宋体" w:cs="宋体"/>
          <w:bCs/>
          <w:color w:val="auto"/>
          <w:sz w:val="21"/>
          <w:szCs w:val="21"/>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pStyle w:val="994"/>
        <w:ind w:firstLine="420"/>
        <w:rPr>
          <w:rFonts w:hAnsi="宋体" w:cs="宋体"/>
          <w:color w:val="auto"/>
          <w:sz w:val="21"/>
          <w:szCs w:val="21"/>
          <w:highlight w:val="none"/>
        </w:rPr>
      </w:pPr>
      <w:r>
        <w:rPr>
          <w:rFonts w:hint="eastAsia" w:hAnsi="宋体" w:cs="宋体"/>
          <w:bCs/>
          <w:color w:val="auto"/>
          <w:sz w:val="21"/>
          <w:szCs w:val="21"/>
          <w:highlight w:val="none"/>
        </w:rPr>
        <w:t xml:space="preserve">供应商若在经营活动中受到罚款的，请携带相关地方、部门对较大数额认定标准的证明材料，与投标文件一并提交。若无法提供，则可能承担投标无效等相应不利后果。</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（1）查询截止时点：响应文件递交截止时间之后。</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（2）查询渠道：信用中国（www.creditchina.gov.cn）网站的相关主体信用记录。</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（3）查询证据留存方式：</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存在失信信息的供应商，评审小组应填写《政府采购供应商失信信息确认函》，由失信供应商应签名确认。同时，采购代理机构工作人员应根据评审小组确认的失信信息，登陆到来源网站页面进行复核并打印，作为证据留存。</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（4）信用记录使用规则：</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评审小组在对供应商进行资格性审查时，应根据查询结果对供应商的不良信用记录逐项甄别确认。</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经采购人或者采购代理机构审查供应商存在上述失信行为的，投标无效</w:t>
      </w:r>
      <w:r>
        <w:rPr>
          <w:rFonts w:hint="eastAsia" w:ascii="宋体" w:hAnsi="宋体" w:eastAsia="宋体" w:cs="宋体"/>
          <w:color w:val="auto"/>
          <w:sz w:val="21"/>
          <w:szCs w:val="21"/>
          <w:highlight w:val="none"/>
        </w:rPr>
        <w:t xml:space="preserve">。</w:t>
      </w:r>
      <w:r/>
    </w:p>
    <w:p>
      <w:pPr>
        <w:pStyle w:val="1308"/>
        <w:numPr>
          <w:ilvl w:val="0"/>
          <w:numId w:val="0"/>
        </w:numPr>
        <w:spacing w:line="360" w:lineRule="auto"/>
        <w:tabs>
          <w:tab w:val="left" w:pos="567" w:leader="none"/>
        </w:tabs>
        <w:rPr>
          <w:rFonts w:ascii="宋体" w:hAnsi="宋体" w:eastAsia="宋体" w:cs="宋体"/>
          <w:b w:val="0"/>
          <w:color w:val="auto"/>
          <w:sz w:val="21"/>
          <w:highlight w:val="none"/>
        </w:rPr>
      </w:pPr>
      <w:r>
        <w:rPr>
          <w:rFonts w:hint="eastAsia" w:ascii="宋体" w:hAnsi="宋体" w:eastAsia="宋体" w:cs="宋体"/>
          <w:b w:val="0"/>
          <w:color w:val="auto"/>
          <w:sz w:val="21"/>
          <w:highlight w:val="none"/>
        </w:rPr>
        <w:tab/>
      </w:r>
      <w:r>
        <w:rPr>
          <w:rFonts w:hint="eastAsia" w:ascii="宋体" w:hAnsi="宋体" w:eastAsia="宋体" w:cs="宋体"/>
          <w:b w:val="0"/>
          <w:color w:val="auto"/>
          <w:sz w:val="21"/>
          <w:highlight w:val="none"/>
        </w:rPr>
        <w:t xml:space="preserve">2、本次招标不接受全进口设备的投标，进口产品的定义为：指通过中国海关报关验收进入中国境内且产自境外的产品，具体按照苏财购〔2008〕14号江苏省财政厅转发财政部办公厅关于政府采购进口产品管理有关问题的通知的规定。</w:t>
      </w:r>
      <w:r/>
    </w:p>
    <w:p>
      <w:pPr>
        <w:pStyle w:val="1308"/>
        <w:numPr>
          <w:ilvl w:val="0"/>
          <w:numId w:val="0"/>
        </w:numPr>
        <w:spacing w:line="360" w:lineRule="auto"/>
        <w:tabs>
          <w:tab w:val="left" w:pos="567" w:leader="none"/>
        </w:tabs>
        <w:rPr>
          <w:rFonts w:ascii="宋体" w:hAnsi="宋体" w:eastAsia="宋体" w:cs="宋体"/>
          <w:color w:val="auto"/>
          <w:sz w:val="21"/>
          <w:highlight w:val="none"/>
        </w:rPr>
      </w:pPr>
      <w:r>
        <w:rPr>
          <w:rFonts w:hint="eastAsia" w:ascii="宋体" w:hAnsi="宋体" w:eastAsia="宋体" w:cs="宋体"/>
          <w:b w:val="0"/>
          <w:color w:val="auto"/>
          <w:sz w:val="21"/>
          <w:highlight w:val="none"/>
        </w:rPr>
        <w:tab/>
      </w:r>
      <w:r>
        <w:rPr>
          <w:rFonts w:hint="eastAsia" w:ascii="宋体" w:hAnsi="宋体" w:eastAsia="宋体" w:cs="宋体"/>
          <w:b w:val="0"/>
          <w:color w:val="auto"/>
          <w:sz w:val="21"/>
          <w:highlight w:val="none"/>
        </w:rPr>
        <w:t xml:space="preserve">3、</w:t>
      </w:r>
      <w:r>
        <w:rPr>
          <w:rFonts w:hint="eastAsia" w:ascii="宋体" w:hAnsi="宋体" w:eastAsia="宋体" w:cs="宋体"/>
          <w:bCs/>
          <w:color w:val="auto"/>
          <w:sz w:val="21"/>
          <w:highlight w:val="none"/>
        </w:rPr>
        <w:t xml:space="preserve">根据苏州市财政局《关于贯彻执行绿色采购、促进残疾人就业和支持监狱企业发展有关政策的通知》（苏财购（2019）10号）等相关文件的规定，本次采购的产品中如属于《节能产品政府采购品目清单》中强制采购的产品，须在响应文件中提供具备国家确定的认证机构的节能产品认证证书；响应人可通过“中国政府采购网”（http://www.ccgp.gov.cn）查询认证机构情况，未提供或提供不全认证证书的将视为未实质性响应采购要求</w:t>
      </w:r>
      <w:r>
        <w:rPr>
          <w:rFonts w:hint="eastAsia" w:ascii="宋体" w:hAnsi="宋体" w:eastAsia="宋体" w:cs="宋体"/>
          <w:b w:val="0"/>
          <w:color w:val="auto"/>
          <w:sz w:val="21"/>
          <w:highlight w:val="none"/>
        </w:rPr>
        <w:t xml:space="preserve">。</w:t>
      </w:r>
      <w:r/>
    </w:p>
    <w:p>
      <w:pPr>
        <w:ind w:firstLine="420"/>
        <w:spacing w:line="360" w:lineRule="auto"/>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b/>
          <w:bCs/>
          <w:color w:val="auto"/>
          <w:sz w:val="21"/>
          <w:szCs w:val="21"/>
          <w:highlight w:val="none"/>
        </w:rPr>
        <w:t xml:space="preserve">根据《政府采购促进中小企业发展管理办法》（财库〔2020〕46号）及《中小企业划型标准规定》（工信部联企业〔2011〕300号），本项目为非专门面向中小企业采购；本采购标的对应的中小企业划分标准所属行业为：</w:t>
      </w:r>
      <w:r>
        <w:rPr>
          <w:rFonts w:hint="eastAsia" w:ascii="宋体" w:hAnsi="宋体" w:eastAsia="宋体" w:cs="宋体"/>
          <w:b/>
          <w:color w:val="auto"/>
          <w:sz w:val="21"/>
          <w:szCs w:val="21"/>
          <w:highlight w:val="none"/>
        </w:rPr>
        <w:t xml:space="preserve">工业</w:t>
      </w:r>
      <w:r>
        <w:rPr>
          <w:rFonts w:hint="eastAsia" w:ascii="宋体" w:hAnsi="宋体" w:eastAsia="宋体" w:cs="宋体"/>
          <w:b/>
          <w:bCs/>
          <w:color w:val="auto"/>
          <w:sz w:val="21"/>
          <w:szCs w:val="21"/>
          <w:highlight w:val="none"/>
        </w:rPr>
        <w:t xml:space="preserve">。</w:t>
      </w:r>
      <w:r/>
    </w:p>
    <w:p>
      <w:pPr>
        <w:ind w:firstLine="420"/>
        <w:spacing w:line="360" w:lineRule="auto"/>
        <w:tabs>
          <w:tab w:val="left" w:pos="567"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color w:val="auto"/>
          <w:sz w:val="21"/>
          <w:szCs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22"/>
        <w:spacing w:line="360" w:lineRule="auto"/>
        <w:tabs>
          <w:tab w:val="left" w:pos="567" w:leader="none"/>
        </w:tabs>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其中，供应商提供的货物既有中小企业制造货物，也有大型企业制造货物的，不享受中小企业扶持政策</w:t>
      </w:r>
      <w:r>
        <w:rPr>
          <w:rFonts w:hint="eastAsia" w:ascii="宋体" w:hAnsi="宋体" w:eastAsia="宋体" w:cs="宋体"/>
          <w:b/>
          <w:bCs/>
          <w:color w:val="auto"/>
          <w:sz w:val="21"/>
          <w:szCs w:val="21"/>
          <w:highlight w:val="none"/>
        </w:rPr>
        <w:t xml:space="preserve">。</w:t>
      </w:r>
      <w:r/>
    </w:p>
    <w:p>
      <w:pPr>
        <w:ind w:firstLine="420"/>
        <w:jc w:val="left"/>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凡涉及招标文件的补充说明和修改，均以苏州市政府采购网上所发布的公告为准。</w:t>
      </w:r>
      <w:r/>
    </w:p>
    <w:p>
      <w:pPr>
        <w:spacing w:line="360" w:lineRule="auto"/>
        <w:rPr>
          <w:rFonts w:ascii="宋体" w:hAnsi="宋体" w:eastAsia="宋体"/>
          <w:color w:val="auto"/>
          <w:szCs w:val="44"/>
          <w:highlight w:val="none"/>
        </w:rPr>
      </w:pPr>
      <w:r>
        <w:rPr>
          <w:rFonts w:ascii="宋体" w:hAnsi="宋体" w:eastAsia="宋体"/>
          <w:color w:val="auto"/>
          <w:szCs w:val="44"/>
          <w:highlight w:val="none"/>
        </w:rPr>
      </w:r>
      <w:r/>
    </w:p>
    <w:p>
      <w:pPr>
        <w:pStyle w:val="790"/>
        <w:jc w:val="center"/>
        <w:spacing w:line="360" w:lineRule="auto"/>
        <w:rPr>
          <w:rFonts w:ascii="宋体" w:hAnsi="宋体" w:eastAsia="宋体"/>
          <w:color w:val="auto"/>
          <w:szCs w:val="44"/>
          <w:highlight w:val="none"/>
        </w:rPr>
      </w:pPr>
      <w:r>
        <w:rPr>
          <w:rFonts w:hint="eastAsia" w:ascii="宋体" w:hAnsi="宋体" w:eastAsia="宋体"/>
          <w:color w:val="auto"/>
          <w:szCs w:val="44"/>
          <w:highlight w:val="none"/>
        </w:rPr>
        <w:t xml:space="preserve">第五章合同主要条款</w:t>
      </w:r>
      <w:bookmarkEnd w:id="11"/>
      <w:r/>
      <w:bookmarkEnd w:id="12"/>
      <w:r/>
      <w:r/>
    </w:p>
    <w:p>
      <w:pPr>
        <w:jc w:val="right"/>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zh-CN"/>
        </w:rPr>
        <w:t xml:space="preserve">合同编号：</w:t>
      </w:r>
      <w:r/>
    </w:p>
    <w:p>
      <w:pPr>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甲方（采购人）：</w:t>
      </w:r>
      <w:r/>
    </w:p>
    <w:p>
      <w:pPr>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p>
    <w:p>
      <w:pPr>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单位地址：</w:t>
      </w:r>
      <w:r/>
    </w:p>
    <w:p>
      <w:pPr>
        <w:ind w:firstLine="707"/>
        <w:jc w:val="left"/>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乙方（供应商）：</w:t>
      </w:r>
      <w:r/>
    </w:p>
    <w:p>
      <w:pPr>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p>
    <w:p>
      <w:pPr>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单位地址：</w:t>
      </w:r>
      <w:r/>
    </w:p>
    <w:p>
      <w:pPr>
        <w:ind w:firstLine="42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ind w:firstLine="420"/>
        <w:spacing w:line="360" w:lineRule="auto"/>
        <w:rPr>
          <w:rFonts w:ascii="宋体" w:hAnsi="宋体" w:eastAsia="宋体" w:cs="宋体"/>
          <w:color w:val="auto"/>
          <w:sz w:val="21"/>
          <w:szCs w:val="21"/>
          <w:highlight w:val="none"/>
        </w:rPr>
      </w:pPr>
      <w:r>
        <w:rPr>
          <w:rFonts w:hint="eastAsia" w:ascii="宋体" w:hAnsi="宋体" w:eastAsia="宋体"/>
          <w:color w:val="auto"/>
          <w:sz w:val="21"/>
          <w:szCs w:val="21"/>
          <w:highlight w:val="none"/>
        </w:rPr>
        <w:t xml:space="preserve">根据苏州市苏州市政府采购招标编号为</w:t>
      </w:r>
      <w:r>
        <w:rPr>
          <w:rFonts w:hint="eastAsia" w:ascii="宋体" w:hAnsi="宋体" w:eastAsia="宋体"/>
          <w:color w:val="auto"/>
          <w:sz w:val="21"/>
          <w:szCs w:val="21"/>
          <w:highlight w:val="none"/>
          <w:u w:val="single"/>
        </w:rPr>
        <w:t xml:space="preserve">JSZC-320508-SZMK-G2024-0006</w:t>
      </w:r>
      <w:r>
        <w:rPr>
          <w:rFonts w:hint="eastAsia" w:ascii="宋体" w:hAnsi="宋体" w:eastAsia="宋体"/>
          <w:color w:val="auto"/>
          <w:sz w:val="21"/>
          <w:szCs w:val="21"/>
          <w:highlight w:val="none"/>
        </w:rPr>
        <w:t xml:space="preserve">的招标文件及该文件的投</w:t>
      </w:r>
      <w:r>
        <w:rPr>
          <w:rFonts w:hint="eastAsia" w:ascii="宋体" w:hAnsi="宋体" w:eastAsia="宋体" w:cs="宋体"/>
          <w:color w:val="auto"/>
          <w:sz w:val="21"/>
          <w:szCs w:val="21"/>
          <w:highlight w:val="none"/>
        </w:rPr>
        <w:t xml:space="preserve">标文件和中标通知书，甲乙双方就苏州市金阊实验中学校的</w:t>
      </w:r>
      <w:r>
        <w:rPr>
          <w:rFonts w:hint="eastAsia" w:ascii="宋体" w:hAnsi="宋体" w:eastAsia="宋体" w:cs="宋体"/>
          <w:color w:val="auto"/>
          <w:sz w:val="21"/>
          <w:szCs w:val="21"/>
          <w:highlight w:val="none"/>
          <w:u w:val="single"/>
        </w:rPr>
        <w:t xml:space="preserve">智慧安防达标升级项目</w:t>
      </w:r>
      <w:r>
        <w:rPr>
          <w:rFonts w:hint="eastAsia" w:ascii="宋体" w:hAnsi="宋体" w:eastAsia="宋体" w:cs="宋体"/>
          <w:color w:val="auto"/>
          <w:sz w:val="21"/>
          <w:szCs w:val="21"/>
          <w:highlight w:val="none"/>
        </w:rPr>
        <w:t xml:space="preserve">项目，签订本合同书。</w:t>
      </w:r>
      <w:r/>
    </w:p>
    <w:p>
      <w:pPr>
        <w:spacing w:line="360" w:lineRule="auto"/>
        <w:rPr>
          <w:rFonts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一、合同内容：</w:t>
      </w:r>
      <w:r/>
    </w:p>
    <w:p>
      <w:pPr>
        <w:ind w:firstLine="38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、乙方负责</w:t>
      </w:r>
      <w:r>
        <w:rPr>
          <w:rFonts w:hint="eastAsia" w:ascii="宋体" w:hAnsi="宋体" w:eastAsia="宋体" w:cs="宋体"/>
          <w:color w:val="auto"/>
          <w:sz w:val="21"/>
          <w:szCs w:val="21"/>
          <w:highlight w:val="none"/>
        </w:rPr>
        <w:t xml:space="preserve">苏州市金阊实验中学校的</w:t>
      </w:r>
      <w:r>
        <w:rPr>
          <w:rFonts w:hint="eastAsia" w:ascii="宋体" w:hAnsi="宋体" w:eastAsia="宋体" w:cs="宋体"/>
          <w:b/>
          <w:color w:val="auto"/>
          <w:sz w:val="21"/>
          <w:szCs w:val="21"/>
          <w:highlight w:val="none"/>
          <w:u w:val="single"/>
        </w:rPr>
        <w:t xml:space="preserve">智慧安防达标升级项目</w:t>
      </w:r>
      <w:r>
        <w:rPr>
          <w:rFonts w:hint="eastAsia" w:ascii="宋体" w:hAnsi="宋体" w:eastAsia="宋体" w:cs="宋体"/>
          <w:color w:val="auto"/>
          <w:sz w:val="21"/>
          <w:szCs w:val="21"/>
          <w:highlight w:val="none"/>
        </w:rPr>
        <w:t xml:space="preserve">”项目的实施。若乙方不能按要求实施项目，甲方有权终止此项合同。在合同有效期内一方不得擅自变更或中止此项合同，如未经双方同意，擅自变更或中止此项的一方要负违约责任。</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①中标通知书；</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②乙方的投标文件；</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③乙方在招投标过程中所作的其它承诺、声明、书面澄清等；</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④招标文件及其附件；</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⑤</w:t>
      </w:r>
      <w:r>
        <w:rPr>
          <w:rFonts w:hint="eastAsia" w:ascii="宋体" w:hAnsi="宋体" w:eastAsia="宋体" w:cs="宋体"/>
          <w:color w:val="auto"/>
          <w:sz w:val="21"/>
          <w:szCs w:val="21"/>
          <w:highlight w:val="none"/>
          <w:lang w:val="zh-CN"/>
        </w:rPr>
        <w:t xml:space="preserve">合同附件；</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以上与本合同具有同等法律效力</w:t>
      </w:r>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二、合同内容：</w:t>
      </w:r>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（一）服务内容：详见</w:t>
      </w:r>
      <w:r>
        <w:rPr>
          <w:rFonts w:hint="eastAsia" w:ascii="宋体" w:hAnsi="宋体" w:eastAsia="宋体" w:cs="宋体"/>
          <w:b/>
          <w:color w:val="auto"/>
          <w:sz w:val="21"/>
          <w:szCs w:val="21"/>
          <w:highlight w:val="none"/>
          <w:u w:val="single"/>
        </w:rPr>
        <w:t xml:space="preserve">智慧安防达标升级项目</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苏州市金阊实验中学校</w:t>
      </w:r>
      <w:r>
        <w:rPr>
          <w:rFonts w:hint="eastAsia" w:ascii="宋体" w:hAnsi="宋体" w:eastAsia="宋体" w:cs="宋体"/>
          <w:color w:val="auto"/>
          <w:sz w:val="21"/>
          <w:szCs w:val="21"/>
          <w:highlight w:val="none"/>
        </w:rPr>
        <w:t xml:space="preserve">）招标要求。</w:t>
      </w:r>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w:t>
      </w:r>
      <w:r>
        <w:rPr>
          <w:rFonts w:hint="eastAsia" w:ascii="宋体" w:hAnsi="宋体" w:eastAsia="宋体" w:cs="宋体"/>
          <w:color w:val="auto"/>
          <w:sz w:val="21"/>
          <w:szCs w:val="21"/>
          <w:highlight w:val="none"/>
        </w:rPr>
        <w:t xml:space="preserve">）交货时间：</w:t>
      </w:r>
      <w:r>
        <w:rPr>
          <w:rFonts w:hint="eastAsia" w:ascii="宋体" w:hAnsi="宋体" w:eastAsia="宋体" w:cs="宋体"/>
          <w:color w:val="auto"/>
          <w:sz w:val="21"/>
          <w:szCs w:val="21"/>
          <w:highlight w:val="none"/>
          <w:lang w:val="zh-CN"/>
        </w:rPr>
        <w:t xml:space="preserve">自合同签订起30天内安装调试完成并交付甲方使用</w:t>
      </w:r>
      <w:r>
        <w:rPr>
          <w:rFonts w:hint="eastAsia" w:ascii="宋体" w:hAnsi="宋体" w:eastAsia="宋体" w:cs="宋体"/>
          <w:color w:val="auto"/>
          <w:sz w:val="21"/>
          <w:szCs w:val="21"/>
          <w:highlight w:val="none"/>
        </w:rPr>
        <w:t xml:space="preserve">。</w:t>
      </w:r>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（三）质保期限：两年，</w:t>
      </w:r>
      <w:r>
        <w:rPr>
          <w:rFonts w:hint="eastAsia" w:ascii="宋体" w:hAnsi="宋体" w:eastAsia="宋体" w:cs="宋体"/>
          <w:color w:val="auto"/>
          <w:sz w:val="21"/>
          <w:highlight w:val="none"/>
        </w:rPr>
        <w:t xml:space="preserve">如果出现技术问题或故障，中标单位应在2小时以内响应，8小时内完成采购方提出维修要求，如在8小时内不能解决问题，应免费用同样品牌、规格或更高的部件更换到位，如需更换设备或送修，必须在3个工作日内解决，否则采购方将自行采取必要的措施，由此产生的风险和费用由供应商承担</w:t>
      </w:r>
      <w:r>
        <w:rPr>
          <w:rFonts w:hint="eastAsia" w:ascii="宋体" w:hAnsi="宋体" w:eastAsia="宋体" w:cs="宋体"/>
          <w:color w:val="auto"/>
          <w:sz w:val="21"/>
          <w:szCs w:val="21"/>
          <w:highlight w:val="none"/>
        </w:rPr>
        <w:t xml:space="preserve">。</w:t>
      </w:r>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三、合同价格与支付</w:t>
      </w:r>
      <w:r/>
    </w:p>
    <w:p>
      <w:pPr>
        <w:numPr>
          <w:ilvl w:val="0"/>
          <w:numId w:val="5"/>
        </w:num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合同价格按此次中标价格执行，合同总金额为人民币：包括在承包期内完成本项工作所需的完成本项工作所需的全部费用。</w:t>
      </w:r>
      <w:r/>
    </w:p>
    <w:p>
      <w:pPr>
        <w:numPr>
          <w:ilvl w:val="0"/>
          <w:numId w:val="5"/>
        </w:numPr>
        <w:spacing w:line="360" w:lineRule="auto"/>
        <w:rPr>
          <w:rFonts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付款方式:</w:t>
      </w:r>
      <w:r>
        <w:rPr>
          <w:rFonts w:hint="eastAsia" w:ascii="宋体" w:hAnsi="宋体" w:eastAsia="宋体" w:cs="宋体"/>
          <w:b/>
          <w:bCs/>
          <w:color w:val="auto"/>
          <w:sz w:val="21"/>
          <w:szCs w:val="21"/>
          <w:highlight w:val="none"/>
        </w:rPr>
        <w:t xml:space="preserve">采用数字人民币结算。合同签订后，合同签订生效后15日内，甲方向乙方支付合同价款的30%预付款；在设备到货且安装调试、验收合格后付至90%，余款待质保期满后1年内付清。(以上价款均不计息)。</w:t>
      </w:r>
      <w:r/>
    </w:p>
    <w:p>
      <w:pPr>
        <w:numPr>
          <w:ilvl w:val="0"/>
          <w:numId w:val="5"/>
        </w:numPr>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在签订合同时，乙方明确表示无需预付款或者主动要求降低预</w:t>
      </w:r>
      <w:r>
        <w:rPr>
          <w:rFonts w:hint="eastAsia" w:ascii="宋体" w:hAnsi="宋体" w:eastAsia="宋体" w:cs="宋体"/>
          <w:bCs/>
          <w:color w:val="auto"/>
          <w:sz w:val="21"/>
          <w:szCs w:val="21"/>
          <w:highlight w:val="none"/>
        </w:rPr>
        <w:t xml:space="preserve">付款比例的，甲方可不适用上述关于预付款的规定。</w:t>
      </w:r>
      <w:r/>
    </w:p>
    <w:p>
      <w:pPr>
        <w:numPr>
          <w:ilvl w:val="0"/>
          <w:numId w:val="5"/>
        </w:num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甲方除了支付本条款约定的费用外不再向乙方及其工作人员支付其他任何费用，乙方服务人员的薪金、福利、休假日补贴等费用由乙方自行承担，与甲方无关。</w:t>
      </w:r>
      <w:r/>
    </w:p>
    <w:p>
      <w:pPr>
        <w:numPr>
          <w:ilvl w:val="0"/>
          <w:numId w:val="5"/>
        </w:num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乙方提请甲方付款前应向甲方提供以下单据，如乙方未按约定提供下列单据导致甲方迟延付款的，甲方不承担逾期付款的违约责任：</w:t>
      </w:r>
      <w:r/>
    </w:p>
    <w:p>
      <w:pPr>
        <w:ind w:left="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（1）合法有效且符合甲方要求的发票；</w:t>
      </w:r>
      <w:r/>
    </w:p>
    <w:p>
      <w:pPr>
        <w:ind w:left="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（2）由甲乙双方及招标代理机构签章的《政府采购合同履行验收报告》；</w:t>
      </w:r>
      <w:r/>
    </w:p>
    <w:p>
      <w:pPr>
        <w:ind w:left="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（3）其他（如有）。</w:t>
      </w:r>
      <w:r/>
    </w:p>
    <w:p>
      <w:pPr>
        <w:numPr>
          <w:ilvl w:val="0"/>
          <w:numId w:val="5"/>
        </w:numPr>
        <w:spacing w:line="360" w:lineRule="auto"/>
        <w:tabs>
          <w:tab w:val="left" w:pos="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甲方支付此项费用外不再承担其它任何费用（包括个人），服务人员的薪金、福利、休假日补贴等由乙方付给，与甲方无关。</w:t>
      </w:r>
      <w:r/>
    </w:p>
    <w:p>
      <w:pPr>
        <w:numPr>
          <w:ilvl w:val="0"/>
          <w:numId w:val="5"/>
        </w:numPr>
        <w:spacing w:line="360" w:lineRule="auto"/>
        <w:tabs>
          <w:tab w:val="left" w:pos="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确因甲方工作需要，乙方应无条件配合甲方完成一些突击工作。</w:t>
      </w:r>
      <w:r/>
    </w:p>
    <w:p>
      <w:pPr>
        <w:numPr>
          <w:ilvl w:val="0"/>
          <w:numId w:val="5"/>
        </w:numPr>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根据现行税法对甲方征收的与本合同有关的一切税费均由甲方承担；根据现行税法对乙方征收的与本合同有关的一切税费均由乙方承担。</w:t>
      </w:r>
      <w:r/>
    </w:p>
    <w:p>
      <w:pPr>
        <w:numPr>
          <w:ilvl w:val="0"/>
          <w:numId w:val="5"/>
        </w:numPr>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支付方式：银行转账。</w:t>
      </w:r>
      <w:r/>
    </w:p>
    <w:p>
      <w:pPr>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四、质量保证</w:t>
      </w:r>
      <w:r/>
    </w:p>
    <w:p>
      <w:pPr>
        <w:ind w:firstLine="482"/>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 乙方应保证所提供的标的物是全新的、未使用过的、正规厂商生产销售的，并且是非长期积压的库存商品，完全符合合同规定及国家有关质量标准和规范、规格、性能及环保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r/>
    </w:p>
    <w:p>
      <w:pPr>
        <w:ind w:firstLine="482"/>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 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82"/>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 除特别约定外，合同条款中标物的质量保证期均自标的物通过最终验收之日起计算。</w:t>
      </w:r>
      <w:r/>
    </w:p>
    <w:p>
      <w:pPr>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五、包装</w:t>
      </w:r>
      <w:r/>
    </w:p>
    <w:p>
      <w:pPr>
        <w:ind w:firstLine="482"/>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乙方提供的设备必须为原包装，在送交甲方验收前不得拆箱。</w:t>
      </w:r>
      <w:r/>
    </w:p>
    <w:p>
      <w:pPr>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六、标的物的交付</w:t>
      </w:r>
      <w:r/>
    </w:p>
    <w:p>
      <w:pPr>
        <w:ind w:firstLine="482"/>
        <w:spacing w:line="360" w:lineRule="auto"/>
        <w:widowControl/>
        <w:tabs>
          <w:tab w:val="left" w:pos="442"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 标的物的所有权自标的物交付时转移。</w:t>
      </w:r>
      <w:r/>
    </w:p>
    <w:p>
      <w:pPr>
        <w:ind w:firstLine="482"/>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 乙方应当按照约定的期限和约定的地点交付标的物。</w:t>
      </w:r>
      <w:r/>
    </w:p>
    <w:p>
      <w:pPr>
        <w:ind w:firstLine="482"/>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 乙方应当按照约定或者交易习惯向甲方交付提取标的物单证以外的有关单证和资料。</w:t>
      </w:r>
      <w:r/>
    </w:p>
    <w:p>
      <w:pPr>
        <w:ind w:firstLine="482"/>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6.4交货地点：甲方指定地点。</w:t>
      </w:r>
      <w:r/>
    </w:p>
    <w:p>
      <w:pPr>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七、伴随服务</w:t>
      </w:r>
      <w:r/>
    </w:p>
    <w:p>
      <w:pPr>
        <w:ind w:firstLine="482"/>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乙方除应履行按期按量交付合格标的物的义务外，还应当提供下列服务：</w:t>
      </w:r>
      <w:r/>
    </w:p>
    <w:p>
      <w:pPr>
        <w:ind w:firstLine="482"/>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7.1.1 标的物的现场安装、启动、调试、监督（如果必须安装、调试的话）；</w:t>
      </w:r>
      <w:r/>
    </w:p>
    <w:p>
      <w:pPr>
        <w:ind w:firstLine="482"/>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7.1.2 提供标的物组装和一般维修所必需的工具；</w:t>
      </w:r>
      <w:r/>
    </w:p>
    <w:p>
      <w:pPr>
        <w:ind w:firstLine="482"/>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7.1.3 在合同规定的期限内对所提供的标的物实行运行监督、维修服务的前提条件是该服务并不能免除乙方在质量保证期内所承担的义务；</w:t>
      </w:r>
      <w:r/>
    </w:p>
    <w:p>
      <w:pPr>
        <w:ind w:firstLine="482"/>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7.1.4 对甲方技术人员的技术指导或培训。</w:t>
      </w:r>
      <w:r/>
    </w:p>
    <w:p>
      <w:pPr>
        <w:ind w:firstLine="482"/>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 除合同另有规定之外，伴随服务的费用均已含在合同价款中，甲方不再另行支付。</w:t>
      </w:r>
      <w:r/>
    </w:p>
    <w:p>
      <w:pPr>
        <w:ind w:firstLine="482"/>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7.3合同中涉及的维护项目，由乙方向甲方进行交涉，并及时提供服务。</w:t>
      </w:r>
      <w:r/>
    </w:p>
    <w:p>
      <w:pPr>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八、标的物的检验和验收</w:t>
      </w:r>
      <w:r/>
    </w:p>
    <w:p>
      <w:pPr>
        <w:ind w:firstLine="482"/>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 在交货前，乙方应对标的物的质量、规格、性能、数量、外观、随机备件备品、装箱单、随机资料、包装等进行详细而全面的检验，并出具一份检验合格证明，合格检验证明作为甲方验收的依据，但不能作为有关标的物质量、规格、数量或性能的最终检验结果。</w:t>
      </w:r>
      <w:r/>
    </w:p>
    <w:p>
      <w:pPr>
        <w:ind w:firstLine="482"/>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 甲方根据合同规定的内容和验收标准进行验收，同时比较乙方出具的检验证明，经检验无误后出具验收合格证明，该证明作为最终付款所需文件的组成部分。</w:t>
      </w:r>
      <w:r/>
    </w:p>
    <w:p>
      <w:pPr>
        <w:ind w:firstLine="482"/>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 验收期限自标的物交付之日起七天内。特殊情况需延长的，双方应特别约定。</w:t>
      </w:r>
      <w:r/>
    </w:p>
    <w:p>
      <w:pPr>
        <w:ind w:firstLine="482"/>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 如双方对验收结果有分歧，则以相关部门的检验结果为准，检验费由有过失的一方支付。乙方所供货物未达到采购文件规定的技术要求，甲方有权要求其再次提供符合文件要求的货物，若在规定时间内仍无法满足的，甲方有权取消其中标资格。</w:t>
      </w:r>
      <w:r/>
    </w:p>
    <w:p>
      <w:pPr>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九、标的物提出异议的时间和办法</w:t>
      </w:r>
      <w:r/>
    </w:p>
    <w:p>
      <w:pPr>
        <w:ind w:firstLine="482"/>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 甲方在验收过程中，应当于双方约定的检验期间内将标的物的数量或质量不符合约定的情况及处理方式以书面方式通知乙方。</w:t>
      </w:r>
      <w:r/>
    </w:p>
    <w:p>
      <w:pPr>
        <w:ind w:firstLine="482"/>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 如果甲方在验收期满后既不出具验收合格证明又未提出书面异议的视为乙方所交标的物符合合同规定。</w:t>
      </w:r>
      <w:r/>
    </w:p>
    <w:p>
      <w:pPr>
        <w:ind w:firstLine="482"/>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 乙方应在收到甲方书面异议后七天内负责处理问题，否则将视为默认甲方提出的异议和处理意见。</w:t>
      </w:r>
      <w:r/>
    </w:p>
    <w:p>
      <w:pPr>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十、售后服务</w:t>
      </w:r>
      <w:r/>
    </w:p>
    <w:p>
      <w:pPr>
        <w:ind w:firstLine="482"/>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 乙方对其提供的原装设备自验收合格之日起按采购文件要求及其响应文件承诺的服务进行保修。</w:t>
      </w:r>
      <w:r/>
    </w:p>
    <w:p>
      <w:pPr>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十一、违约责任</w:t>
      </w:r>
      <w:r/>
    </w:p>
    <w:p>
      <w:pPr>
        <w:ind w:firstLine="482"/>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合同一方不履行合同义务或者履行合同义务不符合约定的，应当承担继续履行、采取补救措施或赔偿损失等违约责任。</w:t>
      </w:r>
      <w:r/>
    </w:p>
    <w:p>
      <w:pPr>
        <w:ind w:firstLine="482"/>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 甲方违约责任</w:t>
      </w:r>
      <w:r/>
    </w:p>
    <w:p>
      <w:pPr>
        <w:ind w:firstLine="482"/>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11.1.1在合同生效后，甲方无合理理由要求退货的，应向乙方偿付合同总价款的5%，作为违约金，违约金不足以补偿损失的，乙方有权要求甲方补足。</w:t>
      </w:r>
      <w:r/>
    </w:p>
    <w:p>
      <w:pPr>
        <w:ind w:firstLine="482"/>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11.1.2 甲方逾期支付货款的应按照逾期付款金额的每天万分之一支付逾期付款违约金。</w:t>
      </w:r>
      <w:r/>
    </w:p>
    <w:p>
      <w:pPr>
        <w:ind w:firstLine="482"/>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11.1.3 甲方违反合同规定，拒绝接收乙方交付的合格标的物，应当承担乙方由此造成的损失。</w:t>
      </w:r>
      <w:r/>
    </w:p>
    <w:p>
      <w:pPr>
        <w:ind w:firstLine="482"/>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 乙方违约责任</w:t>
      </w:r>
      <w:r/>
    </w:p>
    <w:p>
      <w:pPr>
        <w:ind w:firstLine="482"/>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11.2.1 乙方不能交货，或交货不合格从而影响甲方按期正常使用的，应向甲方偿付合同总价款5%的违约金，违约金不足以补偿损失的，甲方有权要求乙方补足；同时甲方有权终止合同并要求乙方承担甲方因此遭致的损失费用。</w:t>
      </w:r>
      <w:r/>
    </w:p>
    <w:p>
      <w:pPr>
        <w:ind w:firstLine="482"/>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11.2.2 乙方逾期交货的，应提前与甲方协商，甲方仍同意供货的，乙方应立即发货，按照逾期交货部分货款的每天万分之四支付逾期交货违约金，若甲方不同意继续供货，则合同直接终止，相关损失由乙方承担。</w:t>
      </w:r>
      <w:r/>
    </w:p>
    <w:p>
      <w:pPr>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十二、不可抗力</w:t>
      </w:r>
      <w:r/>
    </w:p>
    <w:p>
      <w:pPr>
        <w:ind w:firstLine="482"/>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 因不可抗力不能履行合同的，根据不可抗力的影响，部分或者全部免除责任。但合同一方延迟履行后发生不可抗力的，不能免除责任。</w:t>
      </w:r>
      <w:r/>
    </w:p>
    <w:p>
      <w:pPr>
        <w:ind w:firstLine="482"/>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 合同一方因不可抗力不能履行合同的，应当及时通知对方，以减轻可能给对方造成的损失，并应当在合理期限内提供证明。</w:t>
      </w:r>
      <w:r/>
    </w:p>
    <w:p>
      <w:pPr>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十三、索赔</w:t>
      </w:r>
      <w:r/>
    </w:p>
    <w:p>
      <w:pPr>
        <w:ind w:firstLine="482"/>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甲方有权根据当地产品质量检验机构或其他有权部门出具的检验证书向乙方提出索赔。</w:t>
      </w:r>
      <w:r/>
    </w:p>
    <w:p>
      <w:pPr>
        <w:ind w:firstLine="482"/>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 在本合同规定的检验期限和质量保证期内，如果乙方对甲方提出的索赔或差异有责任，则乙方应按甲方同意的下列一种或多种方式解决索赔事宜：</w:t>
      </w:r>
      <w:r/>
    </w:p>
    <w:p>
      <w:pPr>
        <w:ind w:firstLine="482"/>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13.2.1 乙方同意退货，并按合同规定的货币将货款退还给甲方，并且承担由此发生的一切损失和费用，包括利息、银行手续费、运费、保险费、检验费、仓储费、装卸费以及为保护退回标的物所需的其他必要费用。</w:t>
      </w:r>
      <w:r/>
    </w:p>
    <w:p>
      <w:pPr>
        <w:ind w:firstLine="482"/>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13.2.2 根据标的物的低劣程度、损坏程度以及甲方遭受损失的数额，经双方协商确定降低标的物的价格。</w:t>
      </w:r>
      <w:r/>
    </w:p>
    <w:p>
      <w:pPr>
        <w:ind w:firstLine="482"/>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13.2.3 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p>
    <w:p>
      <w:pPr>
        <w:ind w:firstLine="482"/>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十四、合同的解除和转让</w:t>
      </w:r>
      <w:r/>
    </w:p>
    <w:p>
      <w:pPr>
        <w:ind w:firstLine="482"/>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 有下列情形之一，合同一方可以解除合同：</w:t>
      </w:r>
      <w:r/>
    </w:p>
    <w:p>
      <w:pPr>
        <w:ind w:firstLine="482"/>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14.1.1 因不可抗力致使不能实现合同目的，未受不可抗力影响的一方有权解除合同；</w:t>
      </w:r>
      <w:r/>
    </w:p>
    <w:p>
      <w:pPr>
        <w:ind w:firstLine="482"/>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14.1.2 因合同一方违约导致合同不能履行，另一方有权解除合同</w:t>
      </w:r>
      <w:r/>
    </w:p>
    <w:p>
      <w:pPr>
        <w:ind w:firstLine="482"/>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14.1.3 有权解除合同的一方，应当在违约事实或不可抗力发生之后三十天内书面通知对方以主张解除合同，合同在书面通知到达对方时解除。</w:t>
      </w:r>
      <w:r/>
    </w:p>
    <w:p>
      <w:pPr>
        <w:ind w:firstLine="482"/>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 合同的部分和全部都不得转让。</w:t>
      </w:r>
      <w:r/>
    </w:p>
    <w:p>
      <w:pPr>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十五、合同的生效</w:t>
      </w:r>
      <w:r/>
    </w:p>
    <w:p>
      <w:pPr>
        <w:ind w:firstLine="482"/>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本合同在双方签字盖章后生效。</w:t>
      </w:r>
      <w:r/>
    </w:p>
    <w:p>
      <w:pPr>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十六、争议的解决</w:t>
      </w:r>
      <w:r/>
    </w:p>
    <w:p>
      <w:pPr>
        <w:ind w:firstLine="482"/>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甲乙双方因合同发生争议，应在招标机构的主持下进行调解，协商不成，任何一方可以向甲方所在地人民法院起诉。</w:t>
      </w:r>
      <w:r/>
    </w:p>
    <w:p>
      <w:pPr>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十七、附则</w:t>
      </w:r>
      <w:r/>
    </w:p>
    <w:p>
      <w:pPr>
        <w:ind w:firstLine="420"/>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17.1、合同份数：本合同一式四份，甲方执一份，乙方执一份，招标机构一份，政府采购管理部门一份。</w:t>
      </w:r>
      <w:r/>
    </w:p>
    <w:p>
      <w:pPr>
        <w:ind w:firstLine="420"/>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17.2、本合同文件使用中文书写、解释和说明。</w:t>
      </w:r>
      <w:r/>
    </w:p>
    <w:p>
      <w:pPr>
        <w:ind w:firstLine="420"/>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17.3、本合同履行过程中产生的纪要、协议以及中标通知书、投标响应文件和采购文件为本合同的附件，与合同具有同等效力。</w:t>
      </w:r>
      <w:r/>
    </w:p>
    <w:p>
      <w:pPr>
        <w:ind w:firstLine="420"/>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17.4、未尽事宜</w:t>
      </w:r>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本合同未尽事宜应按照《中华人民共和国民法典》、《中华人民共和国政府采购法》之规定解释。</w:t>
      </w:r>
      <w:r/>
    </w:p>
    <w:p>
      <w:pPr>
        <w:pStyle w:val="994"/>
        <w:ind w:firstLine="480"/>
        <w:rPr>
          <w:color w:val="auto"/>
          <w:highlight w:val="none"/>
          <w:lang w:val="zh-CN"/>
        </w:rPr>
      </w:pPr>
      <w:r>
        <w:rPr>
          <w:color w:val="auto"/>
          <w:highlight w:val="none"/>
          <w:lang w:val="zh-CN"/>
        </w:rPr>
      </w:r>
      <w:r/>
    </w:p>
    <w:p>
      <w:pPr>
        <w:spacing w:line="360" w:lineRule="auto"/>
        <w:rPr>
          <w:rFonts w:ascii="宋体" w:hAnsi="宋体" w:eastAsia="宋体"/>
          <w:color w:val="auto"/>
          <w:sz w:val="21"/>
          <w:szCs w:val="21"/>
          <w:highlight w:val="none"/>
          <w:lang w:val="zh-CN"/>
        </w:rPr>
      </w:pPr>
      <w:r>
        <w:rPr>
          <w:rFonts w:ascii="宋体" w:hAnsi="宋体" w:eastAsia="宋体"/>
          <w:color w:val="auto"/>
          <w:sz w:val="21"/>
          <w:szCs w:val="21"/>
          <w:highlight w:val="none"/>
        </w:rPr>
        <w:t xml:space="preserve">注：合同条款内容将根据中标人承诺的实际服务内容进行调整。</w:t>
      </w:r>
      <w:r/>
    </w:p>
    <w:p>
      <w:pPr>
        <w:pStyle w:val="790"/>
        <w:jc w:val="center"/>
        <w:spacing w:before="0" w:after="0" w:line="360" w:lineRule="auto"/>
        <w:rPr>
          <w:color w:val="auto"/>
          <w:sz w:val="48"/>
          <w:szCs w:val="48"/>
          <w:highlight w:val="none"/>
        </w:rPr>
      </w:pPr>
      <w:r>
        <w:rPr>
          <w:rFonts w:hint="eastAsia" w:ascii="宋体" w:hAnsi="宋体" w:eastAsia="宋体"/>
          <w:color w:val="auto"/>
          <w:sz w:val="48"/>
          <w:szCs w:val="48"/>
          <w:highlight w:val="none"/>
        </w:rPr>
        <w:t xml:space="preserve">第六章评分标准</w:t>
      </w:r>
      <w:r/>
    </w:p>
    <w:p>
      <w:pPr>
        <w:numPr>
          <w:ilvl w:val="0"/>
          <w:numId w:val="6"/>
        </w:numPr>
        <w:spacing w:line="360" w:lineRule="auto"/>
        <w:rPr>
          <w:rFonts w:asciiTheme="minorEastAsia" w:hAnsiTheme="minorEastAsia" w:eastAsiaTheme="minorEastAsia" w:cstheme="minorEastAsia"/>
          <w:b/>
          <w:color w:val="auto"/>
          <w:sz w:val="21"/>
          <w:szCs w:val="21"/>
          <w:highlight w:val="none"/>
        </w:rPr>
      </w:pPr>
      <w:r/>
      <w:bookmarkStart w:id="13" w:name="_Toc227047097"/>
      <w:r/>
      <w:bookmarkStart w:id="14" w:name="_Toc226971675"/>
      <w:r/>
      <w:bookmarkStart w:id="15" w:name="_Toc227034744"/>
      <w:r>
        <w:rPr>
          <w:rFonts w:hint="eastAsia" w:asciiTheme="minorEastAsia" w:hAnsiTheme="minorEastAsia" w:eastAsiaTheme="minorEastAsia" w:cstheme="minorEastAsia"/>
          <w:b/>
          <w:color w:val="auto"/>
          <w:sz w:val="21"/>
          <w:szCs w:val="21"/>
          <w:highlight w:val="none"/>
        </w:rPr>
        <w:t xml:space="preserve">评分办法：</w:t>
      </w:r>
      <w:bookmarkEnd w:id="13"/>
      <w:r/>
      <w:bookmarkEnd w:id="14"/>
      <w:r/>
      <w:bookmarkEnd w:id="15"/>
      <w:r/>
      <w:r/>
    </w:p>
    <w:p>
      <w:pPr>
        <w:numPr>
          <w:ilvl w:val="0"/>
          <w:numId w:val="7"/>
        </w:numPr>
        <w:ind w:firstLine="420"/>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评标办法采用综合评分法。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ind w:firstLine="420"/>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firstLine="420"/>
        <w:jc w:val="left"/>
        <w:spacing w:line="360" w:lineRule="auto"/>
        <w:widowControl/>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如出现评标总得分最高的投标人有两个或两个以上的，以投标报价较低者优先作为中标候选人，如果投标报价也相同的，则由公证机构组织以抽签方式确定中标候选人。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ind w:firstLine="420"/>
        <w:jc w:val="left"/>
        <w:spacing w:line="360" w:lineRule="auto"/>
        <w:widowControl/>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注：针对中小型企业的评审加分：</w:t>
      </w:r>
      <w:r/>
    </w:p>
    <w:p>
      <w:pPr>
        <w:ind w:firstLine="420"/>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根据《政府采购促进中小企业发展管理办法》（财库〔2020〕46号）、《关于促进残疾人就业政府采购政策的通知》（财库〔2017〕141号）、《关于政府采购支持监狱企业发展有关问题的通知》（财库〔201</w:t>
      </w:r>
      <w:r>
        <w:rPr>
          <w:rFonts w:hint="eastAsia" w:asciiTheme="minorEastAsia" w:hAnsiTheme="minorEastAsia" w:eastAsiaTheme="minorEastAsia" w:cstheme="minorEastAsia"/>
          <w:color w:val="auto"/>
          <w:sz w:val="21"/>
          <w:szCs w:val="21"/>
          <w:highlight w:val="none"/>
        </w:rPr>
        <w:t xml:space="preserve">4〕68号）、《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20%的扣除，用扣除后的价格参与评审，如扣除后的价格为最低价的，则作为评标基准价，中标金额则以实际投标报价为准。残疾人福利性单位属于小型、微型企业的，不重复享受政策。供应商提供的货物既有中小企业制造货物，也有大型企业制造货物的，不享受中小企业扶持政策。</w:t>
      </w:r>
      <w:r/>
    </w:p>
    <w:p>
      <w:pPr>
        <w:ind w:firstLine="420"/>
        <w:spacing w:line="360" w:lineRule="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小微企业提供《中小企业声明函》；监狱企业提供由省级以上监狱管理局、戒毒管理局（含新疆生产建</w:t>
      </w:r>
      <w:r>
        <w:rPr>
          <w:rFonts w:hint="eastAsia" w:asciiTheme="minorEastAsia" w:hAnsiTheme="minorEastAsia" w:eastAsiaTheme="minorEastAsia" w:cstheme="minorEastAsia"/>
          <w:color w:val="auto"/>
          <w:sz w:val="21"/>
          <w:szCs w:val="21"/>
          <w:highlight w:val="none"/>
        </w:rPr>
        <w:t xml:space="preserve">设兵团）出具的属于监狱企业的证明文件；残疾人福利性单位提供《残疾人福利性单位声明函》。</w:t>
      </w:r>
      <w:r/>
    </w:p>
    <w:p>
      <w:pPr>
        <w:ind w:firstLine="420"/>
        <w:spacing w:line="360" w:lineRule="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注：</w:t>
      </w:r>
      <w:r/>
    </w:p>
    <w:p>
      <w:pPr>
        <w:ind w:firstLine="420"/>
        <w:spacing w:line="360" w:lineRule="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①填报“中小企业声明函”需严格按“工信部联企业〔2011〕300号通知中的《中小企业划型标准规定》进行。</w:t>
      </w:r>
      <w:r/>
    </w:p>
    <w:p>
      <w:pPr>
        <w:ind w:firstLine="420"/>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②若供应商提供的声明函或认定证明为虚假材料，按“政府采购法”相关规定处理并报请政府监</w:t>
      </w:r>
      <w:r>
        <w:rPr>
          <w:rFonts w:hint="eastAsia" w:asciiTheme="minorEastAsia" w:hAnsiTheme="minorEastAsia" w:eastAsiaTheme="minorEastAsia" w:cstheme="minorEastAsia"/>
          <w:color w:val="auto"/>
          <w:sz w:val="21"/>
          <w:szCs w:val="21"/>
          <w:highlight w:val="none"/>
        </w:rPr>
        <w:t xml:space="preserve">管部门给予行政处罚。</w:t>
      </w:r>
      <w:r/>
    </w:p>
    <w:p>
      <w:pPr>
        <w:ind w:firstLine="420"/>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③若为专门面向中小企业采购的项目或者采购包，不再执行价格评审优惠的扶持政策。</w:t>
      </w:r>
      <w:r/>
    </w:p>
    <w:p>
      <w:pPr>
        <w:spacing w:line="360" w:lineRule="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二、评分标准</w:t>
      </w:r>
      <w:r/>
    </w:p>
    <w:p>
      <w:pPr>
        <w:spacing w:line="360" w:lineRule="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（一）、价格分：30分</w:t>
      </w:r>
      <w:r/>
    </w:p>
    <w:p>
      <w:pPr>
        <w:ind w:firstLine="420"/>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第一步：投标报价低于或等于财政预算价格的，为有效投标报价。超财政预算的投标报价文件为未实质性响应文件，不参与评审。</w:t>
      </w:r>
      <w:r/>
    </w:p>
    <w:p>
      <w:pPr>
        <w:ind w:firstLine="420"/>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第二步：在所有有效投标报价中满足招标文件要求，且投标价格最低的投标报价为评标基准价，其价格分为30分，其他投标人的价格分按照下列公式计算（计算结果四舍五入保留两位小数）</w:t>
      </w:r>
      <w:r/>
    </w:p>
    <w:p>
      <w:pPr>
        <w:pStyle w:val="1123"/>
        <w:ind w:firstLine="420"/>
        <w:spacing w:line="360" w:lineRule="auto"/>
        <w:tabs>
          <w:tab w:val="left" w:pos="540" w:leader="none"/>
        </w:tabs>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投标报价得分＝（评标基准价/投标报价）×30％×100</w:t>
      </w:r>
      <w:r/>
    </w:p>
    <w:p>
      <w:pPr>
        <w:ind w:firstLine="200"/>
        <w:spacing w:line="360" w:lineRule="auto"/>
        <w:rPr>
          <w:rFonts w:asciiTheme="minorEastAsia" w:hAnsiTheme="minorEastAsia" w:eastAsiaTheme="minorEastAsia" w:cstheme="minorEastAsia"/>
          <w:b/>
          <w:color w:val="auto"/>
          <w:sz w:val="21"/>
          <w:szCs w:val="21"/>
          <w:highlight w:val="none"/>
        </w:rPr>
        <w:outlineLvl w:val="0"/>
      </w:pPr>
      <w:r>
        <w:rPr>
          <w:rFonts w:hint="eastAsia" w:asciiTheme="minorEastAsia" w:hAnsiTheme="minorEastAsia" w:eastAsiaTheme="minorEastAsia" w:cstheme="minorEastAsia"/>
          <w:b/>
          <w:color w:val="auto"/>
          <w:sz w:val="21"/>
          <w:szCs w:val="21"/>
          <w:highlight w:val="none"/>
        </w:rPr>
        <w:t xml:space="preserve">（二）、技术部分：70分</w:t>
      </w:r>
      <w:r/>
    </w:p>
    <w:p>
      <w:pPr>
        <w:ind w:firstLine="422"/>
        <w:spacing w:line="360" w:lineRule="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1、质量与技术先进性：24分</w:t>
      </w:r>
      <w:r/>
    </w:p>
    <w:p>
      <w:pPr>
        <w:ind w:firstLine="420"/>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b/>
          <w:color w:val="auto"/>
          <w:sz w:val="21"/>
          <w:szCs w:val="21"/>
          <w:highlight w:val="none"/>
        </w:rPr>
        <w:t xml:space="preserve">轨迹抓拍摄像机</w:t>
      </w:r>
      <w:r>
        <w:rPr>
          <w:rFonts w:hint="eastAsia" w:asciiTheme="minorEastAsia" w:hAnsiTheme="minorEastAsia" w:eastAsiaTheme="minorEastAsia" w:cstheme="minorEastAsia"/>
          <w:color w:val="auto"/>
          <w:sz w:val="21"/>
          <w:szCs w:val="21"/>
          <w:highlight w:val="none"/>
        </w:rPr>
        <w:t xml:space="preserve">打★项内容需提供具有检测检验资质的（包含但不限于CNAS标识)第三方检测机构出具的合格检测报告复印件，每提供1项得2分，满分6分。</w:t>
      </w:r>
      <w:r/>
    </w:p>
    <w:p>
      <w:pPr>
        <w:ind w:firstLine="420"/>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★智能编码功能检验:同一静止场景相同图像质量下，设备开启智能编码功能和不开启智能编码相比，码率节约4/5；</w:t>
      </w:r>
      <w:r/>
    </w:p>
    <w:p>
      <w:pPr>
        <w:ind w:firstLine="420"/>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智能物品检测功能检查:支持物品监测功能,可设置8组智能规则并进行独立布防,每组的布撤防时间可单独设置,目标在布防区域和布防时间段内出现会触发报警,并联动相关操作:可对画面中出现的箱子、包、盒、非机动车进行检测；</w:t>
      </w:r>
      <w:r/>
    </w:p>
    <w:p>
      <w:pPr>
        <w:ind w:firstLine="420"/>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支持对智能行为分析目标规则进行设置,可设置为遗留或拿取,检测最短持续时间可设置为6~300秒;可对目标大小(像素值)范围进行设置,使样机只对预设大小(像素值)范围内的物体进行检测;支持行为分析触发后联动抓图、录像、目标跟踪、报警上传、发送邮件、声光警戒等多种报警触发方式。</w:t>
      </w:r>
      <w:r/>
    </w:p>
    <w:p>
      <w:pPr>
        <w:ind w:firstLine="420"/>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b/>
          <w:color w:val="auto"/>
          <w:sz w:val="21"/>
          <w:szCs w:val="21"/>
          <w:highlight w:val="none"/>
        </w:rPr>
        <w:t xml:space="preserve">图像压缩编码器</w:t>
      </w:r>
      <w:r>
        <w:rPr>
          <w:rFonts w:hint="eastAsia" w:asciiTheme="minorEastAsia" w:hAnsiTheme="minorEastAsia" w:eastAsiaTheme="minorEastAsia" w:cstheme="minorEastAsia"/>
          <w:color w:val="auto"/>
          <w:sz w:val="21"/>
          <w:szCs w:val="21"/>
          <w:highlight w:val="none"/>
        </w:rPr>
        <w:t xml:space="preserve">打★项内容需提供具有检测检验资质的（包含但不限于CNAS标识)第三方检测机构出具的合格检测报告复印件，每提供1项得1分，满分5分。</w:t>
      </w:r>
      <w:r/>
    </w:p>
    <w:p>
      <w:pPr>
        <w:pStyle w:val="1204"/>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★支持通过网络获取视频流数据并解码输出。</w:t>
      </w:r>
      <w:r/>
    </w:p>
    <w:p>
      <w:pPr>
        <w:pStyle w:val="1204"/>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★在静态场景下，经过压缩后的视频平均码流不大于原视频平均码流的20%；动态场景下，经过压缩后的视频平均码流不大于原视频平均码流的40%。</w:t>
      </w:r>
      <w:r/>
    </w:p>
    <w:p>
      <w:pPr>
        <w:pStyle w:val="1204"/>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★经压缩后，视频分辨率应与原视频分辨率相同，经压缩后视频帧数应于原视频帧数相同。</w:t>
      </w:r>
      <w:r/>
    </w:p>
    <w:p>
      <w:pPr>
        <w:pStyle w:val="1204"/>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★经压缩后，峰值信噪比（PSNR）应不小于40dB。</w:t>
      </w:r>
      <w:r/>
    </w:p>
    <w:p>
      <w:pPr>
        <w:pStyle w:val="1204"/>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★经压缩后，结构相似性（SSIM）应不小于0.9。</w:t>
      </w:r>
      <w:r/>
    </w:p>
    <w:p>
      <w:pPr>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rPr>
          <w:rFonts w:hint="eastAsia" w:asciiTheme="minorEastAsia" w:hAnsiTheme="minorEastAsia" w:eastAsiaTheme="minorEastAsia" w:cstheme="minorEastAsia"/>
          <w:b/>
          <w:color w:val="auto"/>
          <w:sz w:val="21"/>
          <w:szCs w:val="21"/>
          <w:highlight w:val="none"/>
        </w:rPr>
        <w:t xml:space="preserve">报警通信主机</w:t>
      </w:r>
      <w:r>
        <w:rPr>
          <w:rFonts w:hint="eastAsia" w:asciiTheme="minorEastAsia" w:hAnsiTheme="minorEastAsia" w:eastAsiaTheme="minorEastAsia" w:cstheme="minorEastAsia"/>
          <w:color w:val="auto"/>
          <w:sz w:val="21"/>
          <w:szCs w:val="21"/>
          <w:highlight w:val="none"/>
        </w:rPr>
        <w:t xml:space="preserve">打</w:t>
      </w:r>
      <w:r>
        <w:rPr>
          <w:rFonts w:hint="eastAsia" w:asciiTheme="minorEastAsia" w:hAnsiTheme="minorEastAsia" w:eastAsiaTheme="minorEastAsia" w:cstheme="minorEastAsia"/>
          <w:bCs/>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rPr>
        <w:t xml:space="preserve">项内容需提供具有检测检验资质的（包含但不限于CNAS标识)第三方检测机构出具的合格检测报告复印件，</w:t>
      </w:r>
      <w:r>
        <w:rPr>
          <w:rFonts w:hint="eastAsia" w:asciiTheme="minorEastAsia" w:hAnsiTheme="minorEastAsia" w:eastAsiaTheme="minorEastAsia" w:cstheme="minorEastAsia"/>
          <w:bCs/>
          <w:color w:val="auto"/>
          <w:sz w:val="21"/>
          <w:szCs w:val="21"/>
          <w:highlight w:val="none"/>
        </w:rPr>
        <w:t xml:space="preserve">每提供1项得2分，满分2分。</w:t>
      </w:r>
      <w:r/>
    </w:p>
    <w:p>
      <w:pPr>
        <w:ind w:firstLine="420"/>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★设防、撤防报警功能满足GB12663-2019国家标准。</w:t>
      </w:r>
      <w:r/>
    </w:p>
    <w:p>
      <w:pPr>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w:t>
      </w:r>
      <w:r>
        <w:rPr>
          <w:rFonts w:hint="eastAsia" w:asciiTheme="minorEastAsia" w:hAnsiTheme="minorEastAsia" w:eastAsiaTheme="minorEastAsia" w:cstheme="minorEastAsia"/>
          <w:b/>
          <w:color w:val="auto"/>
          <w:sz w:val="21"/>
          <w:szCs w:val="21"/>
          <w:highlight w:val="none"/>
        </w:rPr>
        <w:t xml:space="preserve">防雷器</w:t>
      </w:r>
      <w:r>
        <w:rPr>
          <w:rFonts w:hint="eastAsia" w:asciiTheme="minorEastAsia" w:hAnsiTheme="minorEastAsia" w:eastAsiaTheme="minorEastAsia" w:cstheme="minorEastAsia"/>
          <w:color w:val="auto"/>
          <w:sz w:val="21"/>
          <w:szCs w:val="21"/>
          <w:highlight w:val="none"/>
        </w:rPr>
        <w:t xml:space="preserve">打</w:t>
      </w:r>
      <w:r>
        <w:rPr>
          <w:rFonts w:hint="eastAsia" w:asciiTheme="minorEastAsia" w:hAnsiTheme="minorEastAsia" w:eastAsiaTheme="minorEastAsia" w:cstheme="minorEastAsia"/>
          <w:bCs/>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rPr>
        <w:t xml:space="preserve">项内容需提供具有检测检验资质的（包含但不限于CNAS标识)第三方检测机构出具的合格检测报告复印件，</w:t>
      </w:r>
      <w:r>
        <w:rPr>
          <w:rFonts w:hint="eastAsia" w:asciiTheme="minorEastAsia" w:hAnsiTheme="minorEastAsia" w:eastAsiaTheme="minorEastAsia" w:cstheme="minorEastAsia"/>
          <w:bCs/>
          <w:color w:val="auto"/>
          <w:sz w:val="21"/>
          <w:szCs w:val="21"/>
          <w:highlight w:val="none"/>
        </w:rPr>
        <w:t xml:space="preserve">每提供1项得2分，满分8分。</w:t>
      </w:r>
      <w:r/>
    </w:p>
    <w:p>
      <w:pPr>
        <w:pStyle w:val="1204"/>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①★Ⅰ类试验：T1(10/350 μs)Iimp:15KA；</w:t>
      </w:r>
      <w:r/>
    </w:p>
    <w:p>
      <w:pPr>
        <w:pStyle w:val="1204"/>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②★Ⅱ类试验：T2(8/20μs)Imax:40KA；</w:t>
      </w:r>
      <w:r/>
    </w:p>
    <w:p>
      <w:pPr>
        <w:pStyle w:val="1204"/>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③★残压值L-N(40kA @8/20μs) ≤200V ；</w:t>
      </w:r>
      <w:r/>
    </w:p>
    <w:p>
      <w:pPr>
        <w:pStyle w:val="1204"/>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④★续流遮断试验:L-N 275VAC 50Hz  Ifi：3KA 续流都能自熄；</w:t>
      </w:r>
      <w:r/>
    </w:p>
    <w:p>
      <w:pPr>
        <w:ind w:firstLine="420"/>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w:t>
      </w:r>
      <w:r>
        <w:rPr>
          <w:rFonts w:hint="eastAsia" w:asciiTheme="minorEastAsia" w:hAnsiTheme="minorEastAsia" w:eastAsiaTheme="minorEastAsia" w:cstheme="minorEastAsia"/>
          <w:b/>
          <w:color w:val="auto"/>
          <w:sz w:val="21"/>
          <w:szCs w:val="21"/>
          <w:highlight w:val="none"/>
        </w:rPr>
        <w:t xml:space="preserve">3.5立杆</w:t>
      </w:r>
      <w:r>
        <w:rPr>
          <w:rFonts w:hint="eastAsia" w:asciiTheme="minorEastAsia" w:hAnsiTheme="minorEastAsia" w:eastAsiaTheme="minorEastAsia" w:cstheme="minorEastAsia"/>
          <w:color w:val="auto"/>
          <w:sz w:val="21"/>
          <w:szCs w:val="21"/>
          <w:highlight w:val="none"/>
        </w:rPr>
        <w:t xml:space="preserve">打</w:t>
      </w:r>
      <w:r>
        <w:rPr>
          <w:rFonts w:hint="eastAsia" w:asciiTheme="minorEastAsia" w:hAnsiTheme="minorEastAsia" w:eastAsiaTheme="minorEastAsia" w:cstheme="minorEastAsia"/>
          <w:bCs/>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rPr>
        <w:t xml:space="preserve">项内容需提供具有检测检验资质的（包含但不限于CNAS标识)第三方检测机构出具的合格检测报告复印件，每提供1项得3分，满分3分。</w:t>
      </w:r>
      <w:r/>
    </w:p>
    <w:p>
      <w:pPr>
        <w:pStyle w:val="1204"/>
        <w:ind w:firstLine="630"/>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★立杆钢材材质应不低于国家标准Q235B低硅低碳高强度钢</w:t>
      </w:r>
      <w:r/>
    </w:p>
    <w:p>
      <w:pPr>
        <w:ind w:firstLine="422"/>
        <w:spacing w:line="360" w:lineRule="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2、供货、调试、验收方案：24分</w:t>
      </w:r>
      <w:r/>
    </w:p>
    <w:p>
      <w:pPr>
        <w:ind w:firstLine="420"/>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①、具体安装调试方案（6分）：调试方案内容精细、详尽，可操作性强得6分；调试方案内容完整，但不够详尽，操作性较强得3分；内容简单，操作性一般得1分；</w:t>
      </w:r>
      <w:r/>
    </w:p>
    <w:p>
      <w:pPr>
        <w:ind w:firstLine="420"/>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②、安装进度（6分）：进度安排紧凑、先进可行得6分；进度安排较为合理的得3分；进度安排可行性操作性一般的得1分；</w:t>
      </w:r>
      <w:r/>
    </w:p>
    <w:p>
      <w:pPr>
        <w:ind w:firstLine="420"/>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③、文明安全生产施工措施（4分）：安全文明施工措施内容详尽、与项目切合度高，科学合理，操作性强得4分；安全文明施工措施内容完整，与本项目切合度较高，较为科学合理得2分；安全文明施工措施内容简单，操作性一般的得1分。</w:t>
      </w:r>
      <w:r/>
    </w:p>
    <w:p>
      <w:pPr>
        <w:ind w:firstLine="420"/>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④、施工、安装应急方案（4分）：针对本项目的施工、安装应急方案与项目切合度高，内容详尽、精细，操作性强得4分；与项目切合度较高，内容完整的，操作性较强得2分；内容简单，操作性一般的得1分。</w:t>
      </w:r>
      <w:r/>
    </w:p>
    <w:p>
      <w:pPr>
        <w:ind w:firstLine="420"/>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 5 \* GB3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rPr>
        <w:t xml:space="preserve">⑤</w:t>
      </w:r>
      <w:r>
        <w:rPr>
          <w:rFonts w:hint="eastAsia" w:asciiTheme="minorEastAsia" w:hAnsiTheme="minorEastAsia" w:eastAsiaTheme="minorEastAsia" w:cstheme="minorEastAsia"/>
          <w:color w:val="auto"/>
          <w:sz w:val="21"/>
          <w:szCs w:val="21"/>
          <w:highlight w:val="none"/>
        </w:rPr>
        <w:fldChar w:fldCharType="end"/>
      </w:r>
      <w:r>
        <w:rPr>
          <w:rFonts w:hint="eastAsia" w:asciiTheme="minorEastAsia" w:hAnsiTheme="minorEastAsia" w:eastAsiaTheme="minorEastAsia" w:cstheme="minorEastAsia"/>
          <w:color w:val="auto"/>
          <w:sz w:val="21"/>
          <w:szCs w:val="21"/>
          <w:highlight w:val="none"/>
        </w:rPr>
        <w:t xml:space="preserve">投标单位对本项目实施的重点说明2分、难点说明2分：4分</w:t>
      </w:r>
      <w:r/>
    </w:p>
    <w:p>
      <w:pPr>
        <w:ind w:firstLine="420"/>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重点说明（2分）：针对本项目的实施重点，阐述精确，分析精准得2分；对本项目实施重点，关键点切合略有偏差，不够详尽的得1分。</w:t>
      </w:r>
      <w:r/>
    </w:p>
    <w:p>
      <w:pPr>
        <w:ind w:firstLine="420"/>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难点说明（2分）：难点分析精确，符合项目特征，应对措施先进可行得2分；难点分析较为完整，应对措施较为可行的得1分。</w:t>
      </w:r>
      <w:r/>
    </w:p>
    <w:p>
      <w:pPr>
        <w:ind w:firstLine="422"/>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3、投标产品先进性：12分</w:t>
      </w:r>
      <w:r/>
    </w:p>
    <w:p>
      <w:pPr>
        <w:ind w:firstLine="420"/>
        <w:spacing w:line="360" w:lineRule="auto"/>
        <w:rPr>
          <w:rFonts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b/>
          <w:bCs/>
          <w:color w:val="auto"/>
          <w:sz w:val="21"/>
          <w:szCs w:val="21"/>
          <w:highlight w:val="none"/>
        </w:rPr>
        <w:t xml:space="preserve">全局跟踪摄像机</w:t>
      </w:r>
      <w:r>
        <w:rPr>
          <w:rFonts w:hint="eastAsia" w:asciiTheme="minorEastAsia" w:hAnsiTheme="minorEastAsia" w:eastAsiaTheme="minorEastAsia" w:cstheme="minorEastAsia"/>
          <w:bCs/>
          <w:color w:val="auto"/>
          <w:sz w:val="21"/>
          <w:szCs w:val="21"/>
          <w:highlight w:val="none"/>
        </w:rPr>
        <w:t xml:space="preserve">支持自动跟踪功能，当检测目标出现在检测区域内，其细节相机可以自动跟踪检测目标。要求提供该功能项目的演示视频，能提供演示视频的得4分，不提供的不得分。</w:t>
      </w:r>
      <w:r/>
    </w:p>
    <w:p>
      <w:pPr>
        <w:ind w:firstLine="42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w:t>
      </w:r>
      <w:r>
        <w:rPr>
          <w:rFonts w:hint="eastAsia" w:asciiTheme="minorEastAsia" w:hAnsiTheme="minorEastAsia" w:eastAsiaTheme="minorEastAsia" w:cstheme="minorEastAsia"/>
          <w:b/>
          <w:bCs/>
          <w:color w:val="auto"/>
          <w:sz w:val="21"/>
          <w:szCs w:val="21"/>
          <w:highlight w:val="none"/>
        </w:rPr>
        <w:t xml:space="preserve">拥挤防范摄像机</w:t>
      </w:r>
      <w:r>
        <w:rPr>
          <w:rFonts w:hint="eastAsia" w:asciiTheme="minorEastAsia" w:hAnsiTheme="minorEastAsia" w:eastAsiaTheme="minorEastAsia" w:cstheme="minorEastAsia"/>
          <w:color w:val="auto"/>
          <w:sz w:val="21"/>
          <w:szCs w:val="21"/>
          <w:highlight w:val="none"/>
        </w:rPr>
        <w:t xml:space="preserve">支持楼道预警功能，</w:t>
      </w:r>
      <w:r>
        <w:rPr>
          <w:rFonts w:hint="eastAsia" w:asciiTheme="minorEastAsia" w:hAnsiTheme="minorEastAsia" w:eastAsiaTheme="minorEastAsia" w:cstheme="minorEastAsia"/>
          <w:bCs/>
          <w:color w:val="auto"/>
          <w:sz w:val="21"/>
          <w:szCs w:val="21"/>
          <w:highlight w:val="none"/>
        </w:rPr>
        <w:t xml:space="preserve">通过通行人数异常等检测，从而达到群体事件的预警提示。摄像机前端通过语音提示现场预警，监控机房屏幕联动弹屏显示。要求提供该功能项目的演示视频，能提供演示视频的得4分，不提供的不得分。</w:t>
      </w:r>
      <w:r/>
    </w:p>
    <w:p>
      <w:pPr>
        <w:pStyle w:val="801"/>
        <w:spacing w:line="360" w:lineRule="auto"/>
        <w:rPr>
          <w:rFonts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bCs/>
          <w:color w:val="auto"/>
          <w:sz w:val="21"/>
          <w:szCs w:val="21"/>
          <w:highlight w:val="none"/>
        </w:rPr>
        <w:t xml:space="preserve">（3）</w:t>
      </w:r>
      <w:r>
        <w:rPr>
          <w:rFonts w:hint="eastAsia" w:asciiTheme="minorEastAsia" w:hAnsiTheme="minorEastAsia" w:eastAsiaTheme="minorEastAsia" w:cstheme="minorEastAsia"/>
          <w:b/>
          <w:color w:val="auto"/>
          <w:sz w:val="21"/>
          <w:szCs w:val="21"/>
          <w:highlight w:val="none"/>
        </w:rPr>
        <w:t xml:space="preserve">报警通信主机</w:t>
      </w:r>
      <w:r>
        <w:rPr>
          <w:rFonts w:hint="eastAsia" w:asciiTheme="minorEastAsia" w:hAnsiTheme="minorEastAsia" w:eastAsiaTheme="minorEastAsia" w:cstheme="minorEastAsia"/>
          <w:bCs/>
          <w:color w:val="auto"/>
          <w:sz w:val="21"/>
          <w:szCs w:val="21"/>
          <w:highlight w:val="none"/>
        </w:rPr>
        <w:t xml:space="preserve">支持APP报警功能，前端触发报警，控制主机收到报警信号后控制键盘显示，手机APP端同步推送实时报警信息。要求提供该功能项目的演示视频，能提供演示视频的得4分，不提供的不得分。</w:t>
      </w:r>
      <w:r/>
    </w:p>
    <w:p>
      <w:pPr>
        <w:ind w:firstLine="422"/>
        <w:spacing w:line="360" w:lineRule="auto"/>
        <w:rPr>
          <w:rFonts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4、售后服务：6分</w:t>
      </w:r>
      <w:r/>
    </w:p>
    <w:p>
      <w:pPr>
        <w:ind w:firstLine="420"/>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（1）根据服务方式、响应时间、零配件供应等承诺酌情评定：</w:t>
      </w:r>
      <w:r/>
    </w:p>
    <w:p>
      <w:pPr>
        <w:ind w:firstLine="420"/>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如果出现技术问题或故障，中标单位应在1小时以内响应，6小时内完成采购方提出维修要求，如在6小时内不能解决问题，应免费用同样品牌、规格或更高的部件更换到位，如需更换设备或送修，必须在3个工作日内解决，否则采购方将自行采取必要的措施，由此产生的风险和费用由供应商承担。得1分</w:t>
      </w:r>
      <w:r/>
    </w:p>
    <w:p>
      <w:pPr>
        <w:ind w:firstLine="420"/>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如果出现技术问题或故障，中标单位应在1小时以内响应，4小时内完成采购方提出维修要求，如在4小时内不能解决问题，应免费用同样品牌、规格或更高的部件更换到位，如需更换设备或送修，必须在1个工作日内解决，否则采购方将自行采取必要的措施，由此产生的风险和费用由供应商承担。得3分</w:t>
      </w:r>
      <w:r/>
    </w:p>
    <w:p>
      <w:pPr>
        <w:ind w:firstLine="420"/>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（2）对采购方人员的培训计划，内容先进合理，操作性强得3分；内容简单，操作性一般得1分；内容差或无具体描述，本项不得分。</w:t>
      </w:r>
      <w:r/>
    </w:p>
    <w:p>
      <w:pPr>
        <w:numPr>
          <w:ilvl w:val="0"/>
          <w:numId w:val="8"/>
        </w:numPr>
        <w:ind w:firstLine="422"/>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业绩：4分</w:t>
      </w:r>
      <w:r/>
    </w:p>
    <w:p>
      <w:pPr>
        <w:ind w:firstLine="840"/>
        <w:spacing w:line="360" w:lineRule="auto"/>
        <w:rPr>
          <w:color w:val="auto"/>
          <w:highlight w:val="none"/>
        </w:rPr>
      </w:pPr>
      <w:r>
        <w:rPr>
          <w:rFonts w:hint="eastAsia" w:asciiTheme="minorEastAsia" w:hAnsiTheme="minorEastAsia" w:eastAsiaTheme="minorEastAsia" w:cstheme="minorEastAsia"/>
          <w:color w:val="auto"/>
          <w:sz w:val="21"/>
          <w:szCs w:val="21"/>
          <w:highlight w:val="none"/>
        </w:rPr>
        <w:t xml:space="preserve">投标单位提供类似项目业绩，每提供一份得2分，最高为4分。</w:t>
      </w:r>
      <w:r/>
    </w:p>
    <w:p>
      <w:pPr>
        <w:pStyle w:val="835"/>
        <w:ind w:left="143" w:firstLine="315"/>
        <w:spacing w:line="360" w:lineRule="auto"/>
        <w:tabs>
          <w:tab w:val="left" w:pos="181" w:leader="none"/>
          <w:tab w:val="clear" w:pos="916" w:leader="none"/>
          <w:tab w:val="clear" w:pos="2748" w:leader="none"/>
          <w:tab w:val="left" w:pos="3375" w:leader="none"/>
        </w:tabs>
        <w:rPr>
          <w:rFonts w:ascii="宋体" w:hAnsi="宋体" w:eastAsia="宋体"/>
          <w:b/>
          <w:color w:val="auto"/>
          <w:sz w:val="21"/>
          <w:szCs w:val="21"/>
          <w:highlight w:val="none"/>
        </w:rPr>
      </w:pPr>
      <w:r>
        <w:rPr>
          <w:rFonts w:hint="eastAsia" w:ascii="宋体" w:hAnsi="宋体" w:eastAsia="宋体"/>
          <w:bCs/>
          <w:color w:val="auto"/>
          <w:sz w:val="21"/>
          <w:szCs w:val="21"/>
          <w:highlight w:val="none"/>
        </w:rPr>
        <w:t xml:space="preserve">注：</w:t>
      </w:r>
      <w:r>
        <w:rPr>
          <w:rFonts w:ascii="宋体" w:hAnsi="宋体" w:eastAsia="宋体"/>
          <w:color w:val="auto"/>
          <w:sz w:val="21"/>
          <w:szCs w:val="21"/>
          <w:highlight w:val="none"/>
        </w:rPr>
        <w:t xml:space="preserve">投标单位必须保证全部投标资料的真实性，如有虚假或对招标文件所要求说明的情况故意隐瞒或虚报，视为不实质性响应招标文件，为无效投标。已中标的将取消中标资格，并按《中华人民共和国政府采购法》相关条例及处理办法执行。</w:t>
      </w:r>
      <w:r/>
    </w:p>
    <w:p>
      <w:pPr>
        <w:jc w:val="left"/>
        <w:spacing w:line="360" w:lineRule="auto"/>
        <w:rPr>
          <w:rFonts w:ascii="宋体" w:hAnsi="宋体" w:eastAsia="宋体"/>
          <w:b/>
          <w:color w:val="auto"/>
          <w:sz w:val="21"/>
          <w:szCs w:val="21"/>
          <w:highlight w:val="none"/>
        </w:rPr>
      </w:pPr>
      <w:r>
        <w:rPr>
          <w:rFonts w:ascii="宋体" w:hAnsi="宋体" w:eastAsia="宋体"/>
          <w:b/>
          <w:color w:val="auto"/>
          <w:sz w:val="21"/>
          <w:szCs w:val="21"/>
          <w:highlight w:val="none"/>
        </w:rPr>
      </w:r>
      <w:r/>
    </w:p>
    <w:p>
      <w:pPr>
        <w:spacing w:line="360" w:lineRule="auto"/>
        <w:rPr>
          <w:rFonts w:ascii="宋体" w:hAnsi="宋体" w:eastAsia="宋体"/>
          <w:b/>
          <w:color w:val="auto"/>
          <w:sz w:val="21"/>
          <w:szCs w:val="21"/>
          <w:highlight w:val="none"/>
        </w:rPr>
      </w:pPr>
      <w:r>
        <w:rPr>
          <w:rFonts w:ascii="宋体" w:hAnsi="宋体" w:eastAsia="宋体"/>
          <w:b/>
          <w:color w:val="auto"/>
          <w:sz w:val="21"/>
          <w:szCs w:val="21"/>
          <w:highlight w:val="none"/>
        </w:rPr>
      </w:r>
      <w:r/>
    </w:p>
    <w:p>
      <w:pPr>
        <w:jc w:val="right"/>
        <w:spacing w:line="360" w:lineRule="auto"/>
        <w:rPr>
          <w:rFonts w:ascii="宋体" w:hAnsi="宋体" w:eastAsia="宋体"/>
          <w:color w:val="auto"/>
          <w:sz w:val="21"/>
          <w:szCs w:val="21"/>
          <w:highlight w:val="none"/>
        </w:rPr>
      </w:pPr>
      <w:r>
        <w:rPr>
          <w:rFonts w:hint="eastAsia" w:ascii="宋体" w:hAnsi="宋体" w:eastAsia="宋体"/>
          <w:b/>
          <w:color w:val="auto"/>
          <w:sz w:val="21"/>
          <w:szCs w:val="21"/>
          <w:highlight w:val="none"/>
        </w:rPr>
        <w:t xml:space="preserve">（全文完）</w:t>
      </w:r>
      <w:r/>
    </w:p>
    <w:sectPr>
      <w:footerReference w:type="default" r:id="rId13"/>
      <w:footerReference w:type="first" r:id="rId14"/>
      <w:footnotePr/>
      <w:endnotePr/>
      <w:type w:val="nextPage"/>
      <w:pgSz w:w="11906" w:h="16838" w:orient="portrait"/>
      <w:pgMar w:top="1440" w:right="1800" w:bottom="1440" w:left="1800" w:header="851" w:footer="601"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Wingdings 2">
    <w:panose1 w:val="05020102010507070707"/>
  </w:font>
  <w:font w:name="Symbol">
    <w:panose1 w:val="05050102010706020507"/>
  </w:font>
  <w:font w:name="Cambria">
    <w:panose1 w:val="02040503050406030204"/>
  </w:font>
  <w:font w:name="Futura Bk">
    <w:panose1 w:val="020B0503020202020204"/>
  </w:font>
  <w:font w:name="Courier New">
    <w:panose1 w:val="02070309020205020404"/>
  </w:font>
  <w:font w:name="方正仿宋简体">
    <w:panose1 w:val="020B0503020202020204"/>
  </w:font>
  <w:font w:name="Tahoma">
    <w:panose1 w:val="020B0604030504040204"/>
  </w:font>
  <w:font w:name="Calibri">
    <w:panose1 w:val="020F0502020204030204"/>
  </w:font>
  <w:font w:name="微软雅黑">
    <w:panose1 w:val="020B0503020204020204"/>
  </w:font>
  <w:font w:name="华文中宋">
    <w:panose1 w:val="02010600040101010101"/>
  </w:font>
  <w:font w:name="仿宋_GB2312">
    <w:panose1 w:val="02010609060101010101"/>
  </w:font>
  <w:font w:name="Verdana">
    <w:panose1 w:val="020B0604030504040204"/>
  </w:font>
  <w:font w:name="黑体">
    <w:panose1 w:val="02010609060101010101"/>
  </w:font>
  <w:font w:name="宋体">
    <w:panose1 w:val="02010600030101010101"/>
  </w:font>
  <w:font w:name="楷体_GB2312">
    <w:panose1 w:val="02010609060101010101"/>
  </w:font>
  <w:font w:name="Times New Roman">
    <w:panose1 w:val="02020603050405020304"/>
  </w:font>
  <w:font w:name="Arial Unicode MS">
    <w:panose1 w:val="020B0604020202020204"/>
  </w:font>
  <w:font w:name="Arial">
    <w:panose1 w:val="020B0604020202020204"/>
  </w:font>
  <w:font w:name="创艺简仿宋">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ind w:right="360"/>
      <w:tabs>
        <w:tab w:val="clear" w:pos="8306" w:leader="none"/>
        <w:tab w:val="right" w:pos="8785" w:leader="none"/>
      </w:tabs>
    </w:pPr>
    <w:r>
      <w:rPr>
        <w:rFonts w:hint="eastAsia"/>
      </w:rPr>
      <w:t xml:space="preserve">苏州铭坤招投标咨询服务有限公司</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rPr>
        <w:rStyle w:val="841"/>
      </w:rPr>
      <w:framePr w:wrap="around" w:vAnchor="text" w:hAnchor="margin" w:xAlign="right" w:y="1"/>
    </w:pPr>
    <w:r>
      <w:fldChar w:fldCharType="begin"/>
    </w:r>
    <w:r>
      <w:rPr>
        <w:rStyle w:val="841"/>
      </w:rPr>
      <w:instrText xml:space="preserve">PAGE  </w:instrText>
    </w:r>
    <w:r>
      <w:fldChar w:fldCharType="end"/>
    </w:r>
    <w:r/>
  </w:p>
  <w:p>
    <w:pPr>
      <w:pStyle w:val="822"/>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ind w:right="360"/>
      <w:tabs>
        <w:tab w:val="clear" w:pos="8306" w:leader="none"/>
        <w:tab w:val="right" w:pos="8785"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822"/>
                            <w:rPr>
                              <w:rFonts w:hint="eastAsia" w:eastAsia="楷体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vert="horz" wrap="none" lIns="0" tIns="0" rIns="0" bIns="0" anchor="t" upright="0">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822"/>
                      <w:rPr>
                        <w:rFonts w:hint="eastAsia" w:eastAsia="楷体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22"/>
                            <w:rPr>
                              <w:rFonts w:eastAsia="楷体_GB2312"/>
                            </w:rPr>
                          </w:pPr>
                          <w:r>
                            <w:fldChar w:fldCharType="begin"/>
                          </w:r>
                          <w:r>
                            <w:instrText xml:space="preserve"> PAGE  \* MERGEFORMAT </w:instrText>
                          </w:r>
                          <w:r>
                            <w:fldChar w:fldCharType="separate"/>
                          </w:r>
                          <w:r>
                            <w:t xml:space="preserve">14</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2"/>
                      <w:rPr>
                        <w:rFonts w:eastAsia="楷体_GB2312"/>
                      </w:rPr>
                    </w:pPr>
                    <w:r>
                      <w:fldChar w:fldCharType="begin"/>
                    </w:r>
                    <w:r>
                      <w:instrText xml:space="preserve"> PAGE  \* MERGEFORMAT </w:instrText>
                    </w:r>
                    <w:r>
                      <w:fldChar w:fldCharType="separate"/>
                    </w:r>
                    <w:r>
                      <w:t xml:space="preserve">14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jc w:val="right"/>
      <w:rPr>
        <w:rFonts w:ascii="宋体" w:hAnsi="宋体"/>
      </w:rPr>
    </w:pPr>
    <w:r>
      <w:rPr>
        <w:rFonts w:hint="eastAsia" w:ascii="宋体" w:hAnsi="宋体"/>
      </w:rPr>
      <w:t xml:space="preserve">招标编号：</w:t>
    </w:r>
    <w:r>
      <w:rPr>
        <w:rFonts w:ascii="Segoe UI" w:hAnsi="Segoe UI" w:cs="Segoe UI"/>
        <w:sz w:val="21"/>
        <w:szCs w:val="21"/>
        <w:shd w:val="clear" w:color="auto" w:fill="ffffff"/>
      </w:rPr>
      <w:t xml:space="preserve">JSZC-320508-SZMK-G2024-0006</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1308"/>
      <w:isLgl w:val="false"/>
      <w:suff w:val="tab"/>
      <w:lvlText w:val="%1、"/>
      <w:lvlJc w:val="left"/>
      <w:pPr>
        <w:ind w:left="0" w:firstLine="0"/>
      </w:pPr>
      <w:rPr>
        <w:rFonts w:hint="eastAsia"/>
      </w:rPr>
    </w:lvl>
    <w:lvl w:ilvl="1">
      <w:start w:val="1"/>
      <w:numFmt w:val="chineseCountingThousand"/>
      <w:isLgl w:val="false"/>
      <w:suff w:val="tab"/>
      <w:lvlText w:val="(%2)"/>
      <w:lvlJc w:val="left"/>
      <w:pPr>
        <w:ind w:left="0" w:firstLine="0"/>
      </w:pPr>
    </w:lvl>
    <w:lvl w:ilvl="2">
      <w:start w:val="1"/>
      <w:numFmt w:val="decimal"/>
      <w:pStyle w:val="1310"/>
      <w:isLgl w:val="false"/>
      <w:suff w:val="tab"/>
      <w:lvlText w:val="%3."/>
      <w:lvlJc w:val="left"/>
      <w:pPr>
        <w:ind w:left="0" w:firstLine="0"/>
      </w:pPr>
      <w:rPr>
        <w:rFonts w:hint="eastAsia"/>
        <w:b w:val="0"/>
        <w:color w:val="auto"/>
      </w:rPr>
    </w:lvl>
    <w:lvl w:ilvl="3">
      <w:start w:val="1"/>
      <w:numFmt w:val="decimal"/>
      <w:isLgl w:val="false"/>
      <w:suff w:val="tab"/>
      <w:lvlText w:val="(%4)"/>
      <w:lvlJc w:val="left"/>
      <w:pPr>
        <w:ind w:left="0" w:firstLine="0"/>
      </w:pPr>
      <w:rPr>
        <w:rFonts w:hint="default"/>
      </w:rPr>
    </w:lvl>
    <w:lvl w:ilvl="4">
      <w:start w:val="1"/>
      <w:numFmt w:val="decimal"/>
      <w:isLgl/>
      <w:suff w:val="tab"/>
      <w:lvlText w:val="%1.%2.%3.%4.%5"/>
      <w:lvlJc w:val="left"/>
      <w:pPr>
        <w:ind w:left="0" w:firstLine="0"/>
      </w:pPr>
    </w:lvl>
    <w:lvl w:ilvl="5">
      <w:start w:val="2"/>
      <w:numFmt w:val="upperLetter"/>
      <w:isLgl w:val="false"/>
      <w:suff w:val="tab"/>
      <w:lvlText w:val="%6、"/>
      <w:lvlJc w:val="left"/>
      <w:pPr>
        <w:ind w:left="0" w:firstLine="0"/>
      </w:pPr>
    </w:lvl>
    <w:lvl w:ilvl="6">
      <w:start w:val="1"/>
      <w:numFmt w:val="upperLetter"/>
      <w:isLgl w:val="false"/>
      <w:suff w:val="tab"/>
      <w:lvlText w:val="%7）"/>
      <w:lvlJc w:val="left"/>
      <w:pPr>
        <w:ind w:left="0" w:firstLine="0"/>
      </w:pPr>
    </w:lvl>
    <w:lvl w:ilvl="7">
      <w:start w:val="1"/>
      <w:numFmt w:val="decimal"/>
      <w:isLgl/>
      <w:suff w:val="tab"/>
      <w:lvlText w:val="%1.%2.%3.%4.%5.%6.%7.%8"/>
      <w:lvlJc w:val="left"/>
      <w:pPr>
        <w:ind w:left="0" w:firstLine="0"/>
      </w:pPr>
    </w:lvl>
    <w:lvl w:ilvl="8">
      <w:start w:val="1"/>
      <w:numFmt w:val="decimal"/>
      <w:isLgl/>
      <w:suff w:val="tab"/>
      <w:lvlText w:val="%1.%2.%3.%4.%5.%6.%7.%8.%9"/>
      <w:lvlJc w:val="left"/>
      <w:pPr>
        <w:ind w:left="0" w:firstLine="0"/>
      </w:pPr>
    </w:lvl>
  </w:abstractNum>
  <w:abstractNum w:abstractNumId="4">
    <w:multiLevelType w:val="hybridMultilevel"/>
    <w:lvl w:ilvl="0">
      <w:start w:val="1"/>
      <w:numFmt w:val="chineseCountingThousand"/>
      <w:pStyle w:val="1058"/>
      <w:isLgl w:val="false"/>
      <w:suff w:val="tab"/>
      <w:lvlText w:val="%1、"/>
      <w:lvlJc w:val="left"/>
      <w:pPr>
        <w:ind w:left="420" w:hanging="420"/>
        <w:tabs>
          <w:tab w:val="left" w:pos="420" w:leader="none"/>
        </w:tabs>
      </w:pPr>
      <w:rPr>
        <w:rFonts w:hint="eastAsia"/>
      </w:rPr>
    </w:lvl>
    <w:lvl w:ilvl="1">
      <w:start w:val="1"/>
      <w:numFmt w:val="decimal"/>
      <w:pStyle w:val="1023"/>
      <w:isLgl w:val="false"/>
      <w:suff w:val="tab"/>
      <w:lvlText w:val="%2、"/>
      <w:lvlJc w:val="left"/>
      <w:pPr>
        <w:ind w:left="567" w:hanging="567"/>
        <w:tabs>
          <w:tab w:val="left" w:pos="720" w:leader="none"/>
        </w:tabs>
      </w:pPr>
      <w:rPr>
        <w:rFonts w:ascii="Times New Roman" w:hAnsi="Times New Roman" w:eastAsia="Times New Roman" w:cs="Times New Roman"/>
      </w:rPr>
    </w:lvl>
    <w:lvl w:ilvl="2">
      <w:start w:val="1"/>
      <w:numFmt w:val="decimal"/>
      <w:pStyle w:val="1145"/>
      <w:isLgl w:val="false"/>
      <w:suff w:val="tab"/>
      <w:lvlText w:val="%1.%2.%3."/>
      <w:lvlJc w:val="left"/>
      <w:pPr>
        <w:ind w:left="709" w:hanging="709"/>
        <w:tabs>
          <w:tab w:val="left" w:pos="1080" w:leader="none"/>
        </w:tabs>
      </w:pPr>
      <w:rPr>
        <w:rFonts w:hint="eastAsia"/>
      </w:rPr>
    </w:lvl>
    <w:lvl w:ilvl="3">
      <w:start w:val="1"/>
      <w:numFmt w:val="decimal"/>
      <w:isLgl w:val="false"/>
      <w:suff w:val="tab"/>
      <w:lvlText w:val="%1.%2.%3.%4."/>
      <w:lvlJc w:val="left"/>
      <w:pPr>
        <w:ind w:left="851" w:hanging="851"/>
        <w:tabs>
          <w:tab w:val="left" w:pos="1080" w:leader="none"/>
        </w:tabs>
      </w:pPr>
      <w:rPr>
        <w:rFonts w:hint="eastAsia"/>
      </w:rPr>
    </w:lvl>
    <w:lvl w:ilvl="4">
      <w:start w:val="1"/>
      <w:numFmt w:val="decimal"/>
      <w:isLgl w:val="false"/>
      <w:suff w:val="tab"/>
      <w:lvlText w:val="%1.%2.%3.%4.%5."/>
      <w:lvlJc w:val="left"/>
      <w:pPr>
        <w:ind w:left="992" w:hanging="992"/>
        <w:tabs>
          <w:tab w:val="left" w:pos="1440"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5"/>
  </w:num>
  <w:num w:numId="4">
    <w:abstractNumId w:val="1"/>
  </w:num>
  <w:num w:numId="5">
    <w:abstractNumId w:val="0"/>
  </w:num>
  <w:num w:numId="6">
    <w:abstractNumId w:val="7"/>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5">
    <w:name w:val="Subtitle Char"/>
    <w:basedOn w:val="799"/>
    <w:link w:val="827"/>
    <w:uiPriority w:val="11"/>
    <w:rPr>
      <w:sz w:val="24"/>
      <w:szCs w:val="24"/>
    </w:rPr>
  </w:style>
  <w:style w:type="character" w:styleId="766">
    <w:name w:val="Quote Char"/>
    <w:link w:val="861"/>
    <w:uiPriority w:val="29"/>
    <w:rPr>
      <w:i/>
    </w:rPr>
  </w:style>
  <w:style w:type="character" w:styleId="767">
    <w:name w:val="Intense Quote Char"/>
    <w:link w:val="863"/>
    <w:uiPriority w:val="30"/>
    <w:rPr>
      <w:i/>
    </w:rPr>
  </w:style>
  <w:style w:type="table" w:styleId="768">
    <w:name w:val="Plain Table 1"/>
    <w:basedOn w:val="8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2"/>
    <w:basedOn w:val="8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3"/>
    <w:basedOn w:val="8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name w:val="Plain Table 4"/>
    <w:basedOn w:val="8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name w:val="Plain Table 5"/>
    <w:basedOn w:val="8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3">
    <w:name w:val="Grid Table 1 Light"/>
    <w:basedOn w:val="8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4">
    <w:name w:val="Grid Table 2"/>
    <w:basedOn w:val="8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5">
    <w:name w:val="Grid Table 3"/>
    <w:basedOn w:val="8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4"/>
    <w:basedOn w:val="8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name w:val="Grid Table 5 Dark"/>
    <w:basedOn w:val="8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8">
    <w:name w:val="Grid Table 6 Colorful"/>
    <w:basedOn w:val="8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7 Colorful"/>
    <w:basedOn w:val="8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0">
    <w:name w:val="List Table 1 Light"/>
    <w:basedOn w:val="8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2"/>
    <w:basedOn w:val="8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2">
    <w:name w:val="List Table 3"/>
    <w:basedOn w:val="8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4"/>
    <w:basedOn w:val="8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5 Dark"/>
    <w:basedOn w:val="8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6 Colorful"/>
    <w:basedOn w:val="8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6">
    <w:name w:val="List Table 7 Colorful"/>
    <w:basedOn w:val="8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87">
    <w:name w:val="Endnote Text Char"/>
    <w:link w:val="820"/>
    <w:uiPriority w:val="99"/>
    <w:rPr>
      <w:sz w:val="20"/>
    </w:rPr>
  </w:style>
  <w:style w:type="paragraph" w:styleId="788">
    <w:name w:val="TOC Heading"/>
    <w:uiPriority w:val="39"/>
    <w:unhideWhenUsed/>
  </w:style>
  <w:style w:type="paragraph" w:styleId="789" w:default="1">
    <w:name w:val="Normal"/>
    <w:next w:val="801"/>
    <w:uiPriority w:val="0"/>
    <w:qFormat/>
    <w:pPr>
      <w:jc w:val="both"/>
      <w:spacing w:after="160" w:line="278" w:lineRule="auto"/>
      <w:widowControl w:val="off"/>
    </w:pPr>
    <w:rPr>
      <w:rFonts w:ascii="Times New Roman" w:hAnsi="Times New Roman" w:eastAsia="楷体_GB2312" w:cs="Times New Roman"/>
      <w:sz w:val="26"/>
      <w:lang w:val="en-US" w:eastAsia="zh-CN" w:bidi="ar-SA"/>
    </w:rPr>
  </w:style>
  <w:style w:type="paragraph" w:styleId="790">
    <w:name w:val="Heading 1"/>
    <w:basedOn w:val="789"/>
    <w:next w:val="789"/>
    <w:link w:val="1247"/>
    <w:uiPriority w:val="9"/>
    <w:qFormat/>
    <w:pPr>
      <w:keepLines/>
      <w:keepNext/>
      <w:spacing w:before="340" w:after="330" w:line="578" w:lineRule="auto"/>
      <w:outlineLvl w:val="0"/>
    </w:pPr>
    <w:rPr>
      <w:b/>
      <w:sz w:val="44"/>
    </w:rPr>
  </w:style>
  <w:style w:type="paragraph" w:styleId="791">
    <w:name w:val="Heading 2"/>
    <w:basedOn w:val="789"/>
    <w:next w:val="789"/>
    <w:link w:val="1260"/>
    <w:uiPriority w:val="9"/>
    <w:qFormat/>
    <w:pPr>
      <w:jc w:val="left"/>
      <w:keepLines/>
      <w:keepNext/>
      <w:outlineLvl w:val="1"/>
    </w:pPr>
    <w:rPr>
      <w:rFonts w:ascii="宋体" w:hAnsi="宋体"/>
      <w:b/>
    </w:rPr>
  </w:style>
  <w:style w:type="paragraph" w:styleId="792">
    <w:name w:val="Heading 3"/>
    <w:basedOn w:val="789"/>
    <w:next w:val="789"/>
    <w:link w:val="1262"/>
    <w:uiPriority w:val="0"/>
    <w:qFormat/>
    <w:pPr>
      <w:jc w:val="left"/>
      <w:keepLines/>
      <w:keepNext/>
      <w:outlineLvl w:val="2"/>
    </w:pPr>
    <w:rPr>
      <w:b/>
    </w:rPr>
  </w:style>
  <w:style w:type="paragraph" w:styleId="793">
    <w:name w:val="Heading 4"/>
    <w:basedOn w:val="789"/>
    <w:next w:val="789"/>
    <w:link w:val="1243"/>
    <w:uiPriority w:val="9"/>
    <w:qFormat/>
    <w:pPr>
      <w:keepLines/>
      <w:keepNext/>
      <w:spacing w:before="280" w:after="290" w:line="376" w:lineRule="auto"/>
      <w:outlineLvl w:val="3"/>
    </w:pPr>
    <w:rPr>
      <w:rFonts w:ascii="Arial" w:hAnsi="Arial" w:eastAsia="黑体"/>
      <w:b/>
      <w:bCs/>
      <w:sz w:val="28"/>
      <w:szCs w:val="28"/>
    </w:rPr>
  </w:style>
  <w:style w:type="paragraph" w:styleId="794">
    <w:name w:val="Heading 5"/>
    <w:basedOn w:val="789"/>
    <w:next w:val="789"/>
    <w:link w:val="1249"/>
    <w:uiPriority w:val="9"/>
    <w:qFormat/>
    <w:pPr>
      <w:jc w:val="left"/>
      <w:keepLines/>
      <w:keepNext/>
      <w:spacing w:before="280" w:after="290" w:line="376" w:lineRule="auto"/>
      <w:widowControl/>
      <w:outlineLvl w:val="4"/>
    </w:pPr>
    <w:rPr>
      <w:rFonts w:ascii="宋体" w:hAnsi="宋体" w:eastAsia="宋体"/>
      <w:b/>
      <w:bCs/>
      <w:sz w:val="28"/>
      <w:szCs w:val="28"/>
    </w:rPr>
  </w:style>
  <w:style w:type="paragraph" w:styleId="795">
    <w:name w:val="Heading 6"/>
    <w:basedOn w:val="789"/>
    <w:next w:val="802"/>
    <w:link w:val="1251"/>
    <w:uiPriority w:val="0"/>
    <w:qFormat/>
    <w:pPr>
      <w:ind w:left="1152" w:hanging="1152"/>
      <w:keepLines/>
      <w:keepNext/>
      <w:spacing w:before="240" w:after="64" w:line="317" w:lineRule="auto"/>
      <w:tabs>
        <w:tab w:val="left" w:pos="1152" w:leader="none"/>
      </w:tabs>
      <w:outlineLvl w:val="5"/>
    </w:pPr>
    <w:rPr>
      <w:rFonts w:ascii="Arial" w:hAnsi="Arial" w:eastAsia="黑体"/>
      <w:b/>
      <w:sz w:val="24"/>
    </w:rPr>
  </w:style>
  <w:style w:type="paragraph" w:styleId="796">
    <w:name w:val="Heading 7"/>
    <w:basedOn w:val="789"/>
    <w:next w:val="802"/>
    <w:link w:val="1288"/>
    <w:uiPriority w:val="0"/>
    <w:qFormat/>
    <w:pPr>
      <w:ind w:left="1296" w:hanging="1296"/>
      <w:keepLines/>
      <w:keepNext/>
      <w:spacing w:before="240" w:after="64" w:line="317" w:lineRule="auto"/>
      <w:tabs>
        <w:tab w:val="left" w:pos="1296" w:leader="none"/>
      </w:tabs>
      <w:outlineLvl w:val="6"/>
    </w:pPr>
    <w:rPr>
      <w:rFonts w:eastAsia="宋体"/>
      <w:b/>
      <w:sz w:val="24"/>
    </w:rPr>
  </w:style>
  <w:style w:type="paragraph" w:styleId="797">
    <w:name w:val="Heading 8"/>
    <w:basedOn w:val="789"/>
    <w:next w:val="802"/>
    <w:link w:val="1211"/>
    <w:uiPriority w:val="0"/>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798">
    <w:name w:val="Heading 9"/>
    <w:basedOn w:val="789"/>
    <w:next w:val="802"/>
    <w:link w:val="1290"/>
    <w:uiPriority w:val="0"/>
    <w:qFormat/>
    <w:pPr>
      <w:ind w:left="1584" w:hanging="1584"/>
      <w:keepLines/>
      <w:keepNext/>
      <w:spacing w:before="240" w:after="64" w:line="317" w:lineRule="auto"/>
      <w:tabs>
        <w:tab w:val="left" w:pos="1584" w:leader="none"/>
      </w:tabs>
      <w:outlineLvl w:val="8"/>
    </w:pPr>
    <w:rPr>
      <w:rFonts w:ascii="Arial" w:hAnsi="Arial" w:eastAsia="黑体"/>
      <w:sz w:val="20"/>
    </w:rPr>
  </w:style>
  <w:style w:type="character" w:styleId="799" w:default="1">
    <w:name w:val="Default Paragraph Font"/>
    <w:uiPriority w:val="1"/>
    <w:semiHidden/>
    <w:unhideWhenUsed/>
  </w:style>
  <w:style w:type="table" w:styleId="800" w:default="1">
    <w:name w:val="Normal Table"/>
    <w:uiPriority w:val="99"/>
    <w:semiHidden/>
    <w:unhideWhenUsed/>
    <w:qFormat/>
    <w:tblPr>
      <w:tblLayout w:type="fixed"/>
      <w:tblCellMar>
        <w:left w:w="108" w:type="dxa"/>
        <w:top w:w="0" w:type="dxa"/>
        <w:right w:w="108" w:type="dxa"/>
        <w:bottom w:w="0" w:type="dxa"/>
      </w:tblCellMar>
    </w:tblPr>
  </w:style>
  <w:style w:type="paragraph" w:styleId="801" w:customStyle="1">
    <w:name w:val="首行缩进"/>
    <w:basedOn w:val="789"/>
    <w:uiPriority w:val="0"/>
    <w:qFormat/>
    <w:pPr>
      <w:ind w:firstLine="480"/>
    </w:pPr>
    <w:rPr>
      <w:lang w:val="zh-CN"/>
    </w:rPr>
  </w:style>
  <w:style w:type="paragraph" w:styleId="802" w:customStyle="1">
    <w:name w:val="Normal Indent1"/>
    <w:basedOn w:val="789"/>
    <w:link w:val="1208"/>
    <w:uiPriority w:val="0"/>
    <w:qFormat/>
    <w:pPr>
      <w:ind w:firstLine="420"/>
      <w:jc w:val="left"/>
    </w:pPr>
    <w:rPr>
      <w:sz w:val="24"/>
    </w:rPr>
  </w:style>
  <w:style w:type="paragraph" w:styleId="803">
    <w:name w:val="annotation subject"/>
    <w:basedOn w:val="804"/>
    <w:next w:val="804"/>
    <w:link w:val="1292"/>
    <w:uiPriority w:val="0"/>
    <w:qFormat/>
    <w:rPr>
      <w:b/>
      <w:bCs/>
    </w:rPr>
  </w:style>
  <w:style w:type="paragraph" w:styleId="804">
    <w:name w:val="annotation text"/>
    <w:basedOn w:val="789"/>
    <w:link w:val="1232"/>
    <w:uiPriority w:val="0"/>
    <w:semiHidden/>
    <w:qFormat/>
    <w:pPr>
      <w:jc w:val="left"/>
    </w:pPr>
  </w:style>
  <w:style w:type="paragraph" w:styleId="805">
    <w:name w:val="toc 7"/>
    <w:basedOn w:val="789"/>
    <w:next w:val="789"/>
    <w:uiPriority w:val="39"/>
    <w:unhideWhenUsed/>
    <w:qFormat/>
    <w:pPr>
      <w:ind w:left="1701"/>
      <w:spacing w:after="57"/>
    </w:pPr>
  </w:style>
  <w:style w:type="paragraph" w:styleId="806">
    <w:name w:val="Body Text First Indent"/>
    <w:basedOn w:val="807"/>
    <w:link w:val="1291"/>
    <w:uiPriority w:val="99"/>
    <w:unhideWhenUsed/>
    <w:qFormat/>
    <w:pPr>
      <w:ind w:firstLine="420"/>
      <w:jc w:val="left"/>
    </w:pPr>
    <w:rPr>
      <w:rFonts w:ascii="Calibri" w:hAnsi="Calibri" w:eastAsia="宋体"/>
      <w:sz w:val="28"/>
    </w:rPr>
  </w:style>
  <w:style w:type="paragraph" w:styleId="807">
    <w:name w:val="Body Text"/>
    <w:basedOn w:val="789"/>
    <w:next w:val="806"/>
    <w:link w:val="1225"/>
    <w:uiPriority w:val="99"/>
    <w:unhideWhenUsed/>
    <w:qFormat/>
    <w:pPr>
      <w:spacing w:after="120"/>
    </w:pPr>
  </w:style>
  <w:style w:type="paragraph" w:styleId="808">
    <w:name w:val="Normal Indent"/>
    <w:basedOn w:val="789"/>
    <w:next w:val="789"/>
    <w:uiPriority w:val="0"/>
    <w:qFormat/>
    <w:pPr>
      <w:ind w:firstLine="420"/>
      <w:jc w:val="left"/>
    </w:pPr>
    <w:rPr>
      <w:sz w:val="24"/>
    </w:rPr>
  </w:style>
  <w:style w:type="paragraph" w:styleId="809">
    <w:name w:val="Caption"/>
    <w:basedOn w:val="789"/>
    <w:next w:val="789"/>
    <w:uiPriority w:val="35"/>
    <w:semiHidden/>
    <w:unhideWhenUsed/>
    <w:qFormat/>
    <w:pPr>
      <w:spacing w:line="276" w:lineRule="auto"/>
    </w:pPr>
    <w:rPr>
      <w:b/>
      <w:bCs/>
      <w:color w:val="4f81bd" w:themeColor="accent1"/>
      <w:sz w:val="18"/>
      <w:szCs w:val="18"/>
    </w:rPr>
  </w:style>
  <w:style w:type="paragraph" w:styleId="810">
    <w:name w:val="Document Map"/>
    <w:basedOn w:val="789"/>
    <w:link w:val="1235"/>
    <w:uiPriority w:val="0"/>
    <w:unhideWhenUsed/>
    <w:qFormat/>
    <w:rPr>
      <w:rFonts w:ascii="宋体" w:eastAsia="宋体"/>
      <w:sz w:val="18"/>
      <w:szCs w:val="18"/>
    </w:rPr>
  </w:style>
  <w:style w:type="paragraph" w:styleId="811">
    <w:name w:val="Body Text Indent"/>
    <w:basedOn w:val="789"/>
    <w:next w:val="812"/>
    <w:link w:val="1287"/>
    <w:uiPriority w:val="0"/>
    <w:qFormat/>
    <w:pPr>
      <w:ind w:left="570"/>
      <w:spacing w:line="520" w:lineRule="exact"/>
    </w:pPr>
    <w:rPr>
      <w:rFonts w:ascii="方正仿宋简体" w:hAnsi="创艺简仿宋" w:eastAsia="方正仿宋简体"/>
      <w:sz w:val="24"/>
    </w:rPr>
  </w:style>
  <w:style w:type="paragraph" w:styleId="812">
    <w:name w:val="envelope return"/>
    <w:basedOn w:val="789"/>
    <w:uiPriority w:val="0"/>
    <w:qFormat/>
    <w:rPr>
      <w:rFonts w:ascii="Arial" w:hAnsi="Arial" w:eastAsia="宋体"/>
    </w:rPr>
  </w:style>
  <w:style w:type="paragraph" w:styleId="813">
    <w:name w:val="Block Text"/>
    <w:basedOn w:val="789"/>
    <w:uiPriority w:val="99"/>
    <w:qFormat/>
    <w:pPr>
      <w:ind w:left="630" w:right="-609" w:firstLine="420"/>
      <w:spacing w:line="360" w:lineRule="auto"/>
    </w:pPr>
    <w:rPr>
      <w:rFonts w:hint="eastAsia" w:ascii="仿宋_GB2312" w:hAnsi="Calibri" w:eastAsia="仿宋_GB2312"/>
      <w:sz w:val="21"/>
    </w:rPr>
  </w:style>
  <w:style w:type="paragraph" w:styleId="814">
    <w:name w:val="toc 5"/>
    <w:basedOn w:val="789"/>
    <w:next w:val="789"/>
    <w:uiPriority w:val="39"/>
    <w:unhideWhenUsed/>
    <w:qFormat/>
    <w:pPr>
      <w:ind w:left="1134"/>
      <w:spacing w:after="57"/>
    </w:pPr>
  </w:style>
  <w:style w:type="paragraph" w:styleId="815">
    <w:name w:val="toc 3"/>
    <w:basedOn w:val="789"/>
    <w:next w:val="789"/>
    <w:uiPriority w:val="39"/>
    <w:qFormat/>
    <w:pPr>
      <w:ind w:left="840"/>
    </w:pPr>
  </w:style>
  <w:style w:type="paragraph" w:styleId="816">
    <w:name w:val="Plain Text"/>
    <w:basedOn w:val="789"/>
    <w:link w:val="1219"/>
    <w:uiPriority w:val="99"/>
    <w:qFormat/>
    <w:rPr>
      <w:rFonts w:ascii="宋体" w:hAnsi="Courier New"/>
    </w:rPr>
  </w:style>
  <w:style w:type="paragraph" w:styleId="817">
    <w:name w:val="toc 8"/>
    <w:basedOn w:val="789"/>
    <w:next w:val="789"/>
    <w:uiPriority w:val="39"/>
    <w:unhideWhenUsed/>
    <w:qFormat/>
    <w:pPr>
      <w:ind w:left="1984"/>
      <w:spacing w:after="57"/>
    </w:pPr>
  </w:style>
  <w:style w:type="paragraph" w:styleId="818">
    <w:name w:val="Date"/>
    <w:basedOn w:val="789"/>
    <w:next w:val="789"/>
    <w:link w:val="1252"/>
    <w:uiPriority w:val="0"/>
    <w:qFormat/>
    <w:rPr>
      <w:rFonts w:ascii="宋体" w:hAnsi="宋体"/>
      <w:sz w:val="24"/>
    </w:rPr>
  </w:style>
  <w:style w:type="paragraph" w:styleId="819">
    <w:name w:val="Body Text Indent 2"/>
    <w:basedOn w:val="789"/>
    <w:link w:val="1261"/>
    <w:uiPriority w:val="0"/>
    <w:qFormat/>
    <w:pPr>
      <w:ind w:firstLine="502"/>
      <w:spacing w:line="360" w:lineRule="auto"/>
      <w:tabs>
        <w:tab w:val="left" w:pos="0" w:leader="none"/>
      </w:tabs>
    </w:pPr>
    <w:rPr>
      <w:rFonts w:ascii="宋体" w:eastAsia="宋体"/>
      <w:b/>
      <w:bCs/>
      <w:sz w:val="24"/>
    </w:rPr>
  </w:style>
  <w:style w:type="paragraph" w:styleId="820">
    <w:name w:val="endnote text"/>
    <w:basedOn w:val="789"/>
    <w:link w:val="992"/>
    <w:uiPriority w:val="99"/>
    <w:semiHidden/>
    <w:unhideWhenUsed/>
    <w:qFormat/>
    <w:pPr>
      <w:spacing w:after="0" w:line="240" w:lineRule="auto"/>
    </w:pPr>
    <w:rPr>
      <w:sz w:val="20"/>
    </w:rPr>
  </w:style>
  <w:style w:type="paragraph" w:styleId="821">
    <w:name w:val="Balloon Text"/>
    <w:basedOn w:val="789"/>
    <w:link w:val="1258"/>
    <w:uiPriority w:val="0"/>
    <w:qFormat/>
    <w:rPr>
      <w:sz w:val="18"/>
      <w:szCs w:val="18"/>
    </w:rPr>
  </w:style>
  <w:style w:type="paragraph" w:styleId="822">
    <w:name w:val="Footer"/>
    <w:basedOn w:val="789"/>
    <w:link w:val="1282"/>
    <w:uiPriority w:val="99"/>
    <w:unhideWhenUsed/>
    <w:qFormat/>
    <w:pPr>
      <w:jc w:val="left"/>
      <w:tabs>
        <w:tab w:val="center" w:pos="4153" w:leader="none"/>
        <w:tab w:val="right" w:pos="8306" w:leader="none"/>
      </w:tabs>
    </w:pPr>
    <w:rPr>
      <w:rFonts w:eastAsia="宋体"/>
      <w:sz w:val="18"/>
      <w:szCs w:val="18"/>
    </w:rPr>
  </w:style>
  <w:style w:type="paragraph" w:styleId="823">
    <w:name w:val="Body Text First Indent 2"/>
    <w:basedOn w:val="811"/>
    <w:uiPriority w:val="99"/>
    <w:unhideWhenUsed/>
    <w:qFormat/>
    <w:pPr>
      <w:ind w:firstLine="420"/>
    </w:pPr>
  </w:style>
  <w:style w:type="paragraph" w:styleId="824">
    <w:name w:val="Header"/>
    <w:basedOn w:val="789"/>
    <w:link w:val="1248"/>
    <w:uiPriority w:val="99"/>
    <w:unhideWhenUsed/>
    <w:qFormat/>
    <w:pPr>
      <w:jc w:val="center"/>
      <w:tabs>
        <w:tab w:val="center" w:pos="4153" w:leader="none"/>
        <w:tab w:val="right" w:pos="8306" w:leader="none"/>
      </w:tabs>
      <w:pBdr>
        <w:bottom w:val="single" w:color="auto" w:sz="6" w:space="1"/>
      </w:pBdr>
    </w:pPr>
    <w:rPr>
      <w:rFonts w:eastAsia="宋体"/>
      <w:sz w:val="18"/>
      <w:szCs w:val="18"/>
    </w:rPr>
  </w:style>
  <w:style w:type="paragraph" w:styleId="825">
    <w:name w:val="toc 1"/>
    <w:basedOn w:val="789"/>
    <w:next w:val="789"/>
    <w:uiPriority w:val="0"/>
    <w:qFormat/>
    <w:pPr>
      <w:jc w:val="left"/>
    </w:pPr>
    <w:rPr>
      <w:sz w:val="24"/>
    </w:rPr>
  </w:style>
  <w:style w:type="paragraph" w:styleId="826">
    <w:name w:val="toc 4"/>
    <w:basedOn w:val="789"/>
    <w:next w:val="789"/>
    <w:uiPriority w:val="39"/>
    <w:unhideWhenUsed/>
    <w:qFormat/>
    <w:pPr>
      <w:ind w:left="850"/>
      <w:spacing w:after="57"/>
    </w:pPr>
  </w:style>
  <w:style w:type="paragraph" w:styleId="827">
    <w:name w:val="Subtitle"/>
    <w:basedOn w:val="789"/>
    <w:next w:val="789"/>
    <w:link w:val="860"/>
    <w:uiPriority w:val="11"/>
    <w:qFormat/>
    <w:pPr>
      <w:spacing w:before="200" w:after="200"/>
    </w:pPr>
    <w:rPr>
      <w:sz w:val="24"/>
      <w:szCs w:val="24"/>
    </w:rPr>
  </w:style>
  <w:style w:type="paragraph" w:styleId="828">
    <w:name w:val="footnote text"/>
    <w:basedOn w:val="789"/>
    <w:link w:val="1285"/>
    <w:uiPriority w:val="0"/>
    <w:semiHidden/>
    <w:qFormat/>
    <w:pPr>
      <w:jc w:val="left"/>
    </w:pPr>
    <w:rPr>
      <w:sz w:val="18"/>
    </w:rPr>
  </w:style>
  <w:style w:type="paragraph" w:styleId="829">
    <w:name w:val="toc 6"/>
    <w:basedOn w:val="789"/>
    <w:next w:val="789"/>
    <w:uiPriority w:val="39"/>
    <w:unhideWhenUsed/>
    <w:qFormat/>
    <w:pPr>
      <w:ind w:left="1417"/>
      <w:spacing w:after="57"/>
    </w:pPr>
  </w:style>
  <w:style w:type="paragraph" w:styleId="830">
    <w:name w:val="Body Text Indent 3"/>
    <w:basedOn w:val="789"/>
    <w:link w:val="1216"/>
    <w:uiPriority w:val="0"/>
    <w:qFormat/>
    <w:pPr>
      <w:ind w:firstLine="617"/>
      <w:spacing w:line="360" w:lineRule="auto"/>
    </w:pPr>
    <w:rPr>
      <w:rFonts w:eastAsia="宋体"/>
      <w:sz w:val="24"/>
      <w:szCs w:val="24"/>
    </w:rPr>
  </w:style>
  <w:style w:type="paragraph" w:styleId="831">
    <w:name w:val="table of figures"/>
    <w:basedOn w:val="789"/>
    <w:next w:val="789"/>
    <w:uiPriority w:val="99"/>
    <w:unhideWhenUsed/>
    <w:qFormat/>
    <w:pPr>
      <w:spacing w:after="0"/>
    </w:pPr>
  </w:style>
  <w:style w:type="paragraph" w:styleId="832">
    <w:name w:val="toc 2"/>
    <w:basedOn w:val="789"/>
    <w:next w:val="789"/>
    <w:uiPriority w:val="39"/>
    <w:qFormat/>
    <w:pPr>
      <w:ind w:left="420"/>
    </w:pPr>
  </w:style>
  <w:style w:type="paragraph" w:styleId="833">
    <w:name w:val="toc 9"/>
    <w:basedOn w:val="789"/>
    <w:next w:val="789"/>
    <w:uiPriority w:val="0"/>
    <w:semiHidden/>
    <w:qFormat/>
    <w:pPr>
      <w:ind w:left="3360"/>
    </w:pPr>
  </w:style>
  <w:style w:type="paragraph" w:styleId="834">
    <w:name w:val="Body Text 2"/>
    <w:basedOn w:val="789"/>
    <w:link w:val="1303"/>
    <w:uiPriority w:val="0"/>
    <w:qFormat/>
    <w:pPr>
      <w:jc w:val="left"/>
      <w:spacing w:after="120" w:line="480" w:lineRule="auto"/>
      <w:widowControl/>
    </w:pPr>
    <w:rPr>
      <w:rFonts w:eastAsia="宋体"/>
      <w:sz w:val="24"/>
      <w:szCs w:val="24"/>
    </w:rPr>
  </w:style>
  <w:style w:type="paragraph" w:styleId="835">
    <w:name w:val="HTML Preformatted"/>
    <w:basedOn w:val="789"/>
    <w:link w:val="128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836">
    <w:name w:val="Normal (Web)"/>
    <w:basedOn w:val="789"/>
    <w:uiPriority w:val="99"/>
    <w:qFormat/>
    <w:pPr>
      <w:jc w:val="left"/>
      <w:spacing w:before="100" w:beforeAutospacing="1" w:after="100" w:afterAutospacing="1"/>
      <w:widowControl/>
    </w:pPr>
    <w:rPr>
      <w:rFonts w:ascii="宋体" w:hAnsi="宋体" w:eastAsia="宋体"/>
      <w:color w:val="000000"/>
      <w:sz w:val="24"/>
      <w:szCs w:val="24"/>
    </w:rPr>
  </w:style>
  <w:style w:type="paragraph" w:styleId="837">
    <w:name w:val="index 1"/>
    <w:basedOn w:val="789"/>
    <w:next w:val="789"/>
    <w:uiPriority w:val="0"/>
    <w:unhideWhenUsed/>
    <w:qFormat/>
  </w:style>
  <w:style w:type="paragraph" w:styleId="838">
    <w:name w:val="Title"/>
    <w:basedOn w:val="790"/>
    <w:link w:val="1286"/>
    <w:uiPriority w:val="0"/>
    <w:qFormat/>
    <w:pPr>
      <w:jc w:val="center"/>
      <w:spacing w:before="240" w:after="60" w:line="576" w:lineRule="auto"/>
    </w:pPr>
    <w:rPr>
      <w:rFonts w:ascii="Arial" w:hAnsi="Arial" w:eastAsia="宋体"/>
      <w:sz w:val="36"/>
      <w:szCs w:val="32"/>
    </w:rPr>
  </w:style>
  <w:style w:type="character" w:styleId="839">
    <w:name w:val="Strong"/>
    <w:uiPriority w:val="0"/>
    <w:qFormat/>
    <w:rPr>
      <w:rFonts w:cs="Times New Roman"/>
      <w:b/>
      <w:bCs/>
    </w:rPr>
  </w:style>
  <w:style w:type="character" w:styleId="840">
    <w:name w:val="endnote reference"/>
    <w:basedOn w:val="799"/>
    <w:uiPriority w:val="99"/>
    <w:semiHidden/>
    <w:unhideWhenUsed/>
    <w:qFormat/>
    <w:rPr>
      <w:vertAlign w:val="superscript"/>
    </w:rPr>
  </w:style>
  <w:style w:type="character" w:styleId="841">
    <w:name w:val="page number"/>
    <w:basedOn w:val="799"/>
    <w:uiPriority w:val="0"/>
    <w:qFormat/>
  </w:style>
  <w:style w:type="character" w:styleId="842">
    <w:name w:val="FollowedHyperlink"/>
    <w:basedOn w:val="799"/>
    <w:uiPriority w:val="99"/>
    <w:qFormat/>
    <w:rPr>
      <w:color w:val="800080"/>
      <w:u w:val="none"/>
    </w:rPr>
  </w:style>
  <w:style w:type="character" w:styleId="843">
    <w:name w:val="Emphasis"/>
    <w:uiPriority w:val="20"/>
    <w:qFormat/>
    <w:rPr>
      <w:i/>
      <w:iCs/>
    </w:rPr>
  </w:style>
  <w:style w:type="character" w:styleId="844">
    <w:name w:val="HTML Typewriter"/>
    <w:uiPriority w:val="0"/>
    <w:qFormat/>
    <w:rPr>
      <w:rFonts w:ascii="黑体" w:hAnsi="Courier New" w:eastAsia="黑体" w:cs="Courier New"/>
      <w:sz w:val="14"/>
      <w:szCs w:val="14"/>
    </w:rPr>
  </w:style>
  <w:style w:type="character" w:styleId="845">
    <w:name w:val="Hyperlink"/>
    <w:basedOn w:val="799"/>
    <w:uiPriority w:val="99"/>
    <w:qFormat/>
    <w:rPr>
      <w:color w:val="000000"/>
      <w:u w:val="none"/>
    </w:rPr>
  </w:style>
  <w:style w:type="character" w:styleId="846">
    <w:name w:val="annotation reference"/>
    <w:uiPriority w:val="0"/>
    <w:semiHidden/>
    <w:qFormat/>
    <w:rPr>
      <w:sz w:val="21"/>
      <w:szCs w:val="21"/>
    </w:rPr>
  </w:style>
  <w:style w:type="character" w:styleId="847">
    <w:name w:val="footnote reference"/>
    <w:basedOn w:val="799"/>
    <w:uiPriority w:val="0"/>
    <w:semiHidden/>
    <w:qFormat/>
    <w:rPr>
      <w:vertAlign w:val="superscript"/>
    </w:rPr>
  </w:style>
  <w:style w:type="table" w:styleId="848">
    <w:name w:val="Table Grid"/>
    <w:basedOn w:val="80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849" w:customStyle="1">
    <w:name w:val="Heading 1 Char"/>
    <w:basedOn w:val="799"/>
    <w:uiPriority w:val="9"/>
    <w:rPr>
      <w:rFonts w:ascii="Arial" w:hAnsi="Arial" w:eastAsia="Arial" w:cs="Arial"/>
      <w:sz w:val="40"/>
      <w:szCs w:val="40"/>
    </w:rPr>
  </w:style>
  <w:style w:type="character" w:styleId="850" w:customStyle="1">
    <w:name w:val="Heading 2 Char"/>
    <w:basedOn w:val="799"/>
    <w:uiPriority w:val="9"/>
    <w:rPr>
      <w:rFonts w:ascii="Arial" w:hAnsi="Arial" w:eastAsia="Arial" w:cs="Arial"/>
      <w:sz w:val="34"/>
    </w:rPr>
  </w:style>
  <w:style w:type="character" w:styleId="851" w:customStyle="1">
    <w:name w:val="Heading 3 Char"/>
    <w:basedOn w:val="799"/>
    <w:uiPriority w:val="9"/>
    <w:qFormat/>
    <w:rPr>
      <w:rFonts w:ascii="Arial" w:hAnsi="Arial" w:eastAsia="Arial" w:cs="Arial"/>
      <w:sz w:val="30"/>
      <w:szCs w:val="30"/>
    </w:rPr>
  </w:style>
  <w:style w:type="character" w:styleId="852" w:customStyle="1">
    <w:name w:val="Heading 4 Char"/>
    <w:basedOn w:val="799"/>
    <w:uiPriority w:val="9"/>
    <w:qFormat/>
    <w:rPr>
      <w:rFonts w:ascii="Arial" w:hAnsi="Arial" w:eastAsia="Arial" w:cs="Arial"/>
      <w:b/>
      <w:bCs/>
      <w:sz w:val="26"/>
      <w:szCs w:val="26"/>
    </w:rPr>
  </w:style>
  <w:style w:type="character" w:styleId="853" w:customStyle="1">
    <w:name w:val="Heading 5 Char"/>
    <w:basedOn w:val="799"/>
    <w:uiPriority w:val="9"/>
    <w:qFormat/>
    <w:rPr>
      <w:rFonts w:ascii="Arial" w:hAnsi="Arial" w:eastAsia="Arial" w:cs="Arial"/>
      <w:b/>
      <w:bCs/>
      <w:sz w:val="24"/>
      <w:szCs w:val="24"/>
    </w:rPr>
  </w:style>
  <w:style w:type="character" w:styleId="854" w:customStyle="1">
    <w:name w:val="Heading 6 Char"/>
    <w:basedOn w:val="799"/>
    <w:uiPriority w:val="9"/>
    <w:qFormat/>
    <w:rPr>
      <w:rFonts w:ascii="Arial" w:hAnsi="Arial" w:eastAsia="Arial" w:cs="Arial"/>
      <w:b/>
      <w:bCs/>
      <w:sz w:val="22"/>
      <w:szCs w:val="22"/>
    </w:rPr>
  </w:style>
  <w:style w:type="character" w:styleId="855" w:customStyle="1">
    <w:name w:val="Heading 7 Char"/>
    <w:basedOn w:val="799"/>
    <w:uiPriority w:val="9"/>
    <w:qFormat/>
    <w:rPr>
      <w:rFonts w:ascii="Arial" w:hAnsi="Arial" w:eastAsia="Arial" w:cs="Arial"/>
      <w:b/>
      <w:bCs/>
      <w:i/>
      <w:iCs/>
      <w:sz w:val="22"/>
      <w:szCs w:val="22"/>
    </w:rPr>
  </w:style>
  <w:style w:type="character" w:styleId="856" w:customStyle="1">
    <w:name w:val="Heading 8 Char"/>
    <w:basedOn w:val="799"/>
    <w:uiPriority w:val="9"/>
    <w:qFormat/>
    <w:rPr>
      <w:rFonts w:ascii="Arial" w:hAnsi="Arial" w:eastAsia="Arial" w:cs="Arial"/>
      <w:i/>
      <w:iCs/>
      <w:sz w:val="22"/>
      <w:szCs w:val="22"/>
    </w:rPr>
  </w:style>
  <w:style w:type="character" w:styleId="857" w:customStyle="1">
    <w:name w:val="Heading 9 Char"/>
    <w:basedOn w:val="799"/>
    <w:uiPriority w:val="9"/>
    <w:qFormat/>
    <w:rPr>
      <w:rFonts w:ascii="Arial" w:hAnsi="Arial" w:eastAsia="Arial" w:cs="Arial"/>
      <w:i/>
      <w:iCs/>
      <w:sz w:val="21"/>
      <w:szCs w:val="21"/>
    </w:rPr>
  </w:style>
  <w:style w:type="paragraph" w:styleId="858">
    <w:name w:val="No Spacing"/>
    <w:uiPriority w:val="1"/>
    <w:qFormat/>
    <w:rPr>
      <w:rFonts w:asciiTheme="minorHAnsi" w:hAnsiTheme="minorHAnsi" w:eastAsiaTheme="minorEastAsia" w:cstheme="minorBidi"/>
      <w:lang w:val="en-US" w:eastAsia="zh-CN" w:bidi="ar-SA"/>
    </w:rPr>
  </w:style>
  <w:style w:type="character" w:styleId="859" w:customStyle="1">
    <w:name w:val="Title Char"/>
    <w:basedOn w:val="799"/>
    <w:uiPriority w:val="10"/>
    <w:rPr>
      <w:sz w:val="48"/>
      <w:szCs w:val="48"/>
    </w:rPr>
  </w:style>
  <w:style w:type="character" w:styleId="860" w:customStyle="1">
    <w:name w:val="副标题 Char"/>
    <w:basedOn w:val="799"/>
    <w:link w:val="827"/>
    <w:uiPriority w:val="11"/>
    <w:qFormat/>
    <w:rPr>
      <w:sz w:val="24"/>
      <w:szCs w:val="24"/>
    </w:rPr>
  </w:style>
  <w:style w:type="paragraph" w:styleId="861">
    <w:name w:val="Quote"/>
    <w:basedOn w:val="789"/>
    <w:next w:val="789"/>
    <w:link w:val="862"/>
    <w:uiPriority w:val="29"/>
    <w:qFormat/>
    <w:pPr>
      <w:ind w:left="720" w:right="720"/>
    </w:pPr>
    <w:rPr>
      <w:i/>
    </w:rPr>
  </w:style>
  <w:style w:type="character" w:styleId="862" w:customStyle="1">
    <w:name w:val="引用 Char1"/>
    <w:link w:val="861"/>
    <w:uiPriority w:val="29"/>
    <w:qFormat/>
    <w:rPr>
      <w:i/>
    </w:rPr>
  </w:style>
  <w:style w:type="paragraph" w:styleId="863">
    <w:name w:val="Intense Quote"/>
    <w:basedOn w:val="789"/>
    <w:next w:val="789"/>
    <w:link w:val="8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4" w:customStyle="1">
    <w:name w:val="明显引用 Char"/>
    <w:link w:val="863"/>
    <w:uiPriority w:val="30"/>
    <w:qFormat/>
    <w:rPr>
      <w:i/>
    </w:rPr>
  </w:style>
  <w:style w:type="character" w:styleId="865" w:customStyle="1">
    <w:name w:val="Caption Char"/>
    <w:uiPriority w:val="99"/>
    <w:qFormat/>
  </w:style>
  <w:style w:type="table" w:styleId="866" w:customStyle="1">
    <w:name w:val="Table Grid Light"/>
    <w:basedOn w:val="80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67" w:customStyle="1">
    <w:name w:val="无格式表格 11"/>
    <w:basedOn w:val="80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customStyle="1">
    <w:name w:val="无格式表格 21"/>
    <w:basedOn w:val="80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无格式表格 31"/>
    <w:basedOn w:val="800"/>
    <w:uiPriority w:val="99"/>
    <w:qFormat/>
    <w:tblPr>
      <w:tblLayout w:type="fixed"/>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customStyle="1">
    <w:name w:val="无格式表格 41"/>
    <w:basedOn w:val="800"/>
    <w:uiPriority w:val="99"/>
    <w:qFormat/>
    <w:tblPr>
      <w:tblLayout w:type="fixed"/>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customStyle="1">
    <w:name w:val="无格式表格 51"/>
    <w:basedOn w:val="800"/>
    <w:uiPriority w:val="99"/>
    <w:qFormat/>
    <w:tblPr>
      <w:tblLayout w:type="fixed"/>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2" w:customStyle="1">
    <w:name w:val="网格表 1 浅色1"/>
    <w:basedOn w:val="80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1"/>
    <w:basedOn w:val="80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2"/>
    <w:basedOn w:val="80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3"/>
    <w:basedOn w:val="80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4"/>
    <w:basedOn w:val="80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5"/>
    <w:basedOn w:val="80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6"/>
    <w:basedOn w:val="80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9" w:customStyle="1">
    <w:name w:val="网格表 21"/>
    <w:basedOn w:val="80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0" w:customStyle="1">
    <w:name w:val="Grid Table 2 - Accent 1"/>
    <w:basedOn w:val="80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1" w:customStyle="1">
    <w:name w:val="Grid Table 2 - Accent 2"/>
    <w:basedOn w:val="80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2" w:customStyle="1">
    <w:name w:val="Grid Table 2 - Accent 3"/>
    <w:basedOn w:val="80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3" w:customStyle="1">
    <w:name w:val="Grid Table 2 - Accent 4"/>
    <w:basedOn w:val="80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4" w:customStyle="1">
    <w:name w:val="Grid Table 2 - Accent 5"/>
    <w:basedOn w:val="800"/>
    <w:uiPriority w:val="99"/>
    <w:tblPr>
      <w:tblBorders>
        <w:bottom w:val="single" w:color="4BACC6" w:themeColor="accent5" w:sz="4" w:space="0"/>
        <w:insideH w:val="single" w:color="4BACC6" w:themeColor="accent5" w:sz="4" w:space="0"/>
        <w:insideV w:val="single" w:color="4BACC6" w:themeColor="accent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5" w:customStyle="1">
    <w:name w:val="Grid Table 2 - Accent 6"/>
    <w:basedOn w:val="800"/>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6" w:customStyle="1">
    <w:name w:val="网格表 31"/>
    <w:basedOn w:val="80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1"/>
    <w:basedOn w:val="80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2"/>
    <w:basedOn w:val="80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3"/>
    <w:basedOn w:val="80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4"/>
    <w:basedOn w:val="80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5"/>
    <w:basedOn w:val="800"/>
    <w:uiPriority w:val="99"/>
    <w:tblPr>
      <w:tblBorders>
        <w:bottom w:val="single" w:color="4BACC6" w:themeColor="accent5" w:sz="4" w:space="0"/>
        <w:insideH w:val="single" w:color="4BACC6" w:themeColor="accent5" w:sz="4" w:space="0"/>
        <w:insideV w:val="single" w:color="4BACC6" w:themeColor="accent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6"/>
    <w:basedOn w:val="800"/>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网格表 41"/>
    <w:basedOn w:val="80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4" w:customStyle="1">
    <w:name w:val="Grid Table 4 - Accent 1"/>
    <w:basedOn w:val="800"/>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5" w:customStyle="1">
    <w:name w:val="Grid Table 4 - Accent 2"/>
    <w:basedOn w:val="800"/>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6" w:customStyle="1">
    <w:name w:val="Grid Table 4 - Accent 3"/>
    <w:basedOn w:val="800"/>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7" w:customStyle="1">
    <w:name w:val="Grid Table 4 - Accent 4"/>
    <w:basedOn w:val="800"/>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8" w:customStyle="1">
    <w:name w:val="Grid Table 4 - Accent 5"/>
    <w:basedOn w:val="800"/>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9" w:customStyle="1">
    <w:name w:val="Grid Table 4 - Accent 6"/>
    <w:basedOn w:val="800"/>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0" w:customStyle="1">
    <w:name w:val="网格表 5 深色1"/>
    <w:basedOn w:val="8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1" w:customStyle="1">
    <w:name w:val="Grid Table 5 Dark- Accent 1"/>
    <w:basedOn w:val="8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2" w:customStyle="1">
    <w:name w:val="Grid Table 5 Dark - Accent 2"/>
    <w:basedOn w:val="8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3" w:customStyle="1">
    <w:name w:val="Grid Table 5 Dark - Accent 3"/>
    <w:basedOn w:val="8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4" w:customStyle="1">
    <w:name w:val="Grid Table 5 Dark- Accent 4"/>
    <w:basedOn w:val="8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5" w:customStyle="1">
    <w:name w:val="Grid Table 5 Dark - Accent 5"/>
    <w:basedOn w:val="8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6" w:customStyle="1">
    <w:name w:val="Grid Table 5 Dark - Accent 6"/>
    <w:basedOn w:val="8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7" w:customStyle="1">
    <w:name w:val="网格表 6 彩色1"/>
    <w:basedOn w:val="80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908" w:customStyle="1">
    <w:name w:val="Grid Table 6 Colorful - Accent 1"/>
    <w:basedOn w:val="800"/>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108" w:type="dxa"/>
        <w:top w:w="0" w:type="dxa"/>
        <w:right w:w="108"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09" w:customStyle="1">
    <w:name w:val="Grid Table 6 Colorful - Accent 2"/>
    <w:basedOn w:val="80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910" w:customStyle="1">
    <w:name w:val="Grid Table 6 Colorful - Accent 3"/>
    <w:basedOn w:val="800"/>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108" w:type="dxa"/>
        <w:top w:w="0" w:type="dxa"/>
        <w:right w:w="108"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11" w:customStyle="1">
    <w:name w:val="Grid Table 6 Colorful - Accent 4"/>
    <w:basedOn w:val="80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12" w:customStyle="1">
    <w:name w:val="Grid Table 6 Colorful - Accent 5"/>
    <w:basedOn w:val="800"/>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13" w:customStyle="1">
    <w:name w:val="Grid Table 6 Colorful - Accent 6"/>
    <w:basedOn w:val="800"/>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108" w:type="dxa"/>
        <w:top w:w="0" w:type="dxa"/>
        <w:right w:w="108"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14" w:customStyle="1">
    <w:name w:val="网格表 7 彩色1"/>
    <w:basedOn w:val="80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5" w:customStyle="1">
    <w:name w:val="Grid Table 7 Colorful - Accent 1"/>
    <w:basedOn w:val="800"/>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108" w:type="dxa"/>
        <w:top w:w="0" w:type="dxa"/>
        <w:right w:w="108"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6" w:customStyle="1">
    <w:name w:val="Grid Table 7 Colorful - Accent 2"/>
    <w:basedOn w:val="800"/>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7" w:customStyle="1">
    <w:name w:val="Grid Table 7 Colorful - Accent 3"/>
    <w:basedOn w:val="800"/>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108" w:type="dxa"/>
        <w:top w:w="0" w:type="dxa"/>
        <w:right w:w="108"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8" w:customStyle="1">
    <w:name w:val="Grid Table 7 Colorful - Accent 4"/>
    <w:basedOn w:val="800"/>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9" w:customStyle="1">
    <w:name w:val="Grid Table 7 Colorful - Accent 5"/>
    <w:basedOn w:val="800"/>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0" w:customStyle="1">
    <w:name w:val="Grid Table 7 Colorful - Accent 6"/>
    <w:basedOn w:val="800"/>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108" w:type="dxa"/>
        <w:top w:w="0" w:type="dxa"/>
        <w:right w:w="108"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1" w:customStyle="1">
    <w:name w:val="清单表 1 浅色1"/>
    <w:basedOn w:val="800"/>
    <w:uiPriority w:val="99"/>
    <w:qFormat/>
    <w:tblPr>
      <w:tblLayout w:type="fixed"/>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2" w:customStyle="1">
    <w:name w:val="List Table 1 Light - Accent 1"/>
    <w:basedOn w:val="800"/>
    <w:uiPriority w:val="99"/>
    <w:qFormat/>
    <w:tblPr>
      <w:tblLayout w:type="fixed"/>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3" w:customStyle="1">
    <w:name w:val="List Table 1 Light - Accent 2"/>
    <w:basedOn w:val="800"/>
    <w:uiPriority w:val="99"/>
    <w:qFormat/>
    <w:tblPr>
      <w:tblLayout w:type="fixed"/>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4" w:customStyle="1">
    <w:name w:val="List Table 1 Light - Accent 3"/>
    <w:basedOn w:val="800"/>
    <w:uiPriority w:val="99"/>
    <w:qFormat/>
    <w:tblPr>
      <w:tblLayout w:type="fixed"/>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5" w:customStyle="1">
    <w:name w:val="List Table 1 Light - Accent 4"/>
    <w:basedOn w:val="800"/>
    <w:uiPriority w:val="99"/>
    <w:qFormat/>
    <w:tblPr>
      <w:tblLayout w:type="fixed"/>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6" w:customStyle="1">
    <w:name w:val="List Table 1 Light - Accent 5"/>
    <w:basedOn w:val="800"/>
    <w:uiPriority w:val="99"/>
    <w:qFormat/>
    <w:tblPr>
      <w:tblLayout w:type="fixed"/>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7" w:customStyle="1">
    <w:name w:val="List Table 1 Light - Accent 6"/>
    <w:basedOn w:val="800"/>
    <w:uiPriority w:val="99"/>
    <w:qFormat/>
    <w:tblPr>
      <w:tblLayout w:type="fixed"/>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8" w:customStyle="1">
    <w:name w:val="清单表 21"/>
    <w:basedOn w:val="80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9" w:customStyle="1">
    <w:name w:val="List Table 2 - Accent 1"/>
    <w:basedOn w:val="800"/>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0" w:customStyle="1">
    <w:name w:val="List Table 2 - Accent 2"/>
    <w:basedOn w:val="800"/>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1" w:customStyle="1">
    <w:name w:val="List Table 2 - Accent 3"/>
    <w:basedOn w:val="800"/>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2" w:customStyle="1">
    <w:name w:val="List Table 2 - Accent 4"/>
    <w:basedOn w:val="800"/>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3" w:customStyle="1">
    <w:name w:val="List Table 2 - Accent 5"/>
    <w:basedOn w:val="800"/>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4" w:customStyle="1">
    <w:name w:val="List Table 2 - Accent 6"/>
    <w:basedOn w:val="800"/>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5" w:customStyle="1">
    <w:name w:val="清单表 31"/>
    <w:basedOn w:val="80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6" w:customStyle="1">
    <w:name w:val="List Table 3 - Accent 1"/>
    <w:basedOn w:val="800"/>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7" w:customStyle="1">
    <w:name w:val="List Table 3 - Accent 2"/>
    <w:basedOn w:val="80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8" w:customStyle="1">
    <w:name w:val="List Table 3 - Accent 3"/>
    <w:basedOn w:val="800"/>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9" w:customStyle="1">
    <w:name w:val="List Table 3 - Accent 4"/>
    <w:basedOn w:val="80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0" w:customStyle="1">
    <w:name w:val="List Table 3 - Accent 5"/>
    <w:basedOn w:val="800"/>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1" w:customStyle="1">
    <w:name w:val="List Table 3 - Accent 6"/>
    <w:basedOn w:val="800"/>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2" w:customStyle="1">
    <w:name w:val="清单表 41"/>
    <w:basedOn w:val="80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3" w:customStyle="1">
    <w:name w:val="List Table 4 - Accent 1"/>
    <w:basedOn w:val="800"/>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4" w:customStyle="1">
    <w:name w:val="List Table 4 - Accent 2"/>
    <w:basedOn w:val="800"/>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5" w:customStyle="1">
    <w:name w:val="List Table 4 - Accent 3"/>
    <w:basedOn w:val="800"/>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6" w:customStyle="1">
    <w:name w:val="List Table 4 - Accent 4"/>
    <w:basedOn w:val="800"/>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7" w:customStyle="1">
    <w:name w:val="List Table 4 - Accent 5"/>
    <w:basedOn w:val="800"/>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8" w:customStyle="1">
    <w:name w:val="List Table 4 - Accent 6"/>
    <w:basedOn w:val="800"/>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9" w:customStyle="1">
    <w:name w:val="清单表 5 深色1"/>
    <w:basedOn w:val="80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50" w:customStyle="1">
    <w:name w:val="List Table 5 Dark - Accent 1"/>
    <w:basedOn w:val="800"/>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51" w:customStyle="1">
    <w:name w:val="List Table 5 Dark - Accent 2"/>
    <w:basedOn w:val="800"/>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52" w:customStyle="1">
    <w:name w:val="List Table 5 Dark - Accent 3"/>
    <w:basedOn w:val="800"/>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53" w:customStyle="1">
    <w:name w:val="List Table 5 Dark - Accent 4"/>
    <w:basedOn w:val="800"/>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54" w:customStyle="1">
    <w:name w:val="List Table 5 Dark - Accent 5"/>
    <w:basedOn w:val="800"/>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55" w:customStyle="1">
    <w:name w:val="List Table 5 Dark - Accent 6"/>
    <w:basedOn w:val="800"/>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56" w:customStyle="1">
    <w:name w:val="清单表 6 彩色1"/>
    <w:basedOn w:val="800"/>
    <w:uiPriority w:val="99"/>
    <w:qFormat/>
    <w:tblPr>
      <w:tblBorders>
        <w:top w:val="single" w:color="7E7E7E" w:themeColor="text1" w:themeTint="80" w:sz="4" w:space="0"/>
        <w:bottom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57" w:customStyle="1">
    <w:name w:val="List Table 6 Colorful - Accent 1"/>
    <w:basedOn w:val="800"/>
    <w:uiPriority w:val="99"/>
    <w:qFormat/>
    <w:tblPr>
      <w:tblBorders>
        <w:top w:val="single" w:color="4F81BD" w:themeColor="accent1" w:sz="4" w:space="0"/>
        <w:bottom w:val="single" w:color="4F81BD" w:themeColor="accent1" w:sz="4" w:space="0"/>
      </w:tblBorders>
      <w:tblLayout w:type="fixed"/>
      <w:tblCellMar>
        <w:left w:w="108" w:type="dxa"/>
        <w:top w:w="0" w:type="dxa"/>
        <w:right w:w="108"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958" w:customStyle="1">
    <w:name w:val="List Table 6 Colorful - Accent 2"/>
    <w:basedOn w:val="800"/>
    <w:uiPriority w:val="99"/>
    <w:qFormat/>
    <w:tblPr>
      <w:tblBorders>
        <w:top w:val="single" w:color="D99795" w:themeColor="accent2" w:themeTint="97" w:sz="4" w:space="0"/>
        <w:bottom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959" w:customStyle="1">
    <w:name w:val="List Table 6 Colorful - Accent 3"/>
    <w:basedOn w:val="800"/>
    <w:uiPriority w:val="99"/>
    <w:qFormat/>
    <w:tblPr>
      <w:tblBorders>
        <w:top w:val="single" w:color="C3D69C" w:themeColor="accent3" w:themeTint="98" w:sz="4" w:space="0"/>
        <w:bottom w:val="single" w:color="C3D69C" w:themeColor="accent3" w:themeTint="98" w:sz="4" w:space="0"/>
      </w:tblBorders>
      <w:tblLayout w:type="fixed"/>
      <w:tblCellMar>
        <w:left w:w="108" w:type="dxa"/>
        <w:top w:w="0" w:type="dxa"/>
        <w:right w:w="108"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960" w:customStyle="1">
    <w:name w:val="List Table 6 Colorful - Accent 4"/>
    <w:basedOn w:val="800"/>
    <w:uiPriority w:val="99"/>
    <w:tblPr>
      <w:tblBorders>
        <w:top w:val="single" w:color="B2A1C6" w:themeColor="accent4" w:themeTint="9A" w:sz="4" w:space="0"/>
        <w:bottom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61" w:customStyle="1">
    <w:name w:val="List Table 6 Colorful - Accent 5"/>
    <w:basedOn w:val="800"/>
    <w:uiPriority w:val="99"/>
    <w:tblPr>
      <w:tblBorders>
        <w:top w:val="single" w:color="92CCDC" w:themeColor="accent5" w:themeTint="9A" w:sz="4" w:space="0"/>
        <w:bottom w:val="single" w:color="92CCDC" w:themeColor="accent5" w:themeTint="9A" w:sz="4" w:space="0"/>
      </w:tblBorders>
      <w:tblLayout w:type="fixed"/>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62" w:customStyle="1">
    <w:name w:val="List Table 6 Colorful - Accent 6"/>
    <w:basedOn w:val="800"/>
    <w:uiPriority w:val="99"/>
    <w:tblPr>
      <w:tblBorders>
        <w:top w:val="single" w:color="FAC090" w:themeColor="accent6" w:themeTint="98" w:sz="4" w:space="0"/>
        <w:bottom w:val="single" w:color="FAC090" w:themeColor="accent6" w:themeTint="98" w:sz="4" w:space="0"/>
      </w:tblBorders>
      <w:tblLayout w:type="fixed"/>
      <w:tblCellMar>
        <w:left w:w="108" w:type="dxa"/>
        <w:top w:w="0" w:type="dxa"/>
        <w:right w:w="108"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63" w:customStyle="1">
    <w:name w:val="清单表 7 彩色1"/>
    <w:basedOn w:val="800"/>
    <w:uiPriority w:val="99"/>
    <w:qFormat/>
    <w:tblPr>
      <w:tblBorders>
        <w:right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4" w:customStyle="1">
    <w:name w:val="List Table 7 Colorful - Accent 1"/>
    <w:basedOn w:val="800"/>
    <w:uiPriority w:val="99"/>
    <w:qFormat/>
    <w:tblPr>
      <w:tblBorders>
        <w:right w:val="single" w:color="4F81BD" w:themeColor="accent1" w:sz="4" w:space="0"/>
      </w:tblBorders>
      <w:tblLayout w:type="fixed"/>
      <w:tblCellMar>
        <w:left w:w="108" w:type="dxa"/>
        <w:top w:w="0" w:type="dxa"/>
        <w:right w:w="108"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5" w:customStyle="1">
    <w:name w:val="List Table 7 Colorful - Accent 2"/>
    <w:basedOn w:val="800"/>
    <w:uiPriority w:val="99"/>
    <w:qFormat/>
    <w:tblPr>
      <w:tblBorders>
        <w:right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6" w:customStyle="1">
    <w:name w:val="List Table 7 Colorful - Accent 3"/>
    <w:basedOn w:val="800"/>
    <w:uiPriority w:val="99"/>
    <w:qFormat/>
    <w:tblPr>
      <w:tblBorders>
        <w:right w:val="single" w:color="C3D69C" w:themeColor="accent3" w:themeTint="98" w:sz="4" w:space="0"/>
      </w:tblBorders>
      <w:tblLayout w:type="fixed"/>
      <w:tblCellMar>
        <w:left w:w="108" w:type="dxa"/>
        <w:top w:w="0" w:type="dxa"/>
        <w:right w:w="108"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7" w:customStyle="1">
    <w:name w:val="List Table 7 Colorful - Accent 4"/>
    <w:basedOn w:val="800"/>
    <w:uiPriority w:val="99"/>
    <w:qFormat/>
    <w:tblPr>
      <w:tblBorders>
        <w:right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8" w:customStyle="1">
    <w:name w:val="List Table 7 Colorful - Accent 5"/>
    <w:basedOn w:val="800"/>
    <w:uiPriority w:val="99"/>
    <w:qFormat/>
    <w:tblPr>
      <w:tblBorders>
        <w:right w:val="single" w:color="92CCDC" w:themeColor="accent5" w:themeTint="9A" w:sz="4" w:space="0"/>
      </w:tblBorders>
      <w:tblLayout w:type="fixed"/>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9" w:customStyle="1">
    <w:name w:val="List Table 7 Colorful - Accent 6"/>
    <w:basedOn w:val="800"/>
    <w:uiPriority w:val="99"/>
    <w:qFormat/>
    <w:tblPr>
      <w:tblBorders>
        <w:right w:val="single" w:color="FAC090" w:themeColor="accent6" w:themeTint="98" w:sz="4" w:space="0"/>
      </w:tblBorders>
      <w:tblLayout w:type="fixed"/>
      <w:tblCellMar>
        <w:left w:w="108" w:type="dxa"/>
        <w:top w:w="0" w:type="dxa"/>
        <w:right w:w="108"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0" w:customStyle="1">
    <w:name w:val="Lined - Accent"/>
    <w:basedOn w:val="800"/>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1" w:customStyle="1">
    <w:name w:val="Lined - Accent 1"/>
    <w:basedOn w:val="800"/>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2" w:customStyle="1">
    <w:name w:val="Lined - Accent 2"/>
    <w:basedOn w:val="800"/>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3" w:customStyle="1">
    <w:name w:val="Lined - Accent 3"/>
    <w:basedOn w:val="800"/>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4" w:customStyle="1">
    <w:name w:val="Lined - Accent 4"/>
    <w:basedOn w:val="800"/>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5" w:customStyle="1">
    <w:name w:val="Lined - Accent 5"/>
    <w:basedOn w:val="800"/>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6" w:customStyle="1">
    <w:name w:val="Lined - Accent 6"/>
    <w:basedOn w:val="800"/>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7" w:customStyle="1">
    <w:name w:val="Bordered &amp; Lined - Accent"/>
    <w:basedOn w:val="80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8" w:customStyle="1">
    <w:name w:val="Bordered &amp; Lined - Accent 1"/>
    <w:basedOn w:val="800"/>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9" w:customStyle="1">
    <w:name w:val="Bordered &amp; Lined - Accent 2"/>
    <w:basedOn w:val="800"/>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0" w:customStyle="1">
    <w:name w:val="Bordered &amp; Lined - Accent 3"/>
    <w:basedOn w:val="800"/>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1" w:customStyle="1">
    <w:name w:val="Bordered &amp; Lined - Accent 4"/>
    <w:basedOn w:val="800"/>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2" w:customStyle="1">
    <w:name w:val="Bordered &amp; Lined - Accent 5"/>
    <w:basedOn w:val="800"/>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3" w:customStyle="1">
    <w:name w:val="Bordered &amp; Lined - Accent 6"/>
    <w:basedOn w:val="800"/>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4" w:customStyle="1">
    <w:name w:val="Bordered"/>
    <w:basedOn w:val="80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5" w:customStyle="1">
    <w:name w:val="Bordered - Accent 1"/>
    <w:basedOn w:val="80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6" w:customStyle="1">
    <w:name w:val="Bordered - Accent 2"/>
    <w:basedOn w:val="80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7" w:customStyle="1">
    <w:name w:val="Bordered - Accent 3"/>
    <w:basedOn w:val="80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8" w:customStyle="1">
    <w:name w:val="Bordered - Accent 4"/>
    <w:basedOn w:val="80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9" w:customStyle="1">
    <w:name w:val="Bordered - Accent 5"/>
    <w:basedOn w:val="80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0" w:customStyle="1">
    <w:name w:val="Bordered - Accent 6"/>
    <w:basedOn w:val="80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1" w:customStyle="1">
    <w:name w:val="Footnote Text Char"/>
    <w:uiPriority w:val="99"/>
    <w:qFormat/>
    <w:rPr>
      <w:sz w:val="18"/>
    </w:rPr>
  </w:style>
  <w:style w:type="character" w:styleId="992" w:customStyle="1">
    <w:name w:val="尾注文本 Char"/>
    <w:link w:val="820"/>
    <w:uiPriority w:val="99"/>
    <w:qFormat/>
    <w:rPr>
      <w:sz w:val="20"/>
    </w:rPr>
  </w:style>
  <w:style w:type="paragraph" w:styleId="993" w:customStyle="1">
    <w:name w:val="TOC 标题1"/>
    <w:uiPriority w:val="39"/>
    <w:unhideWhenUsed/>
    <w:qFormat/>
    <w:pPr>
      <w:spacing w:after="160" w:line="278" w:lineRule="auto"/>
    </w:pPr>
    <w:rPr>
      <w:rFonts w:asciiTheme="minorHAnsi" w:hAnsiTheme="minorHAnsi" w:eastAsiaTheme="minorEastAsia" w:cstheme="minorBidi"/>
      <w:lang w:val="en-US" w:eastAsia="zh-CN" w:bidi="ar-SA"/>
    </w:rPr>
  </w:style>
  <w:style w:type="paragraph" w:styleId="994" w:customStyle="1">
    <w:name w:val="段"/>
    <w:next w:val="789"/>
    <w:uiPriority w:val="0"/>
    <w:qFormat/>
    <w:pPr>
      <w:ind w:firstLine="200"/>
      <w:jc w:val="both"/>
      <w:spacing w:after="160" w:line="360" w:lineRule="auto"/>
    </w:pPr>
    <w:rPr>
      <w:rFonts w:ascii="宋体" w:hAnsi="Times New Roman" w:eastAsia="宋体" w:cs="Times New Roman"/>
      <w:sz w:val="24"/>
      <w:szCs w:val="22"/>
      <w:lang w:val="en-US" w:eastAsia="zh-CN" w:bidi="ar-SA"/>
    </w:rPr>
  </w:style>
  <w:style w:type="paragraph" w:styleId="995" w:customStyle="1">
    <w:name w:val="一级条标题"/>
    <w:basedOn w:val="996"/>
    <w:next w:val="994"/>
    <w:uiPriority w:val="0"/>
    <w:unhideWhenUsed/>
    <w:qFormat/>
    <w:pPr>
      <w:ind w:left="420"/>
      <w:spacing w:line="240" w:lineRule="auto"/>
      <w:outlineLvl w:val="2"/>
    </w:pPr>
  </w:style>
  <w:style w:type="paragraph" w:styleId="996" w:customStyle="1">
    <w:name w:val="章标题"/>
    <w:next w:val="789"/>
    <w:uiPriority w:val="0"/>
    <w:unhideWhenUsed/>
    <w:qFormat/>
    <w:pPr>
      <w:jc w:val="both"/>
      <w:spacing w:after="160" w:line="360" w:lineRule="auto"/>
      <w:outlineLvl w:val="1"/>
    </w:pPr>
    <w:rPr>
      <w:rFonts w:hint="eastAsia" w:ascii="黑体" w:hAnsi="Times New Roman" w:eastAsia="黑体" w:cs="黑体"/>
      <w:sz w:val="21"/>
      <w:szCs w:val="21"/>
      <w:lang w:val="en-US" w:eastAsia="zh-CN" w:bidi="ar-SA"/>
    </w:rPr>
  </w:style>
  <w:style w:type="paragraph" w:styleId="997" w:customStyle="1">
    <w:name w:val="正文1"/>
    <w:basedOn w:val="789"/>
    <w:next w:val="789"/>
    <w:uiPriority w:val="0"/>
    <w:qFormat/>
    <w:pPr>
      <w:ind w:left="420" w:firstLine="527"/>
      <w:spacing w:before="120" w:line="360" w:lineRule="auto"/>
    </w:pPr>
    <w:rPr>
      <w:rFonts w:ascii="宋体" w:hAnsi="宋体"/>
    </w:rPr>
  </w:style>
  <w:style w:type="paragraph" w:styleId="998" w:customStyle="1">
    <w:name w:val="a文档正文"/>
    <w:basedOn w:val="789"/>
    <w:link w:val="1245"/>
    <w:uiPriority w:val="0"/>
    <w:qFormat/>
    <w:pPr>
      <w:ind w:firstLine="480"/>
      <w:spacing w:line="360" w:lineRule="auto"/>
    </w:pPr>
    <w:rPr>
      <w:rFonts w:ascii="Tahoma" w:hAnsi="Tahoma" w:eastAsia="仿宋_GB2312"/>
      <w:sz w:val="28"/>
    </w:rPr>
  </w:style>
  <w:style w:type="paragraph" w:styleId="999" w:customStyle="1">
    <w:name w:val="纯文本1"/>
    <w:basedOn w:val="789"/>
    <w:next w:val="1000"/>
    <w:uiPriority w:val="0"/>
    <w:qFormat/>
    <w:rPr>
      <w:rFonts w:ascii="宋体" w:hAnsi="Courier New"/>
    </w:rPr>
  </w:style>
  <w:style w:type="paragraph" w:styleId="1000" w:customStyle="1">
    <w:name w:val="xl76"/>
    <w:basedOn w:val="789"/>
    <w:next w:val="1001"/>
    <w:uiPriority w:val="0"/>
    <w:qFormat/>
    <w:pPr>
      <w:spacing w:before="280" w:after="280"/>
      <w:widowControl/>
    </w:pPr>
    <w:rPr>
      <w:rFonts w:ascii="宋体"/>
      <w:sz w:val="20"/>
    </w:rPr>
  </w:style>
  <w:style w:type="paragraph" w:styleId="1001" w:customStyle="1">
    <w:name w:val="目录 41"/>
    <w:next w:val="789"/>
    <w:uiPriority w:val="0"/>
    <w:qFormat/>
    <w:pPr>
      <w:ind w:left="850"/>
      <w:jc w:val="both"/>
      <w:spacing w:after="160" w:line="278" w:lineRule="auto"/>
    </w:pPr>
    <w:rPr>
      <w:rFonts w:ascii="Times New Roman" w:hAnsi="Times New Roman" w:eastAsia="宋体" w:cs="Times New Roman"/>
      <w:sz w:val="21"/>
      <w:lang w:val="en-US" w:eastAsia="zh-CN" w:bidi="ar-SA"/>
    </w:rPr>
  </w:style>
  <w:style w:type="paragraph" w:styleId="1002" w:customStyle="1">
    <w:name w:val="纯文本2"/>
    <w:basedOn w:val="789"/>
    <w:link w:val="1278"/>
    <w:uiPriority w:val="0"/>
    <w:qFormat/>
    <w:rPr>
      <w:rFonts w:ascii="宋体" w:hAnsi="Courier New"/>
    </w:rPr>
  </w:style>
  <w:style w:type="paragraph" w:styleId="1003" w:customStyle="1">
    <w:name w:val="xl83"/>
    <w:basedOn w:val="78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04" w:customStyle="1">
    <w:name w:val="xl81"/>
    <w:basedOn w:val="7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05" w:customStyle="1">
    <w:name w:val="xl146"/>
    <w:basedOn w:val="7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06" w:customStyle="1">
    <w:name w:val="招标正文"/>
    <w:basedOn w:val="789"/>
    <w:link w:val="1270"/>
    <w:uiPriority w:val="0"/>
    <w:qFormat/>
    <w:pPr>
      <w:ind w:firstLine="480"/>
      <w:spacing w:line="360" w:lineRule="auto"/>
    </w:pPr>
    <w:rPr>
      <w:rFonts w:ascii="宋体" w:eastAsia="宋体"/>
      <w:sz w:val="24"/>
      <w:szCs w:val="24"/>
    </w:rPr>
  </w:style>
  <w:style w:type="paragraph" w:styleId="1007" w:customStyle="1">
    <w:name w:val="xl166"/>
    <w:basedOn w:val="78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08" w:customStyle="1">
    <w:name w:val="Plain Text1"/>
    <w:basedOn w:val="789"/>
    <w:uiPriority w:val="99"/>
    <w:qFormat/>
    <w:rPr>
      <w:rFonts w:ascii="宋体" w:hAnsi="Courier New"/>
    </w:rPr>
  </w:style>
  <w:style w:type="paragraph" w:styleId="1009" w:customStyle="1">
    <w:name w:val="xl66"/>
    <w:basedOn w:val="789"/>
    <w:uiPriority w:val="0"/>
    <w:qFormat/>
    <w:pPr>
      <w:jc w:val="center"/>
      <w:spacing w:before="100" w:beforeAutospacing="1" w:after="100" w:afterAutospacing="1"/>
      <w:widowControl/>
    </w:pPr>
    <w:rPr>
      <w:rFonts w:ascii="宋体" w:hAnsi="宋体" w:eastAsia="宋体" w:cs="宋体"/>
      <w:sz w:val="24"/>
      <w:szCs w:val="24"/>
    </w:rPr>
  </w:style>
  <w:style w:type="paragraph" w:styleId="1010" w:customStyle="1">
    <w:name w:val="xl86"/>
    <w:basedOn w:val="7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11" w:customStyle="1">
    <w:name w:val="文字"/>
    <w:basedOn w:val="789"/>
    <w:uiPriority w:val="0"/>
    <w:qFormat/>
    <w:pPr>
      <w:ind w:right="-210" w:firstLine="556"/>
      <w:spacing w:line="312" w:lineRule="auto"/>
      <w:tabs>
        <w:tab w:val="left" w:pos="8520" w:leader="none"/>
      </w:tabs>
    </w:pPr>
    <w:rPr>
      <w:rFonts w:ascii="楷体_GB2312"/>
      <w:sz w:val="28"/>
    </w:rPr>
  </w:style>
  <w:style w:type="paragraph" w:styleId="1012" w:customStyle="1">
    <w:name w:val="xl124"/>
    <w:basedOn w:val="7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13" w:customStyle="1">
    <w:name w:val="WPS Plain"/>
    <w:uiPriority w:val="0"/>
    <w:qFormat/>
    <w:pPr>
      <w:spacing w:after="160" w:line="278" w:lineRule="auto"/>
    </w:pPr>
    <w:rPr>
      <w:rFonts w:ascii="Times New Roman" w:hAnsi="Times New Roman" w:eastAsia="宋体" w:cs="Times New Roman"/>
      <w:lang w:val="en-US" w:eastAsia="zh-CN" w:bidi="ar-SA"/>
    </w:rPr>
  </w:style>
  <w:style w:type="paragraph" w:styleId="1014" w:customStyle="1">
    <w:name w:val="xl54"/>
    <w:basedOn w:val="789"/>
    <w:uiPriority w:val="0"/>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b/>
      <w:bCs/>
      <w:sz w:val="20"/>
    </w:rPr>
  </w:style>
  <w:style w:type="paragraph" w:styleId="1015" w:customStyle="1">
    <w:name w:val="Char1"/>
    <w:basedOn w:val="789"/>
    <w:uiPriority w:val="0"/>
    <w:qFormat/>
    <w:rPr>
      <w:rFonts w:ascii="仿宋_GB2312" w:eastAsia="仿宋_GB2312"/>
      <w:b/>
      <w:sz w:val="32"/>
      <w:szCs w:val="32"/>
    </w:rPr>
  </w:style>
  <w:style w:type="paragraph" w:styleId="1016" w:customStyle="1">
    <w:name w:val="xl84"/>
    <w:basedOn w:val="7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17" w:customStyle="1">
    <w:name w:val="xl90"/>
    <w:basedOn w:val="78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18" w:customStyle="1">
    <w:name w:val="xl158"/>
    <w:basedOn w:val="7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19" w:customStyle="1">
    <w:name w:val="Char1 Char Char Char Char Char Char Char Char Char Char Char"/>
    <w:basedOn w:val="789"/>
    <w:uiPriority w:val="0"/>
    <w:qFormat/>
    <w:pPr>
      <w:ind w:left="432" w:hanging="432"/>
      <w:pageBreakBefore/>
      <w:tabs>
        <w:tab w:val="left" w:pos="432" w:leader="none"/>
      </w:tabs>
    </w:pPr>
    <w:rPr>
      <w:rFonts w:ascii="Tahoma" w:hAnsi="Tahoma" w:eastAsia="宋体"/>
      <w:sz w:val="24"/>
    </w:rPr>
  </w:style>
  <w:style w:type="paragraph" w:styleId="1020" w:customStyle="1">
    <w:name w:val="xl169"/>
    <w:basedOn w:val="7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21" w:customStyle="1">
    <w:name w:val="xl78"/>
    <w:basedOn w:val="7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22" w:customStyle="1">
    <w:name w:val="编号1"/>
    <w:basedOn w:val="789"/>
    <w:uiPriority w:val="0"/>
    <w:qFormat/>
    <w:pPr>
      <w:ind w:left="432" w:right="210" w:hanging="432"/>
      <w:tabs>
        <w:tab w:val="left" w:pos="360" w:leader="none"/>
      </w:tabs>
    </w:pPr>
    <w:rPr>
      <w:rFonts w:ascii="宋体" w:hAnsi="宋体" w:eastAsia="宋体"/>
      <w:spacing w:val="10"/>
      <w:sz w:val="21"/>
      <w:szCs w:val="24"/>
    </w:rPr>
  </w:style>
  <w:style w:type="paragraph" w:styleId="1023" w:customStyle="1">
    <w:name w:val="分标题"/>
    <w:basedOn w:val="789"/>
    <w:uiPriority w:val="0"/>
    <w:qFormat/>
    <w:pPr>
      <w:numPr>
        <w:ilvl w:val="1"/>
        <w:numId w:val="1"/>
      </w:numPr>
      <w:spacing w:before="120" w:after="120" w:line="360" w:lineRule="exact"/>
      <w:tabs>
        <w:tab w:val="left" w:pos="567" w:leader="none"/>
      </w:tabs>
      <w:outlineLvl w:val="3"/>
    </w:pPr>
    <w:rPr>
      <w:rFonts w:ascii="宋体" w:hAnsi="宋体" w:eastAsia="宋体"/>
      <w:b/>
      <w:sz w:val="24"/>
      <w:szCs w:val="24"/>
    </w:rPr>
  </w:style>
  <w:style w:type="paragraph" w:styleId="1024" w:customStyle="1">
    <w:name w:val="Item Step in Table"/>
    <w:uiPriority w:val="0"/>
    <w:qFormat/>
    <w:pPr>
      <w:ind w:left="397" w:hanging="397"/>
      <w:jc w:val="both"/>
      <w:spacing w:before="40" w:after="40" w:line="278" w:lineRule="auto"/>
      <w:tabs>
        <w:tab w:val="left" w:pos="397" w:leader="none"/>
      </w:tabs>
    </w:pPr>
    <w:rPr>
      <w:rFonts w:ascii="Arial" w:hAnsi="Arial" w:eastAsia="宋体" w:cs="Arial"/>
      <w:sz w:val="18"/>
      <w:szCs w:val="18"/>
      <w:lang w:val="en-US" w:eastAsia="zh-CN" w:bidi="ar-SA"/>
    </w:rPr>
  </w:style>
  <w:style w:type="paragraph" w:styleId="1025" w:customStyle="1">
    <w:name w:val="xl106"/>
    <w:basedOn w:val="789"/>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026" w:customStyle="1">
    <w:name w:val="xl157"/>
    <w:basedOn w:val="7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27" w:customStyle="1">
    <w:name w:val="xl72"/>
    <w:basedOn w:val="789"/>
    <w:uiPriority w:val="0"/>
    <w:qFormat/>
    <w:pPr>
      <w:jc w:val="left"/>
      <w:spacing w:before="100" w:beforeAutospacing="1" w:after="100" w:afterAutospacing="1"/>
      <w:shd w:val="clear" w:color="000000" w:fill="ddd9c4"/>
      <w:widowControl/>
      <w:pBdr>
        <w:top w:val="single" w:color="auto" w:sz="4" w:space="0"/>
        <w:left w:val="single" w:color="auto" w:sz="8" w:space="0"/>
        <w:bottom w:val="single" w:color="auto" w:sz="4" w:space="0"/>
        <w:right w:val="single" w:color="auto" w:sz="4" w:space="0"/>
      </w:pBdr>
    </w:pPr>
    <w:rPr>
      <w:rFonts w:ascii="宋体" w:hAnsi="宋体" w:eastAsia="宋体" w:cs="宋体"/>
      <w:sz w:val="24"/>
      <w:szCs w:val="24"/>
    </w:rPr>
  </w:style>
  <w:style w:type="paragraph" w:styleId="1028" w:customStyle="1">
    <w:name w:val="xl178"/>
    <w:basedOn w:val="7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29" w:customStyle="1">
    <w:name w:val="xl198"/>
    <w:basedOn w:val="789"/>
    <w:uiPriority w:val="0"/>
    <w:qFormat/>
    <w:pPr>
      <w:jc w:val="left"/>
      <w:spacing w:before="100" w:beforeAutospacing="1" w:after="100" w:afterAutospacing="1"/>
      <w:widowControl/>
    </w:pPr>
    <w:rPr>
      <w:rFonts w:ascii="微软雅黑" w:hAnsi="微软雅黑" w:eastAsia="微软雅黑" w:cs="宋体"/>
      <w:color w:val="000000"/>
      <w:sz w:val="24"/>
      <w:szCs w:val="24"/>
    </w:rPr>
  </w:style>
  <w:style w:type="paragraph" w:styleId="1030" w:customStyle="1">
    <w:name w:val="xl140"/>
    <w:basedOn w:val="78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31" w:customStyle="1">
    <w:name w:val="xl117"/>
    <w:basedOn w:val="7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32" w:customStyle="1">
    <w:name w:val="xl138"/>
    <w:basedOn w:val="78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33" w:customStyle="1">
    <w:name w:val="Char Char Char"/>
    <w:basedOn w:val="789"/>
    <w:uiPriority w:val="0"/>
    <w:qFormat/>
    <w:pPr>
      <w:ind w:left="780" w:hanging="420"/>
      <w:tabs>
        <w:tab w:val="left" w:pos="1545" w:leader="none"/>
      </w:tabs>
    </w:pPr>
    <w:rPr>
      <w:rFonts w:eastAsia="宋体"/>
      <w:sz w:val="21"/>
      <w:szCs w:val="24"/>
    </w:rPr>
  </w:style>
  <w:style w:type="paragraph" w:styleId="1034" w:customStyle="1">
    <w:name w:val="Char"/>
    <w:basedOn w:val="789"/>
    <w:uiPriority w:val="0"/>
    <w:qFormat/>
    <w:pPr>
      <w:jc w:val="left"/>
      <w:spacing w:line="240" w:lineRule="exact"/>
      <w:widowControl/>
    </w:pPr>
    <w:rPr>
      <w:rFonts w:ascii="Verdana" w:hAnsi="Verdana" w:eastAsia="仿宋_GB2312"/>
      <w:sz w:val="24"/>
      <w:lang w:eastAsia="en-US"/>
    </w:rPr>
  </w:style>
  <w:style w:type="paragraph" w:styleId="1035" w:customStyle="1">
    <w:name w:val="xl162"/>
    <w:basedOn w:val="7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36" w:customStyle="1">
    <w:name w:val="xl93"/>
    <w:basedOn w:val="789"/>
    <w:uiPriority w:val="0"/>
    <w:qFormat/>
    <w:pPr>
      <w:jc w:val="left"/>
      <w:spacing w:before="100" w:beforeAutospacing="1" w:after="100" w:afterAutospacing="1"/>
      <w:shd w:val="clear" w:color="000000" w:fill="ddd9c4"/>
      <w:widowControl/>
      <w:pBdr>
        <w:left w:val="single" w:color="auto" w:sz="8" w:space="0"/>
        <w:bottom w:val="single" w:color="auto" w:sz="8" w:space="0"/>
      </w:pBdr>
    </w:pPr>
    <w:rPr>
      <w:rFonts w:ascii="宋体" w:hAnsi="宋体" w:eastAsia="宋体" w:cs="宋体"/>
      <w:b/>
      <w:bCs/>
      <w:color w:val="000000"/>
      <w:sz w:val="24"/>
      <w:szCs w:val="24"/>
    </w:rPr>
  </w:style>
  <w:style w:type="paragraph" w:styleId="1037" w:customStyle="1">
    <w:name w:val="样式1"/>
    <w:basedOn w:val="789"/>
    <w:uiPriority w:val="0"/>
    <w:qFormat/>
    <w:pPr>
      <w:tabs>
        <w:tab w:val="left" w:pos="709" w:leader="none"/>
      </w:tabs>
    </w:pPr>
    <w:rPr>
      <w:rFonts w:ascii="宋体" w:hAnsi="宋体" w:eastAsia="宋体"/>
      <w:sz w:val="21"/>
      <w:szCs w:val="24"/>
    </w:rPr>
  </w:style>
  <w:style w:type="paragraph" w:styleId="1038" w:customStyle="1">
    <w:name w:val="xl182"/>
    <w:basedOn w:val="7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39" w:customStyle="1">
    <w:name w:val="xl141"/>
    <w:basedOn w:val="7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40" w:customStyle="1">
    <w:name w:val="xl109"/>
    <w:basedOn w:val="78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041" w:customStyle="1">
    <w:name w:val="xl120"/>
    <w:basedOn w:val="78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42" w:customStyle="1">
    <w:name w:val="CM42"/>
    <w:basedOn w:val="789"/>
    <w:next w:val="789"/>
    <w:uiPriority w:val="99"/>
    <w:qFormat/>
    <w:pPr>
      <w:jc w:val="left"/>
      <w:spacing w:line="616" w:lineRule="atLeast"/>
    </w:pPr>
    <w:rPr>
      <w:rFonts w:ascii="宋体" w:hAnsi="Calibri" w:eastAsia="宋体"/>
      <w:sz w:val="24"/>
      <w:szCs w:val="24"/>
    </w:rPr>
  </w:style>
  <w:style w:type="paragraph" w:styleId="1043" w:customStyle="1">
    <w:name w:val="xl126"/>
    <w:basedOn w:val="7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44" w:customStyle="1">
    <w:name w:val="xl151"/>
    <w:basedOn w:val="78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45" w:customStyle="1">
    <w:name w:val="xl131"/>
    <w:basedOn w:val="78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046" w:customStyle="1">
    <w:name w:val="xl24"/>
    <w:basedOn w:val="78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4"/>
      <w:szCs w:val="24"/>
    </w:rPr>
  </w:style>
  <w:style w:type="paragraph" w:styleId="1047" w:customStyle="1">
    <w:name w:val="xl121"/>
    <w:basedOn w:val="7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48" w:customStyle="1">
    <w:name w:val="font6"/>
    <w:basedOn w:val="789"/>
    <w:uiPriority w:val="0"/>
    <w:qFormat/>
    <w:pPr>
      <w:jc w:val="left"/>
      <w:spacing w:before="100" w:beforeAutospacing="1" w:after="100" w:afterAutospacing="1"/>
      <w:widowControl/>
    </w:pPr>
    <w:rPr>
      <w:rFonts w:ascii="宋体" w:hAnsi="宋体" w:eastAsia="宋体" w:cs="宋体"/>
      <w:sz w:val="18"/>
      <w:szCs w:val="18"/>
    </w:rPr>
  </w:style>
  <w:style w:type="paragraph" w:styleId="1049" w:customStyle="1">
    <w:name w:val="xl128"/>
    <w:basedOn w:val="78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50" w:customStyle="1">
    <w:name w:val="xl196"/>
    <w:basedOn w:val="789"/>
    <w:uiPriority w:val="0"/>
    <w:qFormat/>
    <w:pPr>
      <w:jc w:val="left"/>
      <w:spacing w:before="100" w:beforeAutospacing="1" w:after="100" w:afterAutospacing="1"/>
      <w:widowControl/>
    </w:pPr>
    <w:rPr>
      <w:rFonts w:ascii="微软雅黑" w:hAnsi="微软雅黑" w:eastAsia="微软雅黑" w:cs="宋体"/>
      <w:color w:val="000000"/>
      <w:sz w:val="24"/>
      <w:szCs w:val="24"/>
    </w:rPr>
  </w:style>
  <w:style w:type="paragraph" w:styleId="1051" w:customStyle="1">
    <w:name w:val="xl184"/>
    <w:basedOn w:val="7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52" w:customStyle="1">
    <w:name w:val="xl194"/>
    <w:basedOn w:val="7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53" w:customStyle="1">
    <w:name w:val="正文 A"/>
    <w:uiPriority w:val="99"/>
    <w:qFormat/>
    <w:pPr>
      <w:jc w:val="both"/>
      <w:spacing w:after="160" w:line="278" w:lineRule="auto"/>
      <w:widowControl w:val="off"/>
      <w:pBdr>
        <w:top w:val="none" w:color="FFFFFF" w:sz="0" w:space="31"/>
        <w:left w:val="none" w:color="FFFFFF" w:sz="0" w:space="31"/>
        <w:bottom w:val="none" w:color="FFFFFF" w:sz="0" w:space="31"/>
        <w:right w:val="none" w:color="FFFFFF" w:sz="0" w:space="31"/>
      </w:pBdr>
    </w:pPr>
    <w:rPr>
      <w:rFonts w:ascii="Times New Roman" w:hAnsi="Times New Roman" w:eastAsia="宋体" w:cs="Times New Roman"/>
      <w:color w:val="000000"/>
      <w:sz w:val="21"/>
      <w:szCs w:val="21"/>
      <w:lang w:val="en-US" w:eastAsia="zh-CN" w:bidi="ar-SA"/>
    </w:rPr>
  </w:style>
  <w:style w:type="paragraph" w:styleId="1054" w:customStyle="1">
    <w:name w:val="xl172"/>
    <w:basedOn w:val="78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55" w:customStyle="1">
    <w:name w:val="xl179"/>
    <w:basedOn w:val="7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56" w:customStyle="1">
    <w:name w:val="xl133"/>
    <w:basedOn w:val="78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57" w:customStyle="1">
    <w:name w:val="Default"/>
    <w:uiPriority w:val="0"/>
    <w:qFormat/>
    <w:pPr>
      <w:spacing w:after="160" w:line="278" w:lineRule="auto"/>
      <w:widowControl w:val="off"/>
    </w:pPr>
    <w:rPr>
      <w:rFonts w:ascii="宋体" w:hAnsi="宋体" w:eastAsia="宋体" w:cs="宋体"/>
      <w:color w:val="000000"/>
      <w:sz w:val="24"/>
      <w:szCs w:val="24"/>
      <w:lang w:val="en-US" w:eastAsia="zh-CN" w:bidi="ar-SA"/>
    </w:rPr>
  </w:style>
  <w:style w:type="paragraph" w:styleId="1058" w:customStyle="1">
    <w:name w:val="节标题"/>
    <w:basedOn w:val="789"/>
    <w:uiPriority w:val="0"/>
    <w:qFormat/>
    <w:pPr>
      <w:numPr>
        <w:ilvl w:val="0"/>
        <w:numId w:val="1"/>
      </w:numPr>
      <w:spacing w:before="120" w:after="120" w:line="360" w:lineRule="exact"/>
      <w:outlineLvl w:val="1"/>
    </w:pPr>
    <w:rPr>
      <w:rFonts w:eastAsia="宋体"/>
      <w:b/>
      <w:bCs/>
      <w:sz w:val="28"/>
    </w:rPr>
  </w:style>
  <w:style w:type="paragraph" w:styleId="1059" w:customStyle="1">
    <w:name w:val="xl82"/>
    <w:basedOn w:val="7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60" w:customStyle="1">
    <w:name w:val="xl77"/>
    <w:basedOn w:val="789"/>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eastAsia="宋体" w:cs="宋体"/>
      <w:sz w:val="24"/>
      <w:szCs w:val="24"/>
    </w:rPr>
  </w:style>
  <w:style w:type="paragraph" w:styleId="1061" w:customStyle="1">
    <w:name w:val="xl132"/>
    <w:basedOn w:val="78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62" w:customStyle="1">
    <w:name w:val="xl74"/>
    <w:basedOn w:val="789"/>
    <w:uiPriority w:val="0"/>
    <w:qFormat/>
    <w:pPr>
      <w:jc w:val="left"/>
      <w:spacing w:before="100" w:beforeAutospacing="1" w:after="100" w:afterAutospacing="1"/>
      <w:shd w:val="clear" w:color="000000" w:fill="ddd9c4"/>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63" w:customStyle="1">
    <w:name w:val="xl135"/>
    <w:basedOn w:val="7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64" w:customStyle="1">
    <w:name w:val="列出段落1"/>
    <w:basedOn w:val="789"/>
    <w:link w:val="1272"/>
    <w:uiPriority w:val="99"/>
    <w:qFormat/>
    <w:pPr>
      <w:contextualSpacing/>
      <w:ind w:left="720"/>
      <w:jc w:val="left"/>
      <w:widowControl/>
    </w:pPr>
    <w:rPr>
      <w:rFonts w:ascii="Arial" w:hAnsi="Arial" w:eastAsia="黑体"/>
      <w:sz w:val="24"/>
      <w:szCs w:val="24"/>
      <w:lang w:eastAsia="en-US"/>
    </w:rPr>
  </w:style>
  <w:style w:type="paragraph" w:styleId="1065" w:customStyle="1">
    <w:name w:val="五级文本"/>
    <w:basedOn w:val="789"/>
    <w:uiPriority w:val="0"/>
    <w:qFormat/>
    <w:pPr>
      <w:ind w:firstLine="100"/>
      <w:spacing w:line="400" w:lineRule="exact"/>
    </w:pPr>
    <w:rPr>
      <w:rFonts w:ascii="宋体" w:hAnsi="宋体" w:eastAsia="宋体"/>
      <w:sz w:val="24"/>
      <w:szCs w:val="24"/>
    </w:rPr>
  </w:style>
  <w:style w:type="paragraph" w:styleId="1066" w:customStyle="1">
    <w:name w:val="xl175"/>
    <w:basedOn w:val="7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67" w:customStyle="1">
    <w:name w:val="xl191"/>
    <w:basedOn w:val="78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68" w:customStyle="1">
    <w:name w:val="font9"/>
    <w:basedOn w:val="789"/>
    <w:uiPriority w:val="0"/>
    <w:qFormat/>
    <w:pPr>
      <w:jc w:val="left"/>
      <w:spacing w:before="100" w:beforeAutospacing="1" w:after="100" w:afterAutospacing="1"/>
      <w:widowControl/>
    </w:pPr>
    <w:rPr>
      <w:rFonts w:ascii="宋体" w:hAnsi="宋体" w:eastAsia="宋体" w:cs="宋体"/>
      <w:color w:val="000000"/>
      <w:sz w:val="22"/>
      <w:szCs w:val="22"/>
    </w:rPr>
  </w:style>
  <w:style w:type="paragraph" w:styleId="1069" w:customStyle="1">
    <w:name w:val="xl73"/>
    <w:basedOn w:val="789"/>
    <w:uiPriority w:val="0"/>
    <w:qFormat/>
    <w:pPr>
      <w:jc w:val="left"/>
      <w:spacing w:before="100" w:beforeAutospacing="1" w:after="100" w:afterAutospacing="1"/>
      <w:shd w:val="clear" w:color="000000" w:fill="ddd9c4"/>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70" w:customStyle="1">
    <w:name w:val="默认段落字体 Para Char Char Char Char Char Char Char"/>
    <w:basedOn w:val="789"/>
    <w:uiPriority w:val="0"/>
    <w:qFormat/>
    <w:pPr>
      <w:spacing w:line="360" w:lineRule="auto"/>
    </w:pPr>
    <w:rPr>
      <w:rFonts w:ascii="Tahoma" w:hAnsi="Tahoma" w:eastAsia="宋体"/>
      <w:sz w:val="24"/>
    </w:rPr>
  </w:style>
  <w:style w:type="paragraph" w:styleId="1071" w:customStyle="1">
    <w:name w:val="xl118"/>
    <w:basedOn w:val="7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72" w:customStyle="1">
    <w:name w:val="xl186"/>
    <w:basedOn w:val="78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73" w:customStyle="1">
    <w:name w:val="纯文本21"/>
    <w:basedOn w:val="789"/>
    <w:uiPriority w:val="0"/>
    <w:qFormat/>
    <w:rPr>
      <w:rFonts w:hint="eastAsia" w:ascii="宋体" w:hAnsi="Courier New"/>
      <w:sz w:val="28"/>
    </w:rPr>
  </w:style>
  <w:style w:type="paragraph" w:styleId="1074" w:customStyle="1">
    <w:name w:val="xl125"/>
    <w:basedOn w:val="7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75" w:customStyle="1">
    <w:name w:val="索引 11"/>
    <w:basedOn w:val="789"/>
    <w:next w:val="789"/>
    <w:uiPriority w:val="0"/>
    <w:qFormat/>
  </w:style>
  <w:style w:type="paragraph" w:styleId="1076" w:customStyle="1">
    <w:name w:val="xl171"/>
    <w:basedOn w:val="7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77" w:customStyle="1">
    <w:name w:val="正文 New"/>
    <w:uiPriority w:val="99"/>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1078" w:customStyle="1">
    <w:name w:val="表格标题"/>
    <w:basedOn w:val="1079"/>
    <w:next w:val="1079"/>
    <w:uiPriority w:val="0"/>
    <w:qFormat/>
    <w:rPr>
      <w:rFonts w:eastAsia="黑体"/>
      <w:bCs/>
      <w:sz w:val="24"/>
    </w:rPr>
  </w:style>
  <w:style w:type="paragraph" w:styleId="1079" w:customStyle="1">
    <w:name w:val="表格内容"/>
    <w:basedOn w:val="789"/>
    <w:uiPriority w:val="0"/>
    <w:qFormat/>
    <w:pPr>
      <w:jc w:val="center"/>
      <w:spacing w:line="360" w:lineRule="auto"/>
    </w:pPr>
    <w:rPr>
      <w:rFonts w:eastAsia="宋体" w:cs="宋体"/>
      <w:sz w:val="18"/>
    </w:rPr>
  </w:style>
  <w:style w:type="paragraph" w:styleId="1080" w:customStyle="1">
    <w:name w:val="纯文本3"/>
    <w:basedOn w:val="789"/>
    <w:uiPriority w:val="0"/>
    <w:qFormat/>
    <w:rPr>
      <w:rFonts w:ascii="宋体" w:hAnsi="Courier New"/>
    </w:rPr>
  </w:style>
  <w:style w:type="paragraph" w:styleId="1081" w:customStyle="1">
    <w:name w:val="xl164"/>
    <w:basedOn w:val="7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82" w:customStyle="1">
    <w:name w:val="引用1"/>
    <w:basedOn w:val="789"/>
    <w:next w:val="789"/>
    <w:link w:val="1241"/>
    <w:uiPriority w:val="0"/>
    <w:qFormat/>
    <w:rPr>
      <w:rFonts w:eastAsia="仿宋_GB2312"/>
      <w:iCs/>
      <w:color w:val="000000"/>
      <w:sz w:val="28"/>
      <w:szCs w:val="24"/>
    </w:rPr>
  </w:style>
  <w:style w:type="paragraph" w:styleId="1083" w:customStyle="1">
    <w:name w:val="xl173"/>
    <w:basedOn w:val="78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84" w:customStyle="1">
    <w:name w:val="方案正文"/>
    <w:basedOn w:val="789"/>
    <w:link w:val="1222"/>
    <w:uiPriority w:val="0"/>
    <w:qFormat/>
    <w:pPr>
      <w:spacing w:line="360" w:lineRule="auto"/>
    </w:pPr>
    <w:rPr>
      <w:rFonts w:eastAsia="宋体"/>
      <w:sz w:val="24"/>
    </w:rPr>
  </w:style>
  <w:style w:type="paragraph" w:styleId="1085" w:customStyle="1">
    <w:name w:val="Char Char Char Char Char Char Char Char Char1 Char"/>
    <w:basedOn w:val="1086"/>
    <w:uiPriority w:val="0"/>
    <w:qFormat/>
    <w:pPr>
      <w:spacing w:line="360" w:lineRule="auto"/>
    </w:pPr>
  </w:style>
  <w:style w:type="paragraph" w:styleId="1086" w:customStyle="1">
    <w:name w:val="文档结构图1"/>
    <w:basedOn w:val="789"/>
    <w:uiPriority w:val="0"/>
    <w:qFormat/>
    <w:pPr>
      <w:shd w:val="clear" w:color="auto" w:fill="000080"/>
    </w:pPr>
    <w:rPr>
      <w:rFonts w:eastAsia="宋体"/>
      <w:sz w:val="21"/>
      <w:szCs w:val="24"/>
    </w:rPr>
  </w:style>
  <w:style w:type="paragraph" w:styleId="1087" w:customStyle="1">
    <w:name w:val="正文文本 31"/>
    <w:basedOn w:val="789"/>
    <w:uiPriority w:val="0"/>
    <w:qFormat/>
    <w:rPr>
      <w:rFonts w:eastAsia="宋体"/>
      <w:sz w:val="24"/>
      <w:szCs w:val="24"/>
    </w:rPr>
  </w:style>
  <w:style w:type="paragraph" w:styleId="1088" w:customStyle="1">
    <w:name w:val="xl112"/>
    <w:basedOn w:val="7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089" w:customStyle="1">
    <w:name w:val="xl136"/>
    <w:basedOn w:val="78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90" w:customStyle="1">
    <w:name w:val="表格非标题文字"/>
    <w:uiPriority w:val="0"/>
    <w:qFormat/>
    <w:pPr>
      <w:spacing w:before="80" w:after="40" w:line="278" w:lineRule="auto"/>
    </w:pPr>
    <w:rPr>
      <w:rFonts w:ascii="Futura Bk" w:hAnsi="Futura Bk" w:eastAsia="宋体" w:cs="Times New Roman"/>
      <w:sz w:val="18"/>
      <w:szCs w:val="21"/>
      <w:lang w:val="en-US" w:eastAsia="zh-CN" w:bidi="ar-SA"/>
    </w:rPr>
  </w:style>
  <w:style w:type="paragraph" w:styleId="1091" w:customStyle="1">
    <w:name w:val="xl192"/>
    <w:basedOn w:val="7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92" w:customStyle="1">
    <w:name w:val="xl85"/>
    <w:basedOn w:val="78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93" w:customStyle="1">
    <w:name w:val="日期1"/>
    <w:basedOn w:val="789"/>
    <w:next w:val="789"/>
    <w:uiPriority w:val="0"/>
    <w:qFormat/>
    <w:rPr>
      <w:rFonts w:ascii="宋体" w:hAnsi="宋体"/>
      <w:sz w:val="24"/>
    </w:rPr>
  </w:style>
  <w:style w:type="paragraph" w:styleId="1094" w:customStyle="1">
    <w:name w:val="xl113"/>
    <w:basedOn w:val="78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95" w:customStyle="1">
    <w:name w:val="Char Char Char Char Char Char Char"/>
    <w:basedOn w:val="789"/>
    <w:link w:val="1218"/>
    <w:uiPriority w:val="0"/>
    <w:qFormat/>
    <w:pPr>
      <w:ind w:firstLine="480"/>
      <w:spacing w:line="360" w:lineRule="auto"/>
    </w:pPr>
    <w:rPr>
      <w:rFonts w:ascii="Tahoma" w:hAnsi="Tahoma" w:eastAsia="宋体"/>
      <w:sz w:val="24"/>
    </w:rPr>
  </w:style>
  <w:style w:type="paragraph" w:styleId="1096" w:customStyle="1">
    <w:name w:val="List Paragraph1"/>
    <w:basedOn w:val="789"/>
    <w:uiPriority w:val="0"/>
    <w:qFormat/>
    <w:pPr>
      <w:ind w:firstLine="420"/>
    </w:pPr>
    <w:rPr>
      <w:rFonts w:ascii="Calibri" w:hAnsi="Calibri" w:eastAsia="宋体"/>
      <w:sz w:val="21"/>
      <w:szCs w:val="22"/>
    </w:rPr>
  </w:style>
  <w:style w:type="paragraph" w:styleId="1097" w:customStyle="1">
    <w:name w:val="正文文本 21"/>
    <w:basedOn w:val="789"/>
    <w:uiPriority w:val="0"/>
    <w:qFormat/>
    <w:pPr>
      <w:spacing w:after="120" w:line="480" w:lineRule="auto"/>
    </w:pPr>
    <w:rPr>
      <w:rFonts w:eastAsia="宋体"/>
      <w:sz w:val="21"/>
      <w:szCs w:val="24"/>
    </w:rPr>
  </w:style>
  <w:style w:type="paragraph" w:styleId="1098" w:customStyle="1">
    <w:name w:val="xl91"/>
    <w:basedOn w:val="78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99" w:customStyle="1">
    <w:name w:val="Char Char Char Char Char Char Char Char Char1 Char1"/>
    <w:basedOn w:val="810"/>
    <w:uiPriority w:val="0"/>
    <w:qFormat/>
    <w:pPr>
      <w:spacing w:line="360" w:lineRule="auto"/>
      <w:shd w:val="clear" w:color="auto" w:fill="000080"/>
    </w:pPr>
    <w:rPr>
      <w:rFonts w:ascii="Tahoma" w:hAnsi="Tahoma"/>
      <w:sz w:val="24"/>
      <w:szCs w:val="24"/>
    </w:rPr>
  </w:style>
  <w:style w:type="paragraph" w:styleId="1100" w:customStyle="1">
    <w:name w:val="p0"/>
    <w:basedOn w:val="789"/>
    <w:uiPriority w:val="0"/>
    <w:qFormat/>
    <w:pPr>
      <w:widowControl/>
    </w:pPr>
    <w:rPr>
      <w:rFonts w:eastAsia="宋体"/>
      <w:szCs w:val="26"/>
    </w:rPr>
  </w:style>
  <w:style w:type="paragraph" w:styleId="1101" w:customStyle="1">
    <w:name w:val="font7"/>
    <w:basedOn w:val="789"/>
    <w:uiPriority w:val="0"/>
    <w:qFormat/>
    <w:pPr>
      <w:jc w:val="left"/>
      <w:spacing w:before="100" w:beforeAutospacing="1" w:after="100" w:afterAutospacing="1"/>
      <w:widowControl/>
    </w:pPr>
    <w:rPr>
      <w:rFonts w:ascii="宋体" w:hAnsi="宋体" w:eastAsia="宋体" w:cs="宋体"/>
      <w:sz w:val="18"/>
      <w:szCs w:val="18"/>
    </w:rPr>
  </w:style>
  <w:style w:type="paragraph" w:styleId="1102" w:customStyle="1">
    <w:name w:val="xl88"/>
    <w:basedOn w:val="7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szCs w:val="24"/>
    </w:rPr>
  </w:style>
  <w:style w:type="paragraph" w:styleId="1103" w:customStyle="1">
    <w:name w:val="???¡ì????¡ì????¡§???¡ì?¡ì???¡ì?o??????¡§???¡ì?¡ì?"/>
    <w:basedOn w:val="789"/>
    <w:uiPriority w:val="0"/>
    <w:qFormat/>
    <w:pPr>
      <w:jc w:val="left"/>
      <w:spacing w:line="360" w:lineRule="auto"/>
      <w:widowControl/>
    </w:pPr>
    <w:rPr>
      <w:rFonts w:eastAsia="宋体"/>
      <w:sz w:val="21"/>
    </w:rPr>
  </w:style>
  <w:style w:type="paragraph" w:styleId="1104" w:customStyle="1">
    <w:name w:val="正文文本缩进 21"/>
    <w:basedOn w:val="789"/>
    <w:uiPriority w:val="0"/>
    <w:qFormat/>
    <w:pPr>
      <w:ind w:firstLine="502"/>
      <w:spacing w:line="360" w:lineRule="auto"/>
    </w:pPr>
    <w:rPr>
      <w:rFonts w:ascii="宋体" w:eastAsia="宋体"/>
      <w:sz w:val="24"/>
    </w:rPr>
  </w:style>
  <w:style w:type="paragraph" w:styleId="1105" w:customStyle="1">
    <w:name w:val="xl190"/>
    <w:basedOn w:val="78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106" w:customStyle="1">
    <w:name w:val="xl152"/>
    <w:basedOn w:val="7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07" w:customStyle="1">
    <w:name w:val="xl174"/>
    <w:basedOn w:val="7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08" w:customStyle="1">
    <w:name w:val="xl89"/>
    <w:basedOn w:val="7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09" w:customStyle="1">
    <w:name w:val="xl108"/>
    <w:basedOn w:val="78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110" w:customStyle="1">
    <w:name w:val="xl110"/>
    <w:basedOn w:val="78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111" w:customStyle="1">
    <w:name w:val="xl185"/>
    <w:basedOn w:val="7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12" w:customStyle="1">
    <w:name w:val="表头"/>
    <w:basedOn w:val="789"/>
    <w:link w:val="1246"/>
    <w:uiPriority w:val="0"/>
    <w:qFormat/>
    <w:pPr>
      <w:jc w:val="center"/>
      <w:spacing w:line="320" w:lineRule="atLeast"/>
    </w:pPr>
    <w:rPr>
      <w:rFonts w:eastAsia="黑体"/>
      <w:spacing w:val="-10"/>
      <w:sz w:val="20"/>
    </w:rPr>
  </w:style>
  <w:style w:type="paragraph" w:styleId="1113" w:customStyle="1">
    <w:name w:val="xl177"/>
    <w:basedOn w:val="7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14" w:customStyle="1">
    <w:name w:val="xl187"/>
    <w:basedOn w:val="7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15" w:customStyle="1">
    <w:name w:val="xl87"/>
    <w:basedOn w:val="789"/>
    <w:uiPriority w:val="0"/>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eastAsia="宋体" w:cs="宋体"/>
      <w:color w:val="000000"/>
      <w:sz w:val="24"/>
      <w:szCs w:val="24"/>
    </w:rPr>
  </w:style>
  <w:style w:type="paragraph" w:styleId="1116" w:customStyle="1">
    <w:name w:val="xl143"/>
    <w:basedOn w:val="7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117" w:customStyle="1">
    <w:name w:val="+正文"/>
    <w:basedOn w:val="789"/>
    <w:link w:val="1264"/>
    <w:uiPriority w:val="0"/>
    <w:qFormat/>
    <w:pPr>
      <w:ind w:firstLine="200"/>
      <w:spacing w:line="360" w:lineRule="auto"/>
    </w:pPr>
    <w:rPr>
      <w:rFonts w:eastAsia="宋体"/>
      <w:sz w:val="24"/>
    </w:rPr>
  </w:style>
  <w:style w:type="paragraph" w:styleId="1118" w:customStyle="1">
    <w:name w:val="xl159"/>
    <w:basedOn w:val="7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19" w:customStyle="1">
    <w:name w:val="正文文本缩进1"/>
    <w:basedOn w:val="789"/>
    <w:uiPriority w:val="0"/>
    <w:qFormat/>
    <w:pPr>
      <w:ind w:left="570"/>
      <w:spacing w:line="520" w:lineRule="exact"/>
    </w:pPr>
    <w:rPr>
      <w:rFonts w:ascii="方正仿宋简体" w:hAnsi="创艺简仿宋" w:eastAsia="方正仿宋简体"/>
      <w:sz w:val="24"/>
    </w:rPr>
  </w:style>
  <w:style w:type="paragraph" w:styleId="1120" w:customStyle="1">
    <w:name w:val="宋体&amp;Time5#"/>
    <w:basedOn w:val="789"/>
    <w:link w:val="1238"/>
    <w:uiPriority w:val="0"/>
    <w:qFormat/>
    <w:pPr>
      <w:jc w:val="center"/>
    </w:pPr>
    <w:rPr>
      <w:rFonts w:eastAsia="Times New Roman"/>
      <w:sz w:val="20"/>
      <w:szCs w:val="21"/>
    </w:rPr>
  </w:style>
  <w:style w:type="paragraph" w:styleId="1121" w:customStyle="1">
    <w:name w:val="xl183"/>
    <w:basedOn w:val="7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22" w:customStyle="1">
    <w:name w:val="CM7"/>
    <w:basedOn w:val="789"/>
    <w:next w:val="789"/>
    <w:uiPriority w:val="99"/>
    <w:qFormat/>
    <w:pPr>
      <w:jc w:val="left"/>
      <w:spacing w:line="620" w:lineRule="atLeast"/>
    </w:pPr>
    <w:rPr>
      <w:rFonts w:ascii="宋体" w:hAnsi="Calibri" w:eastAsia="宋体"/>
      <w:sz w:val="24"/>
      <w:szCs w:val="24"/>
    </w:rPr>
  </w:style>
  <w:style w:type="paragraph" w:styleId="1123" w:customStyle="1">
    <w:name w:val="纯文本12"/>
    <w:basedOn w:val="789"/>
    <w:uiPriority w:val="0"/>
    <w:qFormat/>
    <w:rPr>
      <w:rFonts w:ascii="宋体" w:hAnsi="宋体" w:cs="宋体"/>
    </w:rPr>
  </w:style>
  <w:style w:type="paragraph" w:styleId="1124" w:customStyle="1">
    <w:name w:val="_Style 2"/>
    <w:basedOn w:val="1086"/>
    <w:uiPriority w:val="0"/>
    <w:qFormat/>
    <w:pPr>
      <w:spacing w:line="360" w:lineRule="auto"/>
    </w:pPr>
  </w:style>
  <w:style w:type="paragraph" w:styleId="1125" w:customStyle="1">
    <w:name w:val="xl137"/>
    <w:basedOn w:val="7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26" w:customStyle="1">
    <w:name w:val="xl64"/>
    <w:basedOn w:val="789"/>
    <w:uiPriority w:val="0"/>
    <w:qFormat/>
    <w:pPr>
      <w:jc w:val="left"/>
      <w:spacing w:before="100" w:beforeAutospacing="1" w:after="100" w:afterAutospacing="1"/>
      <w:widowControl/>
    </w:pPr>
    <w:rPr>
      <w:rFonts w:ascii="宋体" w:hAnsi="宋体" w:eastAsia="宋体" w:cs="宋体"/>
      <w:sz w:val="24"/>
      <w:szCs w:val="24"/>
    </w:rPr>
  </w:style>
  <w:style w:type="paragraph" w:styleId="1127" w:customStyle="1">
    <w:name w:val="xl115"/>
    <w:basedOn w:val="78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28" w:customStyle="1">
    <w:name w:val="xl75"/>
    <w:basedOn w:val="789"/>
    <w:uiPriority w:val="0"/>
    <w:qFormat/>
    <w:pPr>
      <w:jc w:val="left"/>
      <w:spacing w:before="100" w:beforeAutospacing="1" w:after="100" w:afterAutospacing="1"/>
      <w:shd w:val="clear" w:color="000000" w:fill="ddd9c4"/>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29" w:customStyle="1">
    <w:name w:val="并列样式"/>
    <w:basedOn w:val="789"/>
    <w:next w:val="789"/>
    <w:uiPriority w:val="0"/>
    <w:qFormat/>
    <w:pPr>
      <w:ind w:left="839" w:hanging="419"/>
      <w:spacing w:before="120" w:after="120" w:line="360" w:lineRule="exact"/>
      <w:tabs>
        <w:tab w:val="left" w:pos="839" w:leader="none"/>
      </w:tabs>
    </w:pPr>
    <w:rPr>
      <w:rFonts w:eastAsia="宋体"/>
      <w:sz w:val="24"/>
    </w:rPr>
  </w:style>
  <w:style w:type="paragraph" w:styleId="1130" w:customStyle="1">
    <w:name w:val="xl176"/>
    <w:basedOn w:val="7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31" w:customStyle="1">
    <w:name w:val="xl167"/>
    <w:basedOn w:val="78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32" w:customStyle="1">
    <w:name w:val="my正文"/>
    <w:basedOn w:val="789"/>
    <w:link w:val="1281"/>
    <w:uiPriority w:val="0"/>
    <w:qFormat/>
    <w:pPr>
      <w:ind w:firstLine="480"/>
      <w:spacing w:line="360" w:lineRule="auto"/>
    </w:pPr>
    <w:rPr>
      <w:rFonts w:eastAsia="宋体"/>
      <w:sz w:val="24"/>
      <w:szCs w:val="24"/>
    </w:rPr>
  </w:style>
  <w:style w:type="paragraph" w:styleId="1133" w:customStyle="1">
    <w:name w:val="xl68"/>
    <w:basedOn w:val="789"/>
    <w:uiPriority w:val="0"/>
    <w:qFormat/>
    <w:pPr>
      <w:jc w:val="left"/>
      <w:spacing w:before="100" w:beforeAutospacing="1" w:after="100" w:afterAutospacing="1"/>
      <w:widowControl/>
    </w:pPr>
    <w:rPr>
      <w:rFonts w:ascii="宋体" w:hAnsi="宋体" w:eastAsia="宋体" w:cs="宋体"/>
      <w:sz w:val="24"/>
      <w:szCs w:val="24"/>
    </w:rPr>
  </w:style>
  <w:style w:type="paragraph" w:styleId="1134" w:customStyle="1">
    <w:name w:val="xl197"/>
    <w:basedOn w:val="789"/>
    <w:uiPriority w:val="0"/>
    <w:qFormat/>
    <w:pPr>
      <w:jc w:val="left"/>
      <w:spacing w:before="100" w:beforeAutospacing="1" w:after="100" w:afterAutospacing="1"/>
      <w:widowControl/>
    </w:pPr>
    <w:rPr>
      <w:rFonts w:ascii="微软雅黑" w:hAnsi="微软雅黑" w:eastAsia="微软雅黑" w:cs="宋体"/>
      <w:color w:val="000000"/>
      <w:sz w:val="24"/>
      <w:szCs w:val="24"/>
    </w:rPr>
  </w:style>
  <w:style w:type="paragraph" w:styleId="1135" w:customStyle="1">
    <w:name w:val="xl134"/>
    <w:basedOn w:val="7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136" w:customStyle="1">
    <w:name w:val="xl165"/>
    <w:basedOn w:val="78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37" w:customStyle="1">
    <w:name w:val="xl129"/>
    <w:basedOn w:val="7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38" w:customStyle="1">
    <w:name w:val="xl92"/>
    <w:basedOn w:val="789"/>
    <w:uiPriority w:val="0"/>
    <w:qFormat/>
    <w:pPr>
      <w:jc w:val="left"/>
      <w:spacing w:before="100" w:beforeAutospacing="1" w:after="100" w:afterAutospacing="1"/>
      <w:shd w:val="clear" w:color="000000" w:fill="ddd9c4"/>
      <w:widowControl/>
      <w:pBdr>
        <w:bottom w:val="single" w:color="auto" w:sz="8" w:space="0"/>
      </w:pBdr>
    </w:pPr>
    <w:rPr>
      <w:rFonts w:ascii="宋体" w:hAnsi="宋体" w:eastAsia="宋体" w:cs="宋体"/>
      <w:b/>
      <w:bCs/>
      <w:color w:val="000000"/>
      <w:sz w:val="32"/>
      <w:szCs w:val="32"/>
    </w:rPr>
  </w:style>
  <w:style w:type="paragraph" w:styleId="1139" w:customStyle="1">
    <w:name w:val="表蕊"/>
    <w:basedOn w:val="789"/>
    <w:link w:val="1295"/>
    <w:uiPriority w:val="0"/>
    <w:qFormat/>
    <w:pPr>
      <w:jc w:val="left"/>
      <w:spacing w:line="320" w:lineRule="atLeast"/>
    </w:pPr>
    <w:rPr>
      <w:spacing w:val="-10"/>
      <w:sz w:val="20"/>
    </w:rPr>
  </w:style>
  <w:style w:type="paragraph" w:styleId="1140" w:customStyle="1">
    <w:name w:val="xl127"/>
    <w:basedOn w:val="78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41" w:customStyle="1">
    <w:name w:val="xl142"/>
    <w:basedOn w:val="7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142" w:customStyle="1">
    <w:name w:val="xl65"/>
    <w:basedOn w:val="789"/>
    <w:uiPriority w:val="0"/>
    <w:qFormat/>
    <w:pPr>
      <w:jc w:val="left"/>
      <w:spacing w:before="100" w:beforeAutospacing="1" w:after="100" w:afterAutospacing="1"/>
      <w:widowControl/>
    </w:pPr>
    <w:rPr>
      <w:rFonts w:ascii="宋体" w:hAnsi="宋体" w:eastAsia="宋体" w:cs="宋体"/>
      <w:sz w:val="24"/>
      <w:szCs w:val="24"/>
    </w:rPr>
  </w:style>
  <w:style w:type="paragraph" w:styleId="1143" w:customStyle="1">
    <w:name w:val="Char Char1 Char Char Char Char Char Char Char"/>
    <w:basedOn w:val="789"/>
    <w:uiPriority w:val="0"/>
    <w:qFormat/>
    <w:rPr>
      <w:rFonts w:eastAsia="宋体"/>
      <w:sz w:val="21"/>
    </w:rPr>
  </w:style>
  <w:style w:type="paragraph" w:styleId="1144" w:customStyle="1">
    <w:name w:val="xl119"/>
    <w:basedOn w:val="78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45" w:customStyle="1">
    <w:name w:val="分层标题"/>
    <w:basedOn w:val="789"/>
    <w:uiPriority w:val="0"/>
    <w:qFormat/>
    <w:pPr>
      <w:numPr>
        <w:ilvl w:val="2"/>
        <w:numId w:val="1"/>
      </w:numPr>
      <w:spacing w:before="120" w:after="120" w:line="360" w:lineRule="exact"/>
      <w:outlineLvl w:val="4"/>
    </w:pPr>
    <w:rPr>
      <w:rFonts w:eastAsia="宋体"/>
      <w:b/>
      <w:sz w:val="24"/>
      <w:szCs w:val="24"/>
    </w:rPr>
  </w:style>
  <w:style w:type="paragraph" w:styleId="1146" w:customStyle="1">
    <w:name w:val="样式4"/>
    <w:basedOn w:val="789"/>
    <w:uiPriority w:val="0"/>
    <w:qFormat/>
    <w:pPr>
      <w:jc w:val="left"/>
      <w:spacing w:before="100" w:beforeAutospacing="1" w:after="100" w:afterAutospacing="1"/>
      <w:widowControl/>
    </w:pPr>
    <w:rPr>
      <w:rFonts w:ascii="宋体" w:hAnsi="宋体" w:eastAsia="宋体" w:cs="宋体"/>
      <w:sz w:val="18"/>
      <w:szCs w:val="18"/>
    </w:rPr>
  </w:style>
  <w:style w:type="paragraph" w:styleId="1147" w:customStyle="1">
    <w:name w:val="xl107"/>
    <w:basedOn w:val="789"/>
    <w:uiPriority w:val="0"/>
    <w:qFormat/>
    <w:pPr>
      <w:jc w:val="center"/>
      <w:spacing w:before="100" w:beforeAutospacing="1" w:after="100" w:afterAutospacing="1"/>
      <w:widowControl/>
    </w:pPr>
    <w:rPr>
      <w:rFonts w:ascii="宋体" w:hAnsi="宋体" w:eastAsia="宋体" w:cs="宋体"/>
      <w:sz w:val="24"/>
      <w:szCs w:val="24"/>
    </w:rPr>
  </w:style>
  <w:style w:type="paragraph" w:styleId="1148" w:customStyle="1">
    <w:name w:val="font5"/>
    <w:basedOn w:val="789"/>
    <w:uiPriority w:val="0"/>
    <w:qFormat/>
    <w:pPr>
      <w:jc w:val="left"/>
      <w:spacing w:before="100" w:beforeAutospacing="1" w:after="100" w:afterAutospacing="1"/>
      <w:widowControl/>
    </w:pPr>
    <w:rPr>
      <w:rFonts w:ascii="宋体" w:hAnsi="宋体" w:eastAsia="宋体" w:cs="宋体"/>
      <w:sz w:val="18"/>
      <w:szCs w:val="18"/>
    </w:rPr>
  </w:style>
  <w:style w:type="paragraph" w:styleId="1149" w:customStyle="1">
    <w:name w:val="标书正文格式 Char Char"/>
    <w:uiPriority w:val="0"/>
    <w:qFormat/>
    <w:pPr>
      <w:ind w:firstLine="200"/>
      <w:spacing w:after="160" w:line="360" w:lineRule="auto"/>
    </w:pPr>
    <w:rPr>
      <w:rFonts w:ascii="Times New Roman" w:hAnsi="Times New Roman" w:eastAsia="楷体_GB2312" w:cs="Times New Roman"/>
      <w:sz w:val="24"/>
      <w:szCs w:val="22"/>
      <w:lang w:val="en-US" w:eastAsia="zh-CN" w:bidi="ar-SA"/>
    </w:rPr>
  </w:style>
  <w:style w:type="paragraph" w:styleId="1150" w:customStyle="1">
    <w:name w:val="xl123"/>
    <w:basedOn w:val="7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51" w:customStyle="1">
    <w:name w:val="xl114"/>
    <w:basedOn w:val="7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52" w:customStyle="1">
    <w:name w:val="p16"/>
    <w:basedOn w:val="789"/>
    <w:uiPriority w:val="0"/>
    <w:qFormat/>
    <w:pPr>
      <w:ind w:firstLine="540"/>
      <w:spacing w:line="360" w:lineRule="auto"/>
      <w:widowControl/>
    </w:pPr>
    <w:rPr>
      <w:rFonts w:eastAsia="宋体"/>
      <w:sz w:val="24"/>
      <w:szCs w:val="24"/>
    </w:rPr>
  </w:style>
  <w:style w:type="paragraph" w:styleId="1153" w:customStyle="1">
    <w:name w:val="xl69"/>
    <w:basedOn w:val="789"/>
    <w:uiPriority w:val="0"/>
    <w:qFormat/>
    <w:pPr>
      <w:jc w:val="left"/>
      <w:spacing w:before="100" w:beforeAutospacing="1" w:after="100" w:afterAutospacing="1"/>
      <w:widowControl/>
    </w:pPr>
    <w:rPr>
      <w:rFonts w:ascii="宋体" w:hAnsi="宋体" w:eastAsia="宋体" w:cs="宋体"/>
      <w:sz w:val="24"/>
      <w:szCs w:val="24"/>
    </w:rPr>
  </w:style>
  <w:style w:type="paragraph" w:styleId="1154" w:customStyle="1">
    <w:name w:val="xl155"/>
    <w:basedOn w:val="78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55" w:customStyle="1">
    <w:name w:val="_Style 207"/>
    <w:basedOn w:val="790"/>
    <w:next w:val="789"/>
    <w:uiPriority w:val="39"/>
    <w:qFormat/>
    <w:pPr>
      <w:outlineLvl w:val="9"/>
    </w:pPr>
    <w:rPr>
      <w:bCs/>
      <w:szCs w:val="44"/>
    </w:rPr>
  </w:style>
  <w:style w:type="paragraph" w:styleId="1156" w:customStyle="1">
    <w:name w:val="xl70"/>
    <w:basedOn w:val="789"/>
    <w:uiPriority w:val="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eastAsia="宋体" w:cs="宋体"/>
      <w:b/>
      <w:bCs/>
      <w:sz w:val="24"/>
      <w:szCs w:val="24"/>
    </w:rPr>
  </w:style>
  <w:style w:type="paragraph" w:styleId="1157" w:customStyle="1">
    <w:name w:val="xl153"/>
    <w:basedOn w:val="7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58" w:customStyle="1">
    <w:name w:val="xl181"/>
    <w:basedOn w:val="78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59" w:customStyle="1">
    <w:name w:val="正文_1"/>
    <w:uiPriority w:val="0"/>
    <w:qFormat/>
    <w:pPr>
      <w:jc w:val="both"/>
      <w:spacing w:after="160" w:line="278" w:lineRule="auto"/>
      <w:widowControl w:val="off"/>
    </w:pPr>
    <w:rPr>
      <w:rFonts w:ascii="Times New Roman" w:hAnsi="Times New Roman" w:eastAsia="宋体" w:cs="Times New Roman"/>
      <w:sz w:val="28"/>
      <w:lang w:val="en-US" w:eastAsia="zh-CN" w:bidi="ar-SA"/>
    </w:rPr>
  </w:style>
  <w:style w:type="paragraph" w:styleId="1160" w:customStyle="1">
    <w:name w:val="xl156"/>
    <w:basedOn w:val="78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161" w:customStyle="1">
    <w:name w:val="xl161"/>
    <w:basedOn w:val="78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62" w:customStyle="1">
    <w:name w:val="xl145"/>
    <w:basedOn w:val="7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163" w:customStyle="1">
    <w:name w:val="_Style 12"/>
    <w:basedOn w:val="810"/>
    <w:uiPriority w:val="0"/>
    <w:qFormat/>
    <w:pPr>
      <w:jc w:val="left"/>
      <w:spacing w:line="360" w:lineRule="auto"/>
      <w:shd w:val="clear" w:color="auto" w:fill="000080"/>
      <w:widowControl/>
    </w:pPr>
    <w:rPr>
      <w:rFonts w:ascii="Times New Roman"/>
      <w:sz w:val="24"/>
      <w:szCs w:val="20"/>
    </w:rPr>
  </w:style>
  <w:style w:type="paragraph" w:styleId="1164" w:customStyle="1">
    <w:name w:val="xl170"/>
    <w:basedOn w:val="7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65" w:customStyle="1">
    <w:name w:val="xl195"/>
    <w:basedOn w:val="789"/>
    <w:uiPriority w:val="0"/>
    <w:qFormat/>
    <w:pPr>
      <w:jc w:val="center"/>
      <w:spacing w:before="100" w:beforeAutospacing="1" w:after="100" w:afterAutospacing="1"/>
      <w:widowControl/>
    </w:pPr>
    <w:rPr>
      <w:rFonts w:ascii="微软雅黑" w:hAnsi="微软雅黑" w:eastAsia="微软雅黑" w:cs="宋体"/>
      <w:color w:val="000000"/>
      <w:sz w:val="24"/>
      <w:szCs w:val="24"/>
    </w:rPr>
  </w:style>
  <w:style w:type="paragraph" w:styleId="1166" w:customStyle="1">
    <w:name w:val="Char Char Char Char"/>
    <w:basedOn w:val="789"/>
    <w:next w:val="789"/>
    <w:uiPriority w:val="0"/>
    <w:qFormat/>
    <w:pPr>
      <w:spacing w:line="360" w:lineRule="auto"/>
      <w:shd w:val="clear" w:color="auto" w:fill="000080"/>
    </w:pPr>
    <w:rPr>
      <w:rFonts w:eastAsia="宋体"/>
      <w:sz w:val="24"/>
      <w:szCs w:val="24"/>
    </w:rPr>
  </w:style>
  <w:style w:type="paragraph" w:styleId="1167" w:customStyle="1">
    <w:name w:val="xl188"/>
    <w:basedOn w:val="7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68" w:customStyle="1">
    <w:name w:val="msonormal"/>
    <w:basedOn w:val="789"/>
    <w:uiPriority w:val="0"/>
    <w:qFormat/>
    <w:pPr>
      <w:jc w:val="left"/>
      <w:spacing w:before="100" w:beforeAutospacing="1" w:after="100" w:afterAutospacing="1"/>
      <w:widowControl/>
    </w:pPr>
    <w:rPr>
      <w:rFonts w:ascii="宋体" w:hAnsi="宋体" w:eastAsia="宋体" w:cs="宋体"/>
      <w:sz w:val="24"/>
      <w:szCs w:val="24"/>
    </w:rPr>
  </w:style>
  <w:style w:type="paragraph" w:styleId="1169" w:customStyle="1">
    <w:name w:val="Char Char Char1 Char Char Char Char"/>
    <w:basedOn w:val="789"/>
    <w:uiPriority w:val="0"/>
    <w:qFormat/>
    <w:pPr>
      <w:jc w:val="left"/>
      <w:spacing w:line="240" w:lineRule="exact"/>
      <w:widowControl/>
    </w:pPr>
    <w:rPr>
      <w:rFonts w:eastAsia="宋体"/>
      <w:sz w:val="24"/>
      <w:szCs w:val="24"/>
    </w:rPr>
  </w:style>
  <w:style w:type="paragraph" w:styleId="1170" w:customStyle="1">
    <w:name w:val="正文文本缩进 31"/>
    <w:basedOn w:val="789"/>
    <w:uiPriority w:val="0"/>
    <w:qFormat/>
    <w:pPr>
      <w:ind w:firstLine="504"/>
      <w:spacing w:line="360" w:lineRule="auto"/>
      <w:tabs>
        <w:tab w:val="left" w:pos="0" w:leader="none"/>
      </w:tabs>
    </w:pPr>
    <w:rPr>
      <w:rFonts w:ascii="宋体" w:eastAsia="宋体"/>
      <w:b/>
      <w:bCs/>
      <w:sz w:val="24"/>
      <w:szCs w:val="24"/>
    </w:rPr>
  </w:style>
  <w:style w:type="paragraph" w:styleId="1171" w:customStyle="1">
    <w:name w:val="xl163"/>
    <w:basedOn w:val="7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72" w:customStyle="1">
    <w:name w:val="xl168"/>
    <w:basedOn w:val="7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73" w:customStyle="1">
    <w:name w:val="xl122"/>
    <w:basedOn w:val="7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74" w:customStyle="1">
    <w:name w:val="Char1 Char Char Char"/>
    <w:basedOn w:val="789"/>
    <w:uiPriority w:val="0"/>
    <w:qFormat/>
    <w:pPr>
      <w:ind w:left="840" w:hanging="420"/>
      <w:tabs>
        <w:tab w:val="left" w:pos="840" w:leader="none"/>
      </w:tabs>
    </w:pPr>
    <w:rPr>
      <w:rFonts w:eastAsia="仿宋_GB2312"/>
      <w:sz w:val="30"/>
    </w:rPr>
  </w:style>
  <w:style w:type="paragraph" w:styleId="1175" w:customStyle="1">
    <w:name w:val="xl71"/>
    <w:basedOn w:val="789"/>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eastAsia="宋体" w:cs="宋体"/>
      <w:b/>
      <w:bCs/>
      <w:sz w:val="24"/>
      <w:szCs w:val="24"/>
    </w:rPr>
  </w:style>
  <w:style w:type="paragraph" w:styleId="1176" w:customStyle="1">
    <w:name w:val="xl189"/>
    <w:basedOn w:val="7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177" w:customStyle="1">
    <w:name w:val="???¡§???¡ì?¡ì???¡ì?a???????¡§???¡ì?¡ì?"/>
    <w:basedOn w:val="789"/>
    <w:uiPriority w:val="0"/>
    <w:qFormat/>
    <w:pPr>
      <w:jc w:val="left"/>
      <w:widowControl/>
      <w:tabs>
        <w:tab w:val="decimal" w:pos="0" w:leader="none"/>
      </w:tabs>
    </w:pPr>
    <w:rPr>
      <w:rFonts w:eastAsia="宋体"/>
      <w:sz w:val="21"/>
    </w:rPr>
  </w:style>
  <w:style w:type="paragraph" w:styleId="1178" w:customStyle="1">
    <w:name w:val="xl160"/>
    <w:basedOn w:val="7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79" w:customStyle="1">
    <w:name w:val="修订1"/>
    <w:uiPriority w:val="0"/>
    <w:qFormat/>
    <w:pPr>
      <w:spacing w:after="160" w:line="278" w:lineRule="auto"/>
    </w:pPr>
    <w:rPr>
      <w:rFonts w:ascii="Times New Roman" w:hAnsi="Times New Roman" w:eastAsia="宋体" w:cs="Times New Roman"/>
      <w:sz w:val="21"/>
      <w:szCs w:val="24"/>
      <w:lang w:val="en-US" w:eastAsia="zh-CN" w:bidi="ar-SA"/>
    </w:rPr>
  </w:style>
  <w:style w:type="paragraph" w:styleId="1180" w:customStyle="1">
    <w:name w:val="xl67"/>
    <w:basedOn w:val="789"/>
    <w:uiPriority w:val="0"/>
    <w:qFormat/>
    <w:pPr>
      <w:jc w:val="left"/>
      <w:spacing w:before="100" w:beforeAutospacing="1" w:after="100" w:afterAutospacing="1"/>
      <w:widowControl/>
    </w:pPr>
    <w:rPr>
      <w:rFonts w:ascii="宋体" w:hAnsi="宋体" w:eastAsia="宋体" w:cs="宋体"/>
      <w:sz w:val="24"/>
      <w:szCs w:val="24"/>
    </w:rPr>
  </w:style>
  <w:style w:type="paragraph" w:styleId="1181" w:customStyle="1">
    <w:name w:val="xl130"/>
    <w:basedOn w:val="78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82" w:customStyle="1">
    <w:name w:val="xl154"/>
    <w:basedOn w:val="7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83" w:customStyle="1">
    <w:name w:val="xl149"/>
    <w:basedOn w:val="7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84" w:customStyle="1">
    <w:name w:val="普通(网站)1"/>
    <w:basedOn w:val="789"/>
    <w:uiPriority w:val="0"/>
    <w:qFormat/>
    <w:pPr>
      <w:jc w:val="left"/>
      <w:widowControl/>
    </w:pPr>
    <w:rPr>
      <w:rFonts w:ascii="宋体" w:hAnsi="宋体" w:eastAsia="宋体" w:cs="宋体"/>
      <w:sz w:val="24"/>
      <w:szCs w:val="24"/>
    </w:rPr>
  </w:style>
  <w:style w:type="paragraph" w:styleId="1185" w:customStyle="1">
    <w:name w:val="xl147"/>
    <w:basedOn w:val="78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186" w:customStyle="1">
    <w:name w:val="Char2"/>
    <w:basedOn w:val="789"/>
    <w:uiPriority w:val="0"/>
    <w:qFormat/>
    <w:rPr>
      <w:rFonts w:ascii="仿宋_GB2312" w:eastAsia="仿宋_GB2312"/>
      <w:b/>
      <w:sz w:val="32"/>
      <w:szCs w:val="32"/>
    </w:rPr>
  </w:style>
  <w:style w:type="paragraph" w:styleId="1187" w:customStyle="1">
    <w:name w:val="正文2"/>
    <w:basedOn w:val="789"/>
    <w:uiPriority w:val="0"/>
    <w:qFormat/>
    <w:pPr>
      <w:ind w:firstLine="200"/>
      <w:jc w:val="left"/>
      <w:spacing w:line="360" w:lineRule="auto"/>
      <w:widowControl/>
    </w:pPr>
    <w:rPr>
      <w:rFonts w:eastAsia="宋体"/>
      <w:sz w:val="21"/>
    </w:rPr>
  </w:style>
  <w:style w:type="paragraph" w:styleId="1188" w:customStyle="1">
    <w:name w:val="tabletext"/>
    <w:basedOn w:val="789"/>
    <w:uiPriority w:val="0"/>
    <w:qFormat/>
    <w:pPr>
      <w:jc w:val="left"/>
      <w:spacing w:before="100" w:beforeAutospacing="1" w:after="100" w:afterAutospacing="1"/>
      <w:widowControl/>
    </w:pPr>
    <w:rPr>
      <w:rFonts w:ascii="宋体" w:hAnsi="宋体" w:eastAsia="宋体" w:cs="宋体"/>
      <w:sz w:val="24"/>
      <w:szCs w:val="24"/>
    </w:rPr>
  </w:style>
  <w:style w:type="paragraph" w:styleId="1189" w:customStyle="1">
    <w:name w:val="xl150"/>
    <w:basedOn w:val="78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90" w:customStyle="1">
    <w:name w:val="font8"/>
    <w:basedOn w:val="789"/>
    <w:uiPriority w:val="0"/>
    <w:qFormat/>
    <w:pPr>
      <w:jc w:val="left"/>
      <w:spacing w:before="100" w:beforeAutospacing="1" w:after="100" w:afterAutospacing="1"/>
      <w:widowControl/>
    </w:pPr>
    <w:rPr>
      <w:rFonts w:ascii="宋体" w:hAnsi="宋体" w:eastAsia="宋体" w:cs="宋体"/>
      <w:color w:val="000000"/>
      <w:sz w:val="20"/>
    </w:rPr>
  </w:style>
  <w:style w:type="paragraph" w:styleId="1191" w:customStyle="1">
    <w:name w:val="四号线第四级"/>
    <w:basedOn w:val="789"/>
    <w:uiPriority w:val="0"/>
    <w:qFormat/>
    <w:pPr>
      <w:ind w:left="600" w:hanging="420"/>
      <w:tabs>
        <w:tab w:val="left" w:pos="600" w:leader="none"/>
      </w:tabs>
    </w:pPr>
    <w:rPr>
      <w:rFonts w:eastAsia="宋体"/>
      <w:sz w:val="21"/>
      <w:szCs w:val="24"/>
    </w:rPr>
  </w:style>
  <w:style w:type="paragraph" w:styleId="1192" w:customStyle="1">
    <w:name w:val="Char Char Char1 Char"/>
    <w:basedOn w:val="789"/>
    <w:uiPriority w:val="0"/>
    <w:qFormat/>
    <w:pPr>
      <w:jc w:val="left"/>
      <w:spacing w:line="240" w:lineRule="exact"/>
      <w:widowControl/>
    </w:pPr>
    <w:rPr>
      <w:rFonts w:ascii="Verdana" w:hAnsi="Verdana" w:eastAsia="宋体"/>
      <w:sz w:val="20"/>
      <w:lang w:eastAsia="en-US"/>
    </w:rPr>
  </w:style>
  <w:style w:type="paragraph" w:styleId="1193" w:customStyle="1">
    <w:name w:val="xl180"/>
    <w:basedOn w:val="7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94" w:customStyle="1">
    <w:name w:val="xl116"/>
    <w:basedOn w:val="78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95" w:customStyle="1">
    <w:name w:val="无间隔1"/>
    <w:link w:val="1296"/>
    <w:uiPriority w:val="0"/>
    <w:qFormat/>
    <w:pPr>
      <w:jc w:val="center"/>
      <w:spacing w:after="160" w:line="278" w:lineRule="auto"/>
      <w:widowControl w:val="off"/>
    </w:pPr>
    <w:rPr>
      <w:rFonts w:ascii="Times New Roman" w:hAnsi="Times New Roman" w:eastAsia="仿宋_GB2312" w:cs="Times New Roman"/>
      <w:sz w:val="28"/>
      <w:szCs w:val="24"/>
      <w:lang w:val="en-US" w:eastAsia="zh-CN" w:bidi="ar-SA"/>
    </w:rPr>
  </w:style>
  <w:style w:type="paragraph" w:styleId="1196" w:customStyle="1">
    <w:name w:val="xl80"/>
    <w:basedOn w:val="78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97" w:customStyle="1">
    <w:name w:val="xl193"/>
    <w:basedOn w:val="7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98" w:customStyle="1">
    <w:name w:val="xl25"/>
    <w:basedOn w:val="78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4"/>
      <w:szCs w:val="24"/>
    </w:rPr>
  </w:style>
  <w:style w:type="paragraph" w:styleId="1199" w:customStyle="1">
    <w:name w:val="文本块1"/>
    <w:basedOn w:val="789"/>
    <w:link w:val="1305"/>
    <w:uiPriority w:val="0"/>
    <w:qFormat/>
    <w:pPr>
      <w:ind w:left="420" w:right="-294"/>
      <w:spacing w:line="320" w:lineRule="exact"/>
    </w:pPr>
    <w:rPr>
      <w:rFonts w:ascii="宋体" w:eastAsia="宋体"/>
      <w:sz w:val="24"/>
    </w:rPr>
  </w:style>
  <w:style w:type="paragraph" w:styleId="1200" w:customStyle="1">
    <w:name w:val="Table Text Char"/>
    <w:uiPriority w:val="0"/>
    <w:qFormat/>
    <w:pPr>
      <w:spacing w:before="80" w:after="80" w:line="278" w:lineRule="auto"/>
    </w:pPr>
    <w:rPr>
      <w:rFonts w:ascii="Arial" w:hAnsi="Arial" w:eastAsia="宋体" w:cs="Times New Roman"/>
      <w:sz w:val="18"/>
      <w:lang w:val="en-US" w:eastAsia="zh-CN" w:bidi="ar-SA"/>
    </w:rPr>
  </w:style>
  <w:style w:type="paragraph" w:styleId="1201" w:customStyle="1">
    <w:name w:val="xl139"/>
    <w:basedOn w:val="7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202" w:customStyle="1">
    <w:name w:val="xl79"/>
    <w:basedOn w:val="7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03" w:customStyle="1">
    <w:name w:val="xl144"/>
    <w:basedOn w:val="7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204">
    <w:name w:val="List Paragraph"/>
    <w:basedOn w:val="789"/>
    <w:uiPriority w:val="34"/>
    <w:qFormat/>
    <w:pPr>
      <w:ind w:firstLine="420"/>
    </w:pPr>
  </w:style>
  <w:style w:type="paragraph" w:styleId="1205" w:customStyle="1">
    <w:name w:val="xl148"/>
    <w:basedOn w:val="7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206" w:customStyle="1">
    <w:name w:val="xl111"/>
    <w:basedOn w:val="7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207" w:customStyle="1">
    <w:name w:val="HTML 预设格式1"/>
    <w:basedOn w:val="78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1208" w:customStyle="1">
    <w:name w:val="正文缩进 Char Char"/>
    <w:link w:val="802"/>
    <w:uiPriority w:val="0"/>
    <w:qFormat/>
    <w:rPr>
      <w:rFonts w:eastAsia="楷体_GB2312"/>
      <w:sz w:val="24"/>
    </w:rPr>
  </w:style>
  <w:style w:type="character" w:styleId="1209" w:customStyle="1">
    <w:name w:val="font122"/>
    <w:uiPriority w:val="0"/>
    <w:qFormat/>
    <w:rPr>
      <w:rFonts w:hint="eastAsia" w:ascii="宋体" w:hAnsi="宋体" w:eastAsia="宋体" w:cs="宋体"/>
      <w:color w:val="000000"/>
      <w:sz w:val="20"/>
      <w:szCs w:val="20"/>
      <w:u w:val="none"/>
    </w:rPr>
  </w:style>
  <w:style w:type="character" w:styleId="1210" w:customStyle="1">
    <w:name w:val="15"/>
    <w:uiPriority w:val="0"/>
    <w:qFormat/>
    <w:rPr>
      <w:rFonts w:ascii="Verdana" w:hAnsi="Verdana" w:cs="Times New Roman"/>
      <w:color w:val="c90000"/>
      <w:sz w:val="18"/>
    </w:rPr>
  </w:style>
  <w:style w:type="character" w:styleId="1211" w:customStyle="1">
    <w:name w:val="标题 8 Char"/>
    <w:link w:val="797"/>
    <w:uiPriority w:val="0"/>
    <w:qFormat/>
    <w:rPr>
      <w:rFonts w:ascii="Arial" w:hAnsi="Arial" w:eastAsia="黑体" w:cs="Times New Roman"/>
      <w:sz w:val="24"/>
      <w:szCs w:val="20"/>
    </w:rPr>
  </w:style>
  <w:style w:type="character" w:styleId="1212" w:customStyle="1">
    <w:name w:val="HTML 预设格式 Char1"/>
    <w:uiPriority w:val="99"/>
    <w:semiHidden/>
    <w:qFormat/>
    <w:rPr>
      <w:rFonts w:ascii="Courier New" w:hAnsi="Courier New" w:eastAsia="楷体_GB2312" w:cs="Courier New"/>
      <w:sz w:val="20"/>
      <w:szCs w:val="20"/>
    </w:rPr>
  </w:style>
  <w:style w:type="character" w:styleId="1213" w:customStyle="1">
    <w:name w:val="Char Char4"/>
    <w:uiPriority w:val="0"/>
    <w:qFormat/>
    <w:rPr>
      <w:rFonts w:eastAsia="楷体_GB2312"/>
      <w:sz w:val="18"/>
      <w:lang w:val="en-US" w:eastAsia="zh-CN" w:bidi="ar-SA"/>
    </w:rPr>
  </w:style>
  <w:style w:type="character" w:styleId="1214" w:customStyle="1">
    <w:name w:val="NormalCharacter"/>
    <w:uiPriority w:val="0"/>
    <w:qFormat/>
  </w:style>
  <w:style w:type="character" w:styleId="1215" w:customStyle="1">
    <w:name w:val="表正文 Char"/>
    <w:uiPriority w:val="0"/>
    <w:qFormat/>
    <w:rPr>
      <w:rFonts w:eastAsia="楷体_GB2312"/>
      <w:sz w:val="24"/>
      <w:lang w:val="en-US" w:eastAsia="zh-CN" w:bidi="ar-SA"/>
    </w:rPr>
  </w:style>
  <w:style w:type="character" w:styleId="1216" w:customStyle="1">
    <w:name w:val="正文文本缩进 3 Char"/>
    <w:link w:val="830"/>
    <w:uiPriority w:val="0"/>
    <w:qFormat/>
    <w:rPr>
      <w:sz w:val="24"/>
      <w:szCs w:val="24"/>
    </w:rPr>
  </w:style>
  <w:style w:type="character" w:styleId="1217" w:customStyle="1">
    <w:name w:val="hang1"/>
    <w:basedOn w:val="799"/>
    <w:uiPriority w:val="0"/>
    <w:qFormat/>
  </w:style>
  <w:style w:type="character" w:styleId="1218" w:customStyle="1">
    <w:name w:val="Char Char Char Char Char Char Char Char"/>
    <w:link w:val="1095"/>
    <w:uiPriority w:val="0"/>
    <w:qFormat/>
    <w:rPr>
      <w:rFonts w:ascii="Tahoma" w:hAnsi="Tahoma"/>
      <w:sz w:val="24"/>
    </w:rPr>
  </w:style>
  <w:style w:type="character" w:styleId="1219" w:customStyle="1">
    <w:name w:val="纯文本 Char"/>
    <w:link w:val="816"/>
    <w:uiPriority w:val="99"/>
    <w:qFormat/>
    <w:rPr>
      <w:rFonts w:ascii="宋体" w:hAnsi="Courier New" w:eastAsia="楷体_GB2312"/>
      <w:sz w:val="26"/>
    </w:rPr>
  </w:style>
  <w:style w:type="character" w:styleId="1220" w:customStyle="1">
    <w:name w:val="页码1"/>
    <w:basedOn w:val="799"/>
    <w:uiPriority w:val="0"/>
    <w:qFormat/>
  </w:style>
  <w:style w:type="character" w:styleId="1221" w:customStyle="1">
    <w:name w:val="批注框文本 Char1"/>
    <w:uiPriority w:val="99"/>
    <w:semiHidden/>
    <w:qFormat/>
    <w:rPr>
      <w:rFonts w:ascii="Times New Roman" w:hAnsi="Times New Roman" w:eastAsia="楷体_GB2312" w:cs="Times New Roman"/>
      <w:sz w:val="18"/>
      <w:szCs w:val="18"/>
    </w:rPr>
  </w:style>
  <w:style w:type="character" w:styleId="1222" w:customStyle="1">
    <w:name w:val="方案正文 Char"/>
    <w:link w:val="1084"/>
    <w:uiPriority w:val="0"/>
    <w:qFormat/>
    <w:rPr>
      <w:rFonts w:eastAsia="宋体"/>
      <w:sz w:val="24"/>
    </w:rPr>
  </w:style>
  <w:style w:type="character" w:styleId="1223" w:customStyle="1">
    <w:name w:val="Char Char1"/>
    <w:uiPriority w:val="0"/>
    <w:qFormat/>
    <w:rPr>
      <w:rFonts w:eastAsia="楷体_GB2312"/>
      <w:b/>
      <w:bCs/>
      <w:sz w:val="26"/>
    </w:rPr>
  </w:style>
  <w:style w:type="character" w:styleId="1224" w:customStyle="1">
    <w:name w:val="正文文本缩进 2 Char1"/>
    <w:uiPriority w:val="99"/>
    <w:semiHidden/>
    <w:qFormat/>
    <w:rPr>
      <w:rFonts w:ascii="Times New Roman" w:hAnsi="Times New Roman" w:eastAsia="楷体_GB2312" w:cs="Times New Roman"/>
      <w:sz w:val="26"/>
      <w:szCs w:val="20"/>
    </w:rPr>
  </w:style>
  <w:style w:type="character" w:styleId="1225" w:customStyle="1">
    <w:name w:val="正文文本 Char1"/>
    <w:link w:val="807"/>
    <w:uiPriority w:val="99"/>
    <w:semiHidden/>
    <w:qFormat/>
    <w:rPr>
      <w:rFonts w:ascii="Times New Roman" w:hAnsi="Times New Roman" w:eastAsia="楷体_GB2312" w:cs="Times New Roman"/>
      <w:sz w:val="26"/>
      <w:szCs w:val="20"/>
    </w:rPr>
  </w:style>
  <w:style w:type="character" w:styleId="1226" w:customStyle="1">
    <w:name w:val="Footer Char"/>
    <w:uiPriority w:val="0"/>
    <w:qFormat/>
    <w:rPr>
      <w:rFonts w:ascii="Times New Roman" w:hAnsi="Times New Roman" w:eastAsia="楷体_GB2312" w:cs="Times New Roman"/>
      <w:sz w:val="20"/>
      <w:szCs w:val="20"/>
    </w:rPr>
  </w:style>
  <w:style w:type="character" w:styleId="1227" w:customStyle="1">
    <w:name w:val="font31"/>
    <w:uiPriority w:val="0"/>
    <w:qFormat/>
    <w:rPr>
      <w:rFonts w:hint="eastAsia" w:ascii="宋体" w:hAnsi="宋体" w:eastAsia="宋体" w:cs="宋体"/>
      <w:color w:val="000000"/>
      <w:sz w:val="22"/>
      <w:szCs w:val="22"/>
      <w:u w:val="none"/>
    </w:rPr>
  </w:style>
  <w:style w:type="character" w:styleId="1228" w:customStyle="1">
    <w:name w:val="Char Char3"/>
    <w:uiPriority w:val="0"/>
    <w:qFormat/>
    <w:rPr>
      <w:rFonts w:ascii="方正仿宋简体" w:hAnsi="创艺简仿宋" w:eastAsia="方正仿宋简体"/>
      <w:sz w:val="24"/>
      <w:lang w:val="en-US" w:eastAsia="zh-CN" w:bidi="ar-SA"/>
    </w:rPr>
  </w:style>
  <w:style w:type="character" w:styleId="1229" w:customStyle="1">
    <w:name w:val="正文首行缩进 Char2"/>
    <w:basedOn w:val="1225"/>
    <w:uiPriority w:val="99"/>
    <w:semiHidden/>
    <w:qFormat/>
    <w:rPr>
      <w:rFonts w:ascii="Times New Roman" w:hAnsi="Times New Roman" w:eastAsia="楷体_GB2312" w:cs="Times New Roman"/>
      <w:sz w:val="26"/>
      <w:szCs w:val="20"/>
    </w:rPr>
  </w:style>
  <w:style w:type="character" w:styleId="1230" w:customStyle="1">
    <w:name w:val="font01"/>
    <w:uiPriority w:val="0"/>
    <w:qFormat/>
    <w:rPr>
      <w:rFonts w:hint="eastAsia" w:ascii="宋体" w:hAnsi="宋体" w:eastAsia="宋体" w:cs="宋体"/>
      <w:color w:val="000000"/>
      <w:sz w:val="20"/>
      <w:szCs w:val="20"/>
      <w:u w:val="none"/>
    </w:rPr>
  </w:style>
  <w:style w:type="character" w:styleId="1231" w:customStyle="1">
    <w:name w:val="五级文本 Char Char"/>
    <w:uiPriority w:val="0"/>
    <w:qFormat/>
    <w:rPr>
      <w:rFonts w:ascii="宋体" w:hAnsi="宋体" w:eastAsia="宋体"/>
      <w:sz w:val="24"/>
      <w:szCs w:val="24"/>
      <w:lang w:val="en-US" w:eastAsia="zh-CN"/>
    </w:rPr>
  </w:style>
  <w:style w:type="character" w:styleId="1232" w:customStyle="1">
    <w:name w:val="批注文字 Char"/>
    <w:link w:val="804"/>
    <w:uiPriority w:val="0"/>
    <w:semiHidden/>
    <w:qFormat/>
    <w:rPr>
      <w:rFonts w:eastAsia="楷体_GB2312"/>
      <w:sz w:val="26"/>
    </w:rPr>
  </w:style>
  <w:style w:type="character" w:styleId="1233" w:customStyle="1">
    <w:name w:val="font201"/>
    <w:uiPriority w:val="0"/>
    <w:qFormat/>
    <w:rPr>
      <w:rFonts w:ascii="Symbol" w:hAnsi="Symbol" w:cs="Symbol"/>
      <w:color w:val="000000"/>
      <w:sz w:val="20"/>
      <w:szCs w:val="20"/>
      <w:u w:val="none"/>
    </w:rPr>
  </w:style>
  <w:style w:type="character" w:styleId="1234" w:customStyle="1">
    <w:name w:val="lineheigh201"/>
    <w:basedOn w:val="799"/>
    <w:uiPriority w:val="0"/>
    <w:qFormat/>
  </w:style>
  <w:style w:type="character" w:styleId="1235" w:customStyle="1">
    <w:name w:val="文档结构图 Char"/>
    <w:link w:val="810"/>
    <w:uiPriority w:val="0"/>
    <w:qFormat/>
    <w:rPr>
      <w:rFonts w:ascii="宋体"/>
      <w:sz w:val="18"/>
      <w:szCs w:val="18"/>
    </w:rPr>
  </w:style>
  <w:style w:type="character" w:styleId="1236" w:customStyle="1">
    <w:name w:val="正文缩进 Char"/>
    <w:uiPriority w:val="0"/>
    <w:qFormat/>
    <w:rPr>
      <w:rFonts w:eastAsia="楷体_GB2312"/>
      <w:sz w:val="24"/>
    </w:rPr>
  </w:style>
  <w:style w:type="character" w:styleId="1237" w:customStyle="1">
    <w:name w:val="Char Char6"/>
    <w:uiPriority w:val="0"/>
    <w:semiHidden/>
    <w:qFormat/>
    <w:rPr>
      <w:rFonts w:eastAsia="楷体_GB2312"/>
      <w:b/>
      <w:sz w:val="26"/>
      <w:lang w:val="en-US" w:eastAsia="zh-CN" w:bidi="ar-SA"/>
    </w:rPr>
  </w:style>
  <w:style w:type="character" w:styleId="1238" w:customStyle="1">
    <w:name w:val="宋体&amp;Time5# Char"/>
    <w:link w:val="1120"/>
    <w:uiPriority w:val="0"/>
    <w:qFormat/>
    <w:rPr>
      <w:rFonts w:ascii="Calibri" w:hAnsi="Calibri" w:eastAsia="Times New Roman"/>
      <w:szCs w:val="21"/>
    </w:rPr>
  </w:style>
  <w:style w:type="character" w:styleId="1239" w:customStyle="1">
    <w:name w:val="Header Char"/>
    <w:uiPriority w:val="0"/>
    <w:qFormat/>
    <w:rPr>
      <w:rFonts w:ascii="Times New Roman" w:hAnsi="Times New Roman" w:eastAsia="楷体_GB2312" w:cs="Times New Roman"/>
      <w:sz w:val="20"/>
      <w:szCs w:val="20"/>
    </w:rPr>
  </w:style>
  <w:style w:type="character" w:styleId="1240" w:customStyle="1">
    <w:name w:val="font11"/>
    <w:uiPriority w:val="0"/>
    <w:qFormat/>
    <w:rPr>
      <w:rFonts w:hint="eastAsia" w:ascii="宋体" w:hAnsi="宋体" w:eastAsia="宋体" w:cs="宋体"/>
      <w:color w:val="000000"/>
      <w:sz w:val="20"/>
      <w:szCs w:val="20"/>
      <w:u w:val="none"/>
    </w:rPr>
  </w:style>
  <w:style w:type="character" w:styleId="1241" w:customStyle="1">
    <w:name w:val="引用 Char"/>
    <w:link w:val="1082"/>
    <w:uiPriority w:val="0"/>
    <w:qFormat/>
    <w:rPr>
      <w:rFonts w:eastAsia="仿宋_GB2312"/>
      <w:iCs/>
      <w:color w:val="000000"/>
      <w:sz w:val="28"/>
      <w:szCs w:val="24"/>
    </w:rPr>
  </w:style>
  <w:style w:type="character" w:styleId="1242" w:customStyle="1">
    <w:name w:val="apple-converted-space"/>
    <w:basedOn w:val="799"/>
    <w:uiPriority w:val="0"/>
    <w:qFormat/>
  </w:style>
  <w:style w:type="character" w:styleId="1243" w:customStyle="1">
    <w:name w:val="标题 4 Char"/>
    <w:link w:val="793"/>
    <w:uiPriority w:val="9"/>
    <w:qFormat/>
    <w:rPr>
      <w:rFonts w:ascii="Arial" w:hAnsi="Arial" w:eastAsia="黑体" w:cs="Times New Roman"/>
      <w:b/>
      <w:bCs/>
      <w:sz w:val="28"/>
      <w:szCs w:val="28"/>
    </w:rPr>
  </w:style>
  <w:style w:type="character" w:styleId="1244" w:customStyle="1">
    <w:name w:val="正文文本缩进 Char1"/>
    <w:uiPriority w:val="99"/>
    <w:semiHidden/>
    <w:qFormat/>
    <w:rPr>
      <w:rFonts w:ascii="Times New Roman" w:hAnsi="Times New Roman" w:eastAsia="楷体_GB2312" w:cs="Times New Roman"/>
      <w:sz w:val="26"/>
      <w:szCs w:val="20"/>
    </w:rPr>
  </w:style>
  <w:style w:type="character" w:styleId="1245" w:customStyle="1">
    <w:name w:val="a文档正文 Char Char"/>
    <w:link w:val="998"/>
    <w:uiPriority w:val="0"/>
    <w:qFormat/>
    <w:rPr>
      <w:rFonts w:ascii="Tahoma" w:hAnsi="Tahoma" w:eastAsia="仿宋_GB2312"/>
      <w:sz w:val="28"/>
    </w:rPr>
  </w:style>
  <w:style w:type="character" w:styleId="1246" w:customStyle="1">
    <w:name w:val="表头 Char"/>
    <w:link w:val="1112"/>
    <w:uiPriority w:val="0"/>
    <w:qFormat/>
    <w:rPr>
      <w:rFonts w:eastAsia="黑体"/>
      <w:spacing w:val="-10"/>
    </w:rPr>
  </w:style>
  <w:style w:type="character" w:styleId="1247" w:customStyle="1">
    <w:name w:val="标题 1 Char"/>
    <w:link w:val="790"/>
    <w:uiPriority w:val="9"/>
    <w:qFormat/>
    <w:rPr>
      <w:rFonts w:ascii="Times New Roman" w:hAnsi="Times New Roman" w:eastAsia="楷体_GB2312" w:cs="Times New Roman"/>
      <w:b/>
      <w:sz w:val="44"/>
      <w:szCs w:val="20"/>
    </w:rPr>
  </w:style>
  <w:style w:type="character" w:styleId="1248" w:customStyle="1">
    <w:name w:val="页眉 Char"/>
    <w:link w:val="824"/>
    <w:uiPriority w:val="99"/>
    <w:qFormat/>
    <w:rPr>
      <w:sz w:val="18"/>
      <w:szCs w:val="18"/>
    </w:rPr>
  </w:style>
  <w:style w:type="character" w:styleId="1249" w:customStyle="1">
    <w:name w:val="标题 5 Char"/>
    <w:link w:val="794"/>
    <w:uiPriority w:val="9"/>
    <w:qFormat/>
    <w:rPr>
      <w:rFonts w:ascii="宋体" w:hAnsi="宋体" w:eastAsia="宋体" w:cs="Times New Roman"/>
      <w:b/>
      <w:bCs/>
      <w:sz w:val="28"/>
      <w:szCs w:val="28"/>
    </w:rPr>
  </w:style>
  <w:style w:type="character" w:styleId="1250" w:customStyle="1">
    <w:name w:val="font61"/>
    <w:uiPriority w:val="0"/>
    <w:qFormat/>
    <w:rPr>
      <w:rFonts w:ascii="Arial" w:hAnsi="Arial" w:cs="Arial"/>
      <w:color w:val="000000"/>
      <w:sz w:val="18"/>
      <w:szCs w:val="18"/>
    </w:rPr>
  </w:style>
  <w:style w:type="character" w:styleId="1251" w:customStyle="1">
    <w:name w:val="标题 6 Char"/>
    <w:link w:val="795"/>
    <w:uiPriority w:val="0"/>
    <w:qFormat/>
    <w:rPr>
      <w:rFonts w:ascii="Arial" w:hAnsi="Arial" w:eastAsia="黑体" w:cs="Times New Roman"/>
      <w:b/>
      <w:sz w:val="24"/>
      <w:szCs w:val="20"/>
    </w:rPr>
  </w:style>
  <w:style w:type="character" w:styleId="1252" w:customStyle="1">
    <w:name w:val="日期 Char"/>
    <w:link w:val="818"/>
    <w:uiPriority w:val="0"/>
    <w:qFormat/>
    <w:rPr>
      <w:rFonts w:ascii="宋体" w:hAnsi="宋体" w:eastAsia="楷体_GB2312"/>
      <w:sz w:val="24"/>
    </w:rPr>
  </w:style>
  <w:style w:type="character" w:styleId="1253" w:customStyle="1">
    <w:name w:val="正文首行缩进 Char1"/>
    <w:basedOn w:val="1254"/>
    <w:uiPriority w:val="0"/>
    <w:qFormat/>
    <w:rPr>
      <w:rFonts w:ascii="楷体_GB2312" w:eastAsia="楷体_GB2312"/>
      <w:sz w:val="28"/>
    </w:rPr>
  </w:style>
  <w:style w:type="character" w:styleId="1254" w:customStyle="1">
    <w:name w:val="正文文本 Char"/>
    <w:uiPriority w:val="99"/>
    <w:qFormat/>
    <w:rPr>
      <w:rFonts w:ascii="楷体_GB2312" w:eastAsia="楷体_GB2312"/>
      <w:sz w:val="28"/>
    </w:rPr>
  </w:style>
  <w:style w:type="character" w:styleId="1255" w:customStyle="1">
    <w:name w:val="三级目录1 Char"/>
    <w:uiPriority w:val="0"/>
    <w:qFormat/>
    <w:rPr>
      <w:rFonts w:ascii="宋体" w:hAnsi="宋体" w:eastAsia="宋体"/>
      <w:b/>
      <w:sz w:val="24"/>
      <w:szCs w:val="24"/>
      <w:lang w:val="en-US" w:eastAsia="zh-CN"/>
    </w:rPr>
  </w:style>
  <w:style w:type="character" w:styleId="1256" w:customStyle="1">
    <w:name w:val="纯文本 Char1"/>
    <w:uiPriority w:val="99"/>
    <w:semiHidden/>
    <w:qFormat/>
    <w:rPr>
      <w:rFonts w:ascii="宋体" w:hAnsi="Courier New" w:eastAsia="宋体" w:cs="Courier New"/>
      <w:szCs w:val="21"/>
    </w:rPr>
  </w:style>
  <w:style w:type="character" w:styleId="1257" w:customStyle="1">
    <w:name w:val="Char Char22"/>
    <w:uiPriority w:val="0"/>
    <w:qFormat/>
    <w:rPr>
      <w:rFonts w:ascii="Cambria" w:hAnsi="Cambria" w:eastAsia="宋体" w:cs="Times New Roman"/>
      <w:b/>
      <w:bCs/>
      <w:sz w:val="32"/>
      <w:szCs w:val="32"/>
    </w:rPr>
  </w:style>
  <w:style w:type="character" w:styleId="1258" w:customStyle="1">
    <w:name w:val="批注框文本 Char"/>
    <w:link w:val="821"/>
    <w:uiPriority w:val="0"/>
    <w:qFormat/>
    <w:rPr>
      <w:rFonts w:eastAsia="楷体_GB2312"/>
      <w:sz w:val="18"/>
      <w:szCs w:val="18"/>
    </w:rPr>
  </w:style>
  <w:style w:type="character" w:styleId="1259" w:customStyle="1">
    <w:name w:val="Char Char2"/>
    <w:uiPriority w:val="0"/>
    <w:qFormat/>
    <w:rPr>
      <w:rFonts w:eastAsia="楷体_GB2312"/>
      <w:sz w:val="26"/>
    </w:rPr>
  </w:style>
  <w:style w:type="character" w:styleId="1260" w:customStyle="1">
    <w:name w:val="标题 2 Char"/>
    <w:link w:val="791"/>
    <w:uiPriority w:val="9"/>
    <w:qFormat/>
    <w:rPr>
      <w:rFonts w:ascii="宋体" w:hAnsi="宋体" w:eastAsia="楷体_GB2312" w:cs="Times New Roman"/>
      <w:b/>
      <w:sz w:val="26"/>
      <w:szCs w:val="20"/>
    </w:rPr>
  </w:style>
  <w:style w:type="character" w:styleId="1261" w:customStyle="1">
    <w:name w:val="正文文本缩进 2 Char"/>
    <w:link w:val="819"/>
    <w:uiPriority w:val="0"/>
    <w:qFormat/>
    <w:rPr>
      <w:rFonts w:ascii="宋体"/>
      <w:b/>
      <w:bCs/>
      <w:sz w:val="24"/>
    </w:rPr>
  </w:style>
  <w:style w:type="character" w:styleId="1262" w:customStyle="1">
    <w:name w:val="标题 3 Char"/>
    <w:link w:val="792"/>
    <w:uiPriority w:val="0"/>
    <w:qFormat/>
    <w:rPr>
      <w:rFonts w:ascii="Times New Roman" w:hAnsi="Times New Roman" w:eastAsia="楷体_GB2312" w:cs="Times New Roman"/>
      <w:b/>
      <w:sz w:val="26"/>
      <w:szCs w:val="20"/>
    </w:rPr>
  </w:style>
  <w:style w:type="character" w:styleId="1263" w:customStyle="1">
    <w:name w:val="t_tag"/>
    <w:basedOn w:val="799"/>
    <w:uiPriority w:val="0"/>
    <w:qFormat/>
  </w:style>
  <w:style w:type="character" w:styleId="1264" w:customStyle="1">
    <w:name w:val="+正文 Char3"/>
    <w:link w:val="1117"/>
    <w:uiPriority w:val="0"/>
    <w:qFormat/>
    <w:rPr>
      <w:sz w:val="24"/>
    </w:rPr>
  </w:style>
  <w:style w:type="character" w:styleId="1265" w:customStyle="1">
    <w:name w:val="font12"/>
    <w:uiPriority w:val="0"/>
    <w:qFormat/>
    <w:rPr>
      <w:rFonts w:hint="eastAsia" w:ascii="宋体" w:hAnsi="宋体" w:eastAsia="宋体" w:cs="宋体"/>
      <w:color w:val="000000"/>
      <w:sz w:val="18"/>
      <w:szCs w:val="18"/>
      <w:u w:val="none"/>
    </w:rPr>
  </w:style>
  <w:style w:type="character" w:styleId="1266" w:customStyle="1">
    <w:name w:val="标题 Char1"/>
    <w:uiPriority w:val="10"/>
    <w:qFormat/>
    <w:rPr>
      <w:rFonts w:ascii="Cambria" w:hAnsi="Cambria" w:eastAsia="宋体" w:cs="Times New Roman"/>
      <w:b/>
      <w:bCs/>
      <w:sz w:val="32"/>
      <w:szCs w:val="32"/>
    </w:rPr>
  </w:style>
  <w:style w:type="character" w:styleId="1267" w:customStyle="1">
    <w:name w:val="Plain Text Char"/>
    <w:uiPriority w:val="0"/>
    <w:qFormat/>
    <w:rPr>
      <w:rFonts w:ascii="宋体" w:hAnsi="Courier New" w:eastAsia="楷体_GB2312"/>
      <w:sz w:val="26"/>
    </w:rPr>
  </w:style>
  <w:style w:type="character" w:styleId="1268" w:customStyle="1">
    <w:name w:val="UserStyle_58"/>
    <w:uiPriority w:val="0"/>
    <w:qFormat/>
  </w:style>
  <w:style w:type="character" w:styleId="1269" w:customStyle="1">
    <w:name w:val="Char Char5"/>
    <w:uiPriority w:val="0"/>
    <w:qFormat/>
    <w:rPr>
      <w:rFonts w:eastAsia="楷体_GB2312"/>
      <w:sz w:val="18"/>
      <w:lang w:val="en-US" w:eastAsia="zh-CN" w:bidi="ar-SA"/>
    </w:rPr>
  </w:style>
  <w:style w:type="character" w:styleId="1270" w:customStyle="1">
    <w:name w:val="招标正文 Char"/>
    <w:link w:val="1006"/>
    <w:uiPriority w:val="0"/>
    <w:qFormat/>
    <w:rPr>
      <w:rFonts w:ascii="宋体" w:eastAsia="宋体"/>
      <w:sz w:val="24"/>
      <w:szCs w:val="24"/>
    </w:rPr>
  </w:style>
  <w:style w:type="character" w:styleId="1271" w:customStyle="1">
    <w:name w:val="font101"/>
    <w:uiPriority w:val="0"/>
    <w:qFormat/>
    <w:rPr>
      <w:rFonts w:hint="eastAsia" w:ascii="宋体" w:hAnsi="宋体" w:eastAsia="宋体" w:cs="宋体"/>
      <w:color w:val="ff0000"/>
      <w:sz w:val="22"/>
      <w:szCs w:val="22"/>
      <w:u w:val="none"/>
    </w:rPr>
  </w:style>
  <w:style w:type="character" w:styleId="1272" w:customStyle="1">
    <w:name w:val="列出段落 Char"/>
    <w:link w:val="1064"/>
    <w:uiPriority w:val="99"/>
    <w:qFormat/>
    <w:rPr>
      <w:rFonts w:ascii="Arial" w:hAnsi="Arial" w:eastAsia="黑体"/>
      <w:sz w:val="24"/>
      <w:szCs w:val="24"/>
      <w:lang w:eastAsia="en-US"/>
    </w:rPr>
  </w:style>
  <w:style w:type="character" w:styleId="1273" w:customStyle="1">
    <w:name w:val="font141"/>
    <w:uiPriority w:val="0"/>
    <w:qFormat/>
    <w:rPr>
      <w:rFonts w:hint="eastAsia" w:ascii="宋体" w:hAnsi="宋体" w:eastAsia="宋体" w:cs="宋体"/>
      <w:color w:val="ff0000"/>
      <w:sz w:val="22"/>
      <w:szCs w:val="22"/>
      <w:u w:val="none"/>
    </w:rPr>
  </w:style>
  <w:style w:type="character" w:styleId="1274" w:customStyle="1">
    <w:name w:val="HTML 打字机1"/>
    <w:uiPriority w:val="0"/>
    <w:qFormat/>
    <w:rPr>
      <w:rFonts w:ascii="黑体" w:hAnsi="Courier New" w:eastAsia="黑体"/>
      <w:sz w:val="14"/>
    </w:rPr>
  </w:style>
  <w:style w:type="character" w:styleId="1275" w:customStyle="1">
    <w:name w:val="正文文本缩进 3 Char1"/>
    <w:uiPriority w:val="99"/>
    <w:semiHidden/>
    <w:qFormat/>
    <w:rPr>
      <w:rFonts w:ascii="Times New Roman" w:hAnsi="Times New Roman" w:eastAsia="楷体_GB2312" w:cs="Times New Roman"/>
      <w:sz w:val="16"/>
      <w:szCs w:val="16"/>
    </w:rPr>
  </w:style>
  <w:style w:type="character" w:styleId="1276" w:customStyle="1">
    <w:name w:val="apple-style-span"/>
    <w:uiPriority w:val="0"/>
    <w:qFormat/>
  </w:style>
  <w:style w:type="character" w:styleId="1277" w:customStyle="1">
    <w:name w:val="font81"/>
    <w:uiPriority w:val="0"/>
    <w:qFormat/>
    <w:rPr>
      <w:rFonts w:hint="eastAsia" w:ascii="宋体" w:hAnsi="宋体" w:eastAsia="宋体" w:cs="宋体"/>
      <w:color w:val="000000"/>
      <w:sz w:val="20"/>
      <w:szCs w:val="20"/>
      <w:u w:val="none"/>
    </w:rPr>
  </w:style>
  <w:style w:type="character" w:styleId="1278" w:customStyle="1">
    <w:name w:val="Plain Text Char Char"/>
    <w:link w:val="1002"/>
    <w:uiPriority w:val="0"/>
    <w:qFormat/>
    <w:rPr>
      <w:rFonts w:ascii="宋体" w:hAnsi="Courier New" w:eastAsia="楷体_GB2312"/>
      <w:sz w:val="26"/>
    </w:rPr>
  </w:style>
  <w:style w:type="character" w:styleId="1279" w:customStyle="1">
    <w:name w:val="font51"/>
    <w:uiPriority w:val="0"/>
    <w:qFormat/>
    <w:rPr>
      <w:rFonts w:hint="default" w:ascii="Times New Roman" w:hAnsi="Times New Roman" w:cs="Times New Roman"/>
      <w:color w:val="000000"/>
      <w:sz w:val="21"/>
      <w:szCs w:val="21"/>
      <w:u w:val="none"/>
    </w:rPr>
  </w:style>
  <w:style w:type="character" w:styleId="1280" w:customStyle="1">
    <w:name w:val="日期 Char1"/>
    <w:uiPriority w:val="99"/>
    <w:semiHidden/>
    <w:qFormat/>
    <w:rPr>
      <w:rFonts w:ascii="Times New Roman" w:hAnsi="Times New Roman" w:eastAsia="楷体_GB2312" w:cs="Times New Roman"/>
      <w:sz w:val="26"/>
      <w:szCs w:val="20"/>
    </w:rPr>
  </w:style>
  <w:style w:type="character" w:styleId="1281" w:customStyle="1">
    <w:name w:val="my正文 Char"/>
    <w:link w:val="1132"/>
    <w:uiPriority w:val="0"/>
    <w:qFormat/>
    <w:rPr>
      <w:sz w:val="24"/>
      <w:szCs w:val="24"/>
    </w:rPr>
  </w:style>
  <w:style w:type="character" w:styleId="1282" w:customStyle="1">
    <w:name w:val="页脚 Char"/>
    <w:link w:val="822"/>
    <w:uiPriority w:val="99"/>
    <w:qFormat/>
    <w:rPr>
      <w:sz w:val="18"/>
      <w:szCs w:val="18"/>
    </w:rPr>
  </w:style>
  <w:style w:type="character" w:styleId="1283" w:customStyle="1">
    <w:name w:val="font21"/>
    <w:uiPriority w:val="0"/>
    <w:qFormat/>
    <w:rPr>
      <w:rFonts w:hint="eastAsia" w:ascii="宋体" w:hAnsi="宋体" w:eastAsia="宋体"/>
      <w:color w:val="000000"/>
      <w:sz w:val="21"/>
      <w:szCs w:val="21"/>
      <w:u w:val="none"/>
    </w:rPr>
  </w:style>
  <w:style w:type="character" w:styleId="1284" w:customStyle="1">
    <w:name w:val="批注文字 Char1"/>
    <w:uiPriority w:val="99"/>
    <w:semiHidden/>
    <w:qFormat/>
    <w:rPr>
      <w:rFonts w:ascii="Times New Roman" w:hAnsi="Times New Roman" w:eastAsia="楷体_GB2312" w:cs="Times New Roman"/>
      <w:sz w:val="26"/>
      <w:szCs w:val="20"/>
    </w:rPr>
  </w:style>
  <w:style w:type="character" w:styleId="1285" w:customStyle="1">
    <w:name w:val="脚注文本 Char"/>
    <w:link w:val="828"/>
    <w:uiPriority w:val="0"/>
    <w:semiHidden/>
    <w:qFormat/>
    <w:rPr>
      <w:rFonts w:ascii="Times New Roman" w:hAnsi="Times New Roman" w:eastAsia="楷体_GB2312" w:cs="Times New Roman"/>
      <w:sz w:val="18"/>
      <w:szCs w:val="20"/>
    </w:rPr>
  </w:style>
  <w:style w:type="character" w:styleId="1286" w:customStyle="1">
    <w:name w:val="标题 Char"/>
    <w:link w:val="838"/>
    <w:uiPriority w:val="0"/>
    <w:qFormat/>
    <w:rPr>
      <w:rFonts w:ascii="Arial" w:hAnsi="Arial" w:cs="Arial"/>
      <w:b/>
      <w:sz w:val="36"/>
      <w:szCs w:val="32"/>
    </w:rPr>
  </w:style>
  <w:style w:type="character" w:styleId="1287" w:customStyle="1">
    <w:name w:val="正文文本缩进 Char"/>
    <w:link w:val="811"/>
    <w:uiPriority w:val="0"/>
    <w:qFormat/>
    <w:rPr>
      <w:rFonts w:ascii="方正仿宋简体" w:hAnsi="创艺简仿宋" w:eastAsia="方正仿宋简体"/>
      <w:sz w:val="24"/>
    </w:rPr>
  </w:style>
  <w:style w:type="character" w:styleId="1288" w:customStyle="1">
    <w:name w:val="标题 7 Char"/>
    <w:link w:val="796"/>
    <w:uiPriority w:val="0"/>
    <w:qFormat/>
    <w:rPr>
      <w:rFonts w:ascii="Times New Roman" w:hAnsi="Times New Roman" w:eastAsia="宋体" w:cs="Times New Roman"/>
      <w:b/>
      <w:sz w:val="24"/>
      <w:szCs w:val="20"/>
    </w:rPr>
  </w:style>
  <w:style w:type="character" w:styleId="1289" w:customStyle="1">
    <w:name w:val="HTML 预设格式 Char"/>
    <w:link w:val="835"/>
    <w:uiPriority w:val="0"/>
    <w:qFormat/>
    <w:rPr>
      <w:rFonts w:ascii="黑体" w:hAnsi="Courier New" w:eastAsia="黑体" w:cs="楷体_GB2312"/>
    </w:rPr>
  </w:style>
  <w:style w:type="character" w:styleId="1290" w:customStyle="1">
    <w:name w:val="标题 9 Char"/>
    <w:link w:val="798"/>
    <w:uiPriority w:val="0"/>
    <w:qFormat/>
    <w:rPr>
      <w:rFonts w:ascii="Arial" w:hAnsi="Arial" w:eastAsia="黑体" w:cs="Times New Roman"/>
      <w:szCs w:val="20"/>
    </w:rPr>
  </w:style>
  <w:style w:type="character" w:styleId="1291" w:customStyle="1">
    <w:name w:val="正文首行缩进 Char"/>
    <w:link w:val="806"/>
    <w:uiPriority w:val="99"/>
    <w:qFormat/>
    <w:rPr>
      <w:sz w:val="28"/>
    </w:rPr>
  </w:style>
  <w:style w:type="character" w:styleId="1292" w:customStyle="1">
    <w:name w:val="批注主题 Char"/>
    <w:link w:val="803"/>
    <w:uiPriority w:val="0"/>
    <w:qFormat/>
    <w:rPr>
      <w:rFonts w:ascii="Times New Roman" w:hAnsi="Times New Roman" w:eastAsia="楷体_GB2312" w:cs="Times New Roman"/>
      <w:b/>
      <w:bCs/>
      <w:sz w:val="26"/>
      <w:szCs w:val="20"/>
    </w:rPr>
  </w:style>
  <w:style w:type="character" w:styleId="1293" w:customStyle="1">
    <w:name w:val="Table Text Char Char Char Char Char Char"/>
    <w:uiPriority w:val="0"/>
    <w:qFormat/>
    <w:rPr>
      <w:rFonts w:ascii="Arial" w:hAnsi="Arial" w:eastAsia="宋体" w:cs="Arial"/>
      <w:sz w:val="18"/>
      <w:szCs w:val="18"/>
      <w:lang w:val="en-US" w:eastAsia="zh-CN"/>
    </w:rPr>
  </w:style>
  <w:style w:type="character" w:styleId="1294" w:customStyle="1">
    <w:name w:val="Char Char8"/>
    <w:uiPriority w:val="0"/>
    <w:qFormat/>
    <w:rPr>
      <w:rFonts w:eastAsia="楷体_GB2312"/>
      <w:b/>
      <w:sz w:val="44"/>
      <w:lang w:val="en-US" w:eastAsia="zh-CN" w:bidi="ar-SA"/>
    </w:rPr>
  </w:style>
  <w:style w:type="character" w:styleId="1295" w:customStyle="1">
    <w:name w:val="表蕊 Char2"/>
    <w:link w:val="1139"/>
    <w:uiPriority w:val="0"/>
    <w:qFormat/>
    <w:rPr>
      <w:rFonts w:eastAsia="楷体_GB2312"/>
      <w:spacing w:val="-10"/>
    </w:rPr>
  </w:style>
  <w:style w:type="character" w:styleId="1296" w:customStyle="1">
    <w:name w:val="无间隔 Char"/>
    <w:link w:val="1195"/>
    <w:uiPriority w:val="0"/>
    <w:qFormat/>
    <w:rPr>
      <w:rFonts w:eastAsia="仿宋_GB2312"/>
      <w:sz w:val="28"/>
      <w:szCs w:val="24"/>
      <w:lang w:val="en-US" w:eastAsia="zh-CN" w:bidi="ar-SA"/>
    </w:rPr>
  </w:style>
  <w:style w:type="character" w:styleId="1297" w:customStyle="1">
    <w:name w:val="font111"/>
    <w:uiPriority w:val="0"/>
    <w:qFormat/>
    <w:rPr>
      <w:rFonts w:hint="eastAsia" w:ascii="宋体" w:hAnsi="宋体" w:eastAsia="宋体" w:cs="宋体"/>
      <w:b/>
      <w:color w:val="000000"/>
      <w:sz w:val="20"/>
      <w:szCs w:val="20"/>
      <w:u w:val="none"/>
    </w:rPr>
  </w:style>
  <w:style w:type="character" w:styleId="1298" w:customStyle="1">
    <w:name w:val="文档结构图 Char1"/>
    <w:uiPriority w:val="99"/>
    <w:semiHidden/>
    <w:qFormat/>
    <w:rPr>
      <w:rFonts w:ascii="宋体" w:hAnsi="Times New Roman" w:eastAsia="宋体" w:cs="Times New Roman"/>
      <w:sz w:val="18"/>
      <w:szCs w:val="18"/>
    </w:rPr>
  </w:style>
  <w:style w:type="character" w:styleId="1299" w:customStyle="1">
    <w:name w:val="font171"/>
    <w:uiPriority w:val="0"/>
    <w:qFormat/>
    <w:rPr>
      <w:rFonts w:ascii="Wingdings 2" w:hAnsi="Wingdings 2" w:eastAsia="Wingdings 2" w:cs="Wingdings 2"/>
      <w:color w:val="000000"/>
      <w:sz w:val="20"/>
      <w:szCs w:val="20"/>
      <w:u w:val="none"/>
    </w:rPr>
  </w:style>
  <w:style w:type="character" w:styleId="1300" w:customStyle="1">
    <w:name w:val="Char Char"/>
    <w:uiPriority w:val="0"/>
    <w:semiHidden/>
    <w:qFormat/>
    <w:rPr>
      <w:rFonts w:ascii="宋体" w:eastAsia="宋体"/>
      <w:sz w:val="18"/>
      <w:szCs w:val="18"/>
      <w:lang w:val="en-US" w:eastAsia="zh-CN" w:bidi="ar-SA"/>
    </w:rPr>
  </w:style>
  <w:style w:type="character" w:styleId="1301" w:customStyle="1">
    <w:name w:val="font71"/>
    <w:uiPriority w:val="0"/>
    <w:qFormat/>
    <w:rPr>
      <w:rFonts w:hint="default" w:ascii="Times New Roman" w:hAnsi="Times New Roman" w:cs="Times New Roman"/>
      <w:color w:val="000000"/>
      <w:sz w:val="21"/>
      <w:szCs w:val="21"/>
      <w:u w:val="none"/>
    </w:rPr>
  </w:style>
  <w:style w:type="character" w:styleId="1302" w:customStyle="1">
    <w:name w:val="Char Char7"/>
    <w:uiPriority w:val="0"/>
    <w:semiHidden/>
    <w:qFormat/>
    <w:rPr>
      <w:rFonts w:ascii="宋体" w:hAnsi="宋体" w:eastAsia="楷体_GB2312"/>
      <w:b/>
      <w:sz w:val="26"/>
      <w:lang w:val="en-US" w:eastAsia="zh-CN" w:bidi="ar-SA"/>
    </w:rPr>
  </w:style>
  <w:style w:type="character" w:styleId="1303" w:customStyle="1">
    <w:name w:val="正文文本 2 Char"/>
    <w:link w:val="834"/>
    <w:uiPriority w:val="0"/>
    <w:qFormat/>
    <w:rPr>
      <w:rFonts w:ascii="Times New Roman" w:hAnsi="Times New Roman" w:eastAsia="宋体" w:cs="Times New Roman"/>
      <w:sz w:val="24"/>
      <w:szCs w:val="24"/>
    </w:rPr>
  </w:style>
  <w:style w:type="character" w:styleId="1304" w:customStyle="1">
    <w:name w:val="font41"/>
    <w:basedOn w:val="799"/>
    <w:uiPriority w:val="0"/>
    <w:qFormat/>
    <w:rPr>
      <w:rFonts w:hint="eastAsia" w:ascii="宋体" w:hAnsi="宋体" w:eastAsia="宋体" w:cs="宋体"/>
      <w:b/>
      <w:color w:val="000000"/>
      <w:sz w:val="20"/>
      <w:szCs w:val="20"/>
      <w:u w:val="none"/>
    </w:rPr>
  </w:style>
  <w:style w:type="character" w:styleId="1305" w:customStyle="1">
    <w:name w:val="文本块 Char"/>
    <w:link w:val="1199"/>
    <w:uiPriority w:val="0"/>
    <w:qFormat/>
    <w:rPr>
      <w:rFonts w:ascii="宋体"/>
      <w:sz w:val="24"/>
    </w:rPr>
  </w:style>
  <w:style w:type="table" w:styleId="1306" w:customStyle="1">
    <w:name w:val="网格型1"/>
    <w:basedOn w:val="800"/>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1307" w:customStyle="1">
    <w:name w:val="纯文本4"/>
    <w:basedOn w:val="789"/>
    <w:uiPriority w:val="0"/>
    <w:qFormat/>
    <w:rPr>
      <w:rFonts w:ascii="宋体" w:hAnsi="Courier New"/>
    </w:rPr>
  </w:style>
  <w:style w:type="paragraph" w:styleId="1308" w:customStyle="1">
    <w:name w:val="财政-标题一"/>
    <w:basedOn w:val="789"/>
    <w:uiPriority w:val="0"/>
    <w:qFormat/>
    <w:pPr>
      <w:numPr>
        <w:ilvl w:val="0"/>
        <w:numId w:val="2"/>
      </w:numPr>
      <w:outlineLvl w:val="0"/>
    </w:pPr>
    <w:rPr>
      <w:rFonts w:ascii="Calibri" w:hAnsi="Calibri" w:eastAsia="华文中宋"/>
      <w:b/>
      <w:sz w:val="44"/>
      <w:szCs w:val="21"/>
    </w:rPr>
  </w:style>
  <w:style w:type="paragraph" w:styleId="1309" w:customStyle="1">
    <w:name w:val="纯文本5"/>
    <w:uiPriority w:val="0"/>
    <w:qFormat/>
    <w:pPr>
      <w:jc w:val="both"/>
      <w:spacing w:after="160" w:line="278" w:lineRule="auto"/>
      <w:widowControl w:val="off"/>
    </w:pPr>
    <w:rPr>
      <w:rFonts w:ascii="宋体" w:hAnsi="Courier New" w:eastAsia="楷体_GB2312" w:cs="Times New Roman"/>
      <w:sz w:val="26"/>
      <w:lang w:val="en-US" w:eastAsia="zh-CN" w:bidi="ar-SA"/>
    </w:rPr>
  </w:style>
  <w:style w:type="paragraph" w:styleId="1310" w:customStyle="1">
    <w:name w:val="UserStyle_9"/>
    <w:basedOn w:val="789"/>
    <w:uiPriority w:val="0"/>
    <w:qFormat/>
    <w:pPr>
      <w:numPr>
        <w:ilvl w:val="2"/>
        <w:numId w:val="2"/>
      </w:numPr>
    </w:pPr>
    <w:rPr>
      <w:rFonts w:eastAsia="华文中宋"/>
      <w:sz w:val="32"/>
      <w:szCs w:val="21"/>
    </w:rPr>
  </w:style>
  <w:style w:type="paragraph" w:styleId="1311" w:customStyle="1">
    <w:name w:val="書式なし1"/>
    <w:basedOn w:val="789"/>
    <w:uiPriority w:val="0"/>
    <w:qFormat/>
    <w:rPr>
      <w:rFonts w:ascii="宋体" w:hAnsi="Courier New" w:cs="宋体"/>
    </w:rPr>
  </w:style>
  <w:style w:type="paragraph" w:styleId="1312" w:customStyle="1">
    <w:name w:val="正文缩进1"/>
    <w:basedOn w:val="789"/>
    <w:next w:val="789"/>
    <w:uiPriority w:val="0"/>
    <w:qFormat/>
    <w:pPr>
      <w:ind w:firstLine="420"/>
      <w:jc w:val="left"/>
    </w:pPr>
    <w:rPr>
      <w:sz w:val="24"/>
    </w:rPr>
  </w:style>
  <w:style w:type="character" w:styleId="1313" w:customStyle="1">
    <w:name w:val="超链接1"/>
    <w:uiPriority w:val="0"/>
    <w:qFormat/>
    <w:rPr>
      <w:rFonts w:ascii="Times New Roman" w:hAnsi="Times New Roman" w:eastAsia="楷体_GB2312" w:cs="Times New Roman"/>
      <w:sz w:val="26"/>
      <w:lang w:val="en-US" w:eastAsia="zh-CN" w:bidi="ar-SA"/>
    </w:rPr>
  </w:style>
  <w:style w:type="character" w:styleId="1314" w:customStyle="1">
    <w:name w:val="要点1"/>
    <w:uiPriority w:val="0"/>
    <w:qFormat/>
    <w:rPr>
      <w:rFonts w:ascii="Times New Roman" w:hAnsi="Times New Roman" w:eastAsia="宋体" w:cs="Times New Roman"/>
      <w:b/>
    </w:rPr>
  </w:style>
  <w:style w:type="numbering" w:styleId="13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6839665F-AB59-43F9-8043-5A9624C50C5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MS</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马燕</cp:lastModifiedBy>
  <cp:revision>11</cp:revision>
  <dcterms:created xsi:type="dcterms:W3CDTF">2024-07-10T07:00:00Z</dcterms:created>
  <dcterms:modified xsi:type="dcterms:W3CDTF">2024-07-23T01:47:49Z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9A778336BE304168A3153B88FFCDE43B</vt:lpwstr>
  </property>
</Properties>
</file>