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center"/>
        <w:spacing w:before="120" w:beforeAutospacing="0" w:after="120" w:afterAutospacing="0" w:line="360" w:lineRule="auto"/>
        <w:rPr>
          <w:color w:val="000000" w:themeColor="text1"/>
          <w:highlight w:val="none"/>
          <w14:textFill>
            <w14:solidFill>
              <w14:schemeClr w14:val="tx1"/>
            </w14:solidFill>
          </w14:textFill>
        </w:rPr>
      </w:pPr>
      <w:r>
        <w:rPr>
          <w:rFonts w:ascii="Arial" w:hAnsi="Arial" w:cs="Arial"/>
          <w:b/>
          <w:color w:val="000000" w:themeColor="text1"/>
          <w:sz w:val="84"/>
          <w:szCs w:val="84"/>
          <w:highlight w:val="none"/>
          <w14:textFill>
            <w14:solidFill>
              <w14:schemeClr w14:val="tx1"/>
            </w14:solidFill>
          </w14:textFill>
        </w:rPr>
        <w:t xml:space="preserve">招 标 文 件</w:t>
      </w:r>
      <w:r/>
    </w:p>
    <w:p>
      <w:pPr>
        <w:pStyle w:val="820"/>
        <w:ind w:firstLine="964"/>
        <w:spacing w:before="120" w:beforeAutospacing="0" w:after="120" w:afterAutospacing="0" w:line="360" w:lineRule="auto"/>
        <w:rPr>
          <w:rFonts w:hint="eastAsia" w:ascii="Calibri" w:hAnsi="Calibri" w:cs="Calibri" w:eastAsiaTheme="minorEastAsia"/>
          <w:color w:val="000000" w:themeColor="text1"/>
          <w:sz w:val="32"/>
          <w:szCs w:val="32"/>
          <w:highlight w:val="none"/>
          <w:lang w:eastAsia="zh-CN"/>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 xml:space="preserve">项目名称：</w:t>
      </w:r>
      <w:r>
        <w:rPr>
          <w:rFonts w:hint="eastAsia" w:ascii="Calibri" w:hAnsi="Calibri" w:cs="Calibri"/>
          <w:color w:val="000000" w:themeColor="text1"/>
          <w:sz w:val="32"/>
          <w:szCs w:val="32"/>
          <w:highlight w:val="none"/>
          <w14:textFill>
            <w14:solidFill>
              <w14:schemeClr w14:val="tx1"/>
            </w14:solidFill>
          </w14:textFill>
        </w:rPr>
        <w:t xml:space="preserve">阜宁县薄弱村农村人居环境运维管护项目-</w:t>
      </w:r>
      <w:r>
        <w:rPr>
          <w:rFonts w:hint="eastAsia" w:ascii="Calibri" w:hAnsi="Calibri" w:cs="Calibri"/>
          <w:color w:val="000000" w:themeColor="text1"/>
          <w:sz w:val="32"/>
          <w:szCs w:val="32"/>
          <w:highlight w:val="none"/>
          <w:lang w:eastAsia="zh-CN"/>
          <w14:textFill>
            <w14:solidFill>
              <w14:schemeClr w14:val="tx1"/>
            </w14:solidFill>
          </w14:textFill>
        </w:rPr>
        <w:t xml:space="preserve">板湖镇等10个镇区垃圾桶及分类亭采购项目</w:t>
      </w:r>
      <w:r/>
    </w:p>
    <w:p>
      <w:pPr>
        <w:pStyle w:val="820"/>
        <w:ind w:firstLine="964"/>
        <w:jc w:val="both"/>
        <w:spacing w:before="120" w:beforeAutospacing="0" w:after="120" w:afterAutospacing="0" w:line="360" w:lineRule="auto"/>
        <w:rPr>
          <w:rFonts w:ascii="Segoe UI" w:hAnsi="Segoe UI" w:eastAsia="Segoe UI" w:cs="Segoe UI"/>
          <w:i w:val="0"/>
          <w:iCs w:val="0"/>
          <w:caps w:val="0"/>
          <w:color w:val="000000" w:themeColor="text1"/>
          <w:spacing w:val="0"/>
          <w:sz w:val="14"/>
          <w:szCs w:val="14"/>
          <w:highlight w:val="none"/>
          <w:shd w:val="clear" w:color="auto" w:fill="ffffff"/>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t xml:space="preserve">项目编号：</w:t>
      </w:r>
      <w:r>
        <w:rPr>
          <w:rFonts w:hint="eastAsia" w:ascii="Arial" w:hAnsi="Arial" w:cs="Arial"/>
          <w:b/>
          <w:color w:val="000000" w:themeColor="text1"/>
          <w:sz w:val="32"/>
          <w:szCs w:val="32"/>
          <w:highlight w:val="none"/>
          <w14:textFill>
            <w14:solidFill>
              <w14:schemeClr w14:val="tx1"/>
            </w14:solidFill>
          </w14:textFill>
        </w:rPr>
        <w:t xml:space="preserve">JSZC-320923-ZGGC-G2024-0006</w:t>
      </w:r>
      <w:r/>
    </w:p>
    <w:p>
      <w:pPr>
        <w:pStyle w:val="820"/>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center"/>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hint="eastAsia" w:ascii="Arial" w:hAnsi="Arial" w:cs="Arial"/>
          <w:b/>
          <w:color w:val="000000" w:themeColor="text1"/>
          <w:sz w:val="32"/>
          <w:szCs w:val="32"/>
          <w:highlight w:val="none"/>
          <w14:textFill>
            <w14:solidFill>
              <w14:schemeClr w14:val="tx1"/>
            </w14:solidFill>
          </w14:textFill>
        </w:rPr>
        <w:t xml:space="preserve">采购单位：阜宁县农业农村局</w:t>
      </w:r>
      <w:r/>
    </w:p>
    <w:p>
      <w:pPr>
        <w:pStyle w:val="820"/>
        <w:jc w:val="center"/>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820"/>
        <w:jc w:val="center"/>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820"/>
        <w:jc w:val="center"/>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820"/>
        <w:jc w:val="center"/>
        <w:spacing w:before="120" w:beforeAutospacing="0" w:after="120" w:afterAutospacing="0" w:line="360" w:lineRule="auto"/>
        <w:rPr>
          <w:color w:val="000000" w:themeColor="text1"/>
          <w:highlight w:val="none"/>
          <w14:textFill>
            <w14:solidFill>
              <w14:schemeClr w14:val="tx1"/>
            </w14:solidFill>
          </w14:textFill>
        </w:rPr>
      </w:pPr>
      <w:r>
        <w:rPr>
          <w:rFonts w:hint="eastAsia" w:ascii="Arial" w:hAnsi="Arial" w:cs="Arial"/>
          <w:b/>
          <w:color w:val="000000" w:themeColor="text1"/>
          <w:sz w:val="32"/>
          <w:szCs w:val="32"/>
          <w:highlight w:val="none"/>
          <w14:textFill>
            <w14:solidFill>
              <w14:schemeClr w14:val="tx1"/>
            </w14:solidFill>
          </w14:textFill>
        </w:rPr>
        <w:t xml:space="preserve">2024</w:t>
      </w:r>
      <w:r>
        <w:rPr>
          <w:rFonts w:ascii="Arial" w:hAnsi="Arial" w:cs="Arial"/>
          <w:b/>
          <w:color w:val="000000" w:themeColor="text1"/>
          <w:sz w:val="32"/>
          <w:szCs w:val="32"/>
          <w:highlight w:val="none"/>
          <w14:textFill>
            <w14:solidFill>
              <w14:schemeClr w14:val="tx1"/>
            </w14:solidFill>
          </w14:textFill>
        </w:rPr>
        <w:t xml:space="preserve">年</w:t>
      </w:r>
      <w:r>
        <w:rPr>
          <w:rFonts w:hint="eastAsia" w:ascii="Arial" w:hAnsi="Arial" w:cs="Arial"/>
          <w:b/>
          <w:color w:val="000000" w:themeColor="text1"/>
          <w:sz w:val="32"/>
          <w:szCs w:val="32"/>
          <w:highlight w:val="none"/>
          <w:lang w:val="en-US" w:eastAsia="zh-CN"/>
          <w14:textFill>
            <w14:solidFill>
              <w14:schemeClr w14:val="tx1"/>
            </w14:solidFill>
          </w14:textFill>
        </w:rPr>
        <w:t xml:space="preserve">12</w:t>
      </w:r>
      <w:r>
        <w:rPr>
          <w:rFonts w:ascii="Arial" w:hAnsi="Arial" w:cs="Arial"/>
          <w:b/>
          <w:color w:val="000000" w:themeColor="text1"/>
          <w:sz w:val="32"/>
          <w:szCs w:val="32"/>
          <w:highlight w:val="none"/>
          <w14:textFill>
            <w14:solidFill>
              <w14:schemeClr w14:val="tx1"/>
            </w14:solidFill>
          </w14:textFill>
        </w:rPr>
        <w:t xml:space="preserve">月</w:t>
      </w:r>
      <w:r>
        <w:rPr>
          <w:rFonts w:hint="eastAsia" w:ascii="Arial" w:hAnsi="Arial" w:cs="Arial"/>
          <w:b/>
          <w:color w:val="000000" w:themeColor="text1"/>
          <w:sz w:val="32"/>
          <w:szCs w:val="32"/>
          <w:highlight w:val="none"/>
          <w:lang w:val="en-US" w:eastAsia="zh-CN"/>
          <w14:textFill>
            <w14:solidFill>
              <w14:schemeClr w14:val="tx1"/>
            </w14:solidFill>
          </w14:textFill>
        </w:rPr>
        <w:t xml:space="preserve">10</w:t>
      </w:r>
      <w:r>
        <w:rPr>
          <w:rFonts w:ascii="Arial" w:hAnsi="Arial" w:cs="Arial"/>
          <w:b/>
          <w:color w:val="000000" w:themeColor="text1"/>
          <w:sz w:val="32"/>
          <w:szCs w:val="32"/>
          <w:highlight w:val="none"/>
          <w14:textFill>
            <w14:solidFill>
              <w14:schemeClr w14:val="tx1"/>
            </w14:solidFill>
          </w14:textFill>
        </w:rPr>
        <w:t xml:space="preserve">日</w:t>
      </w:r>
      <w:r/>
    </w:p>
    <w:p>
      <w:pPr>
        <w:pStyle w:val="820"/>
        <w:spacing w:before="120" w:beforeAutospacing="0" w:after="120" w:afterAutospacing="0" w:line="360" w:lineRule="auto"/>
        <w:rPr>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                        </w:t>
      </w:r>
      <w:r/>
    </w:p>
    <w:p>
      <w:pPr>
        <w:pStyle w:val="820"/>
        <w:jc w:val="center"/>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br w:type="page" w:clear="all"/>
      </w:r>
      <w:r>
        <w:rPr>
          <w:rFonts w:ascii="Times New Roman" w:hAnsi="Times New Roman"/>
          <w:color w:val="000000" w:themeColor="text1"/>
          <w:sz w:val="21"/>
          <w:szCs w:val="21"/>
          <w:highlight w:val="none"/>
          <w14:textFill>
            <w14:solidFill>
              <w14:schemeClr w14:val="tx1"/>
            </w14:solidFill>
          </w14:textFill>
        </w:rPr>
        <w:t xml:space="preserve"> </w:t>
      </w:r>
      <w:bookmarkStart w:id="0" w:name="_Toc120614210"/>
      <w:r/>
      <w:bookmarkStart w:id="1" w:name="_Toc513029200"/>
      <w:r/>
      <w:bookmarkStart w:id="2" w:name="_Toc479757206"/>
      <w:r/>
      <w:bookmarkStart w:id="3" w:name="_Toc16938516"/>
      <w:r/>
      <w:bookmarkStart w:id="4" w:name="_Toc20823272"/>
      <w:r/>
      <w:bookmarkStart w:id="5" w:name="_Toc523127445"/>
      <w:r>
        <w:rPr>
          <w:rFonts w:ascii="黑体" w:hAnsi="宋体" w:eastAsia="黑体" w:cs="黑体"/>
          <w:b/>
          <w:color w:val="000000" w:themeColor="text1"/>
          <w:sz w:val="44"/>
          <w:szCs w:val="44"/>
          <w:highlight w:val="none"/>
          <w14:textFill>
            <w14:solidFill>
              <w14:schemeClr w14:val="tx1"/>
            </w14:solidFill>
          </w14:textFill>
        </w:rPr>
        <w:t xml:space="preserve">总  目  录</w:t>
      </w:r>
      <w:bookmarkEnd w:id="0"/>
      <w:r/>
      <w:bookmarkEnd w:id="1"/>
      <w:r/>
      <w:bookmarkEnd w:id="2"/>
      <w:r/>
      <w:bookmarkEnd w:id="3"/>
      <w:r/>
      <w:bookmarkEnd w:id="4"/>
      <w:r/>
      <w:bookmarkEnd w:id="5"/>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ind w:left="2160" w:hanging="1440"/>
        <w:jc w:val="both"/>
        <w:spacing w:beforeAutospacing="0" w:afterAutospacing="0" w:line="36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招标公告…………………………………… </w:t>
      </w:r>
      <w:r/>
    </w:p>
    <w:p>
      <w:pPr>
        <w:pStyle w:val="820"/>
        <w:ind w:left="2160" w:hanging="1440"/>
        <w:jc w:val="both"/>
        <w:spacing w:beforeAutospacing="0" w:afterAutospacing="0" w:line="36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投标人须知…………………………………  </w:t>
      </w:r>
      <w:r/>
    </w:p>
    <w:p>
      <w:pPr>
        <w:pStyle w:val="820"/>
        <w:ind w:left="2160" w:hanging="1440"/>
        <w:jc w:val="both"/>
        <w:spacing w:beforeAutospacing="0" w:afterAutospacing="0" w:line="36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合同文本……………………………………</w:t>
      </w:r>
      <w:r/>
    </w:p>
    <w:p>
      <w:pPr>
        <w:pStyle w:val="820"/>
        <w:ind w:left="2160" w:hanging="1440"/>
        <w:jc w:val="both"/>
        <w:spacing w:beforeAutospacing="0" w:afterAutospacing="0" w:line="36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采购需求……………………………………</w:t>
      </w:r>
      <w:r/>
    </w:p>
    <w:p>
      <w:pPr>
        <w:pStyle w:val="820"/>
        <w:ind w:left="2160" w:hanging="1440"/>
        <w:jc w:val="both"/>
        <w:spacing w:beforeAutospacing="0" w:afterAutospacing="0" w:line="36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评标方法与评标标准………………………</w:t>
      </w:r>
      <w:r/>
    </w:p>
    <w:p>
      <w:pPr>
        <w:pStyle w:val="820"/>
        <w:ind w:left="2160" w:hanging="1440"/>
        <w:jc w:val="both"/>
        <w:spacing w:beforeAutospacing="0" w:afterAutospacing="0" w:line="360" w:lineRule="auto"/>
        <w:tabs>
          <w:tab w:val="left" w:pos="1441" w:leader="none"/>
        </w:tabs>
        <w:rPr>
          <w:color w:val="000000" w:themeColor="text1"/>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投标文件格式………………………………</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center"/>
        <w:keepNext/>
        <w:spacing w:beforeAutospacing="0" w:afterAutospacing="0" w:line="360" w:lineRule="auto"/>
        <w:rPr>
          <w:rFonts w:eastAsia="黑体"/>
          <w:color w:val="000000" w:themeColor="text1"/>
          <w:highlight w:val="none"/>
          <w14:textFill>
            <w14:solidFill>
              <w14:schemeClr w14:val="tx1"/>
            </w14:solidFill>
          </w14:textFill>
        </w:rPr>
      </w:pPr>
      <w:r/>
      <w:bookmarkStart w:id="6" w:name="_Toc28359086"/>
      <w:r>
        <w:rPr>
          <w:rFonts w:hint="eastAsia" w:ascii="黑体" w:hAnsi="宋体" w:eastAsia="黑体" w:cs="黑体"/>
          <w:color w:val="000000" w:themeColor="text1"/>
          <w:sz w:val="44"/>
          <w:szCs w:val="44"/>
          <w:highlight w:val="none"/>
          <w14:textFill>
            <w14:solidFill>
              <w14:schemeClr w14:val="tx1"/>
            </w14:solidFill>
          </w14:textFill>
        </w:rPr>
        <w:t xml:space="preserve">第一章 招标公告</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1"/>
          <w:szCs w:val="21"/>
          <w:highlight w:val="none"/>
          <w14:textFill>
            <w14:solidFill>
              <w14:schemeClr w14:val="tx1"/>
            </w14:solidFill>
          </w14:textFill>
        </w:rPr>
        <w:t xml:space="preserve">项目概况</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1"/>
          <w:szCs w:val="21"/>
          <w:highlight w:val="none"/>
          <w:u w:val="single"/>
          <w14:textFill>
            <w14:solidFill>
              <w14:schemeClr w14:val="tx1"/>
            </w14:solidFill>
          </w14:textFill>
        </w:rPr>
        <w:t xml:space="preserve">阜宁县薄弱村农村人居环境运维管护项目-</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板湖镇等10个镇区垃圾桶及分类亭采购项目</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招标项目的潜在投标人可在</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“中国政府采购网”、“江苏政府采购网、盐城市政府采购网”</w:t>
      </w:r>
      <w:r>
        <w:rPr>
          <w:rFonts w:hint="eastAsia" w:ascii="宋体" w:hAnsi="宋体" w:eastAsia="宋体" w:cs="宋体"/>
          <w:color w:val="000000" w:themeColor="text1"/>
          <w:sz w:val="21"/>
          <w:szCs w:val="21"/>
          <w:highlight w:val="none"/>
          <w14:textFill>
            <w14:solidFill>
              <w14:schemeClr w14:val="tx1"/>
            </w14:solidFill>
          </w14:textFill>
        </w:rPr>
        <w:t xml:space="preserve">获取招标文件，并于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2024年12月</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31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日</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u w:val="single"/>
          <w14:textFill>
            <w14:solidFill>
              <w14:schemeClr w14:val="tx1"/>
            </w14:solidFill>
          </w14:textFill>
        </w:rPr>
        <w:t xml:space="preserve">点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00</w:t>
      </w:r>
      <w:r>
        <w:rPr>
          <w:rFonts w:hint="eastAsia" w:ascii="宋体" w:hAnsi="宋体" w:eastAsia="宋体" w:cs="宋体"/>
          <w:color w:val="000000" w:themeColor="text1"/>
          <w:sz w:val="21"/>
          <w:szCs w:val="21"/>
          <w:highlight w:val="none"/>
          <w:u w:val="single"/>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北京时间）前递交投标文件。</w:t>
      </w:r>
      <w:r/>
    </w:p>
    <w:p>
      <w:pPr>
        <w:pStyle w:val="820"/>
        <w:ind w:firstLine="498"/>
        <w:jc w:val="both"/>
        <w:keepLines/>
        <w:keepNext/>
        <w:spacing w:before="145" w:beforeAutospacing="0" w:after="145" w:afterAutospacing="0" w:line="360" w:lineRule="auto"/>
        <w:rPr>
          <w:rFonts w:ascii="宋体" w:hAnsi="宋体" w:eastAsia="宋体" w:cs="宋体"/>
          <w:color w:val="000000" w:themeColor="text1"/>
          <w:sz w:val="21"/>
          <w:szCs w:val="21"/>
          <w:highlight w:val="none"/>
          <w14:textFill>
            <w14:solidFill>
              <w14:schemeClr w14:val="tx1"/>
            </w14:solidFill>
          </w14:textFill>
        </w:rPr>
      </w:pPr>
      <w:r/>
      <w:bookmarkStart w:id="7" w:name="_Toc38985263"/>
      <w:r/>
      <w:bookmarkStart w:id="8" w:name="_Toc28359079"/>
      <w:r/>
      <w:bookmarkStart w:id="9" w:name="_Toc35393621"/>
      <w:r/>
      <w:bookmarkStart w:id="10" w:name="_Toc35393790"/>
      <w:r/>
      <w:bookmarkStart w:id="11" w:name="_Toc28359002"/>
      <w:r/>
      <w:bookmarkStart w:id="12" w:name="_Hlk24379207"/>
      <w:r>
        <w:rPr>
          <w:rFonts w:hint="eastAsia" w:ascii="宋体" w:hAnsi="宋体" w:eastAsia="宋体" w:cs="宋体"/>
          <w:b/>
          <w:color w:val="000000" w:themeColor="text1"/>
          <w:sz w:val="21"/>
          <w:szCs w:val="21"/>
          <w:highlight w:val="none"/>
          <w14:textFill>
            <w14:solidFill>
              <w14:schemeClr w14:val="tx1"/>
            </w14:solidFill>
          </w14:textFill>
        </w:rPr>
        <w:t xml:space="preserve">一、项目基本情况</w:t>
      </w:r>
      <w:bookmarkEnd w:id="7"/>
      <w:r/>
      <w:bookmarkEnd w:id="8"/>
      <w:r/>
      <w:bookmarkEnd w:id="9"/>
      <w:r/>
      <w:bookmarkEnd w:id="10"/>
      <w:r/>
      <w:bookmarkEnd w:id="11"/>
      <w:r/>
      <w:bookmarkEnd w:id="12"/>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1.项目编号：JSZC-320923-ZGGC-G2024-0006</w:t>
      </w:r>
      <w:r/>
    </w:p>
    <w:p>
      <w:pPr>
        <w:pStyle w:val="820"/>
        <w:ind w:firstLine="480"/>
        <w:jc w:val="both"/>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2.项目名称：阜宁县薄弱村农村人居环境运维管护项目-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板湖镇等10个镇区垃圾桶及分类亭采购项目</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3.采购方式：公开招标</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4.预算金额：</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535万元</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shd w:val="clear" w:color="auto" w:fill="ffff00"/>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5.最高限价（如有）：</w:t>
      </w:r>
      <w:r>
        <w:rPr>
          <w:rFonts w:hint="eastAsia" w:ascii="宋体" w:hAnsi="宋体" w:eastAsia="宋体" w:cs="宋体"/>
          <w:color w:val="000000" w:themeColor="text1"/>
          <w:sz w:val="21"/>
          <w:szCs w:val="21"/>
          <w:highlight w:val="none"/>
          <w:shd w:val="clear" w:color="auto" w:fill="ffffff"/>
          <w:lang w:val="en-US" w:eastAsia="zh-CN"/>
          <w14:textFill>
            <w14:solidFill>
              <w14:schemeClr w14:val="tx1"/>
            </w14:solidFill>
          </w14:textFill>
        </w:rPr>
        <w:t xml:space="preserve">535万元</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6.采购需求（简介）：阜宁县薄弱村农村人居环境运维管护项目-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板湖镇等10个镇区垃圾桶及分类亭采购项目</w:t>
      </w:r>
      <w:r>
        <w:rPr>
          <w:rFonts w:hint="eastAsia" w:ascii="宋体" w:hAnsi="宋体" w:eastAsia="宋体" w:cs="宋体"/>
          <w:color w:val="000000" w:themeColor="text1"/>
          <w:sz w:val="21"/>
          <w:szCs w:val="21"/>
          <w:highlight w:val="none"/>
          <w14:textFill>
            <w14:solidFill>
              <w14:schemeClr w14:val="tx1"/>
            </w14:solidFill>
          </w14:textFill>
        </w:rPr>
        <w:t xml:space="preserve">，主要包含</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塑料240L垃圾桶、垃圾分类亭</w:t>
      </w:r>
      <w:r>
        <w:rPr>
          <w:rFonts w:hint="eastAsia" w:ascii="宋体" w:hAnsi="宋体" w:eastAsia="宋体" w:cs="宋体"/>
          <w:color w:val="000000" w:themeColor="text1"/>
          <w:sz w:val="21"/>
          <w:szCs w:val="21"/>
          <w:highlight w:val="none"/>
          <w14:textFill>
            <w14:solidFill>
              <w14:schemeClr w14:val="tx1"/>
            </w14:solidFill>
          </w14:textFill>
        </w:rPr>
        <w:t xml:space="preserve">，详细内容见本招标文件第四章，资金来源已落实。</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7.合同履行期限：合同签订后30日历天内供货、安装、调试完成并交付采购人正常使用</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shd w:val="clear" w:color="auto" w:fill="ffff00"/>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8.本项目不接受联合体</w:t>
      </w:r>
      <w:r>
        <w:rPr>
          <w:rFonts w:hint="eastAsia" w:ascii="宋体" w:hAnsi="宋体" w:eastAsia="宋体" w:cs="宋体"/>
          <w:color w:val="000000" w:themeColor="text1"/>
          <w:sz w:val="21"/>
          <w:szCs w:val="21"/>
          <w:highlight w:val="none"/>
          <w14:textFill>
            <w14:solidFill>
              <w14:schemeClr w14:val="tx1"/>
            </w14:solidFill>
          </w14:textFill>
        </w:rPr>
        <w:t xml:space="preserve">参与招标。</w:t>
      </w:r>
      <w:r/>
    </w:p>
    <w:p>
      <w:pPr>
        <w:pStyle w:val="820"/>
        <w:ind w:firstLine="498"/>
        <w:jc w:val="both"/>
        <w:keepLines/>
        <w:keepNext/>
        <w:spacing w:before="145" w:beforeAutospacing="0" w:after="145" w:afterAutospacing="0" w:line="360" w:lineRule="auto"/>
        <w:rPr>
          <w:rFonts w:ascii="宋体" w:hAnsi="宋体" w:eastAsia="宋体" w:cs="宋体"/>
          <w:color w:val="000000" w:themeColor="text1"/>
          <w:sz w:val="21"/>
          <w:szCs w:val="21"/>
          <w:highlight w:val="none"/>
          <w14:textFill>
            <w14:solidFill>
              <w14:schemeClr w14:val="tx1"/>
            </w14:solidFill>
          </w14:textFill>
        </w:rPr>
      </w:pPr>
      <w:r/>
      <w:bookmarkStart w:id="13" w:name="_Toc35393622"/>
      <w:r/>
      <w:bookmarkStart w:id="14" w:name="_Toc35393791"/>
      <w:r/>
      <w:bookmarkStart w:id="15" w:name="_Toc38985264"/>
      <w:r/>
      <w:bookmarkStart w:id="16" w:name="_Toc28359003"/>
      <w:r/>
      <w:bookmarkStart w:id="17" w:name="_Toc28359080"/>
      <w:r>
        <w:rPr>
          <w:rFonts w:hint="eastAsia" w:ascii="宋体" w:hAnsi="宋体" w:eastAsia="宋体" w:cs="宋体"/>
          <w:b/>
          <w:color w:val="000000" w:themeColor="text1"/>
          <w:sz w:val="21"/>
          <w:szCs w:val="21"/>
          <w:highlight w:val="none"/>
          <w14:textFill>
            <w14:solidFill>
              <w14:schemeClr w14:val="tx1"/>
            </w14:solidFill>
          </w14:textFill>
        </w:rPr>
        <w:t xml:space="preserve">二、申请人的资格要求：</w:t>
      </w:r>
      <w:bookmarkEnd w:id="13"/>
      <w:r/>
      <w:bookmarkEnd w:id="14"/>
      <w:r/>
      <w:bookmarkEnd w:id="15"/>
      <w:r/>
      <w:bookmarkEnd w:id="16"/>
      <w:r/>
      <w:bookmarkEnd w:id="17"/>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1.满足《中华人民共和国政府采购法》第二十二条规定，并提供下列材料：</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 法人或者其他组织的营业执照等证明文件，自然人的身份证明；</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1.2上一年度的财务状况报表（财务报表至少应当包括资产负债表、利润表，成立不满一年无需提供）；</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1.3具备履行合同所必需的设备和专业技术能力的书面声明；</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1.5参加政府采购活动前3年内在经营活动中没有重大违法记录的书面声明。</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1.6法律、行政法规规定的其他条件。</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1.8单位负责人为同一人或者存在直接控股、管理关系的不同供应商，不得参加同一合同项下的政府采购活动。</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2.落实政府采购政策需满足的资格要求：无</w:t>
      </w:r>
      <w:r/>
    </w:p>
    <w:p>
      <w:pPr>
        <w:pStyle w:val="820"/>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3.本项目的特定资格要求：无</w:t>
      </w:r>
      <w:r/>
    </w:p>
    <w:p>
      <w:pPr>
        <w:pStyle w:val="820"/>
        <w:ind w:firstLine="498"/>
        <w:jc w:val="both"/>
        <w:keepLines/>
        <w:keepNext/>
        <w:spacing w:before="145" w:beforeAutospacing="0" w:after="145"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三、获取招标文件</w:t>
      </w:r>
      <w:r/>
    </w:p>
    <w:p>
      <w:pPr>
        <w:pStyle w:val="820"/>
        <w:ind w:firstLine="540"/>
        <w:jc w:val="both"/>
        <w:spacing w:beforeAutospacing="0" w:afterAutospacing="0" w:line="360" w:lineRule="auto"/>
        <w:shd w:val="clear" w:color="auto" w:fill="ffffff"/>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bookmarkStart w:id="18" w:name="_Toc35393624"/>
      <w:r/>
      <w:bookmarkStart w:id="19" w:name="_Toc35393793"/>
      <w:r/>
      <w:bookmarkStart w:id="20" w:name="_Toc38985266"/>
      <w:r/>
      <w:bookmarkStart w:id="21" w:name="_Toc28359082"/>
      <w:r/>
      <w:bookmarkStart w:id="22" w:name="_Toc28359005"/>
      <w:r>
        <w:rPr>
          <w:rFonts w:hint="eastAsia" w:ascii="宋体" w:hAnsi="宋体" w:eastAsia="宋体" w:cs="宋体"/>
          <w:color w:val="000000" w:themeColor="text1"/>
          <w:sz w:val="21"/>
          <w:szCs w:val="21"/>
          <w:highlight w:val="none"/>
          <w14:textFill>
            <w14:solidFill>
              <w14:schemeClr w14:val="tx1"/>
            </w14:solidFill>
          </w14:textFill>
        </w:rPr>
        <w:t xml:space="preserve">1.时间：</w:t>
      </w:r>
      <w:bookmarkEnd w:id="18"/>
      <w:r/>
      <w:bookmarkEnd w:id="19"/>
      <w:r/>
      <w:bookmarkEnd w:id="20"/>
      <w:r/>
      <w:bookmarkEnd w:id="21"/>
      <w:r/>
      <w:bookmarkEnd w:id="22"/>
      <w:r>
        <w:rPr>
          <w:rFonts w:hint="eastAsia" w:ascii="宋体" w:hAnsi="宋体" w:eastAsia="宋体" w:cs="宋体"/>
          <w:i w:val="0"/>
          <w:iCs w:val="0"/>
          <w:color w:val="000000" w:themeColor="text1"/>
          <w:sz w:val="21"/>
          <w:szCs w:val="21"/>
          <w:highlight w:val="none"/>
          <w:u w:val="none"/>
          <w:shd w:val="clear" w:color="auto" w:fill="ffffff"/>
          <w14:textFill>
            <w14:solidFill>
              <w14:schemeClr w14:val="tx1"/>
            </w14:solidFill>
          </w14:textFill>
        </w:rPr>
        <w:t xml:space="preserve">自本公告发布之日起5个工作日</w:t>
      </w:r>
      <w:r>
        <w:rPr>
          <w:rFonts w:hint="eastAsia" w:ascii="宋体" w:hAnsi="宋体" w:eastAsia="宋体" w:cs="宋体"/>
          <w:i w:val="0"/>
          <w:iCs w:val="0"/>
          <w:color w:val="000000" w:themeColor="text1"/>
          <w:sz w:val="21"/>
          <w:szCs w:val="21"/>
          <w:highlight w:val="none"/>
          <w:u w:val="none"/>
          <w:shd w:val="clear" w:color="auto" w:fill="ffffff"/>
          <w:lang w:eastAsia="zh-CN"/>
          <w14:textFill>
            <w14:solidFill>
              <w14:schemeClr w14:val="tx1"/>
            </w14:solidFill>
          </w14:textFill>
        </w:rPr>
        <w:t xml:space="preserve">。</w:t>
      </w:r>
      <w:r/>
    </w:p>
    <w:p>
      <w:pPr>
        <w:ind w:firstLine="480"/>
        <w:jc w:val="left"/>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2.地点：</w:t>
      </w:r>
      <w:r>
        <w:rPr>
          <w:rFonts w:hint="eastAsia" w:ascii="宋体" w:hAnsi="宋体" w:eastAsia="宋体" w:cs="宋体"/>
          <w:color w:val="000000" w:themeColor="text1"/>
          <w:szCs w:val="21"/>
          <w:highlight w:val="none"/>
          <w14:textFill>
            <w14:solidFill>
              <w14:schemeClr w14:val="tx1"/>
            </w14:solidFill>
          </w14:textFill>
        </w:rPr>
        <w:t xml:space="preserve">中国政府采购网、</w:t>
      </w:r>
      <w:r>
        <w:rPr>
          <w:rFonts w:hint="eastAsia" w:ascii="宋体" w:hAnsi="宋体" w:eastAsia="宋体" w:cs="宋体"/>
          <w:color w:val="000000" w:themeColor="text1"/>
          <w:szCs w:val="21"/>
          <w:highlight w:val="none"/>
          <w14:textFill>
            <w14:solidFill>
              <w14:schemeClr w14:val="tx1"/>
            </w14:solidFill>
          </w14:textFill>
        </w:rPr>
        <w:t xml:space="preserve">江苏政府采购网、盐城市政府采购网</w:t>
      </w:r>
      <w:r/>
    </w:p>
    <w:p>
      <w:pPr>
        <w:pStyle w:val="820"/>
        <w:ind w:firstLine="54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3.方式：在“中国政府采购网”、“江苏政府采购网”、“盐城市政府采购网”自行免费下载招标文件。（注：若决定参加投标的，须持投标人CA在上述时间内登录苏彩云政府采购交易系统下载。）</w:t>
      </w:r>
      <w:r/>
    </w:p>
    <w:p>
      <w:pPr>
        <w:ind w:firstLine="480"/>
        <w:jc w:val="left"/>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4.售价：0元</w:t>
      </w:r>
      <w:r/>
    </w:p>
    <w:p>
      <w:pPr>
        <w:pStyle w:val="820"/>
        <w:ind w:firstLine="498"/>
        <w:jc w:val="both"/>
        <w:keepLines/>
        <w:keepNext/>
        <w:spacing w:before="145" w:beforeAutospacing="0" w:after="145"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四、提交投标文件截止时间、开标时间和地点</w:t>
      </w:r>
      <w:r/>
    </w:p>
    <w:p>
      <w:pPr>
        <w:pStyle w:val="820"/>
        <w:ind w:firstLine="54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1.时间：</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2024年</w:t>
      </w:r>
      <w:r>
        <w:rPr>
          <w:rFonts w:hint="eastAsia" w:ascii="宋体" w:hAnsi="宋体" w:eastAsia="宋体" w:cs="宋体"/>
          <w:color w:val="000000" w:themeColor="text1"/>
          <w:sz w:val="21"/>
          <w:szCs w:val="21"/>
          <w:highlight w:val="none"/>
          <w:u w:val="single"/>
          <w:shd w:val="clear" w:color="auto" w:fill="ffffff"/>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shd w:val="clear" w:color="auto" w:fill="ffffff"/>
          <w:lang w:val="en-US" w:eastAsia="zh-CN"/>
          <w14:textFill>
            <w14:solidFill>
              <w14:schemeClr w14:val="tx1"/>
            </w14:solidFill>
          </w14:textFill>
        </w:rPr>
        <w:t xml:space="preserve">31</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xml:space="preserve">日</w:t>
      </w:r>
      <w:r>
        <w:rPr>
          <w:rFonts w:hint="eastAsia" w:ascii="宋体" w:hAnsi="宋体" w:eastAsia="宋体" w:cs="宋体"/>
          <w:color w:val="000000" w:themeColor="text1"/>
          <w:sz w:val="21"/>
          <w:szCs w:val="21"/>
          <w:highlight w:val="none"/>
          <w:u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shd w:val="clear" w:color="auto" w:fill="ffffff"/>
          <w:lang w:val="en-US" w:eastAsia="zh-CN"/>
          <w14:textFill>
            <w14:solidFill>
              <w14:schemeClr w14:val="tx1"/>
            </w14:solidFill>
          </w14:textFill>
        </w:rPr>
        <w:t xml:space="preserve">9点 00分</w:t>
      </w:r>
      <w:r>
        <w:rPr>
          <w:rFonts w:hint="eastAsia" w:ascii="宋体" w:hAnsi="宋体" w:eastAsia="宋体" w:cs="宋体"/>
          <w:color w:val="000000" w:themeColor="text1"/>
          <w:sz w:val="21"/>
          <w:szCs w:val="21"/>
          <w:highlight w:val="none"/>
          <w14:textFill>
            <w14:solidFill>
              <w14:schemeClr w14:val="tx1"/>
            </w14:solidFill>
          </w14:textFill>
        </w:rPr>
        <w:t xml:space="preserve">（北京时间）</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2.地点：“苏采云”政府采购交易系统网上开标大厅。</w:t>
      </w:r>
      <w:r/>
    </w:p>
    <w:p>
      <w:pPr>
        <w:pStyle w:val="820"/>
        <w:ind w:firstLine="498"/>
        <w:jc w:val="both"/>
        <w:keepLines/>
        <w:keepNext/>
        <w:spacing w:before="145" w:beforeAutospacing="0" w:after="145" w:afterAutospacing="0" w:line="360" w:lineRule="auto"/>
        <w:rPr>
          <w:rFonts w:ascii="宋体" w:hAnsi="宋体" w:eastAsia="宋体" w:cs="宋体"/>
          <w:color w:val="000000" w:themeColor="text1"/>
          <w:sz w:val="21"/>
          <w:szCs w:val="21"/>
          <w:highlight w:val="none"/>
          <w14:textFill>
            <w14:solidFill>
              <w14:schemeClr w14:val="tx1"/>
            </w14:solidFill>
          </w14:textFill>
        </w:rPr>
      </w:pPr>
      <w:r/>
      <w:bookmarkStart w:id="23" w:name="_Toc35393625"/>
      <w:r/>
      <w:bookmarkStart w:id="24" w:name="_Toc38985267"/>
      <w:r/>
      <w:bookmarkStart w:id="25" w:name="_Toc28359007"/>
      <w:r/>
      <w:bookmarkStart w:id="26" w:name="_Toc28359084"/>
      <w:r/>
      <w:bookmarkStart w:id="27" w:name="_Toc35393794"/>
      <w:r>
        <w:rPr>
          <w:rFonts w:hint="eastAsia" w:ascii="宋体" w:hAnsi="宋体" w:eastAsia="宋体" w:cs="宋体"/>
          <w:b/>
          <w:color w:val="000000" w:themeColor="text1"/>
          <w:sz w:val="21"/>
          <w:szCs w:val="21"/>
          <w:highlight w:val="none"/>
          <w14:textFill>
            <w14:solidFill>
              <w14:schemeClr w14:val="tx1"/>
            </w14:solidFill>
          </w14:textFill>
        </w:rPr>
        <w:t xml:space="preserve">五、公告期限</w:t>
      </w:r>
      <w:bookmarkEnd w:id="23"/>
      <w:r/>
      <w:bookmarkEnd w:id="24"/>
      <w:r/>
      <w:bookmarkEnd w:id="25"/>
      <w:r/>
      <w:bookmarkEnd w:id="26"/>
      <w:r/>
      <w:bookmarkEnd w:id="27"/>
      <w:r/>
      <w:r/>
    </w:p>
    <w:p>
      <w:pPr>
        <w:pStyle w:val="820"/>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bookmarkStart w:id="28" w:name="_Toc38985268"/>
      <w:r/>
      <w:bookmarkStart w:id="29" w:name="_Toc35393626"/>
      <w:r/>
      <w:bookmarkStart w:id="30" w:name="_Toc35393795"/>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自本公告发布之日起5个工作日。</w:t>
      </w:r>
      <w:bookmarkEnd w:id="28"/>
      <w:r/>
      <w:bookmarkEnd w:id="29"/>
      <w:r/>
      <w:bookmarkEnd w:id="30"/>
      <w:r/>
      <w:r/>
    </w:p>
    <w:p>
      <w:pPr>
        <w:pStyle w:val="820"/>
        <w:ind w:firstLine="498"/>
        <w:jc w:val="both"/>
        <w:keepLines/>
        <w:keepNext/>
        <w:spacing w:before="145" w:beforeAutospacing="0" w:after="145"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六、其他补充事宜</w:t>
      </w:r>
      <w:r/>
    </w:p>
    <w:p>
      <w:pPr>
        <w:pStyle w:val="820"/>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bookmarkStart w:id="31" w:name="_Toc28359018"/>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20"/>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http://www.ccgp-jiangsu.gov.cn/jiangsu/zlxz/ee/ee3a4bc5a3454aa2b0d9312230633ce9.html。</w:t>
      </w:r>
      <w:r/>
    </w:p>
    <w:p>
      <w:pPr>
        <w:pStyle w:val="820"/>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820"/>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2.有关本次招标的事项若存在变动或修改，敬请及时关注在“</w:t>
      </w:r>
      <w:r>
        <w:rPr>
          <w:rFonts w:hint="eastAsia" w:ascii="宋体" w:hAnsi="宋体" w:eastAsia="宋体" w:cs="宋体"/>
          <w:color w:val="000000" w:themeColor="text1"/>
          <w:sz w:val="21"/>
          <w:szCs w:val="21"/>
          <w:highlight w:val="none"/>
          <w14:textFill>
            <w14:solidFill>
              <w14:schemeClr w14:val="tx1"/>
            </w14:solidFill>
          </w14:textFill>
        </w:rPr>
        <w:t xml:space="preserve">中国政府采购网</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”、“江苏政府采购网”、“盐城市政府采购网”发布的更正公告。</w:t>
      </w:r>
      <w:r/>
    </w:p>
    <w:p>
      <w:pPr>
        <w:pStyle w:val="820"/>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3.本次招标不收取投标保证金，不收取质量保证金。</w:t>
      </w:r>
      <w:r/>
    </w:p>
    <w:p>
      <w:pPr>
        <w:pStyle w:val="813"/>
        <w:ind w:firstLine="420"/>
        <w:jc w:val="both"/>
        <w:spacing w:beforeAutospacing="0" w:afterAutospacing="0" w:line="360" w:lineRule="auto"/>
        <w:shd w:val="clear" w:color="auto" w:fill="ffffff"/>
        <w:widowControl/>
        <w:rPr>
          <w:rFonts w:hint="default" w:cs="宋体"/>
          <w:b w:val="0"/>
          <w:bCs w:val="0"/>
          <w:color w:val="000000" w:themeColor="text1"/>
          <w:sz w:val="21"/>
          <w:szCs w:val="21"/>
          <w:highlight w:val="none"/>
          <w14:textFill>
            <w14:solidFill>
              <w14:schemeClr w14:val="tx1"/>
            </w14:solidFill>
          </w14:textFill>
        </w:rPr>
      </w:pPr>
      <w:r>
        <w:rPr>
          <w:rFonts w:cs="宋体"/>
          <w:b w:val="0"/>
          <w:bCs w:val="0"/>
          <w:color w:val="000000" w:themeColor="text1"/>
          <w:sz w:val="21"/>
          <w:szCs w:val="21"/>
          <w:highlight w:val="none"/>
          <w:shd w:val="clear" w:color="auto" w:fill="ffffff"/>
          <w14:textFill>
            <w14:solidFill>
              <w14:schemeClr w14:val="tx1"/>
            </w14:solidFill>
          </w14:textFill>
        </w:rPr>
        <w:t xml:space="preserve">七、对本次招标提出询问，请按以下方式联系。</w:t>
      </w:r>
      <w:bookmarkEnd w:id="31"/>
      <w:r/>
      <w:r/>
    </w:p>
    <w:p>
      <w:pPr>
        <w:pStyle w:val="820"/>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1.采购人信息</w:t>
      </w:r>
      <w:r/>
    </w:p>
    <w:p>
      <w:pPr>
        <w:pStyle w:val="820"/>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名 称： 阜宁县农业农村局</w:t>
      </w:r>
      <w:r/>
    </w:p>
    <w:p>
      <w:pPr>
        <w:pStyle w:val="820"/>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地址：阜宁县广电大厦 </w:t>
      </w:r>
      <w:r/>
    </w:p>
    <w:p>
      <w:pPr>
        <w:pStyle w:val="820"/>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联系人：</w:t>
      </w:r>
      <w:r>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t xml:space="preserve">汪浩</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              </w:t>
      </w:r>
      <w:r/>
    </w:p>
    <w:p>
      <w:pPr>
        <w:pStyle w:val="820"/>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联系方式：</w:t>
      </w:r>
      <w:r>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t xml:space="preserve">15151023042</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            </w:t>
      </w:r>
      <w:r/>
    </w:p>
    <w:p>
      <w:pPr>
        <w:pStyle w:val="820"/>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2.采购代理机构信息</w:t>
      </w:r>
      <w:r/>
    </w:p>
    <w:p>
      <w:pPr>
        <w:pStyle w:val="820"/>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名 称：江苏至公工程项目管理有限公司</w:t>
      </w:r>
      <w:r/>
    </w:p>
    <w:p>
      <w:pPr>
        <w:pStyle w:val="820"/>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地 址：阜宁宝丰国际商博城32幢201室 </w:t>
      </w:r>
      <w:bookmarkStart w:id="32" w:name="_Toc28359010"/>
      <w:r/>
      <w:bookmarkStart w:id="33" w:name="_Toc28359087"/>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   </w:t>
      </w:r>
      <w:bookmarkEnd w:id="32"/>
      <w:r/>
      <w:bookmarkEnd w:id="33"/>
      <w:r/>
      <w:r/>
    </w:p>
    <w:p>
      <w:pPr>
        <w:pStyle w:val="820"/>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项目联系人：姚海文（组织本项目采购活动的具体工作人员姓名）</w:t>
      </w:r>
      <w:r/>
    </w:p>
    <w:p>
      <w:pPr>
        <w:pStyle w:val="820"/>
        <w:ind w:firstLine="560"/>
        <w:jc w:val="both"/>
        <w:spacing w:beforeAutospacing="0" w:afterAutospacing="0" w:line="360" w:lineRule="auto"/>
        <w:shd w:val="clear" w:color="auto" w:fill="ffffff"/>
        <w:widowControl/>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电　　 话：19569462333　　　　　　　　　　　　</w:t>
      </w:r>
      <w:r/>
    </w:p>
    <w:p>
      <w:pPr>
        <w:pStyle w:val="820"/>
        <w:ind w:firstLine="480"/>
        <w:jc w:val="both"/>
        <w:spacing w:beforeAutospacing="0" w:afterAutospacing="0" w:line="360" w:lineRule="auto"/>
        <w:shd w:val="clear" w:color="auto" w:fill="ffffff"/>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3.监管机构信息</w:t>
      </w:r>
      <w:r/>
    </w:p>
    <w:p>
      <w:pPr>
        <w:pStyle w:val="820"/>
        <w:ind w:firstLine="480"/>
        <w:jc w:val="both"/>
        <w:spacing w:beforeAutospacing="0" w:afterAutospacing="0" w:line="360" w:lineRule="auto"/>
        <w:shd w:val="clear" w:color="auto" w:fill="ffffff"/>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监管部门：阜宁县财政局采购科</w:t>
      </w:r>
      <w:r/>
    </w:p>
    <w:p>
      <w:pPr>
        <w:ind w:firstLine="480"/>
        <w:spacing w:line="360" w:lineRule="auto"/>
        <w:shd w:val="clear" w:color="auto" w:fill="ffffff"/>
        <w:widowControl/>
        <w:rPr>
          <w:rFonts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联系人：王柱</w:t>
      </w:r>
      <w:r/>
    </w:p>
    <w:p>
      <w:pPr>
        <w:ind w:firstLine="480"/>
        <w:spacing w:line="360" w:lineRule="auto"/>
        <w:shd w:val="clear" w:color="auto" w:fill="ffffff"/>
        <w:widowControl/>
        <w:rPr>
          <w:rFonts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电  话：0515-69917082</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黑体" w:hAnsi="宋体" w:eastAsia="黑体" w:cs="黑体"/>
          <w:b/>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bookmarkStart w:id="34" w:name="_Toc120614211"/>
      <w:r/>
      <w:r/>
    </w:p>
    <w:p>
      <w:pPr>
        <w:pStyle w:val="820"/>
        <w:ind w:firstLine="2429"/>
        <w:jc w:val="both"/>
        <w:keepLines/>
        <w:keepNext/>
        <w:spacing w:before="260" w:beforeAutospacing="0" w:after="260" w:afterAutospacing="0" w:line="360" w:lineRule="auto"/>
        <w:rPr>
          <w:color w:val="000000" w:themeColor="text1"/>
          <w:highlight w:val="none"/>
          <w14:textFill>
            <w14:solidFill>
              <w14:schemeClr w14:val="tx1"/>
            </w14:solidFill>
          </w14:textFill>
        </w:rPr>
      </w:pPr>
      <w:r>
        <w:rPr>
          <w:rFonts w:hint="eastAsia" w:ascii="黑体" w:hAnsi="宋体" w:eastAsia="黑体" w:cs="黑体"/>
          <w:b/>
          <w:color w:val="000000" w:themeColor="text1"/>
          <w:sz w:val="44"/>
          <w:szCs w:val="44"/>
          <w:highlight w:val="none"/>
          <w14:textFill>
            <w14:solidFill>
              <w14:schemeClr w14:val="tx1"/>
            </w14:solidFill>
          </w14:textFill>
        </w:rPr>
        <w:t xml:space="preserve">第二章  </w:t>
      </w:r>
      <w:bookmarkEnd w:id="34"/>
      <w:r/>
      <w:bookmarkStart w:id="35" w:name="_Toc16938518"/>
      <w:r/>
      <w:bookmarkStart w:id="36" w:name="_Toc20823274"/>
      <w:r/>
      <w:bookmarkStart w:id="37" w:name="_Toc513029202"/>
      <w:r/>
      <w:bookmarkStart w:id="38" w:name="_Toc120614213"/>
      <w:r>
        <w:rPr>
          <w:rFonts w:hint="eastAsia" w:ascii="黑体" w:hAnsi="宋体" w:eastAsia="黑体" w:cs="黑体"/>
          <w:b/>
          <w:color w:val="000000" w:themeColor="text1"/>
          <w:sz w:val="44"/>
          <w:szCs w:val="44"/>
          <w:highlight w:val="none"/>
          <w14:textFill>
            <w14:solidFill>
              <w14:schemeClr w14:val="tx1"/>
            </w14:solidFill>
          </w14:textFill>
        </w:rPr>
        <w:t xml:space="preserve">投标人须知</w:t>
      </w:r>
      <w:bookmarkEnd w:id="35"/>
      <w:r/>
      <w:bookmarkEnd w:id="36"/>
      <w:r/>
      <w:bookmarkEnd w:id="37"/>
      <w:r/>
      <w:bookmarkEnd w:id="38"/>
      <w:r/>
      <w:r/>
    </w:p>
    <w:p>
      <w:pPr>
        <w:pStyle w:val="820"/>
        <w:ind w:firstLine="498"/>
        <w:jc w:val="both"/>
        <w:keepLines/>
        <w:keepNext/>
        <w:spacing w:before="145" w:beforeAutospacing="0" w:after="145" w:afterAutospacing="0" w:line="360" w:lineRule="auto"/>
        <w:rPr>
          <w:color w:val="000000" w:themeColor="text1"/>
          <w:sz w:val="21"/>
          <w:szCs w:val="21"/>
          <w:highlight w:val="none"/>
          <w14:textFill>
            <w14:solidFill>
              <w14:schemeClr w14:val="tx1"/>
            </w14:solidFill>
          </w14:textFill>
        </w:rPr>
      </w:pPr>
      <w:r/>
      <w:bookmarkStart w:id="39" w:name="_Toc513029203"/>
      <w:r/>
      <w:bookmarkStart w:id="40" w:name="_Toc16938519"/>
      <w:r/>
      <w:bookmarkStart w:id="41" w:name="_Toc20823275"/>
      <w:r/>
      <w:bookmarkStart w:id="42" w:name="_Toc120614214"/>
      <w:r>
        <w:rPr>
          <w:rFonts w:ascii="Times New Roman" w:hAnsi="Times New Roman"/>
          <w:b/>
          <w:color w:val="000000" w:themeColor="text1"/>
          <w:sz w:val="21"/>
          <w:szCs w:val="21"/>
          <w:highlight w:val="none"/>
          <w14:textFill>
            <w14:solidFill>
              <w14:schemeClr w14:val="tx1"/>
            </w14:solidFill>
          </w14:textFill>
        </w:rPr>
        <w:t xml:space="preserve">一、总则</w:t>
      </w:r>
      <w:bookmarkEnd w:id="39"/>
      <w:r/>
      <w:bookmarkEnd w:id="40"/>
      <w:r/>
      <w:bookmarkEnd w:id="41"/>
      <w:r/>
      <w:bookmarkEnd w:id="42"/>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43" w:name="_Toc20823276"/>
      <w:r/>
      <w:bookmarkStart w:id="44" w:name="_Toc458694821"/>
      <w:r/>
      <w:bookmarkStart w:id="45" w:name="_Toc16938520"/>
      <w:r/>
      <w:bookmarkStart w:id="46" w:name="_Toc513029204"/>
      <w:r/>
      <w:bookmarkStart w:id="47" w:name="_Hlt16619475"/>
      <w:r>
        <w:rPr>
          <w:rFonts w:ascii="Arial" w:hAnsi="Arial" w:cs="Arial"/>
          <w:color w:val="000000" w:themeColor="text1"/>
          <w:sz w:val="21"/>
          <w:szCs w:val="21"/>
          <w:highlight w:val="none"/>
          <w14:textFill>
            <w14:solidFill>
              <w14:schemeClr w14:val="tx1"/>
            </w14:solidFill>
          </w14:textFill>
        </w:rPr>
        <w:t xml:space="preserve">1</w:t>
      </w:r>
      <w:bookmarkEnd w:id="43"/>
      <w:r>
        <w:rPr>
          <w:rFonts w:ascii="Arial" w:hAnsi="Arial" w:cs="Arial"/>
          <w:color w:val="000000" w:themeColor="text1"/>
          <w:sz w:val="21"/>
          <w:szCs w:val="21"/>
          <w:highlight w:val="none"/>
          <w14:textFill>
            <w14:solidFill>
              <w14:schemeClr w14:val="tx1"/>
            </w14:solidFill>
          </w14:textFill>
        </w:rPr>
        <w:t xml:space="preserve">、招标方式</w:t>
      </w:r>
      <w:bookmarkEnd w:id="44"/>
      <w:r/>
      <w:bookmarkEnd w:id="45"/>
      <w:r/>
      <w:bookmarkEnd w:id="46"/>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 本次招标采取公开招标方式，本招标文件仅适用于招标公告中所述项目。</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48" w:name="_Toc16938521"/>
      <w:r/>
      <w:bookmarkStart w:id="49" w:name="_Toc20823277"/>
      <w:r/>
      <w:bookmarkStart w:id="50" w:name="_Toc513029205"/>
      <w:r>
        <w:rPr>
          <w:rFonts w:ascii="Arial" w:hAnsi="Arial" w:cs="Arial"/>
          <w:color w:val="000000" w:themeColor="text1"/>
          <w:sz w:val="21"/>
          <w:szCs w:val="21"/>
          <w:highlight w:val="none"/>
          <w14:textFill>
            <w14:solidFill>
              <w14:schemeClr w14:val="tx1"/>
            </w14:solidFill>
          </w14:textFill>
        </w:rPr>
        <w:t xml:space="preserve">2、合格的投标人</w:t>
      </w:r>
      <w:bookmarkEnd w:id="48"/>
      <w:r/>
      <w:bookmarkEnd w:id="49"/>
      <w:r/>
      <w:bookmarkEnd w:id="50"/>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2.1满足招标公告中供应商的资格要求的规定。</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 满足本文件实质性要求和条件的规定。</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51" w:name="_Toc16938522"/>
      <w:r/>
      <w:bookmarkStart w:id="52" w:name="_Toc513029206"/>
      <w:r/>
      <w:bookmarkStart w:id="53" w:name="_Toc20823278"/>
      <w:r>
        <w:rPr>
          <w:rFonts w:ascii="Arial" w:hAnsi="Arial" w:cs="Arial"/>
          <w:color w:val="000000" w:themeColor="text1"/>
          <w:sz w:val="21"/>
          <w:szCs w:val="21"/>
          <w:highlight w:val="none"/>
          <w14:textFill>
            <w14:solidFill>
              <w14:schemeClr w14:val="tx1"/>
            </w14:solidFill>
          </w14:textFill>
        </w:rPr>
        <w:t xml:space="preserve">3、适用法律</w:t>
      </w:r>
      <w:bookmarkEnd w:id="51"/>
      <w:r/>
      <w:bookmarkEnd w:id="52"/>
      <w:r/>
      <w:bookmarkEnd w:id="53"/>
      <w:r/>
      <w:r/>
    </w:p>
    <w:p>
      <w:pPr>
        <w:pStyle w:val="820"/>
        <w:ind w:firstLine="42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 本次招标及由此产生的合同受中华人民共和国有关的法律法规制约和保护。</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54" w:name="_Toc462564067"/>
      <w:r/>
      <w:bookmarkStart w:id="55" w:name="_Toc16938523"/>
      <w:r/>
      <w:bookmarkStart w:id="56" w:name="_Toc20823279"/>
      <w:r/>
      <w:bookmarkStart w:id="57" w:name="_Toc513029207"/>
      <w:r>
        <w:rPr>
          <w:rFonts w:ascii="Arial" w:hAnsi="Arial" w:cs="Arial"/>
          <w:color w:val="000000" w:themeColor="text1"/>
          <w:sz w:val="21"/>
          <w:szCs w:val="21"/>
          <w:highlight w:val="none"/>
          <w14:textFill>
            <w14:solidFill>
              <w14:schemeClr w14:val="tx1"/>
            </w14:solidFill>
          </w14:textFill>
        </w:rPr>
        <w:t xml:space="preserve">4、投标费用</w:t>
      </w:r>
      <w:bookmarkEnd w:id="54"/>
      <w:r/>
      <w:bookmarkEnd w:id="55"/>
      <w:r/>
      <w:bookmarkEnd w:id="56"/>
      <w:r/>
      <w:bookmarkEnd w:id="57"/>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 投标人应自行承担所有与参加投标有关的费用，无论投标过程中的做法和结果如何，采购人及采购代理机构在任何情况下均无义务和责任承担这些费用。</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代理机构将根据发改价格【2011】534号文件，</w:t>
      </w:r>
      <w:r>
        <w:rPr>
          <w:rStyle w:val="838"/>
          <w:rFonts w:ascii="宋体" w:hAnsi="宋体" w:cs="宋体"/>
          <w:b w:val="0"/>
          <w:bCs/>
          <w:i w:val="0"/>
          <w:caps w:val="0"/>
          <w:color w:val="000000" w:themeColor="text1"/>
          <w:spacing w:val="0"/>
          <w:sz w:val="21"/>
          <w:szCs w:val="21"/>
          <w:highlight w:val="none"/>
          <w:lang w:val="en-US" w:eastAsia="zh-CN" w:bidi="ar-SA"/>
          <w14:textFill>
            <w14:solidFill>
              <w14:schemeClr w14:val="tx1"/>
            </w14:solidFill>
          </w14:textFill>
        </w:rPr>
        <w:t xml:space="preserve">按</w:t>
      </w:r>
      <w:r>
        <w:rPr>
          <w:rStyle w:val="838"/>
          <w:rFonts w:hint="eastAsia" w:ascii="宋体" w:hAnsi="宋体" w:cs="宋体"/>
          <w:b w:val="0"/>
          <w:bCs/>
          <w:i w:val="0"/>
          <w:caps w:val="0"/>
          <w:color w:val="000000" w:themeColor="text1"/>
          <w:spacing w:val="0"/>
          <w:sz w:val="21"/>
          <w:szCs w:val="21"/>
          <w:highlight w:val="none"/>
          <w:lang w:val="en-US" w:eastAsia="zh-CN" w:bidi="ar-SA"/>
          <w14:textFill>
            <w14:solidFill>
              <w14:schemeClr w14:val="tx1"/>
            </w14:solidFill>
          </w14:textFill>
        </w:rPr>
        <w:t xml:space="preserve">项目</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中标价1</w:t>
      </w:r>
      <w:r>
        <w:rPr>
          <w:rStyle w:val="838"/>
          <w:rFonts w:hint="eastAsia" w:ascii="宋体" w:hAnsi="宋体" w:cs="宋体"/>
          <w:b w:val="0"/>
          <w:bCs/>
          <w:i w:val="0"/>
          <w:caps w:val="0"/>
          <w:color w:val="000000" w:themeColor="text1"/>
          <w:spacing w:val="0"/>
          <w:sz w:val="21"/>
          <w:szCs w:val="21"/>
          <w:highlight w:val="none"/>
          <w:lang w:val="en-US" w:eastAsia="zh-CN" w:bidi="ar-SA"/>
          <w14:textFill>
            <w14:solidFill>
              <w14:schemeClr w14:val="tx1"/>
            </w14:solidFill>
          </w14:textFill>
        </w:rPr>
        <w:t xml:space="preserve">%向</w:t>
      </w:r>
      <w:r>
        <w:rPr>
          <w:rStyle w:val="838"/>
          <w:rFonts w:ascii="宋体" w:hAnsi="宋体" w:cs="宋体"/>
          <w:b w:val="0"/>
          <w:bCs/>
          <w:i w:val="0"/>
          <w:caps w:val="0"/>
          <w:color w:val="000000" w:themeColor="text1"/>
          <w:spacing w:val="0"/>
          <w:sz w:val="21"/>
          <w:szCs w:val="21"/>
          <w:highlight w:val="none"/>
          <w:lang w:val="en-US" w:eastAsia="zh-CN" w:bidi="ar-SA"/>
          <w14:textFill>
            <w14:solidFill>
              <w14:schemeClr w14:val="tx1"/>
            </w14:solidFill>
          </w14:textFill>
        </w:rPr>
        <w:t xml:space="preserve">中标人收取服务费用</w:t>
      </w:r>
      <w:r>
        <w:rPr>
          <w:rStyle w:val="838"/>
          <w:rFonts w:hint="eastAsia" w:ascii="宋体" w:hAnsi="宋体" w:cs="宋体"/>
          <w:b w:val="0"/>
          <w:bCs/>
          <w:i w:val="0"/>
          <w:caps w:val="0"/>
          <w:color w:val="000000" w:themeColor="text1"/>
          <w:spacing w:val="0"/>
          <w:sz w:val="21"/>
          <w:szCs w:val="21"/>
          <w:highlight w:val="none"/>
          <w:lang w:val="en-US" w:eastAsia="zh-CN" w:bidi="ar-SA"/>
          <w14:textFill>
            <w14:solidFill>
              <w14:schemeClr w14:val="tx1"/>
            </w14:solidFill>
          </w14:textFill>
        </w:rPr>
        <w:t xml:space="preserve">，</w:t>
      </w:r>
      <w:r>
        <w:rPr>
          <w:rStyle w:val="838"/>
          <w:rFonts w:ascii="宋体" w:hAnsi="宋体"/>
          <w:b w:val="0"/>
          <w:i w:val="0"/>
          <w:caps w:val="0"/>
          <w:color w:val="000000" w:themeColor="text1"/>
          <w:spacing w:val="0"/>
          <w:sz w:val="21"/>
          <w:szCs w:val="21"/>
          <w:highlight w:val="none"/>
          <w:lang w:val="en-US" w:eastAsia="zh-CN" w:bidi="ar-SA"/>
          <w14:textFill>
            <w14:solidFill>
              <w14:schemeClr w14:val="tx1"/>
            </w14:solidFill>
          </w14:textFill>
        </w:rPr>
        <w:t xml:space="preserve">由中标（成交）人在开取中标通知书前一次性支付。</w:t>
      </w:r>
      <w:r/>
    </w:p>
    <w:p>
      <w:pPr>
        <w:pStyle w:val="820"/>
        <w:ind w:firstLine="602"/>
        <w:jc w:val="both"/>
        <w:keepLines/>
        <w:keepNext/>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w:t>
      </w:r>
      <w:r>
        <w:rPr>
          <w:rFonts w:hint="eastAsia" w:ascii="黑体" w:hAnsi="宋体" w:eastAsia="黑体" w:cs="黑体"/>
          <w:color w:val="000000" w:themeColor="text1"/>
          <w:sz w:val="21"/>
          <w:szCs w:val="21"/>
          <w:highlight w:val="none"/>
          <w14:textFill>
            <w14:solidFill>
              <w14:schemeClr w14:val="tx1"/>
            </w14:solidFill>
          </w14:textFill>
        </w:rPr>
        <w:t xml:space="preserve">招标文件的约束力</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5.1 投标人一旦参加本项目采购活动，即被认为接受了本招标文件的规定和约束。</w:t>
      </w:r>
      <w:r/>
    </w:p>
    <w:p>
      <w:pPr>
        <w:pStyle w:val="820"/>
        <w:ind w:firstLine="321"/>
        <w:jc w:val="both"/>
        <w:keepLines/>
        <w:keepNext/>
        <w:spacing w:before="145" w:beforeAutospacing="0" w:after="145" w:afterAutospacing="0" w:line="360" w:lineRule="auto"/>
        <w:rPr>
          <w:color w:val="000000" w:themeColor="text1"/>
          <w:sz w:val="21"/>
          <w:szCs w:val="21"/>
          <w:highlight w:val="none"/>
          <w14:textFill>
            <w14:solidFill>
              <w14:schemeClr w14:val="tx1"/>
            </w14:solidFill>
          </w14:textFill>
        </w:rPr>
      </w:pPr>
      <w:r/>
      <w:bookmarkStart w:id="58" w:name="_Toc513029209"/>
      <w:r/>
      <w:bookmarkStart w:id="59" w:name="_Toc120614215"/>
      <w:r/>
      <w:bookmarkStart w:id="60" w:name="_Toc20823281"/>
      <w:r/>
      <w:bookmarkStart w:id="61" w:name="_Toc16938525"/>
      <w:r>
        <w:rPr>
          <w:rFonts w:ascii="Times New Roman" w:hAnsi="Times New Roman"/>
          <w:b/>
          <w:color w:val="000000" w:themeColor="text1"/>
          <w:sz w:val="21"/>
          <w:szCs w:val="21"/>
          <w:highlight w:val="none"/>
          <w14:textFill>
            <w14:solidFill>
              <w14:schemeClr w14:val="tx1"/>
            </w14:solidFill>
          </w14:textFill>
        </w:rPr>
        <w:t xml:space="preserve">二、招标文件</w:t>
      </w:r>
      <w:bookmarkEnd w:id="58"/>
      <w:r/>
      <w:bookmarkEnd w:id="59"/>
      <w:r/>
      <w:bookmarkEnd w:id="60"/>
      <w:r/>
      <w:bookmarkEnd w:id="61"/>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62" w:name="_Toc513029210"/>
      <w:r/>
      <w:bookmarkStart w:id="63" w:name="_Toc16938526"/>
      <w:r/>
      <w:bookmarkStart w:id="64" w:name="_Toc20823282"/>
      <w:r>
        <w:rPr>
          <w:rFonts w:ascii="Arial" w:hAnsi="Arial" w:cs="Arial"/>
          <w:color w:val="000000" w:themeColor="text1"/>
          <w:sz w:val="21"/>
          <w:szCs w:val="21"/>
          <w:highlight w:val="none"/>
          <w14:textFill>
            <w14:solidFill>
              <w14:schemeClr w14:val="tx1"/>
            </w14:solidFill>
          </w14:textFill>
        </w:rPr>
        <w:t xml:space="preserve">6、招标文件构成</w:t>
      </w:r>
      <w:bookmarkEnd w:id="62"/>
      <w:r/>
      <w:bookmarkEnd w:id="63"/>
      <w:r/>
      <w:bookmarkEnd w:id="64"/>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 招标文件由以下部分组成：</w:t>
      </w:r>
      <w:r/>
    </w:p>
    <w:p>
      <w:pPr>
        <w:pStyle w:val="820"/>
        <w:ind w:firstLine="36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（1）招标公告</w:t>
      </w:r>
      <w:r/>
    </w:p>
    <w:p>
      <w:pPr>
        <w:pStyle w:val="820"/>
        <w:ind w:firstLine="36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（2）投标人须知</w:t>
      </w:r>
      <w:r/>
    </w:p>
    <w:p>
      <w:pPr>
        <w:pStyle w:val="820"/>
        <w:ind w:firstLine="36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（3）合同文本</w:t>
      </w:r>
      <w:r/>
    </w:p>
    <w:p>
      <w:pPr>
        <w:pStyle w:val="820"/>
        <w:ind w:firstLine="36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（4）采购需求</w:t>
      </w:r>
      <w:r/>
    </w:p>
    <w:p>
      <w:pPr>
        <w:pStyle w:val="820"/>
        <w:ind w:firstLine="36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ascii="Times New Roman" w:hAnsi="Times New Roman"/>
          <w:color w:val="000000" w:themeColor="text1"/>
          <w:sz w:val="21"/>
          <w:szCs w:val="21"/>
          <w:highlight w:val="none"/>
          <w14:textFill>
            <w14:solidFill>
              <w14:schemeClr w14:val="tx1"/>
            </w14:solidFill>
          </w14:textFill>
        </w:rPr>
        <w:t xml:space="preserve">评标方法与评标标准</w:t>
      </w:r>
      <w:r/>
    </w:p>
    <w:p>
      <w:pPr>
        <w:pStyle w:val="820"/>
        <w:ind w:firstLine="36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（6）投标文件格式</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请仔细检查招标文件是否齐全，如有缺漏请立即与采购人联系解决。</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0"/>
        <w:ind w:firstLine="56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65" w:name="_Toc462564070"/>
      <w:r/>
      <w:bookmarkStart w:id="66" w:name="_Toc513029211"/>
      <w:r/>
      <w:bookmarkStart w:id="67" w:name="_Toc20823283"/>
      <w:r/>
      <w:bookmarkStart w:id="68" w:name="_Toc16938527"/>
      <w:r>
        <w:rPr>
          <w:rFonts w:ascii="Arial" w:hAnsi="Arial" w:cs="Arial"/>
          <w:color w:val="000000" w:themeColor="text1"/>
          <w:sz w:val="21"/>
          <w:szCs w:val="21"/>
          <w:highlight w:val="none"/>
          <w14:textFill>
            <w14:solidFill>
              <w14:schemeClr w14:val="tx1"/>
            </w14:solidFill>
          </w14:textFill>
        </w:rPr>
        <w:t xml:space="preserve">7、招标文件的澄清</w:t>
      </w:r>
      <w:bookmarkEnd w:id="65"/>
      <w:r/>
      <w:bookmarkEnd w:id="66"/>
      <w:r/>
      <w:bookmarkEnd w:id="67"/>
      <w:r/>
      <w:bookmarkEnd w:id="68"/>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 任何要求对招标文件进行澄清的投标人，应在投标截止期</w:t>
      </w:r>
      <w:r>
        <w:rPr>
          <w:rFonts w:ascii="仿宋_GB2312" w:eastAsia="仿宋_GB2312" w:cs="仿宋_GB2312"/>
          <w:b/>
          <w:color w:val="000000" w:themeColor="text1"/>
          <w:sz w:val="21"/>
          <w:szCs w:val="21"/>
          <w:highlight w:val="none"/>
          <w14:textFill>
            <w14:solidFill>
              <w14:schemeClr w14:val="tx1"/>
            </w14:solidFill>
          </w14:textFill>
        </w:rPr>
        <w:t xml:space="preserve">十日</w:t>
      </w:r>
      <w:r>
        <w:rPr>
          <w:rFonts w:ascii="仿宋_GB2312" w:eastAsia="仿宋_GB2312" w:cs="仿宋_GB2312"/>
          <w:color w:val="000000" w:themeColor="text1"/>
          <w:sz w:val="21"/>
          <w:szCs w:val="21"/>
          <w:highlight w:val="none"/>
          <w14:textFill>
            <w14:solidFill>
              <w14:schemeClr w14:val="tx1"/>
            </w14:solidFill>
          </w14:textFill>
        </w:rPr>
        <w:t xml:space="preserve">前</w:t>
      </w:r>
      <w:r>
        <w:rPr>
          <w:rFonts w:hint="eastAsia" w:ascii="宋体" w:hAnsi="宋体" w:eastAsia="宋体" w:cs="宋体"/>
          <w:color w:val="000000" w:themeColor="text1"/>
          <w:sz w:val="21"/>
          <w:szCs w:val="21"/>
          <w:highlight w:val="none"/>
          <w14:textFill>
            <w14:solidFill>
              <w14:schemeClr w14:val="tx1"/>
            </w14:solidFill>
          </w14:textFill>
        </w:rPr>
        <w:t xml:space="preserve">按招标公告中的通讯地址，以书面形式通知采购人。</w:t>
      </w:r>
      <w:r/>
    </w:p>
    <w:p>
      <w:pPr>
        <w:pStyle w:val="820"/>
        <w:ind w:firstLine="56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69" w:name="_Toc513029212"/>
      <w:r/>
      <w:bookmarkStart w:id="70" w:name="_Toc20823284"/>
      <w:r/>
      <w:bookmarkStart w:id="71" w:name="_Toc462564071"/>
      <w:r/>
      <w:bookmarkStart w:id="72" w:name="_Toc16938528"/>
      <w:r>
        <w:rPr>
          <w:rFonts w:ascii="Arial" w:hAnsi="Arial" w:cs="Arial"/>
          <w:color w:val="000000" w:themeColor="text1"/>
          <w:sz w:val="21"/>
          <w:szCs w:val="21"/>
          <w:highlight w:val="none"/>
          <w14:textFill>
            <w14:solidFill>
              <w14:schemeClr w14:val="tx1"/>
            </w14:solidFill>
          </w14:textFill>
        </w:rPr>
        <w:t xml:space="preserve">8、招标文件的修改</w:t>
      </w:r>
      <w:bookmarkEnd w:id="69"/>
      <w:r/>
      <w:bookmarkEnd w:id="70"/>
      <w:r/>
      <w:bookmarkEnd w:id="71"/>
      <w:r/>
      <w:bookmarkEnd w:id="72"/>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 在投标截止时间</w:t>
      </w:r>
      <w:r>
        <w:rPr>
          <w:rFonts w:ascii="仿宋_GB2312" w:eastAsia="仿宋_GB2312" w:cs="仿宋_GB2312"/>
          <w:color w:val="000000" w:themeColor="text1"/>
          <w:sz w:val="21"/>
          <w:szCs w:val="21"/>
          <w:highlight w:val="none"/>
          <w14:textFill>
            <w14:solidFill>
              <w14:schemeClr w14:val="tx1"/>
            </w14:solidFill>
          </w14:textFill>
        </w:rPr>
        <w:t xml:space="preserve">前</w:t>
      </w:r>
      <w:r>
        <w:rPr>
          <w:rFonts w:hint="eastAsia" w:ascii="宋体" w:hAnsi="宋体" w:eastAsia="宋体" w:cs="宋体"/>
          <w:color w:val="000000" w:themeColor="text1"/>
          <w:sz w:val="21"/>
          <w:szCs w:val="21"/>
          <w:highlight w:val="none"/>
          <w14:textFill>
            <w14:solidFill>
              <w14:schemeClr w14:val="tx1"/>
            </w14:solidFill>
          </w14:textFill>
        </w:rPr>
        <w:t xml:space="preserve">，采购人可以对招标文件进行修改。</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 采购人有权按照法定的要求推迟投标截止日期和开标日期。</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8.3 招标文件的修改将在</w:t>
      </w:r>
      <w:r>
        <w:rPr>
          <w:rFonts w:hint="eastAsia" w:ascii="仿宋" w:hAnsi="仿宋" w:eastAsia="仿宋" w:cs="仿宋"/>
          <w:color w:val="000000" w:themeColor="text1"/>
          <w:sz w:val="21"/>
          <w:szCs w:val="21"/>
          <w:highlight w:val="none"/>
          <w14:textFill>
            <w14:solidFill>
              <w14:schemeClr w14:val="tx1"/>
            </w14:solidFill>
          </w14:textFill>
        </w:rPr>
        <w:t xml:space="preserve">中国政府采购网</w:t>
      </w:r>
      <w:r>
        <w:rPr>
          <w:rFonts w:hint="eastAsia" w:ascii="仿宋" w:hAnsi="仿宋" w:eastAsia="仿宋" w:cs="仿宋"/>
          <w:color w:val="000000" w:themeColor="text1"/>
          <w:sz w:val="2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江苏政府采购网、盐城市政府采购网公布，补充文件将作为招标文件的组成部分，并对投标人具有约束力。</w:t>
      </w:r>
      <w:r/>
    </w:p>
    <w:p>
      <w:pPr>
        <w:pStyle w:val="820"/>
        <w:ind w:firstLine="482"/>
        <w:jc w:val="both"/>
        <w:keepLines/>
        <w:keepNext/>
        <w:spacing w:before="145" w:beforeAutospacing="0" w:after="145" w:afterAutospacing="0" w:line="360" w:lineRule="auto"/>
        <w:rPr>
          <w:color w:val="000000" w:themeColor="text1"/>
          <w:sz w:val="21"/>
          <w:szCs w:val="21"/>
          <w:highlight w:val="none"/>
          <w14:textFill>
            <w14:solidFill>
              <w14:schemeClr w14:val="tx1"/>
            </w14:solidFill>
          </w14:textFill>
        </w:rPr>
      </w:pPr>
      <w:r/>
      <w:bookmarkStart w:id="73" w:name="_Toc16938529"/>
      <w:r/>
      <w:bookmarkStart w:id="74" w:name="_Toc120614216"/>
      <w:r/>
      <w:bookmarkStart w:id="75" w:name="_Toc462564072"/>
      <w:r/>
      <w:bookmarkStart w:id="76" w:name="_Toc20823285"/>
      <w:r/>
      <w:bookmarkStart w:id="77" w:name="_Toc513029213"/>
      <w:r>
        <w:rPr>
          <w:rFonts w:ascii="Times New Roman" w:hAnsi="Times New Roman"/>
          <w:b/>
          <w:color w:val="000000" w:themeColor="text1"/>
          <w:sz w:val="21"/>
          <w:szCs w:val="21"/>
          <w:highlight w:val="none"/>
          <w14:textFill>
            <w14:solidFill>
              <w14:schemeClr w14:val="tx1"/>
            </w14:solidFill>
          </w14:textFill>
        </w:rPr>
        <w:t xml:space="preserve">三、投标文件的编制</w:t>
      </w:r>
      <w:bookmarkEnd w:id="73"/>
      <w:r/>
      <w:bookmarkEnd w:id="74"/>
      <w:r/>
      <w:bookmarkEnd w:id="75"/>
      <w:r/>
      <w:bookmarkEnd w:id="76"/>
      <w:r/>
      <w:bookmarkEnd w:id="77"/>
      <w:r/>
      <w:r/>
    </w:p>
    <w:p>
      <w:pPr>
        <w:pStyle w:val="820"/>
        <w:ind w:firstLine="56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78" w:name="_Toc20823286"/>
      <w:r/>
      <w:bookmarkStart w:id="79" w:name="_Toc462564073"/>
      <w:r/>
      <w:bookmarkStart w:id="80" w:name="_Toc513029214"/>
      <w:r/>
      <w:bookmarkStart w:id="81" w:name="_Toc16938530"/>
      <w:r>
        <w:rPr>
          <w:rFonts w:ascii="Arial" w:hAnsi="Arial" w:cs="Arial"/>
          <w:color w:val="000000" w:themeColor="text1"/>
          <w:sz w:val="21"/>
          <w:szCs w:val="21"/>
          <w:highlight w:val="none"/>
          <w14:textFill>
            <w14:solidFill>
              <w14:schemeClr w14:val="tx1"/>
            </w14:solidFill>
          </w14:textFill>
        </w:rPr>
        <w:t xml:space="preserve">9、投标文件的语言及度量衡单位</w:t>
      </w:r>
      <w:bookmarkEnd w:id="78"/>
      <w:r/>
      <w:bookmarkEnd w:id="79"/>
      <w:r/>
      <w:bookmarkEnd w:id="80"/>
      <w:r/>
      <w:bookmarkEnd w:id="81"/>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9.1 投标人提交的投标文件以及投标人与采购人及采购代理机构就有关投标的所有来往通知、函件和文件均应使用</w:t>
      </w:r>
      <w:r>
        <w:rPr>
          <w:rFonts w:hint="eastAsia" w:ascii="宋体" w:hAnsi="宋体" w:eastAsia="宋体" w:cs="宋体"/>
          <w:b/>
          <w:color w:val="000000" w:themeColor="text1"/>
          <w:sz w:val="21"/>
          <w:szCs w:val="21"/>
          <w:highlight w:val="none"/>
          <w14:textFill>
            <w14:solidFill>
              <w14:schemeClr w14:val="tx1"/>
            </w14:solidFill>
          </w14:textFill>
        </w:rPr>
        <w:t xml:space="preserve">简体中文</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9.2 除技术性能另有规定外，投标文件所使用的度量衡单位，均须采用国家法定计量单位。</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82" w:name="_Toc16938531"/>
      <w:r/>
      <w:bookmarkStart w:id="83" w:name="_Toc513029215"/>
      <w:r/>
      <w:bookmarkStart w:id="84" w:name="_Toc20823287"/>
      <w:r/>
      <w:bookmarkStart w:id="85" w:name="_Toc462564074"/>
      <w:r>
        <w:rPr>
          <w:rFonts w:ascii="Arial" w:hAnsi="Arial" w:cs="Arial"/>
          <w:color w:val="000000" w:themeColor="text1"/>
          <w:sz w:val="21"/>
          <w:szCs w:val="21"/>
          <w:highlight w:val="none"/>
          <w14:textFill>
            <w14:solidFill>
              <w14:schemeClr w14:val="tx1"/>
            </w14:solidFill>
          </w14:textFill>
        </w:rPr>
        <w:t xml:space="preserve">10、投标文件构成</w:t>
      </w:r>
      <w:bookmarkEnd w:id="82"/>
      <w:r/>
      <w:bookmarkEnd w:id="83"/>
      <w:r/>
      <w:bookmarkEnd w:id="84"/>
      <w:r/>
      <w:bookmarkEnd w:id="85"/>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10.1 投标人编写的投标文件应包括资格证明文件、符合性证明文件、投标分项报价表、技术要求响应及偏离表、商务要求响应及偏离表、其他证明文件、投标函、开标一览表等部分。</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10.2 如标书制作工具中格式和内容与</w:t>
      </w:r>
      <w:r>
        <w:rPr>
          <w:rFonts w:hint="eastAsia" w:ascii="仿宋" w:hAnsi="仿宋" w:eastAsia="仿宋" w:cs="仿宋"/>
          <w:color w:val="000000" w:themeColor="text1"/>
          <w:sz w:val="21"/>
          <w:szCs w:val="21"/>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1"/>
          <w:szCs w:val="21"/>
          <w:highlight w:val="none"/>
          <w14:textFill>
            <w14:solidFill>
              <w14:schemeClr w14:val="tx1"/>
            </w14:solidFill>
          </w14:textFill>
        </w:rPr>
        <w:t xml:space="preserve">中国政府采购网</w:t>
      </w:r>
      <w:r>
        <w:rPr>
          <w:rFonts w:hint="eastAsia" w:ascii="仿宋" w:hAnsi="仿宋" w:eastAsia="仿宋" w:cs="仿宋"/>
          <w:color w:val="000000" w:themeColor="text1"/>
          <w:sz w:val="2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“江苏政府采购网”、“盐城市政府采购网</w:t>
      </w:r>
      <w:r>
        <w:rPr>
          <w:rFonts w:hint="eastAsia" w:ascii="仿宋" w:hAnsi="仿宋" w:eastAsia="仿宋" w:cs="仿宋"/>
          <w:color w:val="000000" w:themeColor="text1"/>
          <w:sz w:val="2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发布的招标文件不一致，请以</w:t>
      </w:r>
      <w:r>
        <w:rPr>
          <w:rFonts w:hint="eastAsia" w:ascii="仿宋" w:hAnsi="仿宋" w:eastAsia="仿宋" w:cs="仿宋"/>
          <w:color w:val="000000" w:themeColor="text1"/>
          <w:sz w:val="21"/>
          <w:szCs w:val="21"/>
          <w:highlight w:val="none"/>
          <w14:textFill>
            <w14:solidFill>
              <w14:schemeClr w14:val="tx1"/>
            </w14:solidFill>
          </w14:textFill>
        </w:rPr>
        <w:t xml:space="preserve">中国政府采购网</w:t>
      </w:r>
      <w:r>
        <w:rPr>
          <w:rFonts w:hint="eastAsia" w:ascii="仿宋" w:hAnsi="仿宋" w:eastAsia="仿宋" w:cs="仿宋"/>
          <w:color w:val="000000" w:themeColor="text1"/>
          <w:sz w:val="2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“江苏政府采购网”、“盐城市政府采购网</w:t>
      </w:r>
      <w:r>
        <w:rPr>
          <w:rFonts w:hint="eastAsia" w:ascii="仿宋" w:hAnsi="仿宋" w:eastAsia="仿宋" w:cs="仿宋"/>
          <w:color w:val="000000" w:themeColor="text1"/>
          <w:sz w:val="2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发布的招标文件为准。</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86" w:name="_Toc49090508"/>
      <w:r/>
      <w:bookmarkStart w:id="87" w:name="_Toc49090507"/>
      <w:r/>
      <w:bookmarkStart w:id="88" w:name="_Toc14577357"/>
      <w:r/>
      <w:bookmarkStart w:id="89" w:name="_Toc49090509"/>
      <w:r/>
      <w:bookmarkStart w:id="90" w:name="_Toc14577354"/>
      <w:r/>
      <w:bookmarkStart w:id="91" w:name="_Toc513029219"/>
      <w:r/>
      <w:bookmarkStart w:id="92" w:name="_Toc513029216"/>
      <w:r/>
      <w:bookmarkStart w:id="93" w:name="_Toc14577355"/>
      <w:r/>
      <w:bookmarkStart w:id="94" w:name="_Hlt26670360"/>
      <w:r/>
      <w:bookmarkStart w:id="95" w:name="_Hlt26954838"/>
      <w:r/>
      <w:bookmarkStart w:id="96" w:name="_Hlt26668975"/>
      <w:r>
        <w:rPr>
          <w:rFonts w:ascii="Arial" w:hAnsi="Arial" w:cs="Arial"/>
          <w:color w:val="000000" w:themeColor="text1"/>
          <w:sz w:val="21"/>
          <w:szCs w:val="21"/>
          <w:highlight w:val="none"/>
          <w14:textFill>
            <w14:solidFill>
              <w14:schemeClr w14:val="tx1"/>
            </w14:solidFill>
          </w14:textFill>
        </w:rPr>
        <w:t xml:space="preserve">11、证明投标人及投标标的符合招标文件规定的文件</w:t>
      </w:r>
      <w:bookmarkEnd w:id="86"/>
      <w:r/>
      <w:bookmarkEnd w:id="87"/>
      <w:r/>
      <w:bookmarkEnd w:id="88"/>
      <w:r/>
      <w:bookmarkEnd w:id="89"/>
      <w:r/>
      <w:bookmarkEnd w:id="90"/>
      <w:r/>
      <w:bookmarkEnd w:id="91"/>
      <w:r/>
      <w:bookmarkEnd w:id="92"/>
      <w:r/>
      <w:bookmarkEnd w:id="93"/>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11.1 投标人应按照招标文件要求提交证明文件，证明其及投标标的符合招标文件规定。</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11.2招标文件对证明文件无明确形式要求的，证明文件可以以文字资料、图纸和数据等形式提交。</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12、投标分项报价表</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12.1 投标人应按照招标文件规定格式填报投标分项报价表。</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97" w:name="_Hlt26670482"/>
      <w:r/>
      <w:bookmarkStart w:id="98" w:name="_Hlt26954846"/>
      <w:r/>
      <w:bookmarkStart w:id="99" w:name="_Hlt26954731"/>
      <w:r/>
      <w:bookmarkStart w:id="100" w:name="_Hlt26670486"/>
      <w:r/>
      <w:bookmarkStart w:id="101" w:name="_Hlt26954848"/>
      <w:r>
        <w:rPr>
          <w:rFonts w:ascii="Arial" w:hAnsi="Arial" w:cs="Arial"/>
          <w:color w:val="000000" w:themeColor="text1"/>
          <w:sz w:val="21"/>
          <w:szCs w:val="21"/>
          <w:highlight w:val="none"/>
          <w14:textFill>
            <w14:solidFill>
              <w14:schemeClr w14:val="tx1"/>
            </w14:solidFill>
          </w14:textFill>
        </w:rPr>
        <w:t xml:space="preserve">13、技术要求响应及偏离表、商务要求响应及偏离表</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13.1 投标人需对招标文件中的技术要求与商务要求逐项作出响应或偏离，并说明原因。</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 投标人可在投标文件中提供认为需要的其他技术文件或说明。</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14、服务承诺、培训计划、人员安排及其他</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14.1 投标人需根据招标文件要求提供有关售后服务的管理制度，售后服务机构的分布情况等。</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  投标人需根据招标文件要求提供所投标的的主要组成部分、功能设计、实现思路及关键技术等。</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102" w:name="_Toc49090510"/>
      <w:r/>
      <w:bookmarkStart w:id="103" w:name="_Toc14577359"/>
      <w:r>
        <w:rPr>
          <w:rFonts w:ascii="Arial" w:hAnsi="Arial" w:cs="Arial"/>
          <w:color w:val="000000" w:themeColor="text1"/>
          <w:sz w:val="21"/>
          <w:szCs w:val="21"/>
          <w:highlight w:val="none"/>
          <w14:textFill>
            <w14:solidFill>
              <w14:schemeClr w14:val="tx1"/>
            </w14:solidFill>
          </w14:textFill>
        </w:rPr>
        <w:t xml:space="preserve">15、投标函和开标一览表</w:t>
      </w:r>
      <w:bookmarkEnd w:id="102"/>
      <w:r/>
      <w:bookmarkEnd w:id="103"/>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15.1 投标人应按照招标文件中提供的格式完整、正确填写投标函、开标一览表。</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15.2 对于采用货币报价的项目，开标一览表中的投标总报价应与投标分项报价表中的投标总报价一致，如不一致，不作为无效投标处理，但评标时按开标一览表中价格为准。</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104" w:name="_Toc49090511"/>
      <w:r/>
      <w:bookmarkStart w:id="105" w:name="_Toc14577360"/>
      <w:r>
        <w:rPr>
          <w:rFonts w:ascii="Arial" w:hAnsi="Arial" w:cs="Arial"/>
          <w:color w:val="000000" w:themeColor="text1"/>
          <w:sz w:val="21"/>
          <w:szCs w:val="21"/>
          <w:highlight w:val="none"/>
          <w14:textFill>
            <w14:solidFill>
              <w14:schemeClr w14:val="tx1"/>
            </w14:solidFill>
          </w14:textFill>
        </w:rPr>
        <w:t xml:space="preserve">16、投标有效期</w:t>
      </w:r>
      <w:bookmarkEnd w:id="104"/>
      <w:r/>
      <w:bookmarkEnd w:id="105"/>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16.1投标有效期为采购人规定的开标之日后</w:t>
      </w:r>
      <w:r>
        <w:rPr>
          <w:rFonts w:ascii="仿宋_GB2312" w:eastAsia="仿宋_GB2312" w:cs="仿宋_GB2312"/>
          <w:b/>
          <w:color w:val="000000" w:themeColor="text1"/>
          <w:sz w:val="21"/>
          <w:szCs w:val="21"/>
          <w:highlight w:val="none"/>
          <w:u w:val="single"/>
          <w14:textFill>
            <w14:solidFill>
              <w14:schemeClr w14:val="tx1"/>
            </w14:solidFill>
          </w14:textFill>
        </w:rPr>
        <w:t xml:space="preserve">六十（60）天</w:t>
      </w:r>
      <w:r>
        <w:rPr>
          <w:rFonts w:hint="eastAsia" w:ascii="宋体" w:hAnsi="宋体" w:eastAsia="宋体" w:cs="宋体"/>
          <w:color w:val="000000" w:themeColor="text1"/>
          <w:sz w:val="21"/>
          <w:szCs w:val="21"/>
          <w:highlight w:val="none"/>
          <w14:textFill>
            <w14:solidFill>
              <w14:schemeClr w14:val="tx1"/>
            </w14:solidFill>
          </w14:textFill>
        </w:rPr>
        <w:t xml:space="preserve">。投标有效期比规定短的将被视为未实质性响应招标文件而予以拒绝。</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17、投标有效期的延长</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17.1在特殊情况下，采购人或采购代理机构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20"/>
        <w:jc w:val="both"/>
        <w:keepLines/>
        <w:keepNext/>
        <w:spacing w:before="145" w:beforeAutospacing="0" w:after="145" w:afterAutospacing="0" w:line="360" w:lineRule="auto"/>
        <w:rPr>
          <w:color w:val="000000" w:themeColor="text1"/>
          <w:sz w:val="21"/>
          <w:szCs w:val="21"/>
          <w:highlight w:val="none"/>
          <w14:textFill>
            <w14:solidFill>
              <w14:schemeClr w14:val="tx1"/>
            </w14:solidFill>
          </w14:textFill>
        </w:rPr>
      </w:pPr>
      <w:r/>
      <w:bookmarkStart w:id="106" w:name="_Toc16938540"/>
      <w:r/>
      <w:bookmarkStart w:id="107" w:name="_Toc120614217"/>
      <w:r/>
      <w:bookmarkStart w:id="108" w:name="_Toc513029224"/>
      <w:r/>
      <w:bookmarkStart w:id="109" w:name="_Toc20823296"/>
      <w:r/>
      <w:bookmarkStart w:id="110" w:name="_Hlt26954739"/>
      <w:r/>
      <w:bookmarkStart w:id="111" w:name="_Hlt26954852"/>
      <w:r>
        <w:rPr>
          <w:rFonts w:ascii="Times New Roman" w:hAnsi="Times New Roman"/>
          <w:b/>
          <w:color w:val="000000" w:themeColor="text1"/>
          <w:sz w:val="21"/>
          <w:szCs w:val="21"/>
          <w:highlight w:val="none"/>
          <w14:textFill>
            <w14:solidFill>
              <w14:schemeClr w14:val="tx1"/>
            </w14:solidFill>
          </w14:textFill>
        </w:rPr>
        <w:t xml:space="preserve">四、投标文件的递交</w:t>
      </w:r>
      <w:bookmarkEnd w:id="106"/>
      <w:r/>
      <w:bookmarkEnd w:id="107"/>
      <w:r/>
      <w:bookmarkEnd w:id="108"/>
      <w:r/>
      <w:bookmarkEnd w:id="109"/>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112" w:name="_Toc513029225"/>
      <w:r/>
      <w:bookmarkStart w:id="113" w:name="_Toc16938541"/>
      <w:r/>
      <w:bookmarkStart w:id="114" w:name="_Toc462564084"/>
      <w:r/>
      <w:bookmarkStart w:id="115" w:name="_Toc20823297"/>
      <w:r>
        <w:rPr>
          <w:rFonts w:ascii="Arial" w:hAnsi="Arial" w:cs="Arial"/>
          <w:color w:val="000000" w:themeColor="text1"/>
          <w:sz w:val="21"/>
          <w:szCs w:val="21"/>
          <w:highlight w:val="none"/>
          <w14:textFill>
            <w14:solidFill>
              <w14:schemeClr w14:val="tx1"/>
            </w14:solidFill>
          </w14:textFill>
        </w:rPr>
        <w:t xml:space="preserve">18、电子</w:t>
      </w:r>
      <w:r>
        <w:rPr>
          <w:rFonts w:hint="eastAsia" w:ascii="黑体" w:hAnsi="宋体" w:eastAsia="黑体" w:cs="黑体"/>
          <w:color w:val="000000" w:themeColor="text1"/>
          <w:sz w:val="21"/>
          <w:szCs w:val="21"/>
          <w:highlight w:val="none"/>
          <w14:textFill>
            <w14:solidFill>
              <w14:schemeClr w14:val="tx1"/>
            </w14:solidFill>
          </w14:textFill>
        </w:rPr>
        <w:t xml:space="preserve">投标文件</w:t>
      </w:r>
      <w:bookmarkEnd w:id="112"/>
      <w:r/>
      <w:bookmarkEnd w:id="113"/>
      <w:r/>
      <w:bookmarkEnd w:id="114"/>
      <w:r/>
      <w:bookmarkEnd w:id="115"/>
      <w:r>
        <w:rPr>
          <w:rFonts w:hint="eastAsia" w:ascii="黑体" w:hAnsi="宋体" w:eastAsia="黑体" w:cs="黑体"/>
          <w:color w:val="000000" w:themeColor="text1"/>
          <w:sz w:val="21"/>
          <w:szCs w:val="21"/>
          <w:highlight w:val="none"/>
          <w14:textFill>
            <w14:solidFill>
              <w14:schemeClr w14:val="tx1"/>
            </w14:solidFill>
          </w14:textFill>
        </w:rPr>
        <w:t xml:space="preserve">的递交</w:t>
      </w:r>
      <w:r/>
    </w:p>
    <w:p>
      <w:pPr>
        <w:pStyle w:val="820"/>
        <w:ind w:left="525"/>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18.1投标人应当按照《操作手册》规定，在投标截止时间前制作并上传电子投标</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文件。</w:t>
      </w:r>
      <w:bookmarkStart w:id="116" w:name="_Toc16938542"/>
      <w:r/>
      <w:bookmarkEnd w:id="116"/>
      <w:r/>
      <w:bookmarkStart w:id="117" w:name="_Toc20823298"/>
      <w:r/>
      <w:bookmarkEnd w:id="117"/>
      <w:r/>
      <w:bookmarkStart w:id="118" w:name="_Toc513029226"/>
      <w:r/>
      <w:r/>
    </w:p>
    <w:p>
      <w:pPr>
        <w:pStyle w:val="820"/>
        <w:ind w:firstLine="420"/>
        <w:jc w:val="both"/>
        <w:keepLines/>
        <w:keepNext/>
        <w:spacing w:before="280" w:beforeAutospacing="0" w:after="290" w:afterAutospacing="0" w:line="360" w:lineRule="auto"/>
        <w:rPr>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19、投标截止日期</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i/>
          <w:color w:val="000000" w:themeColor="text1"/>
          <w:sz w:val="21"/>
          <w:szCs w:val="21"/>
          <w:highlight w:val="none"/>
          <w:u w:val="single"/>
          <w14:textFill>
            <w14:solidFill>
              <w14:schemeClr w14:val="tx1"/>
            </w14:solidFill>
          </w14:textFill>
        </w:rPr>
        <w:t xml:space="preserve">19.1 投标人上传电子投标文件的时间不得迟于招标公告中规定的投标截止时间。</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19.2 采购人及采购代理机构可以按照规定，通过修改招标文件酌情延长投标截止日期，在此情况下，投标人的所有权利和义务以及投标人受制的截止日期均应以延长后新的截止日期为准。</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119" w:name="_Toc513029227"/>
      <w:r/>
      <w:bookmarkStart w:id="120" w:name="_Toc20823299"/>
      <w:r/>
      <w:bookmarkStart w:id="121" w:name="_Toc16938543"/>
      <w:r>
        <w:rPr>
          <w:rFonts w:ascii="Arial" w:hAnsi="Arial" w:cs="Arial"/>
          <w:color w:val="000000" w:themeColor="text1"/>
          <w:sz w:val="21"/>
          <w:szCs w:val="21"/>
          <w:highlight w:val="none"/>
          <w14:textFill>
            <w14:solidFill>
              <w14:schemeClr w14:val="tx1"/>
            </w14:solidFill>
          </w14:textFill>
        </w:rPr>
        <w:t xml:space="preserve">20、投标文件</w:t>
      </w:r>
      <w:bookmarkEnd w:id="119"/>
      <w:r/>
      <w:bookmarkEnd w:id="120"/>
      <w:r/>
      <w:bookmarkEnd w:id="121"/>
      <w:r>
        <w:rPr>
          <w:rFonts w:ascii="Arial" w:hAnsi="Arial" w:cs="Arial"/>
          <w:color w:val="000000" w:themeColor="text1"/>
          <w:sz w:val="21"/>
          <w:szCs w:val="21"/>
          <w:highlight w:val="none"/>
          <w14:textFill>
            <w14:solidFill>
              <w14:schemeClr w14:val="tx1"/>
            </w14:solidFill>
          </w14:textFill>
        </w:rPr>
        <w:t xml:space="preserve">的拒收</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20.1 采购人及采购代理机构拒绝接收在其规定的投标截止时间后上传的任何投标文件。</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122" w:name="_Toc16938544"/>
      <w:r/>
      <w:bookmarkStart w:id="123" w:name="_Toc513029228"/>
      <w:r/>
      <w:bookmarkStart w:id="124" w:name="_Toc20823300"/>
      <w:r>
        <w:rPr>
          <w:rFonts w:ascii="Arial" w:hAnsi="Arial" w:cs="Arial"/>
          <w:color w:val="000000" w:themeColor="text1"/>
          <w:sz w:val="21"/>
          <w:szCs w:val="21"/>
          <w:highlight w:val="none"/>
          <w14:textFill>
            <w14:solidFill>
              <w14:schemeClr w14:val="tx1"/>
            </w14:solidFill>
          </w14:textFill>
        </w:rPr>
        <w:t xml:space="preserve">21、投标文件的撤回和修改</w:t>
      </w:r>
      <w:bookmarkEnd w:id="122"/>
      <w:r/>
      <w:bookmarkEnd w:id="123"/>
      <w:r/>
      <w:bookmarkEnd w:id="124"/>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21.1 投标文件的撤回</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21.1.1 电子投标文件的撤回</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投标人可在投标截止时间前，撤回其电子投标文件，具体操作方法见《操作手册》。</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21.1.2 投标人撤回电子投标文件，则认为其不再参与本项目投标活动。</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21.2 投标文件的修改</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21.2.1投标人可在投标截止时间前，对其电子投标文件进行修改，具体操作方法见《操作手册》。</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21.2.2 在投标截止时间之后，投标人不得对其电子投标文件作任何修改。</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21.3 在投标截止时间至招标文件中规定的投标有效期满之间的这段时间内，投标人不得撤回其投标。</w:t>
      </w:r>
      <w:r/>
    </w:p>
    <w:p>
      <w:pPr>
        <w:pStyle w:val="820"/>
        <w:ind w:firstLine="482"/>
        <w:jc w:val="both"/>
        <w:keepLines/>
        <w:keepNext/>
        <w:spacing w:before="145" w:beforeAutospacing="0" w:after="145" w:afterAutospacing="0" w:line="360" w:lineRule="auto"/>
        <w:rPr>
          <w:color w:val="000000" w:themeColor="text1"/>
          <w:sz w:val="21"/>
          <w:szCs w:val="21"/>
          <w:highlight w:val="none"/>
          <w14:textFill>
            <w14:solidFill>
              <w14:schemeClr w14:val="tx1"/>
            </w14:solidFill>
          </w14:textFill>
        </w:rPr>
      </w:pPr>
      <w:r/>
      <w:bookmarkStart w:id="125" w:name="_Toc20823301"/>
      <w:r/>
      <w:bookmarkStart w:id="126" w:name="_Toc16938545"/>
      <w:r/>
      <w:bookmarkStart w:id="127" w:name="_Toc120614218"/>
      <w:r/>
      <w:bookmarkStart w:id="128" w:name="_Toc513029229"/>
      <w:r>
        <w:rPr>
          <w:rFonts w:ascii="Times New Roman" w:hAnsi="Times New Roman"/>
          <w:b/>
          <w:color w:val="000000" w:themeColor="text1"/>
          <w:sz w:val="21"/>
          <w:szCs w:val="21"/>
          <w:highlight w:val="none"/>
          <w14:textFill>
            <w14:solidFill>
              <w14:schemeClr w14:val="tx1"/>
            </w14:solidFill>
          </w14:textFill>
        </w:rPr>
        <w:t xml:space="preserve">五、开标与评标</w:t>
      </w:r>
      <w:bookmarkEnd w:id="125"/>
      <w:r/>
      <w:bookmarkEnd w:id="126"/>
      <w:r/>
      <w:bookmarkEnd w:id="127"/>
      <w:r/>
      <w:bookmarkEnd w:id="128"/>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129" w:name="_Toc20823302"/>
      <w:r/>
      <w:bookmarkStart w:id="130" w:name="_Toc16938546"/>
      <w:r/>
      <w:bookmarkStart w:id="131" w:name="_Toc513029230"/>
      <w:r>
        <w:rPr>
          <w:rFonts w:ascii="Arial" w:hAnsi="Arial" w:cs="Arial"/>
          <w:color w:val="000000" w:themeColor="text1"/>
          <w:sz w:val="21"/>
          <w:szCs w:val="21"/>
          <w:highlight w:val="none"/>
          <w14:textFill>
            <w14:solidFill>
              <w14:schemeClr w14:val="tx1"/>
            </w14:solidFill>
          </w14:textFill>
        </w:rPr>
        <w:t xml:space="preserve">22、开标</w:t>
      </w:r>
      <w:bookmarkEnd w:id="129"/>
      <w:r/>
      <w:bookmarkEnd w:id="130"/>
      <w:r/>
      <w:bookmarkEnd w:id="131"/>
      <w:r/>
      <w:r/>
    </w:p>
    <w:p>
      <w:pPr>
        <w:pStyle w:val="820"/>
        <w:ind w:firstLine="36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22.1 采购人或采购代理机构将在招标公告中规定的时间和地点组织公开开标。投标人应当按照《操作手册》规定，参加开标活动和在苏采云系统规定的时间内对投标文件进行解密。</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22.2开标仪式由采购代理机构组织。苏采云系统将自动对项目进行开标，并宣布各投标人名称和投标价格。</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22.3投标人在开标过程中涉及到的投标文件解密、开标结果确认等工作，应按照《操作手册》规定执行。</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22.4投标人如果对开标过程和开标记录有疑义，应当根据《操作手册》规定提出，如 苏采云系统中《开标记录表》宣布后5分钟内未提出的，视同认可开标结果。</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132" w:name="_Toc513029231"/>
      <w:r/>
      <w:bookmarkStart w:id="133" w:name="_Toc20823303"/>
      <w:r/>
      <w:bookmarkStart w:id="134" w:name="_Toc16938547"/>
      <w:r>
        <w:rPr>
          <w:rFonts w:ascii="Arial" w:hAnsi="Arial" w:cs="Arial"/>
          <w:color w:val="000000" w:themeColor="text1"/>
          <w:sz w:val="21"/>
          <w:szCs w:val="21"/>
          <w:highlight w:val="none"/>
          <w14:textFill>
            <w14:solidFill>
              <w14:schemeClr w14:val="tx1"/>
            </w14:solidFill>
          </w14:textFill>
        </w:rPr>
        <w:t xml:space="preserve">23、评标委员会</w:t>
      </w:r>
      <w:bookmarkEnd w:id="132"/>
      <w:r/>
      <w:bookmarkEnd w:id="133"/>
      <w:r/>
      <w:bookmarkEnd w:id="134"/>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23.1</w:t>
      </w:r>
      <w:r>
        <w:rPr>
          <w:rFonts w:hint="eastAsia" w:ascii="宋体" w:hAnsi="宋体" w:eastAsia="宋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开标后，采购代理机构将立即组织评标委员会（以下简称评委会）进行评标。</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23.2 评委会由采购人代表和有关技术、经济等方面的专家组成，且人员构成符合政府采购有关规定。</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23.3评委会独立工作，负责评审所有投标文件并确定中标候选人。</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rPr>
          <w:rFonts w:hint="eastAsia" w:ascii="黑体" w:hAnsi="宋体" w:eastAsia="黑体" w:cs="黑体"/>
          <w:color w:val="000000" w:themeColor="text1"/>
          <w:sz w:val="21"/>
          <w:szCs w:val="21"/>
          <w:highlight w:val="none"/>
          <w14:textFill>
            <w14:solidFill>
              <w14:schemeClr w14:val="tx1"/>
            </w14:solidFill>
          </w14:textFill>
        </w:rPr>
        <w:t xml:space="preserve">24．评标过程的保密与公正</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24.1凡是与审查、澄清、评价和比较投标的有关资料以及授标建议等，采购人、评委、采购人均不得向投标人或与评标无关的其他人员透露。</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24.2在评标过程中，投标人不得以任何行为影响评标过程，否则其投标文件将被作为无效投标文件。</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24.3 采购人和评标委员会不向未中标的投标人解释未中标原因，也不公布评标过程中的相关细节。</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24.4 采用综合评分法的项目，未中标的投标人可于中标结果公告期限届满之日起通过苏采云系统查看自己的评审得分及排序情况。</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135" w:name="_Toc513029232"/>
      <w:r/>
      <w:bookmarkStart w:id="136" w:name="_Toc16938548"/>
      <w:r/>
      <w:bookmarkStart w:id="137" w:name="_Toc20823304"/>
      <w:r>
        <w:rPr>
          <w:rFonts w:ascii="Arial" w:hAnsi="Arial" w:cs="Arial"/>
          <w:color w:val="000000" w:themeColor="text1"/>
          <w:sz w:val="21"/>
          <w:szCs w:val="21"/>
          <w:highlight w:val="none"/>
          <w14:textFill>
            <w14:solidFill>
              <w14:schemeClr w14:val="tx1"/>
            </w14:solidFill>
          </w14:textFill>
        </w:rPr>
        <w:t xml:space="preserve">25．投标文件的澄清</w:t>
      </w:r>
      <w:bookmarkEnd w:id="135"/>
      <w:r/>
      <w:bookmarkEnd w:id="136"/>
      <w:r/>
      <w:bookmarkEnd w:id="137"/>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bookmarkStart w:id="138" w:name="_Toc20823305"/>
      <w:r/>
      <w:bookmarkStart w:id="139" w:name="_Toc513029233"/>
      <w:r/>
      <w:bookmarkStart w:id="140" w:name="_Toc16938549"/>
      <w:r>
        <w:rPr>
          <w:rFonts w:hint="eastAsia" w:ascii="宋体" w:hAnsi="宋体" w:eastAsia="宋体" w:cs="宋体"/>
          <w:color w:val="000000" w:themeColor="text1"/>
          <w:sz w:val="21"/>
          <w:szCs w:val="21"/>
          <w:highlight w:val="none"/>
          <w14:textFill>
            <w14:solidFill>
              <w14:schemeClr w14:val="tx1"/>
            </w14:solidFill>
          </w14:textFill>
        </w:rPr>
        <w:t xml:space="preserve">25.1评标期间，评委会对投标文件中含义不明确、同类问题表述不一致或者有明显文字和计算错误的内容 ，有权要求投标人作出必要的澄清、说明或者补正。</w:t>
      </w:r>
      <w:bookmarkEnd w:id="138"/>
      <w:r/>
      <w:bookmarkEnd w:id="139"/>
      <w:r/>
      <w:bookmarkEnd w:id="140"/>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投标人的澄清、说明或者补正不得超出投标文件的范围或者改变投标文件的实质性内容。</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评标委员会并非对每个投标人都做澄清要求。</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25.3 接到评委会澄清、说明和补正要求的投标人如未按规定做出澄清、说明和补正，其风险由投标人自行承担。</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26、对投标文件的初审</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26.1投标文件初审分为资格审查和符合性审查。</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26.1.1 资格审查：依据法律法规和招标文件的规定，由采购人或采购代理机构对投标文件中的资格证明文件进行审查。资格审查的结论，采购人以书面形式向评委会进行反馈。</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采购人或采购代理机构在进行资格性审查的同时，将在“信用中国”网站（www.creditchina.gov.cn）查询投标人的信用记录，以确定投标人是否具备投标资格,查询结果留存并归档。</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26.1.2 符合性审查：依据招标文件的规定，由评委会从投标文件的有效性、完整性和对招标文件的响应程度进行审查，以确定是否对招标文件的实质性要求作出响应。</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26.1.3 未通过资格审查或符合性审查的投标人，采购人将在苏采云系统中告知未通过资格审查或符合性审查的原因，评审结束后，采购人及采购代理机构将不再告知未通过资格审查或符合性审查的原因。</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26.3如果投标文件实质上没有响应招标文件的要求，评委会将予以拒绝，投标人不得通过修改或撤销不合要求的偏离或保留而使其投标成为实质性响应的投标。</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26.4评委会将对确定为实质性响应的投标进行进一步审核，看其是否有计算上或累加上的算术错误，修正错误的原则如下：</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（1）投标文件中开标一览表内容与投标文件中相应内容不一致的，以开标一览表为准。</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（2）大写金额和小写金额不一致的，以大写金额为准。</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（3）单价金额小数点或者百分比有明显错位的，以开标一览表的总价为准，并修改单价。</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（4）总价金额与按单价汇总金额不一致的，以单价金额计算结果为准。</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同时出现两种以上错误的，按照前款规定的顺序修正。</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bookmarkStart w:id="141" w:name="_Toc16938550"/>
      <w:r/>
      <w:bookmarkStart w:id="142" w:name="_Toc513029234"/>
      <w:r/>
      <w:bookmarkStart w:id="143" w:name="_Toc20823306"/>
      <w:r>
        <w:rPr>
          <w:rFonts w:hint="eastAsia" w:ascii="宋体" w:hAnsi="宋体" w:eastAsia="宋体" w:cs="宋体"/>
          <w:color w:val="000000" w:themeColor="text1"/>
          <w:sz w:val="21"/>
          <w:szCs w:val="21"/>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1"/>
      <w:r/>
      <w:bookmarkEnd w:id="142"/>
      <w:r/>
      <w:bookmarkEnd w:id="143"/>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20"/>
        <w:ind w:firstLine="42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pStyle w:val="820"/>
        <w:ind w:firstLine="42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26.7投标人在开、评标全过程中应保持通讯畅通，及时登录苏采云系统查阅、答复相关信息，并安排专人与采购人及评标委员会联系。</w:t>
      </w:r>
      <w:r/>
    </w:p>
    <w:p>
      <w:pPr>
        <w:pStyle w:val="820"/>
        <w:ind w:firstLine="420"/>
        <w:jc w:val="both"/>
        <w:keepLines/>
        <w:keepNext/>
        <w:spacing w:beforeAutospacing="0" w:afterAutospacing="0" w:line="360" w:lineRule="auto"/>
        <w:rPr>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27、无效投标条款和废标条款</w:t>
      </w:r>
      <w:r/>
    </w:p>
    <w:p>
      <w:pPr>
        <w:pStyle w:val="820"/>
        <w:ind w:left="479"/>
        <w:jc w:val="both"/>
        <w:spacing w:beforeAutospacing="0" w:afterAutospacing="0" w:line="360" w:lineRule="auto"/>
        <w:rPr>
          <w:color w:val="000000" w:themeColor="text1"/>
          <w:sz w:val="21"/>
          <w:szCs w:val="21"/>
          <w:highlight w:val="none"/>
          <w14:textFill>
            <w14:solidFill>
              <w14:schemeClr w14:val="tx1"/>
            </w14:solidFill>
          </w14:textFill>
        </w:rPr>
      </w:pPr>
      <w:r/>
      <w:bookmarkStart w:id="144" w:name="_Toc513029235"/>
      <w:r/>
      <w:bookmarkStart w:id="145" w:name="_Toc20823307"/>
      <w:r/>
      <w:bookmarkStart w:id="146" w:name="_Toc16938551"/>
      <w:r>
        <w:rPr>
          <w:rFonts w:hint="eastAsia" w:ascii="宋体" w:hAnsi="宋体" w:eastAsia="宋体" w:cs="宋体"/>
          <w:color w:val="000000" w:themeColor="text1"/>
          <w:sz w:val="21"/>
          <w:szCs w:val="21"/>
          <w:highlight w:val="none"/>
          <w14:textFill>
            <w14:solidFill>
              <w14:schemeClr w14:val="tx1"/>
            </w14:solidFill>
          </w14:textFill>
        </w:rPr>
        <w:t xml:space="preserve">27.1无效投标条款</w:t>
      </w:r>
      <w:bookmarkEnd w:id="144"/>
      <w:r/>
      <w:bookmarkEnd w:id="145"/>
      <w:r/>
      <w:bookmarkEnd w:id="146"/>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27.1.1 投标人在苏采云系统规定的时间内未成功解密电子投标文件的。</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27.1.2 投标人未按照招标文件要求上传电子投标文件的。</w:t>
      </w:r>
      <w:r/>
    </w:p>
    <w:p>
      <w:pPr>
        <w:pStyle w:val="820"/>
        <w:ind w:left="479"/>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27.1.3同一投标人提交两个（含两个）以上不同的投标报价的。</w:t>
      </w:r>
      <w:r/>
    </w:p>
    <w:p>
      <w:pPr>
        <w:pStyle w:val="820"/>
        <w:ind w:left="479"/>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27.1.4投标人不具备招标文件中规定资格要求的。</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27.1.5投标人的报价超过了采购预算或最高限价的。</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27.1.6未通过符合性审查的。</w:t>
      </w:r>
      <w:r/>
    </w:p>
    <w:p>
      <w:pPr>
        <w:pStyle w:val="820"/>
        <w:ind w:firstLine="36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27.1.7不符合招标文件中规定的实质性要求和条件的（</w:t>
      </w:r>
      <w:r>
        <w:rPr>
          <w:rFonts w:hint="eastAsia" w:ascii="宋体" w:hAnsi="宋体" w:eastAsia="宋体" w:cs="宋体"/>
          <w:i/>
          <w:color w:val="000000" w:themeColor="text1"/>
          <w:sz w:val="21"/>
          <w:szCs w:val="21"/>
          <w:highlight w:val="none"/>
          <w:u w:val="single"/>
          <w14:textFill>
            <w14:solidFill>
              <w14:schemeClr w14:val="tx1"/>
            </w14:solidFill>
          </w14:textFill>
        </w:rPr>
        <w:t xml:space="preserve">本招标文件中斜体且有下划线部分为实质性要求和条件）。</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27.1.9  投标文件含有采购人不能接受的附加条件的。</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27.1.12 投标文件未按照招标文件要求加盖CA电子公章的。</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27.1.13其他法律、法规及本招标文件规定的属无效投标的情形。</w:t>
      </w:r>
      <w:r/>
    </w:p>
    <w:p>
      <w:pPr>
        <w:pStyle w:val="820"/>
        <w:ind w:left="479"/>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27.2废标条款</w:t>
      </w:r>
      <w:r/>
    </w:p>
    <w:p>
      <w:pPr>
        <w:pStyle w:val="820"/>
        <w:ind w:left="479"/>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27.2.1符合专业条件的供应商或者对招标文件作实质响应的供应商不足三家的。27.2.2出现影响采购公正的违法、违规行为的。</w:t>
      </w:r>
      <w:r/>
    </w:p>
    <w:p>
      <w:pPr>
        <w:pStyle w:val="820"/>
        <w:ind w:left="479"/>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27.2.3因重大变故，采购任务取消的。</w:t>
      </w:r>
      <w:r/>
    </w:p>
    <w:p>
      <w:pPr>
        <w:pStyle w:val="820"/>
        <w:ind w:left="479"/>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27.2.4评标委员会认定招标文件存在歧义、重大缺陷导致评审工作无法进行。</w:t>
      </w:r>
      <w:r/>
    </w:p>
    <w:p>
      <w:pPr>
        <w:pStyle w:val="820"/>
        <w:ind w:left="479"/>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27.2.5 因苏采云系统系统故障原因造成开标不成功的。</w:t>
      </w:r>
      <w:r/>
    </w:p>
    <w:p>
      <w:pPr>
        <w:pStyle w:val="820"/>
        <w:ind w:left="479"/>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27.3 投标截止时间结束后参加投标的供应商不足三家的处理：</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27.3.1如出现投标截止时间结束后参加投标的供应商或者在评标期间对招标文件做出实质响应的供应商不足三家情况，按政府采购相关规定执行。</w:t>
      </w:r>
      <w:r/>
    </w:p>
    <w:p>
      <w:pPr>
        <w:pStyle w:val="820"/>
        <w:ind w:firstLine="482"/>
        <w:jc w:val="both"/>
        <w:keepLines/>
        <w:keepNext/>
        <w:spacing w:before="145" w:beforeAutospacing="0" w:after="145" w:afterAutospacing="0" w:line="360" w:lineRule="auto"/>
        <w:rPr>
          <w:color w:val="000000" w:themeColor="text1"/>
          <w:sz w:val="21"/>
          <w:szCs w:val="21"/>
          <w:highlight w:val="none"/>
          <w14:textFill>
            <w14:solidFill>
              <w14:schemeClr w14:val="tx1"/>
            </w14:solidFill>
          </w14:textFill>
        </w:rPr>
      </w:pPr>
      <w:r/>
      <w:bookmarkStart w:id="147" w:name="_Toc120614219"/>
      <w:r>
        <w:rPr>
          <w:rFonts w:ascii="Times New Roman" w:hAnsi="Times New Roman"/>
          <w:b/>
          <w:color w:val="000000" w:themeColor="text1"/>
          <w:sz w:val="21"/>
          <w:szCs w:val="21"/>
          <w:highlight w:val="none"/>
          <w14:textFill>
            <w14:solidFill>
              <w14:schemeClr w14:val="tx1"/>
            </w14:solidFill>
          </w14:textFill>
        </w:rPr>
        <w:t xml:space="preserve">六、定标</w:t>
      </w:r>
      <w:bookmarkEnd w:id="147"/>
      <w:r/>
      <w:r/>
    </w:p>
    <w:p>
      <w:pPr>
        <w:pStyle w:val="820"/>
        <w:ind w:firstLine="60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148" w:name="_Toc20823310"/>
      <w:r/>
      <w:bookmarkStart w:id="149" w:name="_Toc16938554"/>
      <w:r/>
      <w:bookmarkStart w:id="150" w:name="_Toc513029238"/>
      <w:r>
        <w:rPr>
          <w:rFonts w:hint="eastAsia" w:ascii="黑体" w:hAnsi="宋体" w:eastAsia="黑体" w:cs="黑体"/>
          <w:color w:val="000000" w:themeColor="text1"/>
          <w:sz w:val="21"/>
          <w:szCs w:val="21"/>
          <w:highlight w:val="none"/>
          <w14:textFill>
            <w14:solidFill>
              <w14:schemeClr w14:val="tx1"/>
            </w14:solidFill>
          </w14:textFill>
        </w:rPr>
        <w:t xml:space="preserve">28、</w:t>
      </w:r>
      <w:bookmarkEnd w:id="148"/>
      <w:r>
        <w:rPr>
          <w:rFonts w:hint="eastAsia" w:ascii="黑体" w:hAnsi="宋体" w:eastAsia="黑体" w:cs="黑体"/>
          <w:color w:val="000000" w:themeColor="text1"/>
          <w:sz w:val="21"/>
          <w:szCs w:val="21"/>
          <w:highlight w:val="none"/>
          <w14:textFill>
            <w14:solidFill>
              <w14:schemeClr w14:val="tx1"/>
            </w14:solidFill>
          </w14:textFill>
        </w:rPr>
        <w:t xml:space="preserve">确定</w:t>
      </w:r>
      <w:bookmarkEnd w:id="149"/>
      <w:r/>
      <w:bookmarkEnd w:id="150"/>
      <w:r>
        <w:rPr>
          <w:rFonts w:hint="eastAsia" w:ascii="黑体" w:hAnsi="宋体" w:eastAsia="黑体" w:cs="黑体"/>
          <w:color w:val="000000" w:themeColor="text1"/>
          <w:sz w:val="21"/>
          <w:szCs w:val="21"/>
          <w:highlight w:val="none"/>
          <w14:textFill>
            <w14:solidFill>
              <w14:schemeClr w14:val="tx1"/>
            </w14:solidFill>
          </w14:textFill>
        </w:rPr>
        <w:t xml:space="preserve">中标单位</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28.1中标候选人的选取原则和数量见招标文件第五章规定。 </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28.2 采购人应根据评委会推荐的中标候选人确定中标人。</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28.3 采购人将在</w:t>
      </w:r>
      <w:r>
        <w:rPr>
          <w:rFonts w:hint="eastAsia" w:ascii="仿宋" w:hAnsi="仿宋" w:eastAsia="仿宋" w:cs="仿宋"/>
          <w:color w:val="000000" w:themeColor="text1"/>
          <w:sz w:val="21"/>
          <w:szCs w:val="21"/>
          <w:highlight w:val="none"/>
          <w14:textFill>
            <w14:solidFill>
              <w14:schemeClr w14:val="tx1"/>
            </w14:solidFill>
          </w14:textFill>
        </w:rPr>
        <w:t xml:space="preserve">中国政府采购网</w:t>
      </w:r>
      <w:r>
        <w:rPr>
          <w:rFonts w:hint="eastAsia" w:ascii="仿宋" w:hAnsi="仿宋" w:eastAsia="仿宋" w:cs="仿宋"/>
          <w:color w:val="000000" w:themeColor="text1"/>
          <w:sz w:val="2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“江苏政府采购网”、“盐城市政府采购网</w:t>
      </w:r>
      <w:r>
        <w:rPr>
          <w:rFonts w:hint="eastAsia" w:ascii="仿宋" w:hAnsi="仿宋" w:eastAsia="仿宋" w:cs="仿宋"/>
          <w:color w:val="000000" w:themeColor="text1"/>
          <w:sz w:val="2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发布中标公告，公告期限为1个工作日。</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28.4  若有充分证据证明，中标人出现下列情况之一的，一经查实，将被取消中标资格：</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28.4.1提供虚假材料谋取中标的。</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28.4.2向采购人、采购人行贿或者提供其他不正当利益的。</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28.4.3属于本文件规定的无效条件，但在评标过程中又未被评委会发现的。</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28.4.4与采购人或者其他供应商恶意串通的。</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28.4.5采取不正当手段诋毁、排挤其他供应商的。</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bookmarkStart w:id="151" w:name="_Toc200451960"/>
      <w:r>
        <w:rPr>
          <w:rFonts w:hint="eastAsia" w:ascii="宋体" w:hAnsi="宋体" w:eastAsia="宋体" w:cs="宋体"/>
          <w:color w:val="000000" w:themeColor="text1"/>
          <w:sz w:val="21"/>
          <w:szCs w:val="21"/>
          <w:highlight w:val="none"/>
          <w14:textFill>
            <w14:solidFill>
              <w14:schemeClr w14:val="tx1"/>
            </w14:solidFill>
          </w14:textFill>
        </w:rPr>
        <w:t xml:space="preserve">28.5.</w:t>
      </w:r>
      <w:r>
        <w:rPr>
          <w:rFonts w:ascii="Times New Roman" w:hAnsi="Times New Roman"/>
          <w:color w:val="000000" w:themeColor="text1"/>
          <w:sz w:val="21"/>
          <w:szCs w:val="21"/>
          <w:highlight w:val="none"/>
          <w14:textFill>
            <w14:solidFill>
              <w14:schemeClr w14:val="tx1"/>
            </w14:solidFill>
          </w14:textFill>
        </w:rPr>
        <w:t xml:space="preserve"> 有下列情形之一的，视为投标人串通投标，投标无效：</w:t>
      </w:r>
      <w:bookmarkEnd w:id="151"/>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28.5.1不同投标人的投标文件由同一单位或者个人编制；</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28.5.2不同投标人委托同一单位或者个人办理投标事宜；</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28.5.3 不同投标人的投标文件载明的项目管理成员或者联系人员为同一人；</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28.5.4不同投标人的投标文件异常一致或者投标报价呈规律性差异；</w:t>
      </w:r>
      <w:r/>
    </w:p>
    <w:p>
      <w:pPr>
        <w:pStyle w:val="820"/>
        <w:ind w:firstLine="600"/>
        <w:jc w:val="both"/>
        <w:keepLines/>
        <w:keepNext/>
        <w:spacing w:beforeAutospacing="0" w:afterAutospacing="0" w:line="360" w:lineRule="auto"/>
        <w:rPr>
          <w:color w:val="000000" w:themeColor="text1"/>
          <w:sz w:val="21"/>
          <w:szCs w:val="21"/>
          <w:highlight w:val="none"/>
          <w14:textFill>
            <w14:solidFill>
              <w14:schemeClr w14:val="tx1"/>
            </w14:solidFill>
          </w14:textFill>
        </w:rPr>
      </w:pPr>
      <w:r>
        <w:rPr>
          <w:rFonts w:hint="eastAsia" w:ascii="黑体" w:hAnsi="宋体" w:eastAsia="黑体" w:cs="黑体"/>
          <w:color w:val="000000" w:themeColor="text1"/>
          <w:sz w:val="21"/>
          <w:szCs w:val="21"/>
          <w:highlight w:val="none"/>
          <w14:textFill>
            <w14:solidFill>
              <w14:schemeClr w14:val="tx1"/>
            </w14:solidFill>
          </w14:textFill>
        </w:rPr>
        <w:t xml:space="preserve">29、质疑处理</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pStyle w:val="820"/>
        <w:ind w:firstLine="480"/>
        <w:jc w:val="both"/>
        <w:spacing w:beforeAutospacing="0" w:afterAutospacing="0" w:line="360" w:lineRule="auto"/>
        <w:rPr>
          <w:rFonts w:hint="eastAsia" w:ascii="宋体" w:hAnsi="宋体" w:eastAsia="宋体" w:cs="宋体"/>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rPr>
          <w:rFonts w:hint="eastAsia" w:ascii="宋体" w:hAnsi="宋体" w:eastAsia="宋体" w:cs="宋体"/>
          <w:sz w:val="21"/>
          <w:szCs w:val="21"/>
          <w:highlight w:val="none"/>
          <w14:textFill>
            <w14:solidFill>
              <w14:schemeClr w14:val="tx1"/>
            </w14:solidFill>
          </w14:textFill>
        </w:rPr>
      </w:r>
      <w:r/>
    </w:p>
    <w:p>
      <w:pPr>
        <w:pStyle w:val="820"/>
        <w:ind w:firstLine="480"/>
        <w:jc w:val="both"/>
        <w:spacing w:beforeAutospacing="0" w:afterAutospacing="0" w:line="360" w:lineRule="auto"/>
        <w:rPr>
          <w:rFonts w:hint="eastAsia" w:ascii="宋体" w:hAnsi="宋体" w:eastAsia="宋体" w:cs="宋体"/>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29.2.1</w:t>
      </w:r>
      <w:r>
        <w:rPr>
          <w:rFonts w:ascii="Times New Roman" w:hAnsi="Times New Roman"/>
          <w:color w:val="000000" w:themeColor="text1"/>
          <w:sz w:val="21"/>
          <w:szCs w:val="21"/>
          <w:highlight w:val="none"/>
          <w14:textFill>
            <w14:solidFill>
              <w14:schemeClr w14:val="tx1"/>
            </w14:solidFill>
          </w14:textFill>
        </w:rPr>
        <w:t xml:space="preserve">对可以质疑的采购文件提出质疑的，为收到采购文件之日或者采购文件公告期限届满之日；</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color w:val="000000" w:themeColor="text1"/>
          <w:sz w:val="21"/>
          <w:szCs w:val="21"/>
          <w:highlight w:val="none"/>
          <w14:textFill>
            <w14:solidFill>
              <w14:schemeClr w14:val="tx1"/>
            </w14:solidFill>
          </w14:textFill>
        </w:rPr>
      </w:r>
      <w:r/>
    </w:p>
    <w:p>
      <w:pPr>
        <w:pStyle w:val="820"/>
        <w:ind w:firstLine="480"/>
        <w:jc w:val="both"/>
        <w:spacing w:beforeAutospacing="0" w:afterAutospacing="0" w:line="360" w:lineRule="auto"/>
        <w:rPr>
          <w:rFonts w:ascii="Times New Roman" w:hAnsi="Times New Roman"/>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29.2.2</w:t>
      </w:r>
      <w:r>
        <w:rPr>
          <w:rFonts w:ascii="Times New Roman" w:hAnsi="Times New Roman"/>
          <w:color w:val="000000" w:themeColor="text1"/>
          <w:sz w:val="21"/>
          <w:szCs w:val="21"/>
          <w:highlight w:val="none"/>
          <w14:textFill>
            <w14:solidFill>
              <w14:schemeClr w14:val="tx1"/>
            </w14:solidFill>
          </w14:textFill>
        </w:rPr>
        <w:t xml:space="preserve">对采购过程提出质疑的，为各采购程序环节结束之日；</w:t>
      </w:r>
      <w:r>
        <w:rPr>
          <w:rFonts w:ascii="Times New Roman" w:hAnsi="Times New Roman"/>
          <w:color w:val="000000" w:themeColor="text1"/>
          <w:sz w:val="21"/>
          <w:szCs w:val="21"/>
          <w:highlight w:val="none"/>
          <w14:textFill>
            <w14:solidFill>
              <w14:schemeClr w14:val="tx1"/>
            </w14:solidFill>
          </w14:textFill>
        </w:rPr>
        <w:t xml:space="preserve">  </w:t>
      </w:r>
      <w:r>
        <w:rPr>
          <w:sz w:val="21"/>
          <w:szCs w:val="21"/>
          <w:highlight w:val="none"/>
          <w14:textFill>
            <w14:solidFill>
              <w14:schemeClr w14:val="tx1"/>
            </w14:solidFill>
          </w14:textFill>
        </w:rPr>
      </w:r>
      <w:r/>
    </w:p>
    <w:p>
      <w:pPr>
        <w:pStyle w:val="820"/>
        <w:ind w:firstLine="480"/>
        <w:jc w:val="both"/>
        <w:spacing w:beforeAutospacing="0" w:afterAutospacing="0" w:line="360" w:lineRule="auto"/>
        <w:rPr>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29.2.3</w:t>
      </w:r>
      <w:r>
        <w:rPr>
          <w:rFonts w:ascii="Times New Roman" w:hAnsi="Times New Roman"/>
          <w:color w:val="000000" w:themeColor="text1"/>
          <w:sz w:val="21"/>
          <w:szCs w:val="21"/>
          <w:highlight w:val="none"/>
          <w14:textFill>
            <w14:solidFill>
              <w14:schemeClr w14:val="tx1"/>
            </w14:solidFill>
          </w14:textFill>
        </w:rPr>
        <w:t xml:space="preserve">对中标或者成交结果提出质疑的，为中标或者成交结果公告期限届满之日。</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供应商应当在法定质疑期内一次性提出针对同一采购程序环节的质疑。供应商如在法定期限内对同一采购程序环节提出多次质疑的，采购人</w:t>
      </w:r>
      <w:r>
        <w:rPr>
          <w:rFonts w:hint="eastAsia" w:ascii="Times New Roman" w:hAnsi="Times New Roman"/>
          <w:color w:val="000000" w:themeColor="text1"/>
          <w:sz w:val="21"/>
          <w:szCs w:val="21"/>
          <w:highlight w:val="none"/>
          <w:lang w:val="en-US" w:eastAsia="zh-CN"/>
          <w14:textFill>
            <w14:solidFill>
              <w14:schemeClr w14:val="tx1"/>
            </w14:solidFill>
          </w14:textFill>
        </w:rPr>
        <w:t xml:space="preserve">或代理机构</w:t>
      </w:r>
      <w:r>
        <w:rPr>
          <w:rFonts w:ascii="Times New Roman" w:hAnsi="Times New Roman"/>
          <w:color w:val="000000" w:themeColor="text1"/>
          <w:sz w:val="21"/>
          <w:szCs w:val="21"/>
          <w:highlight w:val="none"/>
          <w14:textFill>
            <w14:solidFill>
              <w14:schemeClr w14:val="tx1"/>
            </w14:solidFill>
          </w14:textFill>
        </w:rPr>
        <w:t xml:space="preserve">将只对供应商第一次质疑作出答复。</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29.4 供应商（含潜在供应商）对采购方式、招标文件中采购需求、供应商资格条件、评标方法和评标标准、合同文本及资格审查结果的询问、质疑请向采购人提出，由采购人或采购代理机构负责答复。</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采购人及采购代理机构只接收以纸质原件形式送达的质疑,采购人和采购代理机构不接受未填写快递运单的快件。</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29.5 以下情形的质疑不予受理</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29.5.1 内容不符合《政府采购质疑和投诉办法》第十二条规定的质疑。</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29.5.2 超出政府采购法定期限的质疑。</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29.5.3 以传真、电子邮件等方式递交的非原件形式的质疑。</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29.5.4 未参加投标活动的供应商或在投标活动中自身权益未受到损害的供应商所提出的质疑。</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29.5.5供应商组成联合体参加投标，联合体中任何一方或多方未按要求签字、盖章、加盖公章的质疑。</w:t>
      </w:r>
      <w:r/>
    </w:p>
    <w:p>
      <w:pPr>
        <w:pStyle w:val="820"/>
        <w:ind w:firstLine="468"/>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20"/>
        <w:ind w:firstLine="600"/>
        <w:jc w:val="both"/>
        <w:keepLines/>
        <w:keepNext/>
        <w:spacing w:beforeAutospacing="0" w:afterAutospacing="0" w:line="360" w:lineRule="auto"/>
        <w:rPr>
          <w:color w:val="000000" w:themeColor="text1"/>
          <w:sz w:val="21"/>
          <w:szCs w:val="21"/>
          <w:highlight w:val="none"/>
          <w14:textFill>
            <w14:solidFill>
              <w14:schemeClr w14:val="tx1"/>
            </w14:solidFill>
          </w14:textFill>
        </w:rPr>
      </w:pPr>
      <w:r>
        <w:rPr>
          <w:rFonts w:hint="eastAsia" w:ascii="黑体" w:hAnsi="宋体" w:eastAsia="黑体" w:cs="黑体"/>
          <w:color w:val="000000" w:themeColor="text1"/>
          <w:sz w:val="21"/>
          <w:szCs w:val="21"/>
          <w:highlight w:val="none"/>
          <w14:textFill>
            <w14:solidFill>
              <w14:schemeClr w14:val="tx1"/>
            </w14:solidFill>
          </w14:textFill>
        </w:rPr>
        <w:t xml:space="preserve">30、中标通知书</w:t>
      </w:r>
      <w:r/>
    </w:p>
    <w:p>
      <w:pPr>
        <w:pStyle w:val="820"/>
        <w:ind w:firstLine="60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30.l</w:t>
      </w:r>
      <w:r>
        <w:rPr>
          <w:rFonts w:hint="eastAsia" w:ascii="宋体" w:hAnsi="宋体" w:eastAsia="宋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20"/>
        <w:ind w:firstLine="60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20"/>
        <w:jc w:val="both"/>
        <w:keepLines/>
        <w:keepNext/>
        <w:spacing w:before="145" w:beforeAutospacing="0" w:after="145" w:afterAutospacing="0" w:line="360" w:lineRule="auto"/>
        <w:rPr>
          <w:color w:val="000000" w:themeColor="text1"/>
          <w:sz w:val="21"/>
          <w:szCs w:val="21"/>
          <w:highlight w:val="none"/>
          <w14:textFill>
            <w14:solidFill>
              <w14:schemeClr w14:val="tx1"/>
            </w14:solidFill>
          </w14:textFill>
        </w:rPr>
      </w:pPr>
      <w:r/>
      <w:bookmarkStart w:id="152" w:name="_Toc120614220"/>
      <w:r/>
      <w:bookmarkStart w:id="153" w:name="_Toc513029236"/>
      <w:r/>
      <w:bookmarkStart w:id="154" w:name="_Toc20823308"/>
      <w:r/>
      <w:bookmarkStart w:id="155" w:name="_Toc16938552"/>
      <w:r>
        <w:rPr>
          <w:rFonts w:ascii="Times New Roman" w:hAnsi="Times New Roman"/>
          <w:b/>
          <w:color w:val="000000" w:themeColor="text1"/>
          <w:sz w:val="21"/>
          <w:szCs w:val="21"/>
          <w:highlight w:val="none"/>
          <w14:textFill>
            <w14:solidFill>
              <w14:schemeClr w14:val="tx1"/>
            </w14:solidFill>
          </w14:textFill>
        </w:rPr>
        <w:t xml:space="preserve">七、授予合同</w:t>
      </w:r>
      <w:bookmarkEnd w:id="152"/>
      <w:r/>
      <w:bookmarkEnd w:id="153"/>
      <w:r/>
      <w:bookmarkEnd w:id="154"/>
      <w:r/>
      <w:bookmarkEnd w:id="155"/>
      <w:r/>
      <w:r/>
    </w:p>
    <w:p>
      <w:pPr>
        <w:pStyle w:val="820"/>
        <w:ind w:firstLine="60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156" w:name="_Toc20823309"/>
      <w:r/>
      <w:bookmarkStart w:id="157" w:name="_Toc513029237"/>
      <w:r/>
      <w:bookmarkStart w:id="158" w:name="_Toc16938553"/>
      <w:r>
        <w:rPr>
          <w:rFonts w:hint="eastAsia" w:ascii="黑体" w:hAnsi="宋体" w:eastAsia="黑体" w:cs="黑体"/>
          <w:color w:val="000000" w:themeColor="text1"/>
          <w:sz w:val="21"/>
          <w:szCs w:val="21"/>
          <w:highlight w:val="none"/>
          <w14:textFill>
            <w14:solidFill>
              <w14:schemeClr w14:val="tx1"/>
            </w14:solidFill>
          </w14:textFill>
        </w:rPr>
        <w:t xml:space="preserve">31. 签订合同</w:t>
      </w:r>
      <w:bookmarkEnd w:id="156"/>
      <w:r/>
      <w:bookmarkEnd w:id="157"/>
      <w:r/>
      <w:bookmarkEnd w:id="158"/>
      <w:r/>
      <w:r/>
    </w:p>
    <w:p>
      <w:pPr>
        <w:pStyle w:val="820"/>
        <w:ind w:firstLine="60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31.l中标人应当在中标通知书发出之日起三十日内，按照招标文件确定的事项与采购人签订政府采购合同。</w:t>
      </w:r>
      <w:r/>
    </w:p>
    <w:p>
      <w:pPr>
        <w:pStyle w:val="820"/>
        <w:ind w:firstLine="60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31.2</w:t>
      </w:r>
      <w:r>
        <w:rPr>
          <w:rFonts w:hint="eastAsia" w:ascii="宋体" w:hAnsi="宋体" w:eastAsia="宋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招标文件、中标人的投标文件及招标过程中有关澄清、承诺文件均应作为合同附件。</w:t>
      </w:r>
      <w:r/>
    </w:p>
    <w:p>
      <w:pPr>
        <w:pStyle w:val="820"/>
        <w:ind w:firstLine="60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31.3 签订合同后，</w:t>
      </w:r>
      <w:r>
        <w:rPr>
          <w:rFonts w:hint="eastAsia" w:ascii="宋体" w:hAnsi="宋体" w:eastAsia="宋体" w:cs="宋体"/>
          <w:i/>
          <w:color w:val="000000" w:themeColor="text1"/>
          <w:sz w:val="21"/>
          <w:szCs w:val="21"/>
          <w:highlight w:val="none"/>
          <w:u w:val="single"/>
          <w14:textFill>
            <w14:solidFill>
              <w14:schemeClr w14:val="tx1"/>
            </w14:solidFill>
          </w14:textFill>
        </w:rPr>
        <w:t xml:space="preserve">中标人不得将合同标的进行转包</w:t>
      </w:r>
      <w:r>
        <w:rPr>
          <w:rFonts w:hint="eastAsia" w:ascii="宋体" w:hAnsi="宋体" w:eastAsia="宋体" w:cs="宋体"/>
          <w:color w:val="000000" w:themeColor="text1"/>
          <w:sz w:val="21"/>
          <w:szCs w:val="21"/>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820"/>
        <w:ind w:firstLine="600"/>
        <w:jc w:val="both"/>
        <w:keepLines/>
        <w:keepNext/>
        <w:spacing w:beforeAutospacing="0" w:afterAutospacing="0" w:line="360" w:lineRule="auto"/>
        <w:rPr>
          <w:color w:val="000000" w:themeColor="text1"/>
          <w:sz w:val="21"/>
          <w:szCs w:val="21"/>
          <w:highlight w:val="none"/>
          <w14:textFill>
            <w14:solidFill>
              <w14:schemeClr w14:val="tx1"/>
            </w14:solidFill>
          </w14:textFill>
        </w:rPr>
      </w:pPr>
      <w:r>
        <w:rPr>
          <w:rFonts w:hint="eastAsia" w:ascii="黑体" w:hAnsi="宋体" w:eastAsia="黑体" w:cs="黑体"/>
          <w:color w:val="000000" w:themeColor="text1"/>
          <w:sz w:val="21"/>
          <w:szCs w:val="21"/>
          <w:highlight w:val="none"/>
          <w14:textFill>
            <w14:solidFill>
              <w14:schemeClr w14:val="tx1"/>
            </w14:solidFill>
          </w14:textFill>
        </w:rPr>
        <w:t xml:space="preserve">32、货物（包含与货物相关的服务）的追加</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20"/>
        <w:ind w:firstLine="600"/>
        <w:jc w:val="both"/>
        <w:keepLines/>
        <w:keepNext/>
        <w:spacing w:beforeAutospacing="0" w:afterAutospacing="0" w:line="360" w:lineRule="auto"/>
        <w:rPr>
          <w:color w:val="000000" w:themeColor="text1"/>
          <w:sz w:val="21"/>
          <w:szCs w:val="21"/>
          <w:highlight w:val="none"/>
          <w14:textFill>
            <w14:solidFill>
              <w14:schemeClr w14:val="tx1"/>
            </w14:solidFill>
          </w14:textFill>
        </w:rPr>
      </w:pPr>
      <w:r/>
      <w:bookmarkStart w:id="159" w:name="_Toc120614221"/>
      <w:r/>
      <w:bookmarkStart w:id="160" w:name="_Toc513029242"/>
      <w:r/>
      <w:bookmarkStart w:id="161" w:name="_Toc479757207"/>
      <w:r/>
      <w:bookmarkStart w:id="162" w:name="_Toc20823314"/>
      <w:r/>
      <w:bookmarkStart w:id="163" w:name="_Toc16938558"/>
      <w:r>
        <w:rPr>
          <w:rFonts w:hint="eastAsia" w:ascii="黑体" w:hAnsi="宋体" w:eastAsia="黑体" w:cs="黑体"/>
          <w:color w:val="000000" w:themeColor="text1"/>
          <w:sz w:val="21"/>
          <w:szCs w:val="21"/>
          <w:highlight w:val="none"/>
          <w14:textFill>
            <w14:solidFill>
              <w14:schemeClr w14:val="tx1"/>
            </w14:solidFill>
          </w14:textFill>
        </w:rPr>
        <w:t xml:space="preserve">33、政府采购履约资金扶持政策</w:t>
      </w:r>
      <w:bookmarkEnd w:id="159"/>
      <w:r/>
      <w:bookmarkEnd w:id="160"/>
      <w:r/>
      <w:bookmarkEnd w:id="161"/>
      <w:r/>
      <w:bookmarkEnd w:id="162"/>
      <w:r/>
      <w:bookmarkEnd w:id="163"/>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附件： </w:t>
      </w:r>
      <w:r/>
    </w:p>
    <w:p>
      <w:pPr>
        <w:pStyle w:val="820"/>
        <w:jc w:val="center"/>
        <w:spacing w:beforeAutospacing="0" w:afterAutospacing="0" w:line="360" w:lineRule="auto"/>
        <w:shd w:val="clear" w:color="auto" w:fill="ffffff"/>
        <w:rPr>
          <w:rFonts w:ascii="Times New Roman" w:hAnsi="Times New Roman" w:eastAsia="宋体"/>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rPr>
          <w:rFonts w:hint="eastAsia" w:ascii="方正大标宋_GBK" w:hAnsi="Times New Roman" w:eastAsia="方正大标宋_GBK"/>
          <w:color w:val="000000" w:themeColor="text1"/>
          <w:sz w:val="21"/>
          <w:szCs w:val="21"/>
          <w:highlight w:val="none"/>
          <w14:textFill>
            <w14:solidFill>
              <w14:schemeClr w14:val="tx1"/>
            </w14:solidFill>
          </w14:textFill>
        </w:rPr>
        <w:t xml:space="preserve">阜宁县政府采购线上合同信用融资政策</w:t>
      </w:r>
      <w:r/>
    </w:p>
    <w:p>
      <w:pPr>
        <w:jc w:val="center"/>
        <w:spacing w:line="360" w:lineRule="auto"/>
        <w:shd w:val="clear" w:color="auto" w:fill="ffffff"/>
        <w:widowControl/>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方正大标宋_GBK" w:hAnsi="Times New Roman" w:eastAsia="方正大标宋_GBK" w:cs="Times New Roman"/>
          <w:color w:val="000000" w:themeColor="text1"/>
          <w:szCs w:val="21"/>
          <w:highlight w:val="none"/>
          <w14:textFill>
            <w14:solidFill>
              <w14:schemeClr w14:val="tx1"/>
            </w14:solidFill>
          </w14:textFill>
        </w:rPr>
        <w:t xml:space="preserve">告知函</w:t>
      </w:r>
      <w:r/>
    </w:p>
    <w:p>
      <w:pPr>
        <w:ind w:left="598" w:firstLine="3360"/>
        <w:spacing w:line="360" w:lineRule="auto"/>
        <w:shd w:val="clear" w:color="auto" w:fill="ffffff"/>
        <w:widowControl/>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 </w:t>
      </w:r>
      <w:r/>
    </w:p>
    <w:p>
      <w:pPr>
        <w:spacing w:line="360" w:lineRule="auto"/>
        <w:shd w:val="clear" w:color="auto" w:fill="ffffff"/>
        <w:widowControl/>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仿宋" w:hAnsi="仿宋" w:eastAsia="仿宋" w:cs="Times New Roman"/>
          <w:color w:val="000000" w:themeColor="text1"/>
          <w:szCs w:val="21"/>
          <w:highlight w:val="none"/>
          <w14:textFill>
            <w14:solidFill>
              <w14:schemeClr w14:val="tx1"/>
            </w14:solidFill>
          </w14:textFill>
        </w:rPr>
        <w:t xml:space="preserve">各政府采购供应商：</w:t>
      </w:r>
      <w:r/>
    </w:p>
    <w:p>
      <w:pPr>
        <w:ind w:firstLine="640"/>
        <w:spacing w:line="360" w:lineRule="auto"/>
        <w:shd w:val="clear" w:color="auto" w:fill="ffffff"/>
        <w:widowControl/>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仿宋" w:hAnsi="仿宋" w:eastAsia="仿宋" w:cs="Times New Roman"/>
          <w:color w:val="000000" w:themeColor="text1"/>
          <w:szCs w:val="21"/>
          <w:highlight w:val="none"/>
          <w14:textFill>
            <w14:solidFill>
              <w14:schemeClr w14:val="tx1"/>
            </w14:solidFill>
          </w14:textFill>
        </w:rPr>
        <w:t xml:space="preserve">欢迎贵公司参与阜宁县政</w:t>
      </w:r>
      <w:r>
        <w:rPr>
          <w:rFonts w:hint="eastAsia" w:ascii="仿宋" w:hAnsi="仿宋" w:eastAsia="仿宋" w:cs="Times New Roman"/>
          <w:color w:val="000000" w:themeColor="text1"/>
          <w:szCs w:val="21"/>
          <w:highlight w:val="none"/>
          <w14:textFill>
            <w14:solidFill>
              <w14:schemeClr w14:val="tx1"/>
            </w14:solidFill>
          </w14:textFill>
        </w:rPr>
        <w:t xml:space="preserve">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中国人民银行南京分行&lt;关于深入推进政府采购线上合同信用融资工作的通知&gt;的通知》（阜财购〔2021〕16号），按照双方自愿的原则提供便捷、优惠的贷款服务。</w:t>
      </w:r>
      <w:r/>
    </w:p>
    <w:p>
      <w:pPr>
        <w:ind w:firstLine="640"/>
        <w:spacing w:line="360" w:lineRule="auto"/>
        <w:shd w:val="clear" w:color="auto" w:fill="ffffff"/>
        <w:widowControl/>
        <w:rPr>
          <w:rFonts w:ascii="仿宋" w:hAnsi="仿宋" w:eastAsia="仿宋" w:cs="Times New Roman"/>
          <w:color w:val="000000" w:themeColor="text1"/>
          <w:szCs w:val="21"/>
          <w:highlight w:val="none"/>
          <w14:textFill>
            <w14:solidFill>
              <w14:schemeClr w14:val="tx1"/>
            </w14:solidFill>
          </w14:textFill>
        </w:rPr>
      </w:pPr>
      <w:r>
        <w:rPr>
          <w:rFonts w:hint="eastAsia" w:ascii="仿宋" w:hAnsi="仿宋" w:eastAsia="仿宋" w:cs="Times New Roman"/>
          <w:color w:val="000000" w:themeColor="text1"/>
          <w:szCs w:val="21"/>
          <w:highlight w:val="none"/>
          <w14:textFill>
            <w14:solidFill>
              <w14:schemeClr w14:val="tx1"/>
            </w14:solidFill>
          </w14:textFill>
        </w:rPr>
        <w:t xml:space="preserve">我县提供贷款的金融机构是江苏银行，联系人：陈曦，电话：13401723128</w:t>
      </w:r>
      <w:r/>
    </w:p>
    <w:p>
      <w:pPr>
        <w:ind w:firstLine="640"/>
        <w:spacing w:line="360" w:lineRule="auto"/>
        <w:shd w:val="clear" w:color="auto" w:fill="ffffff"/>
        <w:widowControl/>
        <w:rPr>
          <w:rFonts w:ascii="仿宋" w:hAnsi="仿宋" w:eastAsia="仿宋" w:cs="Times New Roman"/>
          <w:color w:val="000000" w:themeColor="text1"/>
          <w:szCs w:val="21"/>
          <w:highlight w:val="none"/>
          <w14:textFill>
            <w14:solidFill>
              <w14:schemeClr w14:val="tx1"/>
            </w14:solidFill>
          </w14:textFill>
        </w:rPr>
      </w:pPr>
      <w:r>
        <w:rPr>
          <w:rFonts w:ascii="仿宋" w:hAnsi="仿宋" w:eastAsia="仿宋" w:cs="Times New Roman"/>
          <w:color w:val="000000" w:themeColor="text1"/>
          <w:szCs w:val="21"/>
          <w:highlight w:val="none"/>
          <w14:textFill>
            <w14:solidFill>
              <w14:schemeClr w14:val="tx1"/>
            </w14:solidFill>
          </w14:textFill>
        </w:rPr>
      </w:r>
      <w:r/>
    </w:p>
    <w:p>
      <w:pPr>
        <w:ind w:firstLine="640"/>
        <w:spacing w:line="360" w:lineRule="auto"/>
        <w:shd w:val="clear" w:color="auto" w:fill="ffffff"/>
        <w:widowControl/>
        <w:rPr>
          <w:rFonts w:ascii="仿宋" w:hAnsi="仿宋" w:eastAsia="仿宋" w:cs="Times New Roman"/>
          <w:color w:val="000000" w:themeColor="text1"/>
          <w:szCs w:val="21"/>
          <w:highlight w:val="none"/>
          <w14:textFill>
            <w14:solidFill>
              <w14:schemeClr w14:val="tx1"/>
            </w14:solidFill>
          </w14:textFill>
        </w:rPr>
      </w:pPr>
      <w:r>
        <w:rPr>
          <w:rFonts w:ascii="仿宋" w:hAnsi="仿宋" w:eastAsia="仿宋" w:cs="Times New Roman"/>
          <w:color w:val="000000" w:themeColor="text1"/>
          <w:szCs w:val="21"/>
          <w:highlight w:val="none"/>
          <w14:textFill>
            <w14:solidFill>
              <w14:schemeClr w14:val="tx1"/>
            </w14:solidFill>
          </w14:textFill>
        </w:rPr>
      </w:r>
      <w:r/>
    </w:p>
    <w:p>
      <w:pPr>
        <w:ind w:firstLine="640"/>
        <w:spacing w:line="360" w:lineRule="auto"/>
        <w:shd w:val="clear" w:color="auto" w:fill="ffffff"/>
        <w:widowControl/>
        <w:rPr>
          <w:rFonts w:ascii="仿宋" w:hAnsi="仿宋" w:eastAsia="仿宋" w:cs="Times New Roman"/>
          <w:color w:val="000000" w:themeColor="text1"/>
          <w:szCs w:val="21"/>
          <w:highlight w:val="none"/>
          <w14:textFill>
            <w14:solidFill>
              <w14:schemeClr w14:val="tx1"/>
            </w14:solidFill>
          </w14:textFill>
        </w:rPr>
      </w:pPr>
      <w:r>
        <w:rPr>
          <w:rFonts w:ascii="仿宋" w:hAnsi="仿宋" w:eastAsia="仿宋" w:cs="Times New Roman"/>
          <w:color w:val="000000" w:themeColor="text1"/>
          <w:szCs w:val="21"/>
          <w:highlight w:val="none"/>
          <w14:textFill>
            <w14:solidFill>
              <w14:schemeClr w14:val="tx1"/>
            </w14:solidFill>
          </w14:textFill>
        </w:rPr>
      </w:r>
      <w:r/>
    </w:p>
    <w:p>
      <w:pPr>
        <w:ind w:firstLine="640"/>
        <w:spacing w:line="360" w:lineRule="auto"/>
        <w:shd w:val="clear" w:color="auto" w:fill="ffffff"/>
        <w:widowControl/>
        <w:rPr>
          <w:rFonts w:ascii="仿宋" w:hAnsi="仿宋" w:eastAsia="仿宋" w:cs="Times New Roman"/>
          <w:color w:val="000000" w:themeColor="text1"/>
          <w:szCs w:val="21"/>
          <w:highlight w:val="none"/>
          <w14:textFill>
            <w14:solidFill>
              <w14:schemeClr w14:val="tx1"/>
            </w14:solidFill>
          </w14:textFill>
        </w:rPr>
      </w:pPr>
      <w:r>
        <w:rPr>
          <w:rFonts w:ascii="仿宋" w:hAnsi="仿宋" w:eastAsia="仿宋" w:cs="Times New Roman"/>
          <w:color w:val="000000" w:themeColor="text1"/>
          <w:szCs w:val="21"/>
          <w:highlight w:val="none"/>
          <w14:textFill>
            <w14:solidFill>
              <w14:schemeClr w14:val="tx1"/>
            </w14:solidFill>
          </w14:textFill>
        </w:rPr>
      </w:r>
      <w:r/>
    </w:p>
    <w:p>
      <w:pPr>
        <w:ind w:firstLine="640"/>
        <w:spacing w:line="360" w:lineRule="auto"/>
        <w:shd w:val="clear" w:color="auto" w:fill="ffffff"/>
        <w:widowControl/>
        <w:rPr>
          <w:rFonts w:ascii="仿宋" w:hAnsi="仿宋" w:eastAsia="仿宋" w:cs="Times New Roman"/>
          <w:color w:val="000000" w:themeColor="text1"/>
          <w:szCs w:val="21"/>
          <w:highlight w:val="none"/>
          <w14:textFill>
            <w14:solidFill>
              <w14:schemeClr w14:val="tx1"/>
            </w14:solidFill>
          </w14:textFill>
        </w:rPr>
      </w:pPr>
      <w:r>
        <w:rPr>
          <w:rFonts w:ascii="仿宋" w:hAnsi="仿宋" w:eastAsia="仿宋" w:cs="Times New Roman"/>
          <w:color w:val="000000" w:themeColor="text1"/>
          <w:szCs w:val="21"/>
          <w:highlight w:val="none"/>
          <w14:textFill>
            <w14:solidFill>
              <w14:schemeClr w14:val="tx1"/>
            </w14:solidFill>
          </w14:textFill>
        </w:rPr>
      </w:r>
      <w:r/>
    </w:p>
    <w:p>
      <w:pPr>
        <w:ind w:firstLine="640"/>
        <w:spacing w:line="360" w:lineRule="auto"/>
        <w:shd w:val="clear" w:color="auto" w:fill="ffffff"/>
        <w:widowControl/>
        <w:rPr>
          <w:rFonts w:ascii="仿宋" w:hAnsi="仿宋" w:eastAsia="仿宋" w:cs="Times New Roman"/>
          <w:color w:val="000000" w:themeColor="text1"/>
          <w:szCs w:val="21"/>
          <w:highlight w:val="none"/>
          <w14:textFill>
            <w14:solidFill>
              <w14:schemeClr w14:val="tx1"/>
            </w14:solidFill>
          </w14:textFill>
        </w:rPr>
      </w:pPr>
      <w:r>
        <w:rPr>
          <w:rFonts w:ascii="仿宋" w:hAnsi="仿宋" w:eastAsia="仿宋" w:cs="Times New Roman"/>
          <w:color w:val="000000" w:themeColor="text1"/>
          <w:szCs w:val="21"/>
          <w:highlight w:val="none"/>
          <w14:textFill>
            <w14:solidFill>
              <w14:schemeClr w14:val="tx1"/>
            </w14:solidFill>
          </w14:textFill>
        </w:rPr>
      </w:r>
      <w:r/>
    </w:p>
    <w:p>
      <w:pPr>
        <w:ind w:firstLine="640"/>
        <w:spacing w:line="360" w:lineRule="auto"/>
        <w:shd w:val="clear" w:color="auto" w:fill="ffffff"/>
        <w:widowControl/>
        <w:rPr>
          <w:rFonts w:ascii="仿宋" w:hAnsi="仿宋" w:eastAsia="仿宋" w:cs="Times New Roman"/>
          <w:color w:val="000000" w:themeColor="text1"/>
          <w:szCs w:val="21"/>
          <w:highlight w:val="none"/>
          <w14:textFill>
            <w14:solidFill>
              <w14:schemeClr w14:val="tx1"/>
            </w14:solidFill>
          </w14:textFill>
        </w:rPr>
      </w:pPr>
      <w:r>
        <w:rPr>
          <w:rFonts w:ascii="仿宋" w:hAnsi="仿宋" w:eastAsia="仿宋" w:cs="Times New Roman"/>
          <w:color w:val="000000" w:themeColor="text1"/>
          <w:szCs w:val="21"/>
          <w:highlight w:val="none"/>
          <w14:textFill>
            <w14:solidFill>
              <w14:schemeClr w14:val="tx1"/>
            </w14:solidFill>
          </w14:textFill>
        </w:rPr>
      </w:r>
      <w:r/>
    </w:p>
    <w:p>
      <w:pPr>
        <w:ind w:firstLine="640"/>
        <w:spacing w:line="360" w:lineRule="auto"/>
        <w:shd w:val="clear" w:color="auto" w:fill="ffffff"/>
        <w:widowControl/>
        <w:rPr>
          <w:rFonts w:ascii="仿宋" w:hAnsi="仿宋" w:eastAsia="仿宋" w:cs="Times New Roman"/>
          <w:color w:val="000000" w:themeColor="text1"/>
          <w:szCs w:val="21"/>
          <w:highlight w:val="none"/>
          <w14:textFill>
            <w14:solidFill>
              <w14:schemeClr w14:val="tx1"/>
            </w14:solidFill>
          </w14:textFill>
        </w:rPr>
      </w:pPr>
      <w:r>
        <w:rPr>
          <w:rFonts w:ascii="仿宋" w:hAnsi="仿宋" w:eastAsia="仿宋" w:cs="Times New Roman"/>
          <w:color w:val="000000" w:themeColor="text1"/>
          <w:szCs w:val="21"/>
          <w:highlight w:val="none"/>
          <w14:textFill>
            <w14:solidFill>
              <w14:schemeClr w14:val="tx1"/>
            </w14:solidFill>
          </w14:textFill>
        </w:rPr>
      </w:r>
      <w:r/>
    </w:p>
    <w:p>
      <w:pPr>
        <w:pStyle w:val="81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40"/>
        <w:spacing w:line="360" w:lineRule="auto"/>
        <w:shd w:val="clear" w:color="auto" w:fill="ffffff"/>
        <w:widowControl/>
        <w:rPr>
          <w:rFonts w:ascii="仿宋" w:hAnsi="仿宋" w:eastAsia="仿宋" w:cs="Times New Roman"/>
          <w:highlight w:val="none"/>
          <w14:textFill>
            <w14:solidFill>
              <w14:schemeClr w14:val="tx1"/>
            </w14:solidFill>
          </w14:textFill>
        </w:rPr>
      </w:pPr>
      <w:r>
        <w:rPr>
          <w:rFonts w:ascii="仿宋" w:hAnsi="仿宋" w:eastAsia="仿宋" w:cs="Times New Roman"/>
          <w:color w:val="000000" w:themeColor="text1"/>
          <w:szCs w:val="21"/>
          <w:highlight w:val="none"/>
          <w14:textFill>
            <w14:solidFill>
              <w14:schemeClr w14:val="tx1"/>
            </w14:solidFill>
          </w14:textFill>
        </w:rPr>
      </w:r>
      <w:r>
        <w:rPr>
          <w:rFonts w:ascii="仿宋" w:hAnsi="仿宋" w:eastAsia="仿宋" w:cs="Times New Roman"/>
          <w:color w:val="000000" w:themeColor="text1"/>
          <w:szCs w:val="21"/>
          <w:highlight w:val="none"/>
          <w14:textFill>
            <w14:solidFill>
              <w14:schemeClr w14:val="tx1"/>
            </w14:solidFill>
          </w14:textFill>
        </w:rPr>
      </w:r>
      <w:r/>
    </w:p>
    <w:p>
      <w:pPr>
        <w:ind w:firstLine="640"/>
        <w:spacing w:line="360" w:lineRule="auto"/>
        <w:shd w:val="clear" w:color="auto" w:fill="ffffff"/>
        <w:widowControl/>
        <w:rPr>
          <w:rFonts w:ascii="仿宋" w:hAnsi="仿宋" w:eastAsia="仿宋" w:cs="Times New Roman"/>
          <w:highlight w:val="none"/>
          <w14:textFill>
            <w14:solidFill>
              <w14:schemeClr w14:val="tx1"/>
            </w14:solidFill>
          </w14:textFill>
        </w:rPr>
      </w:pPr>
      <w:r>
        <w:rPr>
          <w:rFonts w:ascii="仿宋" w:hAnsi="仿宋" w:eastAsia="仿宋" w:cs="Times New Roman"/>
          <w:highlight w:val="none"/>
          <w14:textFill>
            <w14:solidFill>
              <w14:schemeClr w14:val="tx1"/>
            </w14:solidFill>
          </w14:textFill>
        </w:rPr>
      </w:r>
      <w:r>
        <w:rPr>
          <w:rFonts w:ascii="仿宋" w:hAnsi="仿宋" w:eastAsia="仿宋" w:cs="Times New Roman"/>
          <w:highlight w:val="none"/>
          <w14:textFill>
            <w14:solidFill>
              <w14:schemeClr w14:val="tx1"/>
            </w14:solidFill>
          </w14:textFill>
        </w:rPr>
      </w:r>
      <w:r/>
    </w:p>
    <w:p>
      <w:pPr>
        <w:ind w:firstLine="640"/>
        <w:spacing w:line="360" w:lineRule="auto"/>
        <w:shd w:val="clear" w:color="auto" w:fill="ffffff"/>
        <w:widowControl/>
        <w:rPr>
          <w:rFonts w:ascii="仿宋" w:hAnsi="仿宋" w:eastAsia="仿宋" w:cs="Times New Roman"/>
          <w:highlight w:val="none"/>
          <w14:textFill>
            <w14:solidFill>
              <w14:schemeClr w14:val="tx1"/>
            </w14:solidFill>
          </w14:textFill>
        </w:rPr>
      </w:pPr>
      <w:r>
        <w:rPr>
          <w:rFonts w:ascii="仿宋" w:hAnsi="仿宋" w:eastAsia="仿宋" w:cs="Times New Roman"/>
          <w:highlight w:val="none"/>
          <w14:textFill>
            <w14:solidFill>
              <w14:schemeClr w14:val="tx1"/>
            </w14:solidFill>
          </w14:textFill>
        </w:rPr>
      </w:r>
      <w:r>
        <w:rPr>
          <w:rFonts w:ascii="仿宋" w:hAnsi="仿宋" w:eastAsia="仿宋" w:cs="Times New Roman"/>
          <w:highlight w:val="none"/>
          <w14:textFill>
            <w14:solidFill>
              <w14:schemeClr w14:val="tx1"/>
            </w14:solidFill>
          </w14:textFill>
        </w:rPr>
      </w:r>
      <w:r/>
    </w:p>
    <w:p>
      <w:pPr>
        <w:ind w:firstLine="640"/>
        <w:spacing w:line="360" w:lineRule="auto"/>
        <w:shd w:val="clear" w:color="auto" w:fill="ffffff"/>
        <w:widowControl/>
        <w:rPr>
          <w:rFonts w:ascii="仿宋" w:hAnsi="仿宋" w:eastAsia="仿宋" w:cs="Times New Roman"/>
          <w:highlight w:val="none"/>
          <w14:textFill>
            <w14:solidFill>
              <w14:schemeClr w14:val="tx1"/>
            </w14:solidFill>
          </w14:textFill>
        </w:rPr>
      </w:pPr>
      <w:r>
        <w:rPr>
          <w:rFonts w:ascii="仿宋" w:hAnsi="仿宋" w:eastAsia="仿宋" w:cs="Times New Roman"/>
          <w:color w:val="000000" w:themeColor="text1"/>
          <w:szCs w:val="21"/>
          <w:highlight w:val="none"/>
          <w14:textFill>
            <w14:solidFill>
              <w14:schemeClr w14:val="tx1"/>
            </w14:solidFill>
          </w14:textFill>
        </w:rPr>
      </w:r>
      <w:r/>
    </w:p>
    <w:p>
      <w:pPr>
        <w:pStyle w:val="820"/>
        <w:jc w:val="center"/>
        <w:keepNext/>
        <w:spacing w:beforeAutospacing="0" w:afterAutospacing="0" w:line="360" w:lineRule="auto"/>
        <w:rPr>
          <w:color w:val="000000" w:themeColor="text1"/>
          <w:sz w:val="32"/>
          <w:szCs w:val="32"/>
          <w:highlight w:val="none"/>
          <w14:textFill>
            <w14:solidFill>
              <w14:schemeClr w14:val="tx1"/>
            </w14:solidFill>
          </w14:textFill>
        </w:rPr>
      </w:pPr>
      <w:r>
        <w:rPr>
          <w:rFonts w:hint="eastAsia" w:ascii="黑体" w:hAnsi="宋体" w:eastAsia="黑体" w:cs="黑体"/>
          <w:color w:val="000000" w:themeColor="text1"/>
          <w:sz w:val="32"/>
          <w:szCs w:val="32"/>
          <w:highlight w:val="none"/>
          <w14:textFill>
            <w14:solidFill>
              <w14:schemeClr w14:val="tx1"/>
            </w14:solidFill>
          </w14:textFill>
        </w:rPr>
        <w:t xml:space="preserve">第三章  合同文本</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bookmarkStart w:id="164" w:name="_Toc513029243"/>
      <w:r/>
      <w:bookmarkStart w:id="165" w:name="_Toc20823315"/>
      <w:r/>
      <w:bookmarkStart w:id="166" w:name="_Toc16938559"/>
      <w:r>
        <w:rPr>
          <w:rFonts w:hint="eastAsia" w:ascii="宋体" w:hAnsi="宋体" w:eastAsia="宋体" w:cs="宋体"/>
          <w:color w:val="000000" w:themeColor="text1"/>
          <w:sz w:val="21"/>
          <w:szCs w:val="21"/>
          <w:highlight w:val="none"/>
          <w14:textFill>
            <w14:solidFill>
              <w14:schemeClr w14:val="tx1"/>
            </w14:solidFill>
          </w14:textFill>
        </w:rPr>
        <w:t xml:space="preserve">以下为中标后签定本项目合同的通用条款，中标人不得提出实质性的修改。</w:t>
      </w:r>
      <w:bookmarkEnd w:id="164"/>
      <w:r/>
      <w:bookmarkEnd w:id="165"/>
      <w:r/>
      <w:bookmarkEnd w:id="166"/>
      <w:r/>
      <w:r/>
    </w:p>
    <w:p>
      <w:pPr>
        <w:pStyle w:val="820"/>
        <w:jc w:val="center"/>
        <w:spacing w:before="145" w:beforeAutospacing="0" w:after="145"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盐城市政府采购合同（货物）（合同编号）</w:t>
      </w:r>
      <w:r/>
    </w:p>
    <w:p>
      <w:pPr>
        <w:pStyle w:val="820"/>
        <w:jc w:val="both"/>
        <w:spacing w:before="120" w:beforeAutospacing="0" w:after="12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                        </w:t>
      </w:r>
      <w:r/>
    </w:p>
    <w:p>
      <w:pPr>
        <w:pStyle w:val="820"/>
        <w:jc w:val="both"/>
        <w:spacing w:before="120" w:beforeAutospacing="0" w:after="12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甲方：（买方）_________</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乙方：（卖方）_________</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甲、乙双方根据</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项目公开招标的结果，签署本合同。</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一、合同内容</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 标的名称：</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 标的质量：</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 标的数量（规模）：</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 履行时间（期限）：</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 履行地点：</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 履行方式：</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 包装方式：</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二、合同金额</w:t>
      </w:r>
      <w:r/>
    </w:p>
    <w:p>
      <w:pPr>
        <w:pStyle w:val="820"/>
        <w:ind w:left="410" w:hanging="41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 本合同金额为（大写）：_______圆（___元）人民币或其他币种。</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三、技术资料</w:t>
      </w:r>
      <w:r/>
    </w:p>
    <w:p>
      <w:pPr>
        <w:pStyle w:val="820"/>
        <w:ind w:left="410" w:hanging="41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3.1乙方应按招标文件规定的时间向甲方提供使用货物(包含与货物相关的服务)的有关技术资料。</w:t>
      </w:r>
      <w:r/>
    </w:p>
    <w:p>
      <w:pPr>
        <w:pStyle w:val="820"/>
        <w:ind w:left="410" w:hanging="41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0"/>
        <w:ind w:left="412" w:hanging="412"/>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四、知识产权</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4.1乙</w:t>
      </w:r>
      <w:r>
        <w:rPr>
          <w:rFonts w:hint="eastAsia" w:ascii="宋体" w:hAnsi="宋体" w:eastAsia="宋体" w:cs="宋体"/>
          <w:color w:val="000000" w:themeColor="text1"/>
          <w:sz w:val="21"/>
          <w:szCs w:val="21"/>
          <w:highlight w:val="none"/>
          <w14:textFill>
            <w14:solidFill>
              <w14:schemeClr w14:val="tx1"/>
            </w14:solidFill>
          </w14:textFill>
        </w:rPr>
        <w:t xml:space="preserve">方应保证甲方在使用、接受本合同货物</w:t>
      </w:r>
      <w:r>
        <w:rPr>
          <w:rFonts w:ascii="Times New Roman" w:hAnsi="Times New Roman"/>
          <w:color w:val="000000" w:themeColor="text1"/>
          <w:sz w:val="21"/>
          <w:szCs w:val="21"/>
          <w:highlight w:val="none"/>
          <w14:textFill>
            <w14:solidFill>
              <w14:schemeClr w14:val="tx1"/>
            </w14:solidFill>
          </w14:textFill>
        </w:rPr>
        <w:t xml:space="preserve">（包含与货物相关的服务）</w:t>
      </w:r>
      <w:r>
        <w:rPr>
          <w:rFonts w:hint="eastAsia" w:ascii="宋体" w:hAnsi="宋体" w:eastAsia="宋体" w:cs="宋体"/>
          <w:color w:val="000000" w:themeColor="text1"/>
          <w:sz w:val="21"/>
          <w:szCs w:val="21"/>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五、产权担保</w:t>
      </w:r>
      <w:r/>
    </w:p>
    <w:p>
      <w:pPr>
        <w:pStyle w:val="820"/>
        <w:ind w:left="408" w:hanging="408"/>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5.1 乙方保证所交付的货物（包含与货物相关的服务）的所有权完全属于乙方且无任何抵押、查封等产权瑕疵。</w:t>
      </w:r>
      <w:r/>
    </w:p>
    <w:p>
      <w:pPr>
        <w:pStyle w:val="820"/>
        <w:ind w:left="410" w:hanging="41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六、履约保证金</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履约保证金缴纳:</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6.1.1本项目履约保证金按中标（合同）价的5%执行，乙方应在签订合同前将履约保证金以转帐、电汇或银行汇票等形式从乙方的帐户转至下列账户，收款单位名称：阜宁县公共资源交易中心，开户银行：中国邮政储蓄银行股份有限公司阜宁县南城区支行；帐号：932002010058987777。</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可以采用保函形式提交履约保证金，需要办理保函的，可以通过政府采购电子履约保函（保险）平台（www.jsdzbh.com)在线申请履约保函（保险），也可以自行另行办理。采用保函形式提交的，其受益人为甲方（采购人），保函的有效期不得低于合同的履行期限。</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6.1.2依据盐财购〔2021〕19号文件规定，</w:t>
      </w:r>
      <w:bookmarkStart w:id="167" w:name="_Hlk126942959"/>
      <w:r>
        <w:rPr>
          <w:rFonts w:hint="eastAsia" w:ascii="宋体" w:hAnsi="宋体"/>
          <w:color w:val="000000" w:themeColor="text1"/>
          <w:szCs w:val="21"/>
          <w:highlight w:val="none"/>
          <w14:textFill>
            <w14:solidFill>
              <w14:schemeClr w14:val="tx1"/>
            </w14:solidFill>
          </w14:textFill>
        </w:rPr>
        <w:t xml:space="preserve">乙方</w:t>
      </w:r>
      <w:bookmarkEnd w:id="167"/>
      <w:r>
        <w:rPr>
          <w:rFonts w:hint="eastAsia" w:ascii="宋体" w:hAnsi="宋体"/>
          <w:color w:val="000000" w:themeColor="text1"/>
          <w:szCs w:val="21"/>
          <w:highlight w:val="none"/>
          <w14:textFill>
            <w14:solidFill>
              <w14:schemeClr w14:val="tx1"/>
            </w14:solidFill>
          </w14:textFill>
        </w:rPr>
        <w:t xml:space="preserve">具有AA评级及以上（或80分及以上）信用等级的且信用报告通过信用管理部门备案并通过“信用盐城网”可查实或信用报告概述页等内容通过“信用盐城网”可查实（需向阜宁县公共资源交易中心提供第三方信用报告原件和加盖乙方公章的第三方信用报告的复印件），履约保证金将减按3%缴纳。</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履约保证金退还:</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6.2.1 乙方在本合同全部履行完毕并经验收合格后，凭履约保证金退还申请表并经甲方同意后，即可到阜宁县公共资源交易中心原渠道三个工作日内无息退还。因乙方自身原因造成延期退还的，甲方不承担责任。</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6.2.2 如为保函，在到期时自行失效。</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6.3履约保证金不予退还情形：</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除不可抗力情况外，投标人出现下列情形之一的，其履约保证金，招标人将视情节决定不予退还或部分不予退还。</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（2）中标人不履行与采购人订立的合同的；</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（3）中标人所供货物或服务不符合招标文件规定要求的；</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（4）中标人采取欺骗、弄虚作假方式投标的或与其它投标人串通投标的；</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（5）中标人将合同内容转包、违法分包的；</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（6）中标人故意捏造事实或伪造证明材料，进行虚假恶意投诉或反映的。</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6.4逾期退还的违约责任：</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采购人逾期无故未退还履约保证金的，按中国人民银行同期贷款基准利率上浮20%后的利率支付超期资金占用费，但因供应商自身原因导致无法及时退还的除外。</w:t>
      </w:r>
      <w:r/>
    </w:p>
    <w:p>
      <w:pPr>
        <w:pStyle w:val="820"/>
        <w:jc w:val="both"/>
        <w:spacing w:before="145" w:beforeAutospacing="0" w:after="145"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七、合同转包或分包</w:t>
      </w:r>
      <w:r/>
    </w:p>
    <w:p>
      <w:pPr>
        <w:pStyle w:val="820"/>
        <w:jc w:val="both"/>
        <w:spacing w:before="145" w:beforeAutospacing="0" w:after="145"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7.1乙方不得将合同标的转包给他人履行。</w:t>
      </w:r>
      <w:r/>
    </w:p>
    <w:p>
      <w:pPr>
        <w:pStyle w:val="820"/>
        <w:jc w:val="both"/>
        <w:spacing w:before="145" w:beforeAutospacing="0" w:after="145"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7.2乙方不得将合同标的分包给他人履行。</w:t>
      </w:r>
      <w:r/>
    </w:p>
    <w:p>
      <w:pPr>
        <w:pStyle w:val="820"/>
        <w:jc w:val="both"/>
        <w:spacing w:before="145" w:beforeAutospacing="0" w:after="145"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7.3乙方如有转包或未经甲方同意的分包行为，甲方有权给予终止合同。</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八、合同款项支付</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8.1合同款项的支付方式及进度安排</w:t>
      </w:r>
      <w:r/>
    </w:p>
    <w:p>
      <w:pPr>
        <w:pStyle w:val="820"/>
        <w:jc w:val="both"/>
        <w:spacing w:before="120" w:beforeAutospacing="0" w:after="120" w:afterAutospacing="0" w:line="360" w:lineRule="auto"/>
        <w:rPr>
          <w:rFonts w:ascii="宋体" w:hAnsi="宋体" w:cstheme="minorBidi"/>
          <w:b/>
          <w:bCs/>
          <w:i/>
          <w:iCs/>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8．1.1 预付款支付时间：</w:t>
      </w:r>
      <w:r>
        <w:rPr>
          <w:rFonts w:hint="eastAsia" w:ascii="宋体" w:hAnsi="宋体" w:eastAsia="宋体" w:cs="宋体"/>
          <w:color w:val="000000" w:themeColor="text1"/>
          <w:sz w:val="21"/>
          <w:szCs w:val="21"/>
          <w:highlight w:val="none"/>
          <w:u w:val="single"/>
          <w14:textFill>
            <w14:solidFill>
              <w14:schemeClr w14:val="tx1"/>
            </w14:solidFill>
          </w14:textFill>
        </w:rPr>
        <w:t xml:space="preserve">合同签订后十日内</w:t>
      </w:r>
      <w:r>
        <w:rPr>
          <w:rFonts w:hint="eastAsia" w:ascii="宋体" w:hAnsi="宋体" w:eastAsia="宋体" w:cs="宋体"/>
          <w:color w:val="000000" w:themeColor="text1"/>
          <w:sz w:val="21"/>
          <w:szCs w:val="21"/>
          <w:highlight w:val="none"/>
          <w14:textFill>
            <w14:solidFill>
              <w14:schemeClr w14:val="tx1"/>
            </w14:solidFill>
          </w14:textFill>
        </w:rPr>
        <w:t xml:space="preserve">，预付款支付比例：</w:t>
      </w:r>
      <w:r>
        <w:rPr>
          <w:rFonts w:hint="eastAsia" w:ascii="宋体" w:hAnsi="宋体" w:eastAsia="宋体" w:cs="宋体"/>
          <w:color w:val="000000" w:themeColor="text1"/>
          <w:sz w:val="21"/>
          <w:szCs w:val="21"/>
          <w:highlight w:val="none"/>
          <w:u w:val="single"/>
          <w14:textFill>
            <w14:solidFill>
              <w14:schemeClr w14:val="tx1"/>
            </w14:solidFill>
          </w14:textFill>
        </w:rPr>
        <w:t xml:space="preserve">支付合同金额的30%，</w:t>
      </w:r>
      <w:r>
        <w:rPr>
          <w:rFonts w:hint="eastAsia" w:ascii="宋体" w:hAnsi="宋体" w:cstheme="minorBidi"/>
          <w:b/>
          <w:bCs/>
          <w:i/>
          <w:iCs/>
          <w:color w:val="000000" w:themeColor="text1"/>
          <w:sz w:val="21"/>
          <w:szCs w:val="21"/>
          <w:highlight w:val="none"/>
          <w:u w:val="single"/>
          <w14:textFill>
            <w14:solidFill>
              <w14:schemeClr w14:val="tx1"/>
            </w14:solidFill>
          </w14:textFill>
        </w:rPr>
        <w:t xml:space="preserve">（支付预付款</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前乙方须提供增值税发票和等价格预付款银行保函。</w:t>
      </w:r>
      <w:r>
        <w:rPr>
          <w:rFonts w:hint="eastAsia" w:ascii="宋体" w:hAnsi="宋体" w:cstheme="minorBidi"/>
          <w:b/>
          <w:bCs/>
          <w:i/>
          <w:iCs/>
          <w:color w:val="000000" w:themeColor="text1"/>
          <w:sz w:val="21"/>
          <w:szCs w:val="21"/>
          <w:highlight w:val="none"/>
          <w:u w:val="single"/>
          <w14:textFill>
            <w14:solidFill>
              <w14:schemeClr w14:val="tx1"/>
            </w14:solidFill>
          </w14:textFill>
        </w:rPr>
        <w:t xml:space="preserve">）</w:t>
      </w:r>
      <w:r/>
    </w:p>
    <w:p>
      <w:pPr>
        <w:pStyle w:val="820"/>
        <w:ind w:firstLine="211"/>
        <w:jc w:val="both"/>
        <w:spacing w:before="120" w:beforeAutospacing="0" w:after="120" w:afterAutospacing="0" w:line="360" w:lineRule="auto"/>
        <w:rPr>
          <w:rFonts w:ascii="宋体" w:hAnsi="宋体" w:eastAsia="宋体" w:cs="宋体"/>
          <w:b/>
          <w:bCs/>
          <w:i/>
          <w:iCs/>
          <w:color w:val="000000" w:themeColor="text1"/>
          <w:sz w:val="21"/>
          <w:szCs w:val="21"/>
          <w:highlight w:val="none"/>
          <w:u w:val="single"/>
          <w14:textFill>
            <w14:solidFill>
              <w14:schemeClr w14:val="tx1"/>
            </w14:solidFill>
          </w14:textFill>
        </w:rPr>
      </w:pPr>
      <w:r>
        <w:rPr>
          <w:rFonts w:hint="eastAsia" w:ascii="宋体" w:hAnsi="宋体" w:cstheme="minorBidi"/>
          <w:b/>
          <w:bCs/>
          <w:i/>
          <w:iCs/>
          <w:color w:val="000000" w:themeColor="text1"/>
          <w:sz w:val="21"/>
          <w:szCs w:val="21"/>
          <w:highlight w:val="none"/>
          <w:u w:val="single"/>
          <w14:textFill>
            <w14:solidFill>
              <w14:schemeClr w14:val="tx1"/>
            </w14:solidFill>
          </w14:textFill>
        </w:rPr>
        <w:t xml:space="preserve">注：乙方向甲方申请</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预</w:t>
      </w:r>
      <w:r>
        <w:rPr>
          <w:rFonts w:hint="eastAsia" w:ascii="宋体" w:hAnsi="宋体" w:cstheme="minorBidi"/>
          <w:b/>
          <w:bCs/>
          <w:i/>
          <w:iCs/>
          <w:color w:val="000000" w:themeColor="text1"/>
          <w:sz w:val="21"/>
          <w:szCs w:val="21"/>
          <w:highlight w:val="none"/>
          <w:u w:val="single"/>
          <w14:textFill>
            <w14:solidFill>
              <w14:schemeClr w14:val="tx1"/>
            </w14:solidFill>
          </w14:textFill>
        </w:rPr>
        <w:t xml:space="preserve">付款时，应向甲方提供合法有效</w:t>
      </w:r>
      <w:r>
        <w:rPr>
          <w:rFonts w:hint="eastAsia" w:ascii="宋体" w:hAnsi="宋体" w:eastAsia="宋体" w:cs="宋体"/>
          <w:b/>
          <w:bCs/>
          <w:i/>
          <w:iCs/>
          <w:color w:val="000000" w:themeColor="text1"/>
          <w:sz w:val="21"/>
          <w:szCs w:val="21"/>
          <w:highlight w:val="none"/>
          <w:u w:val="single"/>
          <w14:textFill>
            <w14:solidFill>
              <w14:schemeClr w14:val="tx1"/>
            </w14:solidFill>
          </w14:textFill>
        </w:rPr>
        <w:t xml:space="preserve">提供增值税发票和等价格预付款银行保函</w:t>
      </w:r>
      <w:r>
        <w:rPr>
          <w:rFonts w:hint="eastAsia" w:ascii="宋体" w:hAnsi="宋体" w:cstheme="minorBidi"/>
          <w:b/>
          <w:bCs/>
          <w:i/>
          <w:iCs/>
          <w:color w:val="000000" w:themeColor="text1"/>
          <w:sz w:val="21"/>
          <w:szCs w:val="21"/>
          <w:highlight w:val="none"/>
          <w:u w:val="single"/>
          <w14:textFill>
            <w14:solidFill>
              <w14:schemeClr w14:val="tx1"/>
            </w14:solidFill>
          </w14:textFill>
        </w:rPr>
        <w:t xml:space="preserve">，否则甲方有权迟延付款且不承担逾期付款违约责任。中标人也可以放弃预付款，如放弃预付款的，中标人应向采购人出具放弃预付款的声明函。</w:t>
      </w:r>
      <w:r/>
    </w:p>
    <w:p>
      <w:pPr>
        <w:pStyle w:val="820"/>
        <w:jc w:val="both"/>
        <w:spacing w:before="120" w:beforeAutospacing="0" w:after="12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8.1.2 尾款支付时间：</w:t>
      </w:r>
      <w:r>
        <w:rPr>
          <w:rFonts w:hint="eastAsia" w:ascii="宋体" w:hAnsi="宋体" w:eastAsia="宋体" w:cs="宋体"/>
          <w:b/>
          <w:bCs/>
          <w:color w:val="000000" w:themeColor="text1"/>
          <w:sz w:val="21"/>
          <w:szCs w:val="21"/>
          <w:highlight w:val="none"/>
          <w14:textFill>
            <w14:solidFill>
              <w14:schemeClr w14:val="tx1"/>
            </w14:solidFill>
          </w14:textFill>
        </w:rPr>
        <w:t xml:space="preserve">交货验收合格后付至合同价（含预付款在内）的</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90</w:t>
      </w:r>
      <w:r>
        <w:rPr>
          <w:rFonts w:hint="eastAsia" w:ascii="宋体" w:hAnsi="宋体" w:eastAsia="宋体" w:cs="宋体"/>
          <w:b/>
          <w:bCs/>
          <w:color w:val="000000" w:themeColor="text1"/>
          <w:sz w:val="21"/>
          <w:szCs w:val="21"/>
          <w:highlight w:val="none"/>
          <w14:textFill>
            <w14:solidFill>
              <w14:schemeClr w14:val="tx1"/>
            </w14:solidFill>
          </w14:textFill>
        </w:rPr>
        <w:t xml:space="preserve">%，交货验收合格满一年后无质量问题一次性付清。(以上付款无息</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p>
      <w:pPr>
        <w:pStyle w:val="820"/>
        <w:ind w:left="480" w:hanging="48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8.2当采购数量与实际使用数量不一致时，乙方应根据实际使用量供货，合同的最终结算金额按实际使用量乘以成交单价进行计算。</w:t>
      </w:r>
      <w:r/>
    </w:p>
    <w:p>
      <w:pPr>
        <w:pStyle w:val="820"/>
        <w:jc w:val="both"/>
        <w:spacing w:before="145" w:beforeAutospacing="0" w:after="145"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九、税费</w:t>
      </w:r>
      <w:r/>
    </w:p>
    <w:p>
      <w:pPr>
        <w:pStyle w:val="820"/>
        <w:jc w:val="both"/>
        <w:spacing w:before="145" w:beforeAutospacing="0" w:after="145"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9.1本合同执行中相关的一切税费均由乙方负担。</w:t>
      </w:r>
      <w:r/>
    </w:p>
    <w:p>
      <w:pPr>
        <w:pStyle w:val="820"/>
        <w:ind w:left="412" w:hanging="412"/>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十、质量保修范围和保修期及售后服务</w:t>
      </w:r>
      <w:r/>
    </w:p>
    <w:p>
      <w:pPr>
        <w:pStyle w:val="820"/>
        <w:ind w:left="410" w:hanging="41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10.1 乙方应按招标文件规定的货物性能、技术要求、质量标准向甲方提供未经使用的全新产品。</w:t>
      </w:r>
      <w:r/>
    </w:p>
    <w:p>
      <w:pPr>
        <w:pStyle w:val="820"/>
        <w:ind w:left="480" w:hanging="48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10.2 乙方提供的货物在质量期内因货物本身的质量问题发生故障，乙方应负责免费更换。对达不到技术要求者，根据实际情况，经双方协商，可按以下办法处理：</w:t>
      </w:r>
      <w:r/>
    </w:p>
    <w:p>
      <w:pPr>
        <w:pStyle w:val="820"/>
        <w:ind w:firstLine="4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⑴更换：由乙方承担所发生的全部费用。</w:t>
      </w:r>
      <w:r/>
    </w:p>
    <w:p>
      <w:pPr>
        <w:pStyle w:val="820"/>
        <w:ind w:left="4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退货处理：乙方应退还甲方支付的合同款，同时应承担该货物的直接费用（运输、保险、检验、货款利息及银行手续费等）。</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10.3 如在使用过程中发生质量问题，乙方在接到甲方通知后在__24__小时内到达甲方现场。</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10.4 在质保期内，乙方应对货物出现的质量及安全问题负责处理解决并承担一切费用。</w:t>
      </w:r>
      <w:r/>
    </w:p>
    <w:p>
      <w:pPr>
        <w:pStyle w:val="820"/>
        <w:ind w:left="480" w:hanging="48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10.5上述的货物免费保修期为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年（自交货验收合格之日起计），因人为因素出现的故障不在免费保修范围内。超过保修期的机器设备，终生维修，维修时只收部件成本费。</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十一、项目验收</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 甲方依法组织履约验收工作。</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如有必要，甲方邀请参加本项目的其他供应商或第三方专业机构及专家参与验收，相关意见将作为验收书的参考资料。</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十二、货物的包装、发运及运输</w:t>
      </w:r>
      <w:r/>
    </w:p>
    <w:p>
      <w:pPr>
        <w:pStyle w:val="820"/>
        <w:ind w:left="480" w:hanging="48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820"/>
        <w:ind w:left="480" w:hanging="48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12.2 使用说明书、质量检验证明书、随配附件和工具以及清单一并附于货物内。</w:t>
      </w:r>
      <w:r/>
    </w:p>
    <w:p>
      <w:pPr>
        <w:pStyle w:val="820"/>
        <w:ind w:left="480" w:hanging="48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12.3 乙方在货物发运手续办理完毕后24小时内或货到甲方48小时前通知甲方，以准备接货。</w:t>
      </w:r>
      <w:r/>
    </w:p>
    <w:p>
      <w:pPr>
        <w:pStyle w:val="820"/>
        <w:ind w:left="480" w:hanging="48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12.4 货物在交付甲方前发生的风险均由乙方负责。</w:t>
      </w:r>
      <w:r/>
    </w:p>
    <w:p>
      <w:pPr>
        <w:pStyle w:val="820"/>
        <w:ind w:left="480" w:right="26" w:hanging="480"/>
        <w:jc w:val="both"/>
        <w:spacing w:before="156" w:beforeAutospacing="0" w:after="156"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12.5 货物在规定的交付期限内由乙方送达甲方指定的地点视为交付，乙方同时需通知甲方货物已送达。</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十三、违约责任</w:t>
      </w:r>
      <w:r/>
    </w:p>
    <w:p>
      <w:pPr>
        <w:pStyle w:val="820"/>
        <w:ind w:left="410" w:hanging="41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themeColor="text1"/>
          <w:sz w:val="21"/>
          <w:szCs w:val="21"/>
          <w:highlight w:val="none"/>
          <w:u w:val="single"/>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的违约金，如造成甲方损失超过违约金的，超出部分由乙方继续承担赔偿责任。 </w:t>
      </w:r>
      <w:r/>
    </w:p>
    <w:p>
      <w:pPr>
        <w:pStyle w:val="820"/>
        <w:ind w:left="410" w:hanging="41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十四、不可抗力事件处理</w:t>
      </w:r>
      <w:r/>
    </w:p>
    <w:p>
      <w:pPr>
        <w:pStyle w:val="820"/>
        <w:ind w:left="480" w:hanging="48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14.1 在合同有效期内，任何一方因不可抗力事件导致不能履行合同，则合同履行期可延长，其延长期与不可抗力影响期相同。</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14.2 不可抗力事件发生后，应立即通知对方，并寄送有关权威机构出具的证明。</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14.3 不可抗力事件延续120天以上，双方应通过友好协商，确定是否继续履行合同。</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十五、解决争议的方法</w:t>
      </w:r>
      <w:r/>
    </w:p>
    <w:p>
      <w:pPr>
        <w:pStyle w:val="820"/>
        <w:ind w:left="480" w:hanging="48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15.1甲乙双方因合同签订、履行而发生的一切争议，应通过友好协商解决。如协商不成由甲方住所地人民法院管辖。</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十六、合同生效及其它</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16.1 合同经双方法定代表人或授权委托代表人签字并加盖单位公章后生效。</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16.2本合同未尽事宜，遵照《民法典》、《政府采购法》有关条文执行。</w:t>
      </w:r>
      <w:r/>
    </w:p>
    <w:p>
      <w:pPr>
        <w:pStyle w:val="820"/>
        <w:ind w:left="480" w:hanging="48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16.3 本合同正本一式两份，具有同等法律效力，甲方、乙方各执一份。</w:t>
      </w:r>
      <w:r/>
    </w:p>
    <w:p>
      <w:pPr>
        <w:pStyle w:val="820"/>
        <w:ind w:left="480" w:hanging="48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甲方：               乙方： </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地址：               地址： </w:t>
      </w:r>
      <w:r/>
    </w:p>
    <w:p>
      <w:pPr>
        <w:pStyle w:val="82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法定代表人或授权代表：       法定代表人或授权代表：</w:t>
      </w:r>
      <w:r/>
    </w:p>
    <w:p>
      <w:pPr>
        <w:pStyle w:val="820"/>
        <w:ind w:firstLine="240"/>
        <w:jc w:val="both"/>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              联系电话：          </w:t>
      </w:r>
      <w:r/>
    </w:p>
    <w:p>
      <w:pPr>
        <w:pStyle w:val="820"/>
        <w:jc w:val="center"/>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820"/>
        <w:jc w:val="center"/>
        <w:spacing w:before="120" w:beforeAutospacing="0" w:after="12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center"/>
        <w:spacing w:before="120" w:beforeAutospacing="0" w:after="120" w:afterAutospacing="0" w:line="36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签订日期：      年    月   日</w:t>
      </w:r>
      <w:bookmarkStart w:id="168" w:name="_Toc479757211"/>
      <w:r/>
      <w:bookmarkStart w:id="169" w:name="_Toc120614244"/>
      <w:r/>
      <w:bookmarkStart w:id="170" w:name="_Hlt16619350"/>
      <w:r/>
      <w:bookmarkStart w:id="171" w:name="_Toc16938590"/>
      <w:r/>
      <w:bookmarkStart w:id="172" w:name="_Toc462564139"/>
      <w:r/>
      <w:bookmarkStart w:id="173" w:name="_Toc20823346"/>
      <w:r/>
      <w:bookmarkStart w:id="174" w:name="_Hlt16619369"/>
      <w:r>
        <w:rPr>
          <w:rFonts w:hint="eastAsia" w:ascii="黑体" w:hAnsi="宋体" w:eastAsia="黑体" w:cs="黑体"/>
          <w:color w:val="000000" w:themeColor="text1"/>
          <w:sz w:val="21"/>
          <w:szCs w:val="21"/>
          <w:highlight w:val="none"/>
          <w14:textFill>
            <w14:solidFill>
              <w14:schemeClr w14:val="tx1"/>
            </w14:solidFill>
          </w14:textFill>
        </w:rPr>
        <w:br w:type="page" w:clear="all"/>
      </w:r>
      <w:r>
        <w:rPr>
          <w:rFonts w:hint="eastAsia" w:ascii="黑体" w:hAnsi="宋体" w:eastAsia="黑体" w:cs="黑体"/>
          <w:color w:val="000000" w:themeColor="text1"/>
          <w:sz w:val="44"/>
          <w:szCs w:val="44"/>
          <w:highlight w:val="none"/>
          <w14:textFill>
            <w14:solidFill>
              <w14:schemeClr w14:val="tx1"/>
            </w14:solidFill>
          </w14:textFill>
        </w:rPr>
        <w:t xml:space="preserve"> 第</w:t>
      </w:r>
      <w:bookmarkEnd w:id="168"/>
      <w:r>
        <w:rPr>
          <w:rFonts w:hint="eastAsia" w:ascii="黑体" w:hAnsi="宋体" w:eastAsia="黑体" w:cs="黑体"/>
          <w:color w:val="000000" w:themeColor="text1"/>
          <w:sz w:val="44"/>
          <w:szCs w:val="44"/>
          <w:highlight w:val="none"/>
          <w14:textFill>
            <w14:solidFill>
              <w14:schemeClr w14:val="tx1"/>
            </w14:solidFill>
          </w14:textFill>
        </w:rPr>
        <w:t xml:space="preserve">四章 采购需求</w:t>
      </w:r>
      <w:bookmarkEnd w:id="169"/>
      <w:r/>
      <w:bookmarkEnd w:id="170"/>
      <w:r/>
      <w:bookmarkEnd w:id="171"/>
      <w:r/>
      <w:bookmarkEnd w:id="172"/>
      <w:r/>
      <w:bookmarkEnd w:id="173"/>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bookmarkStart w:id="175" w:name="_Toc26554093"/>
      <w:r/>
      <w:bookmarkStart w:id="176" w:name="_Toc49090575"/>
      <w:r>
        <w:rPr>
          <w:rFonts w:hint="eastAsia" w:ascii="宋体" w:hAnsi="宋体" w:eastAsia="宋体" w:cs="宋体"/>
          <w:color w:val="000000" w:themeColor="text1"/>
          <w:sz w:val="21"/>
          <w:szCs w:val="21"/>
          <w:highlight w:val="none"/>
          <w14:textFill>
            <w14:solidFill>
              <w14:schemeClr w14:val="tx1"/>
            </w14:solidFill>
          </w14:textFill>
        </w:rPr>
        <w:t xml:space="preserve">项目属性:货物类项目。</w:t>
      </w:r>
      <w:bookmarkEnd w:id="175"/>
      <w:r/>
      <w:bookmarkEnd w:id="176"/>
      <w:r/>
      <w:r/>
    </w:p>
    <w:p>
      <w:pPr>
        <w:ind w:firstLine="562"/>
        <w:spacing w:line="360" w:lineRule="auto"/>
        <w:rPr>
          <w:rFonts w:ascii="宋体" w:hAnsi="宋体" w:eastAsia="宋体" w:cs="宋体"/>
          <w:b/>
          <w:bCs/>
          <w:color w:val="000000" w:themeColor="text1"/>
          <w:szCs w:val="21"/>
          <w:highlight w:val="none"/>
          <w14:textFill>
            <w14:solidFill>
              <w14:schemeClr w14:val="tx1"/>
            </w14:solidFill>
          </w14:textFill>
        </w:rPr>
      </w:pPr>
      <w:r/>
      <w:bookmarkStart w:id="177" w:name="_Toc120614281"/>
      <w:r>
        <w:rPr>
          <w:rFonts w:hint="eastAsia" w:ascii="宋体" w:hAnsi="宋体" w:eastAsia="宋体" w:cs="宋体"/>
          <w:b/>
          <w:bCs/>
          <w:color w:val="000000" w:themeColor="text1"/>
          <w:szCs w:val="21"/>
          <w:highlight w:val="none"/>
          <w14:textFill>
            <w14:solidFill>
              <w14:schemeClr w14:val="tx1"/>
            </w14:solidFill>
          </w14:textFill>
        </w:rPr>
        <w:t xml:space="preserve">一、项目概况</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1.项目编号： JSZC-320923-ZGGC-G2024-0006</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2.项目名称：阜宁县薄弱村农村人居环境运维管护项目-</w:t>
      </w:r>
      <w:r>
        <w:rPr>
          <w:rFonts w:hint="eastAsia" w:ascii="宋体" w:hAnsi="宋体" w:eastAsia="宋体" w:cs="宋体"/>
          <w:color w:val="000000" w:themeColor="text1"/>
          <w:szCs w:val="21"/>
          <w:highlight w:val="none"/>
          <w:lang w:eastAsia="zh-CN"/>
          <w14:textFill>
            <w14:solidFill>
              <w14:schemeClr w14:val="tx1"/>
            </w14:solidFill>
          </w14:textFill>
        </w:rPr>
        <w:t xml:space="preserve">板湖镇等10个镇区垃圾桶及分类亭采购项目</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3.预算金额：</w:t>
      </w:r>
      <w:r>
        <w:rPr>
          <w:rFonts w:hint="eastAsia" w:ascii="宋体" w:hAnsi="宋体" w:eastAsia="宋体" w:cs="宋体"/>
          <w:color w:val="000000" w:themeColor="text1"/>
          <w:szCs w:val="21"/>
          <w:highlight w:val="none"/>
          <w:lang w:eastAsia="zh-CN"/>
          <w14:textFill>
            <w14:solidFill>
              <w14:schemeClr w14:val="tx1"/>
            </w14:solidFill>
          </w14:textFill>
        </w:rPr>
        <w:t xml:space="preserve">535万元</w:t>
      </w:r>
      <w:r>
        <w:rPr>
          <w:rFonts w:hint="eastAsia" w:ascii="宋体" w:hAnsi="宋体" w:eastAsia="宋体" w:cs="宋体"/>
          <w:color w:val="000000" w:themeColor="text1"/>
          <w:szCs w:val="21"/>
          <w:highlight w:val="none"/>
          <w14:textFill>
            <w14:solidFill>
              <w14:schemeClr w14:val="tx1"/>
            </w14:solidFill>
          </w14:textFill>
        </w:rPr>
        <w:t xml:space="preserve">  </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4.最高限价（如有）：</w:t>
      </w:r>
      <w:r>
        <w:rPr>
          <w:rFonts w:hint="eastAsia" w:ascii="宋体" w:hAnsi="宋体" w:eastAsia="宋体" w:cs="宋体"/>
          <w:color w:val="000000" w:themeColor="text1"/>
          <w:szCs w:val="21"/>
          <w:highlight w:val="none"/>
          <w:lang w:eastAsia="zh-CN"/>
          <w14:textFill>
            <w14:solidFill>
              <w14:schemeClr w14:val="tx1"/>
            </w14:solidFill>
          </w14:textFill>
        </w:rPr>
        <w:t xml:space="preserve">535万元</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5.采购需求：阜宁县薄弱村农村人居环境运维管护项目-</w:t>
      </w:r>
      <w:r>
        <w:rPr>
          <w:rFonts w:hint="eastAsia" w:ascii="宋体" w:hAnsi="宋体" w:eastAsia="宋体" w:cs="宋体"/>
          <w:color w:val="000000" w:themeColor="text1"/>
          <w:szCs w:val="21"/>
          <w:highlight w:val="none"/>
          <w:lang w:eastAsia="zh-CN"/>
          <w14:textFill>
            <w14:solidFill>
              <w14:schemeClr w14:val="tx1"/>
            </w14:solidFill>
          </w14:textFill>
        </w:rPr>
        <w:t xml:space="preserve">板湖镇等10个镇区垃圾桶及分类亭采购项目</w:t>
      </w:r>
      <w:r>
        <w:rPr>
          <w:rFonts w:hint="eastAsia" w:ascii="宋体" w:hAnsi="宋体" w:eastAsia="宋体" w:cs="宋体"/>
          <w:color w:val="000000" w:themeColor="text1"/>
          <w:szCs w:val="21"/>
          <w:highlight w:val="none"/>
          <w14:textFill>
            <w14:solidFill>
              <w14:schemeClr w14:val="tx1"/>
            </w14:solidFill>
          </w14:textFill>
        </w:rPr>
        <w:t xml:space="preserve">，主要包含</w:t>
      </w:r>
      <w:r>
        <w:rPr>
          <w:rFonts w:hint="eastAsia" w:ascii="宋体" w:hAnsi="宋体" w:eastAsia="宋体" w:cs="宋体"/>
          <w:color w:val="000000" w:themeColor="text1"/>
          <w:szCs w:val="21"/>
          <w:highlight w:val="none"/>
          <w:lang w:eastAsia="zh-CN"/>
          <w14:textFill>
            <w14:solidFill>
              <w14:schemeClr w14:val="tx1"/>
            </w14:solidFill>
          </w14:textFill>
        </w:rPr>
        <w:t xml:space="preserve">塑料240L垃圾桶、垃圾分类亭</w:t>
      </w:r>
      <w:r>
        <w:rPr>
          <w:rFonts w:hint="eastAsia" w:ascii="宋体" w:hAnsi="宋体" w:eastAsia="宋体" w:cs="宋体"/>
          <w:color w:val="000000" w:themeColor="text1"/>
          <w:szCs w:val="21"/>
          <w:highlight w:val="none"/>
          <w14:textFill>
            <w14:solidFill>
              <w14:schemeClr w14:val="tx1"/>
            </w14:solidFill>
          </w14:textFill>
        </w:rPr>
        <w:t xml:space="preserve">，资金来源已落实。</w:t>
      </w:r>
      <w:r/>
    </w:p>
    <w:p>
      <w:pPr>
        <w:ind w:firstLine="47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6.合同履行期限：</w:t>
      </w:r>
      <w:r>
        <w:rPr>
          <w:rFonts w:hint="eastAsia" w:ascii="宋体" w:hAnsi="宋体" w:eastAsia="宋体" w:cs="宋体"/>
          <w:color w:val="000000" w:themeColor="text1"/>
          <w:sz w:val="21"/>
          <w:szCs w:val="21"/>
          <w:highlight w:val="none"/>
          <w14:textFill>
            <w14:solidFill>
              <w14:schemeClr w14:val="tx1"/>
            </w14:solidFill>
          </w14:textFill>
        </w:rPr>
        <w:t xml:space="preserve">合同签订后30日历天内供货、安装、调试完成并交付采购人正常使用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7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7.质量要求：符合相关国家标准、行业标准及招标文件的要求。</w:t>
      </w:r>
      <w:r/>
    </w:p>
    <w:p>
      <w:pPr>
        <w:ind w:firstLine="47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8.本项目不接受联合体投标。</w:t>
      </w:r>
      <w:r/>
    </w:p>
    <w:p>
      <w:pPr>
        <w:ind w:firstLine="470"/>
        <w:spacing w:line="360" w:lineRule="auto"/>
        <w:rPr>
          <w:rFonts w:hint="default"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9.本项目所属行业为工业。</w:t>
      </w:r>
      <w:r/>
    </w:p>
    <w:p>
      <w:pPr>
        <w:ind w:firstLine="562"/>
        <w:spacing w:line="360" w:lineRule="auto"/>
        <w:rPr>
          <w:rFonts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二、技术参数</w:t>
      </w:r>
      <w:r/>
    </w:p>
    <w:tbl>
      <w:tblPr>
        <w:tblStyle w:val="816"/>
        <w:tblW w:w="10363" w:type="dxa"/>
        <w:tblInd w:w="-201" w:type="dxa"/>
        <w:tblLayout w:type="autofit"/>
        <w:tblCellMar>
          <w:left w:w="108" w:type="dxa"/>
          <w:top w:w="0" w:type="dxa"/>
          <w:right w:w="108" w:type="dxa"/>
          <w:bottom w:w="0" w:type="dxa"/>
        </w:tblCellMar>
        <w:tblLook w:val="04A0" w:firstRow="1" w:lastRow="0" w:firstColumn="1" w:lastColumn="0" w:noHBand="0" w:noVBand="1"/>
      </w:tblPr>
      <w:tblGrid>
        <w:gridCol w:w="782"/>
        <w:gridCol w:w="1266"/>
        <w:gridCol w:w="3426"/>
        <w:gridCol w:w="4889"/>
      </w:tblGrid>
      <w:tr>
        <w:trPr>
          <w:trHeight w:val="636"/>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装备名称</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4889"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技术参数</w:t>
            </w:r>
            <w:r/>
          </w:p>
        </w:tc>
      </w:tr>
      <w:tr>
        <w:trPr>
          <w:trHeight w:val="195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塑料</w:t>
            </w:r>
            <w:r>
              <w:rPr>
                <w:rFonts w:hint="eastAsia" w:ascii="宋体" w:hAnsi="宋体" w:eastAsia="宋体" w:cs="宋体"/>
                <w:color w:val="000000" w:themeColor="text1"/>
                <w:szCs w:val="21"/>
                <w:highlight w:val="none"/>
                <w:lang w:eastAsia="zh-CN"/>
                <w14:textFill>
                  <w14:solidFill>
                    <w14:schemeClr w14:val="tx1"/>
                  </w14:solidFill>
                </w14:textFill>
              </w:rPr>
              <w:t xml:space="preserve">240L垃圾桶</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(240升/只)</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184785</wp:posOffset>
                      </wp:positionH>
                      <wp:positionV relativeFrom="paragraph">
                        <wp:posOffset>125730</wp:posOffset>
                      </wp:positionV>
                      <wp:extent cx="1792605" cy="1015365"/>
                      <wp:effectExtent l="0" t="0" r="10795" b="635"/>
                      <wp:wrapNone/>
                      <wp:docPr id="1" name="图片_13"/>
                      <wp:cNvGraphicFramePr/>
                      <a:graphic xmlns:a="http://schemas.openxmlformats.org/drawingml/2006/main">
                        <a:graphicData uri="http://schemas.openxmlformats.org/drawingml/2006/picture">
                          <pic:pic xmlns:pic="http://schemas.openxmlformats.org/drawingml/2006/picture">
                            <pic:nvPicPr>
                              <pic:cNvPr id="2" name="图片_13"/>
                              <pic:cNvPicPr/>
                              <pic:nvPr/>
                            </pic:nvPicPr>
                            <pic:blipFill>
                              <a:blip r:embed="rId9"/>
                              <a:stretch/>
                            </pic:blipFill>
                            <pic:spPr bwMode="auto">
                              <a:xfrm>
                                <a:off x="0" y="0"/>
                                <a:ext cx="1792605" cy="1015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4.5pt;mso-position-horizontal:absolute;mso-position-vertical-relative:text;margin-top:9.9pt;mso-position-vertical:absolute;width:141.2pt;height:80.0pt;mso-wrap-distance-left:9.0pt;mso-wrap-distance-top:0.0pt;mso-wrap-distance-right:9.0pt;mso-wrap-distance-bottom:0.0pt;" stroked="f">
                      <v:path textboxrect="0,0,0,0"/>
                      <v:imagedata r:id="rId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889" w:type="dxa"/>
            <w:vAlign w:val="center"/>
            <w:textDirection w:val="lrTb"/>
            <w:noWrap w:val="false"/>
          </w:tcPr>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240L垃圾桶</w:t>
            </w:r>
            <w:r>
              <w:rPr>
                <w:rFonts w:hint="eastAsia"/>
                <w:color w:val="000000" w:themeColor="text1"/>
                <w:highlight w:val="none"/>
                <w14:textFill>
                  <w14:solidFill>
                    <w14:schemeClr w14:val="tx1"/>
                  </w14:solidFill>
                </w14:textFill>
              </w:rPr>
              <w:t xml:space="preserve">有效容积240升；</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2、产品使用材料：</w:t>
            </w:r>
            <w:r>
              <w:rPr>
                <w:rFonts w:hint="eastAsia"/>
                <w:color w:val="000000" w:themeColor="text1"/>
                <w:highlight w:val="none"/>
                <w:lang w:val="en-US" w:eastAsia="zh-CN"/>
                <w14:textFill>
                  <w14:solidFill>
                    <w14:schemeClr w14:val="tx1"/>
                  </w14:solidFill>
                </w14:textFill>
              </w:rPr>
              <w:t xml:space="preserve">100%高密度聚乙烯HDPE</w:t>
            </w:r>
            <w:r>
              <w:rPr>
                <w:rFonts w:hint="eastAsia"/>
                <w:color w:val="000000" w:themeColor="text1"/>
                <w:highlight w:val="none"/>
                <w14:textFill>
                  <w14:solidFill>
                    <w14:schemeClr w14:val="tx1"/>
                  </w14:solidFill>
                </w14:textFill>
              </w:rPr>
              <w:t xml:space="preserve">一次性注模成型，外表光滑，容易清洗，</w:t>
            </w:r>
            <w:r>
              <w:rPr>
                <w:rFonts w:hint="eastAsia"/>
                <w:color w:val="000000" w:themeColor="text1"/>
                <w:highlight w:val="none"/>
                <w:lang w:val="en-US" w:eastAsia="zh-CN"/>
                <w14:textFill>
                  <w14:solidFill>
                    <w14:schemeClr w14:val="tx1"/>
                  </w14:solidFill>
                </w14:textFill>
              </w:rPr>
              <w:t xml:space="preserve">添加高质量增强抗紫外线剂颜色色素达5%，</w:t>
            </w:r>
            <w:r>
              <w:rPr>
                <w:rFonts w:hint="eastAsia"/>
                <w:color w:val="000000" w:themeColor="text1"/>
                <w:highlight w:val="none"/>
                <w14:textFill>
                  <w14:solidFill>
                    <w14:schemeClr w14:val="tx1"/>
                  </w14:solidFill>
                </w14:textFill>
              </w:rPr>
              <w:t xml:space="preserve">确保两年不褪色。</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3、桶体（含盖）外形尺寸要求：</w:t>
            </w:r>
            <w:r>
              <w:rPr>
                <w:rFonts w:hint="eastAsia"/>
                <w:color w:val="000000" w:themeColor="text1"/>
                <w:highlight w:val="none"/>
                <w:lang w:val="en-US" w:eastAsia="zh-CN"/>
                <w14:textFill>
                  <w14:solidFill>
                    <w14:schemeClr w14:val="tx1"/>
                  </w14:solidFill>
                </w14:textFill>
              </w:rPr>
              <w:t xml:space="preserve">240L垃圾桶长度720mm</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10</w:t>
            </w:r>
            <w:r>
              <w:rPr>
                <w:rFonts w:hint="eastAsia"/>
                <w:color w:val="000000" w:themeColor="text1"/>
                <w:highlight w:val="none"/>
                <w14:textFill>
                  <w14:solidFill>
                    <w14:schemeClr w14:val="tx1"/>
                  </w14:solidFill>
                </w14:textFill>
              </w:rPr>
              <w:t xml:space="preserve">mm</w:t>
            </w:r>
            <w:r>
              <w:rPr>
                <w:rFonts w:hint="eastAsia"/>
                <w:color w:val="000000" w:themeColor="text1"/>
                <w:highlight w:val="none"/>
                <w:lang w:eastAsia="zh-CN"/>
                <w14:textFill>
                  <w14:solidFill>
                    <w14:schemeClr w14:val="tx1"/>
                  </w14:solidFill>
                </w14:textFill>
              </w:rPr>
              <w:t xml:space="preserve">，240L垃圾桶</w:t>
            </w:r>
            <w:r>
              <w:rPr>
                <w:rFonts w:hint="eastAsia"/>
                <w:color w:val="000000" w:themeColor="text1"/>
                <w:highlight w:val="none"/>
                <w14:textFill>
                  <w14:solidFill>
                    <w14:schemeClr w14:val="tx1"/>
                  </w14:solidFill>
                </w14:textFill>
              </w:rPr>
              <w:t xml:space="preserve">宽度580mm±</w:t>
            </w:r>
            <w:r>
              <w:rPr>
                <w:rFonts w:hint="eastAsia"/>
                <w:color w:val="000000" w:themeColor="text1"/>
                <w:highlight w:val="none"/>
                <w:lang w:val="en-US" w:eastAsia="zh-CN"/>
                <w14:textFill>
                  <w14:solidFill>
                    <w14:schemeClr w14:val="tx1"/>
                  </w14:solidFill>
                </w14:textFill>
              </w:rPr>
              <w:t xml:space="preserve">10</w:t>
            </w:r>
            <w:r>
              <w:rPr>
                <w:rFonts w:hint="eastAsia"/>
                <w:color w:val="000000" w:themeColor="text1"/>
                <w:highlight w:val="none"/>
                <w14:textFill>
                  <w14:solidFill>
                    <w14:schemeClr w14:val="tx1"/>
                  </w14:solidFill>
                </w14:textFill>
              </w:rPr>
              <w:t xml:space="preserve">mm，</w:t>
            </w:r>
            <w:r>
              <w:rPr>
                <w:rFonts w:hint="eastAsia"/>
                <w:color w:val="000000" w:themeColor="text1"/>
                <w:highlight w:val="none"/>
                <w:lang w:eastAsia="zh-CN"/>
                <w14:textFill>
                  <w14:solidFill>
                    <w14:schemeClr w14:val="tx1"/>
                  </w14:solidFill>
                </w14:textFill>
              </w:rPr>
              <w:t xml:space="preserve">240L垃圾桶</w:t>
            </w:r>
            <w:r>
              <w:rPr>
                <w:rFonts w:hint="eastAsia"/>
                <w:color w:val="000000" w:themeColor="text1"/>
                <w:highlight w:val="none"/>
                <w14:textFill>
                  <w14:solidFill>
                    <w14:schemeClr w14:val="tx1"/>
                  </w14:solidFill>
                </w14:textFill>
              </w:rPr>
              <w:t xml:space="preserve">含盖高度1090mm±</w:t>
            </w:r>
            <w:r>
              <w:rPr>
                <w:rFonts w:hint="eastAsia"/>
                <w:color w:val="000000" w:themeColor="text1"/>
                <w:highlight w:val="none"/>
                <w:lang w:val="en-US" w:eastAsia="zh-CN"/>
                <w14:textFill>
                  <w14:solidFill>
                    <w14:schemeClr w14:val="tx1"/>
                  </w14:solidFill>
                </w14:textFill>
              </w:rPr>
              <w:t xml:space="preserve">10</w:t>
            </w:r>
            <w:r>
              <w:rPr>
                <w:rFonts w:hint="eastAsia"/>
                <w:color w:val="000000" w:themeColor="text1"/>
                <w:highlight w:val="none"/>
                <w14:textFill>
                  <w14:solidFill>
                    <w14:schemeClr w14:val="tx1"/>
                  </w14:solidFill>
                </w14:textFill>
              </w:rPr>
              <w:t xml:space="preserve">mm，滚轮轮面宽度≥50mm。</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4、桶体质量要求：桶身净重（不含桶盖、滚轮、轮轴、插销等）≥11kg、桶盖净重（不含插销等）≥1.5kg（为方便称重，桶身、轮轴、滚轮应分开提交），总重：16.5kg±3%。</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5、高温65℃、低温-45℃的气温下，不变形，不开裂；</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6、外观：</w:t>
            </w:r>
            <w:r>
              <w:rPr>
                <w:rFonts w:hint="eastAsia"/>
                <w:color w:val="000000" w:themeColor="text1"/>
                <w:highlight w:val="none"/>
                <w:lang w:eastAsia="zh-CN"/>
                <w14:textFill>
                  <w14:solidFill>
                    <w14:schemeClr w14:val="tx1"/>
                  </w14:solidFill>
                </w14:textFill>
              </w:rPr>
              <w:t xml:space="preserve">240L垃圾桶</w:t>
            </w:r>
            <w:r>
              <w:rPr>
                <w:rFonts w:hint="eastAsia"/>
                <w:color w:val="000000" w:themeColor="text1"/>
                <w:highlight w:val="none"/>
                <w14:textFill>
                  <w14:solidFill>
                    <w14:schemeClr w14:val="tx1"/>
                  </w14:solidFill>
                </w14:textFill>
              </w:rPr>
              <w:t xml:space="preserve">表面光滑平整，有光泽度、无波纹、划痕、黑点、杂志、气泡和裂纹；同一批次的塑料</w:t>
            </w:r>
            <w:r>
              <w:rPr>
                <w:rFonts w:hint="eastAsia"/>
                <w:color w:val="000000" w:themeColor="text1"/>
                <w:highlight w:val="none"/>
                <w:lang w:eastAsia="zh-CN"/>
                <w14:textFill>
                  <w14:solidFill>
                    <w14:schemeClr w14:val="tx1"/>
                  </w14:solidFill>
                </w14:textFill>
              </w:rPr>
              <w:t xml:space="preserve">240L垃圾桶</w:t>
            </w:r>
            <w:r>
              <w:rPr>
                <w:rFonts w:hint="eastAsia"/>
                <w:color w:val="000000" w:themeColor="text1"/>
                <w:highlight w:val="none"/>
                <w14:textFill>
                  <w14:solidFill>
                    <w14:schemeClr w14:val="tx1"/>
                  </w14:solidFill>
                </w14:textFill>
              </w:rPr>
              <w:t xml:space="preserve">的桶盖和桶身色泽均匀，且闭合部位无明显变形。</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7、桶体厚度要求：桶盖≥</w:t>
            </w:r>
            <w:r>
              <w:rPr>
                <w:rFonts w:hint="eastAsia"/>
                <w:color w:val="000000" w:themeColor="text1"/>
                <w:highlight w:val="none"/>
                <w:lang w:val="en-US" w:eastAsia="zh-CN"/>
                <w14:textFill>
                  <w14:solidFill>
                    <w14:schemeClr w14:val="tx1"/>
                  </w14:solidFill>
                </w14:textFill>
              </w:rPr>
              <w:t xml:space="preserve">4.0</w:t>
            </w:r>
            <w:r>
              <w:rPr>
                <w:rFonts w:hint="eastAsia"/>
                <w:color w:val="000000" w:themeColor="text1"/>
                <w:highlight w:val="none"/>
                <w14:textFill>
                  <w14:solidFill>
                    <w14:schemeClr w14:val="tx1"/>
                  </w14:solidFill>
                </w14:textFill>
              </w:rPr>
              <w:t xml:space="preserve">mm；桶底≥5.5mm；桶身≥5.5mm；裙边≥6.5mm。</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8、桶身正面大加强筋≥3根；</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9、桶盖与桶身采用三条耳朵连接，中间耳朵宽度≥45mm，二边耳朵宽度≥18mm，手柄采用二段连接，并设有防滑颗粒；</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10、桶身与桶盖采用四条加强筋连接；</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11、桶盖采用单拉手开盖方式，方便开启，拉手凹槽宽度≥130mm，凹槽深度≥50mm；</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12、桶身四周设有加强筋，以进一步提高桶身的装载强度，其中桶身前后加强筋宽度≥235mm，深度≥3mm；</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w:t>
            </w:r>
            <w:r>
              <w:rPr>
                <w:rFonts w:hint="eastAsia"/>
                <w:color w:val="000000" w:themeColor="text1"/>
                <w:highlight w:val="none"/>
                <w:lang w:eastAsia="zh-CN"/>
                <w14:textFill>
                  <w14:solidFill>
                    <w14:schemeClr w14:val="tx1"/>
                  </w14:solidFill>
                </w14:textFill>
              </w:rPr>
              <w:t xml:space="preserve">240L垃圾桶</w:t>
            </w:r>
            <w:r>
              <w:rPr>
                <w:rFonts w:hint="eastAsia"/>
                <w:color w:val="000000" w:themeColor="text1"/>
                <w:highlight w:val="none"/>
                <w14:textFill>
                  <w14:solidFill>
                    <w14:schemeClr w14:val="tx1"/>
                  </w14:solidFill>
                </w14:textFill>
              </w:rPr>
              <w:t xml:space="preserve">桶身或底部需有 一次性注塑成型 的生产企业名称、电话（要求必须为一体化模具钢印，激光打印或后期钢印处理字体不予认可），桶底正面底部在注塑生产过程中嵌钢质耐磨钉≥25个；</w:t>
            </w:r>
            <w:r>
              <w:rPr>
                <w:rFonts w:hint="eastAsia"/>
                <w:color w:val="000000" w:themeColor="text1"/>
                <w:highlight w:val="none"/>
                <w:lang w:eastAsia="zh-CN"/>
                <w14:textFill>
                  <w14:solidFill>
                    <w14:schemeClr w14:val="tx1"/>
                  </w14:solidFill>
                </w14:textFill>
              </w:rPr>
              <w:t xml:space="preserve">240L垃圾桶</w:t>
            </w:r>
            <w:r>
              <w:rPr>
                <w:rFonts w:hint="eastAsia"/>
                <w:color w:val="000000" w:themeColor="text1"/>
                <w:highlight w:val="none"/>
                <w14:textFill>
                  <w14:solidFill>
                    <w14:schemeClr w14:val="tx1"/>
                  </w14:solidFill>
                </w14:textFill>
              </w:rPr>
              <w:t xml:space="preserve">裙边内部设有网状加强筋，可确保塑料桶和翻桶架（后压车配套装置）在衔接作业时的紧密结合；</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14、实心轮轴：采用低碳钢经磷化处理增加光洁度，坚固耐用；经过电镀彩锌12μ厚度的处理工艺，有抗氧化防锈功能，；</w:t>
            </w:r>
            <w:r/>
          </w:p>
          <w:p>
            <w:pPr>
              <w:jc w:val="lef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15、滚轮：橡胶材质外轮、共聚PP材质内轮的实心轮，胎面厚度≥50mm，承载力≥ 250kg；橡胶轮与底轴连接方式，采用专利卡簧技术固定，不会被盗卸。</w:t>
            </w:r>
            <w:r/>
          </w:p>
          <w:p>
            <w:pPr>
              <w:jc w:val="left"/>
              <w:keepLines w:val="0"/>
              <w:keepNext w:val="0"/>
              <w:pageBreakBefore w:val="0"/>
              <w:spacing w:beforeAutospacing="0" w:afterAutospacing="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16、耐腐蚀，并有足够的机械强度和良好的冲击韧性；</w:t>
            </w:r>
            <w:r/>
          </w:p>
          <w:p>
            <w:pPr>
              <w:jc w:val="left"/>
              <w:keepLines w:val="0"/>
              <w:keepNext w:val="0"/>
              <w:pageBreakBefore w:val="0"/>
              <w:spacing w:beforeAutospacing="0" w:afterAutospacing="0"/>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17、能与采购单位现有的环卫车辆翻转机构匹配；</w:t>
            </w:r>
            <w:r/>
          </w:p>
          <w:p>
            <w:pPr>
              <w:pStyle w:val="813"/>
              <w:keepLines w:val="0"/>
              <w:keepNext w:val="0"/>
              <w:pageBreakBefore w:val="0"/>
              <w:spacing w:beforeAutospacing="0" w:afterAutospacing="0"/>
              <w:rPr>
                <w:rFonts w:hint="default" w:asciiTheme="minorHAnsi" w:hAnsiTheme="minorHAnsi" w:eastAsiaTheme="minorEastAsia" w:cstheme="minorBidi"/>
                <w:b w:val="0"/>
                <w:bCs w:val="0"/>
                <w:color w:val="000000" w:themeColor="text1"/>
                <w:sz w:val="21"/>
                <w:szCs w:val="24"/>
                <w:highlight w:val="none"/>
                <w:lang w:val="en-US" w:eastAsia="zh-CN" w:bidi="ar-SA"/>
                <w14:textFill>
                  <w14:solidFill>
                    <w14:schemeClr w14:val="tx1"/>
                  </w14:solidFill>
                </w14:textFill>
              </w:rPr>
            </w:pPr>
            <w:r>
              <w:rPr>
                <w:rFonts w:hint="eastAsia" w:asciiTheme="minorHAnsi" w:hAnsiTheme="minorHAnsi" w:eastAsiaTheme="minorEastAsia" w:cstheme="minorBidi"/>
                <w:b w:val="0"/>
                <w:bCs w:val="0"/>
                <w:color w:val="000000" w:themeColor="text1"/>
                <w:sz w:val="21"/>
                <w:szCs w:val="24"/>
                <w:highlight w:val="none"/>
                <w:lang w:val="en-US" w:eastAsia="zh-CN" w:bidi="ar-SA"/>
                <w14:textFill>
                  <w14:solidFill>
                    <w14:schemeClr w14:val="tx1"/>
                  </w14:solidFill>
                </w14:textFill>
              </w:rPr>
              <w:t xml:space="preserve">18、可根据客户要求在桶盖桶身印刷文字或者案，冲墨印刷或者热转印工艺印制。</w:t>
            </w:r>
            <w:r/>
          </w:p>
          <w:p>
            <w:pPr>
              <w:pStyle w:val="813"/>
              <w:keepLines w:val="0"/>
              <w:keepNext w:val="0"/>
              <w:pageBreakBefore w:val="0"/>
              <w:spacing w:beforeAutospacing="0" w:afterAutospacing="0"/>
              <w:widowControl w:val="off"/>
              <w:rPr>
                <w:rFonts w:hint="default"/>
                <w:color w:val="000000" w:themeColor="text1"/>
                <w:highlight w:val="none"/>
                <w:lang w:val="en-US" w:eastAsia="zh-CN"/>
                <w14:textFill>
                  <w14:solidFill>
                    <w14:schemeClr w14:val="tx1"/>
                  </w14:solidFill>
                </w14:textFill>
              </w:rPr>
            </w:pPr>
            <w:r>
              <w:rPr>
                <w:rFonts w:hint="eastAsia" w:asciiTheme="minorHAnsi" w:hAnsiTheme="minorHAnsi" w:eastAsiaTheme="minorEastAsia" w:cstheme="minorBidi"/>
                <w:b w:val="0"/>
                <w:bCs w:val="0"/>
                <w:color w:val="000000" w:themeColor="text1"/>
                <w:sz w:val="21"/>
                <w:szCs w:val="24"/>
                <w:highlight w:val="none"/>
                <w:lang w:val="en-US" w:eastAsia="zh-CN" w:bidi="ar-SA"/>
                <w14:textFill>
                  <w14:solidFill>
                    <w14:schemeClr w14:val="tx1"/>
                  </w14:solidFill>
                </w14:textFill>
              </w:rPr>
              <w:t xml:space="preserve">19、垃圾桶质量须符合CJ/T280-2000行业标准；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四类垃圾分类亭</w:t>
            </w:r>
            <w:r/>
          </w:p>
        </w:tc>
        <w:tc>
          <w:tcPr>
            <w:shd w:val="clear" w:color="auto" w:fill="auto"/>
            <w:tcBorders>
              <w:top w:val="single" w:color="000000" w:sz="4" w:space="0"/>
              <w:left w:val="single" w:color="000000" w:sz="4" w:space="0"/>
              <w:bottom w:val="single" w:color="000000" w:sz="4" w:space="0"/>
              <w:right w:val="single" w:color="000000" w:sz="4" w:space="0"/>
            </w:tcBorders>
            <w:tcW w:w="3426" w:type="dxa"/>
            <w:vAlign w:val="center"/>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63500</wp:posOffset>
                      </wp:positionH>
                      <wp:positionV relativeFrom="paragraph">
                        <wp:posOffset>237490</wp:posOffset>
                      </wp:positionV>
                      <wp:extent cx="1868805" cy="1265555"/>
                      <wp:effectExtent l="0" t="0" r="10795" b="4445"/>
                      <wp:wrapNone/>
                      <wp:docPr id="2" name="图片_1"/>
                      <wp:cNvGraphicFramePr/>
                      <a:graphic xmlns:a="http://schemas.openxmlformats.org/drawingml/2006/main">
                        <a:graphicData uri="http://schemas.openxmlformats.org/drawingml/2006/picture">
                          <pic:pic xmlns:pic="http://schemas.openxmlformats.org/drawingml/2006/picture">
                            <pic:nvPicPr>
                              <pic:cNvPr id="3" name="图片_1"/>
                              <pic:cNvPicPr/>
                              <pic:nvPr/>
                            </pic:nvPicPr>
                            <pic:blipFill>
                              <a:blip r:embed="rId10"/>
                              <a:stretch/>
                            </pic:blipFill>
                            <pic:spPr bwMode="auto">
                              <a:xfrm>
                                <a:off x="0" y="0"/>
                                <a:ext cx="1868805" cy="1265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5.0pt;mso-position-horizontal:absolute;mso-position-vertical-relative:text;margin-top:18.7pt;mso-position-vertical:absolute;width:147.2pt;height:99.6pt;mso-wrap-distance-left:9.0pt;mso-wrap-distance-top:0.0pt;mso-wrap-distance-right:9.0pt;mso-wrap-distance-bottom:0.0pt;" stroked="f">
                      <v:path textboxrect="0,0,0,0"/>
                      <v:imagedata r:id="rId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4889" w:type="dxa"/>
            <w:vAlign w:val="center"/>
            <w:textDirection w:val="lrTb"/>
            <w:noWrap w:val="false"/>
          </w:tcPr>
          <w:p>
            <w:pPr>
              <w:jc w:val="left"/>
              <w:widowControl/>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总宽5200毫米*总高2750毫米(内径尺寸:宽4100毫米* 2700毫米)，后框架板面尺寸: 宽800毫米* 高900毫米*4块(分为四块板面)，左侧、右侧板面尺寸:高1200毫米*宽800毫米(左侧、右侧同尺寸)，顶雨棚尺寸：左、右、前(各凸出400毫米)、后(凸出100毫米)。</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材料:主框架采用200毫米*200毫米的镀锌铁皮</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厚度≥4毫米</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折边焊接成型，副框分别采用100毫米、600毫米、40毫米镀锌方管</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厚度≥3.5毫米</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，防雨棚采用方管</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厚度≥2毫米</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焊接做杠，镀锌铁皮</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厚度≥1.5毫米</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封面（前面高于后面50毫米）</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3、工艺：主体采用焊接成型，雕花造型为平面板激光切割、折边、焊接。整体组装用激光定位开孔、加强螺丝与螺杆锚固，宣传亭外表采用静电喷塑工艺。</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4、宣传画面：户外写真张贴</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5、垃圾分类宣传亭安装：四根立柱用10号膨胀螺丝锚固于混凝土地表。</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6.含混凝土基础浇筑</w:t>
            </w:r>
            <w:r/>
          </w:p>
        </w:tc>
      </w:tr>
    </w:tbl>
    <w:p>
      <w:pPr>
        <w:numPr>
          <w:ilvl w:val="0"/>
          <w:numId w:val="1"/>
        </w:numPr>
        <w:ind w:firstLine="562"/>
        <w:spacing w:line="360" w:lineRule="auto"/>
        <w:rPr>
          <w:rFonts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项目需求</w:t>
      </w:r>
      <w:r/>
    </w:p>
    <w:p>
      <w:pPr>
        <w:spacing w:line="360" w:lineRule="auto"/>
        <w:rPr>
          <w:rFonts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板湖镇</w:t>
      </w:r>
      <w:r/>
    </w:p>
    <w:tbl>
      <w:tblPr>
        <w:tblStyle w:val="816"/>
        <w:tblW w:w="9758" w:type="dxa"/>
        <w:tblInd w:w="-90" w:type="dxa"/>
        <w:tblLayout w:type="fixed"/>
        <w:tblCellMar>
          <w:left w:w="108" w:type="dxa"/>
          <w:top w:w="0" w:type="dxa"/>
          <w:right w:w="108" w:type="dxa"/>
          <w:bottom w:w="0" w:type="dxa"/>
        </w:tblCellMar>
        <w:tblLook w:val="04A0" w:firstRow="1" w:lastRow="0" w:firstColumn="1" w:lastColumn="0" w:noHBand="0" w:noVBand="1"/>
      </w:tblPr>
      <w:tblGrid>
        <w:gridCol w:w="544"/>
        <w:gridCol w:w="1742"/>
        <w:gridCol w:w="1315"/>
        <w:gridCol w:w="1014"/>
        <w:gridCol w:w="5143"/>
      </w:tblGrid>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装备名称</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购置数量</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143"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村居名称</w:t>
            </w:r>
            <w:r/>
          </w:p>
        </w:tc>
      </w:tr>
      <w:tr>
        <w:trPr>
          <w:trHeight w:val="1692"/>
        </w:trPr>
        <w:tc>
          <w:tcPr>
            <w:shd w:val="clear" w:color="auto" w:fill="auto"/>
            <w:tcBorders>
              <w:top w:val="single" w:color="000000" w:sz="4" w:space="0"/>
              <w:left w:val="single" w:color="000000" w:sz="4" w:space="0"/>
              <w:bottom w:val="none" w:color="000000" w:sz="4" w:space="0"/>
              <w:right w:val="single" w:color="000000" w:sz="4" w:space="0"/>
            </w:tcBorders>
            <w:tcW w:w="544"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742"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塑料</w:t>
            </w:r>
            <w:r>
              <w:rPr>
                <w:rFonts w:hint="eastAsia" w:ascii="宋体" w:hAnsi="宋体" w:eastAsia="宋体" w:cs="宋体"/>
                <w:color w:val="000000" w:themeColor="text1"/>
                <w:szCs w:val="21"/>
                <w:highlight w:val="none"/>
                <w:lang w:eastAsia="zh-CN"/>
                <w14:textFill>
                  <w14:solidFill>
                    <w14:schemeClr w14:val="tx1"/>
                  </w14:solidFill>
                </w14:textFill>
              </w:rPr>
              <w:t xml:space="preserve">240L垃圾桶</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(240升/只)</w:t>
            </w:r>
            <w:r/>
          </w:p>
        </w:tc>
        <w:tc>
          <w:tcPr>
            <w:shd w:val="clear" w:color="auto" w:fill="auto"/>
            <w:tcBorders>
              <w:top w:val="single" w:color="000000" w:sz="4" w:space="0"/>
              <w:left w:val="single" w:color="000000" w:sz="4" w:space="0"/>
              <w:bottom w:val="none" w:color="000000" w:sz="4" w:space="0"/>
              <w:right w:val="single" w:color="000000" w:sz="4" w:space="0"/>
            </w:tcBorders>
            <w:tcW w:w="1315"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1225</w:t>
            </w:r>
            <w:r/>
          </w:p>
        </w:tc>
        <w:tc>
          <w:tcPr>
            <w:shd w:val="clear" w:color="auto" w:fill="auto"/>
            <w:tcBorders>
              <w:top w:val="single" w:color="000000" w:sz="4" w:space="0"/>
              <w:left w:val="single" w:color="000000" w:sz="4" w:space="0"/>
              <w:bottom w:val="none" w:color="000000" w:sz="4" w:space="0"/>
              <w:right w:val="single" w:color="000000" w:sz="4" w:space="0"/>
            </w:tcBorders>
            <w:tcW w:w="1014" w:type="dxa"/>
            <w:vAlign w:val="center"/>
            <w:textDirection w:val="lrTb"/>
            <w:noWrap w:val="false"/>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c>
          <w:tcPr>
            <w:shd w:val="clear" w:color="auto" w:fill="auto"/>
            <w:tcBorders>
              <w:top w:val="single" w:color="000000" w:sz="4" w:space="0"/>
              <w:left w:val="single" w:color="000000" w:sz="4" w:space="0"/>
              <w:bottom w:val="none" w:color="000000" w:sz="4" w:space="0"/>
              <w:right w:val="single" w:color="000000" w:sz="4" w:space="0"/>
            </w:tcBorders>
            <w:tcW w:w="5143" w:type="dxa"/>
            <w:vAlign w:val="center"/>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蔡张村100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，河北村60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，南殷村60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，前汪村60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，渠东村85</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，渠河村100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，西崔村50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，赵黄村90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，郑朱村100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，沟北村90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，侉周村50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，陈徐村120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，戚桥村60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，孔荡村70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，板湖社区130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r>
      <w:tr>
        <w:trPr>
          <w:trHeight w:val="1424"/>
        </w:trPr>
        <w:tc>
          <w:tcPr>
            <w:shd w:val="clear" w:color="auto" w:fill="auto"/>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垃圾分类亭</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143" w:type="dxa"/>
            <w:vAlign w:val="center"/>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蔡张村1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，河北村14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，南殷村10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，前汪村10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，渠河村10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，西崔村14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，赵黄村10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，郑朱村15</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，沟北村10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，侉周村10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，陈徐村10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，戚桥村5</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，孔荡村12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，板湖社区20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p>
        </w:tc>
      </w:tr>
    </w:tbl>
    <w:p>
      <w:pPr>
        <w:pStyle w:val="820"/>
        <w:jc w:val="both"/>
        <w:spacing w:beforeAutospacing="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阜城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街道</w:t>
      </w:r>
      <w:r/>
    </w:p>
    <w:tbl>
      <w:tblPr>
        <w:tblStyle w:val="816"/>
        <w:tblW w:w="9718" w:type="dxa"/>
        <w:tblInd w:w="-79" w:type="dxa"/>
        <w:tblLayout w:type="fixed"/>
        <w:tblCellMar>
          <w:left w:w="108" w:type="dxa"/>
          <w:top w:w="0" w:type="dxa"/>
          <w:right w:w="108" w:type="dxa"/>
          <w:bottom w:w="0" w:type="dxa"/>
        </w:tblCellMar>
        <w:tblLook w:val="04A0" w:firstRow="1" w:lastRow="0" w:firstColumn="1" w:lastColumn="0" w:noHBand="0" w:noVBand="1"/>
      </w:tblPr>
      <w:tblGrid>
        <w:gridCol w:w="508"/>
        <w:gridCol w:w="1683"/>
        <w:gridCol w:w="1394"/>
        <w:gridCol w:w="1010"/>
        <w:gridCol w:w="5123"/>
      </w:tblGrid>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装备名称</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购置数量</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村居名称</w:t>
            </w:r>
            <w:r/>
          </w:p>
        </w:tc>
      </w:tr>
      <w:tr>
        <w:trPr>
          <w:trHeight w:val="568"/>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塑料</w:t>
            </w:r>
            <w:r>
              <w:rPr>
                <w:rFonts w:hint="eastAsia" w:ascii="宋体" w:hAnsi="宋体" w:eastAsia="宋体" w:cs="宋体"/>
                <w:color w:val="000000" w:themeColor="text1"/>
                <w:szCs w:val="21"/>
                <w:highlight w:val="none"/>
                <w:lang w:eastAsia="zh-CN"/>
                <w14:textFill>
                  <w14:solidFill>
                    <w14:schemeClr w14:val="tx1"/>
                  </w14:solidFill>
                </w14:textFill>
              </w:rPr>
              <w:t xml:space="preserve">240L垃圾桶</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(240升/只)</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北周庄村100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、方黄村100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、和平居委会100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、缪黄村100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r>
    </w:tbl>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公兴社区</w:t>
      </w:r>
      <w:r/>
    </w:p>
    <w:tbl>
      <w:tblPr>
        <w:tblStyle w:val="816"/>
        <w:tblW w:w="9717" w:type="dxa"/>
        <w:tblInd w:w="-91" w:type="dxa"/>
        <w:tblLayout w:type="fixed"/>
        <w:tblCellMar>
          <w:left w:w="108" w:type="dxa"/>
          <w:top w:w="0" w:type="dxa"/>
          <w:right w:w="108" w:type="dxa"/>
          <w:bottom w:w="0" w:type="dxa"/>
        </w:tblCellMar>
        <w:tblLook w:val="04A0" w:firstRow="1" w:lastRow="0" w:firstColumn="1" w:lastColumn="0" w:noHBand="0" w:noVBand="1"/>
      </w:tblPr>
      <w:tblGrid>
        <w:gridCol w:w="488"/>
        <w:gridCol w:w="1699"/>
        <w:gridCol w:w="1450"/>
        <w:gridCol w:w="980"/>
        <w:gridCol w:w="5100"/>
      </w:tblGrid>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装备名称</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购置数量</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10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村居名称</w:t>
            </w:r>
            <w:r/>
          </w:p>
        </w:tc>
      </w:tr>
      <w:tr>
        <w:trPr>
          <w:trHeight w:val="776"/>
        </w:trPr>
        <w:tc>
          <w:tcPr>
            <w:shd w:val="clear" w:color="auto" w:fill="auto"/>
            <w:tcBorders>
              <w:top w:val="single" w:color="000000" w:sz="4" w:space="0"/>
              <w:left w:val="single" w:color="000000" w:sz="4" w:space="0"/>
              <w:bottom w:val="none" w:color="000000" w:sz="4" w:space="0"/>
              <w:right w:val="single" w:color="000000" w:sz="4" w:space="0"/>
            </w:tcBorders>
            <w:tcW w:w="488"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699"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塑料</w:t>
            </w:r>
            <w:r>
              <w:rPr>
                <w:rFonts w:hint="eastAsia" w:ascii="宋体" w:hAnsi="宋体" w:eastAsia="宋体" w:cs="宋体"/>
                <w:color w:val="000000" w:themeColor="text1"/>
                <w:szCs w:val="21"/>
                <w:highlight w:val="none"/>
                <w:lang w:eastAsia="zh-CN"/>
                <w14:textFill>
                  <w14:solidFill>
                    <w14:schemeClr w14:val="tx1"/>
                  </w14:solidFill>
                </w14:textFill>
              </w:rPr>
              <w:t xml:space="preserve">240L垃圾桶</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(240升/只)</w:t>
            </w:r>
            <w:r/>
          </w:p>
        </w:tc>
        <w:tc>
          <w:tcPr>
            <w:shd w:val="clear" w:color="auto" w:fill="auto"/>
            <w:tcBorders>
              <w:top w:val="single" w:color="000000" w:sz="4" w:space="0"/>
              <w:left w:val="single" w:color="000000" w:sz="4" w:space="0"/>
              <w:bottom w:val="none" w:color="000000" w:sz="4" w:space="0"/>
              <w:right w:val="single" w:color="000000" w:sz="4" w:space="0"/>
            </w:tcBorders>
            <w:tcW w:w="145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1630</w:t>
            </w:r>
            <w:r/>
          </w:p>
        </w:tc>
        <w:tc>
          <w:tcPr>
            <w:shd w:val="clear" w:color="auto" w:fill="auto"/>
            <w:tcBorders>
              <w:top w:val="single" w:color="000000" w:sz="4" w:space="0"/>
              <w:left w:val="single" w:color="000000" w:sz="4" w:space="0"/>
              <w:bottom w:val="non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c>
          <w:tcPr>
            <w:shd w:val="clear" w:color="auto" w:fill="auto"/>
            <w:tcBorders>
              <w:top w:val="single" w:color="000000" w:sz="4" w:space="0"/>
              <w:left w:val="single" w:color="000000" w:sz="4" w:space="0"/>
              <w:bottom w:val="none" w:color="000000" w:sz="4" w:space="0"/>
              <w:right w:val="single" w:color="000000" w:sz="4" w:space="0"/>
            </w:tcBorders>
            <w:tcW w:w="5100" w:type="dxa"/>
            <w:vAlign w:val="center"/>
            <w:textDirection w:val="lrTb"/>
            <w:noWrap w:val="false"/>
          </w:tcPr>
          <w:p>
            <w:pP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三益</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100只</w:t>
            </w:r>
            <w:r>
              <w:rPr>
                <w:rFonts w:hint="eastAsia" w:ascii="宋体" w:hAnsi="宋体" w:eastAsia="宋体" w:cs="宋体"/>
                <w:color w:val="000000" w:themeColor="text1"/>
                <w:szCs w:val="21"/>
                <w:highlight w:val="none"/>
                <w14:textFill>
                  <w14:solidFill>
                    <w14:schemeClr w14:val="tx1"/>
                  </w14:solidFill>
                </w14:textFill>
              </w:rPr>
              <w:t xml:space="preserve">、东盛</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70只</w:t>
            </w:r>
            <w:r>
              <w:rPr>
                <w:rFonts w:hint="eastAsia" w:ascii="宋体" w:hAnsi="宋体" w:eastAsia="宋体" w:cs="宋体"/>
                <w:color w:val="000000" w:themeColor="text1"/>
                <w:szCs w:val="21"/>
                <w:highlight w:val="none"/>
                <w14:textFill>
                  <w14:solidFill>
                    <w14:schemeClr w14:val="tx1"/>
                  </w14:solidFill>
                </w14:textFill>
              </w:rPr>
              <w:t xml:space="preserve">、北盛200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、孙利200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、青墩130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、太平桥100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、公兴居200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、崔庄300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、双河130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、射河200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r>
      <w:tr>
        <w:trPr>
          <w:trHeight w:val="912"/>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垃圾分类亭</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100" w:type="dxa"/>
            <w:vAlign w:val="center"/>
            <w:textDirection w:val="lrTb"/>
            <w:noWrap w:val="false"/>
          </w:tcPr>
          <w:p>
            <w:pP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三益5</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、东盛5</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、北盛3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、孙利8</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青墩5</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、太平桥8</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、公兴居12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、崔庄6</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、双河8</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、射河8</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、青南10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p>
        </w:tc>
      </w:tr>
    </w:tbl>
    <w:p>
      <w:pPr>
        <w:pStyle w:val="820"/>
        <w:ind w:firstLine="210"/>
        <w:jc w:val="both"/>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820"/>
        <w:ind w:firstLine="210"/>
        <w:jc w:val="both"/>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820"/>
        <w:ind w:firstLine="210"/>
        <w:jc w:val="both"/>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820"/>
        <w:ind w:firstLine="210"/>
        <w:jc w:val="both"/>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820"/>
        <w:ind w:firstLine="21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沟墩镇</w:t>
      </w:r>
      <w:r/>
    </w:p>
    <w:tbl>
      <w:tblPr>
        <w:tblStyle w:val="816"/>
        <w:tblW w:w="9777" w:type="dxa"/>
        <w:tblInd w:w="-91" w:type="dxa"/>
        <w:tblLayout w:type="fixed"/>
        <w:tblCellMar>
          <w:left w:w="108" w:type="dxa"/>
          <w:top w:w="0" w:type="dxa"/>
          <w:right w:w="108" w:type="dxa"/>
          <w:bottom w:w="0" w:type="dxa"/>
        </w:tblCellMar>
        <w:tblLook w:val="04A0" w:firstRow="1" w:lastRow="0" w:firstColumn="1" w:lastColumn="0" w:noHBand="0" w:noVBand="1"/>
      </w:tblPr>
      <w:tblGrid>
        <w:gridCol w:w="560"/>
        <w:gridCol w:w="1797"/>
        <w:gridCol w:w="1204"/>
        <w:gridCol w:w="1046"/>
        <w:gridCol w:w="5170"/>
      </w:tblGrid>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装备名称</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购置数量</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17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村居名称</w:t>
            </w:r>
            <w:r/>
          </w:p>
        </w:tc>
      </w:tr>
      <w:tr>
        <w:trPr>
          <w:trHeight w:val="1442"/>
        </w:trPr>
        <w:tc>
          <w:tcPr>
            <w:shd w:val="clear" w:color="auto" w:fill="auto"/>
            <w:tcBorders>
              <w:top w:val="single" w:color="000000" w:sz="4" w:space="0"/>
              <w:left w:val="single" w:color="000000" w:sz="4" w:space="0"/>
              <w:bottom w:val="none" w:color="000000" w:sz="4" w:space="0"/>
              <w:right w:val="single" w:color="000000" w:sz="4" w:space="0"/>
            </w:tcBorders>
            <w:tcW w:w="560"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797"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塑料</w:t>
            </w:r>
            <w:r>
              <w:rPr>
                <w:rFonts w:hint="eastAsia" w:ascii="宋体" w:hAnsi="宋体" w:eastAsia="宋体" w:cs="宋体"/>
                <w:color w:val="000000" w:themeColor="text1"/>
                <w:szCs w:val="21"/>
                <w:highlight w:val="none"/>
                <w:lang w:eastAsia="zh-CN"/>
                <w14:textFill>
                  <w14:solidFill>
                    <w14:schemeClr w14:val="tx1"/>
                  </w14:solidFill>
                </w14:textFill>
              </w:rPr>
              <w:t xml:space="preserve">240L垃圾桶</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(240升/只)</w:t>
            </w:r>
            <w:r/>
          </w:p>
        </w:tc>
        <w:tc>
          <w:tcPr>
            <w:shd w:val="clear" w:color="auto" w:fill="auto"/>
            <w:tcBorders>
              <w:top w:val="single" w:color="000000" w:sz="4" w:space="0"/>
              <w:left w:val="single" w:color="000000" w:sz="4" w:space="0"/>
              <w:bottom w:val="none" w:color="000000" w:sz="4" w:space="0"/>
              <w:right w:val="single" w:color="000000" w:sz="4" w:space="0"/>
            </w:tcBorders>
            <w:tcW w:w="1204"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170" w:type="dxa"/>
            <w:vAlign w:val="center"/>
            <w:textDirection w:val="lrTb"/>
            <w:noWrap w:val="false"/>
          </w:tcPr>
          <w:p>
            <w:pP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柳集村60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、林河村200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、条岗村200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、新岗村180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、跃进村150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、大曹庄村100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、大唐村80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、丰渔村60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、红旗村100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、陈坎村100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、林道村70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、新建村40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、郑飞60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垃圾分类亭</w:t>
            </w:r>
            <w:r/>
          </w:p>
        </w:tc>
        <w:tc>
          <w:tcPr>
            <w:shd w:val="clear" w:color="auto" w:fill="auto"/>
            <w:tcBorders>
              <w:top w:val="single" w:color="000000" w:sz="4" w:space="0"/>
              <w:left w:val="single" w:color="000000" w:sz="4" w:space="0"/>
              <w:bottom w:val="single" w:color="000000" w:sz="4" w:space="0"/>
              <w:right w:val="single" w:color="000000" w:sz="4" w:space="0"/>
            </w:tcBorders>
            <w:tcW w:w="1204"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170"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柳集村4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、林河村20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、条岗村6</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、跃进村17</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、大曹庄村22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、大唐村6</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、丰渔村5</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、郑飞村6</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、陈坎村17</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、林道村17</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、新建村18</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p>
        </w:tc>
      </w:tr>
    </w:tbl>
    <w:p>
      <w:pPr>
        <w:pStyle w:val="820"/>
        <w:ind w:firstLine="21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古河镇</w:t>
      </w:r>
      <w:r/>
    </w:p>
    <w:tbl>
      <w:tblPr>
        <w:tblStyle w:val="816"/>
        <w:tblW w:w="9738" w:type="dxa"/>
        <w:tblInd w:w="-102" w:type="dxa"/>
        <w:tblLayout w:type="fixed"/>
        <w:tblCellMar>
          <w:left w:w="108" w:type="dxa"/>
          <w:top w:w="0" w:type="dxa"/>
          <w:right w:w="108" w:type="dxa"/>
          <w:bottom w:w="0" w:type="dxa"/>
        </w:tblCellMar>
        <w:tblLook w:val="04A0" w:firstRow="1" w:lastRow="0" w:firstColumn="1" w:lastColumn="0" w:noHBand="0" w:noVBand="1"/>
      </w:tblPr>
      <w:tblGrid>
        <w:gridCol w:w="571"/>
        <w:gridCol w:w="1793"/>
        <w:gridCol w:w="1274"/>
        <w:gridCol w:w="970"/>
        <w:gridCol w:w="5130"/>
      </w:tblGrid>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装备名称</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购置数量</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13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村居名称</w:t>
            </w:r>
            <w:r/>
          </w:p>
        </w:tc>
      </w:tr>
      <w:tr>
        <w:trPr>
          <w:trHeight w:val="714"/>
        </w:trPr>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塑料</w:t>
            </w:r>
            <w:r>
              <w:rPr>
                <w:rFonts w:hint="eastAsia" w:ascii="宋体" w:hAnsi="宋体" w:eastAsia="宋体" w:cs="宋体"/>
                <w:color w:val="000000" w:themeColor="text1"/>
                <w:szCs w:val="21"/>
                <w:highlight w:val="none"/>
                <w:lang w:eastAsia="zh-CN"/>
                <w14:textFill>
                  <w14:solidFill>
                    <w14:schemeClr w14:val="tx1"/>
                  </w14:solidFill>
                </w14:textFill>
              </w:rPr>
              <w:t xml:space="preserve">240L垃圾桶</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(240升/只)</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130" w:type="dxa"/>
            <w:vAlign w:val="center"/>
            <w:textDirection w:val="lrTb"/>
            <w:noWrap/>
          </w:tcPr>
          <w:p>
            <w:pPr>
              <w:jc w:val="both"/>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三益100只、东盛70只、北盛200只、孙利200只、青墩130只、太平桥100只、公兴居200只、崔庄300只、双河130只、射河200只</w:t>
            </w:r>
            <w:r/>
          </w:p>
        </w:tc>
      </w:tr>
    </w:tbl>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20"/>
        <w:ind w:firstLine="21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郭墅镇</w:t>
      </w:r>
      <w:r/>
    </w:p>
    <w:tbl>
      <w:tblPr>
        <w:tblStyle w:val="816"/>
        <w:tblW w:w="9718" w:type="dxa"/>
        <w:tblInd w:w="-102" w:type="dxa"/>
        <w:tblLayout w:type="fixed"/>
        <w:tblCellMar>
          <w:left w:w="108" w:type="dxa"/>
          <w:top w:w="0" w:type="dxa"/>
          <w:right w:w="108" w:type="dxa"/>
          <w:bottom w:w="0" w:type="dxa"/>
        </w:tblCellMar>
        <w:tblLook w:val="04A0" w:firstRow="1" w:lastRow="0" w:firstColumn="1" w:lastColumn="0" w:noHBand="0" w:noVBand="1"/>
      </w:tblPr>
      <w:tblGrid>
        <w:gridCol w:w="756"/>
        <w:gridCol w:w="1733"/>
        <w:gridCol w:w="1275"/>
        <w:gridCol w:w="834"/>
        <w:gridCol w:w="5120"/>
      </w:tblGrid>
      <w:tr>
        <w:trPr>
          <w:trHeight w:val="296"/>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装备名称</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购置数量</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12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村居名称</w:t>
            </w:r>
            <w:r/>
          </w:p>
        </w:tc>
      </w:tr>
      <w:tr>
        <w:trPr>
          <w:trHeight w:val="1154"/>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塑料</w:t>
            </w:r>
            <w:r>
              <w:rPr>
                <w:rFonts w:hint="eastAsia" w:ascii="宋体" w:hAnsi="宋体" w:eastAsia="宋体" w:cs="宋体"/>
                <w:color w:val="000000" w:themeColor="text1"/>
                <w:szCs w:val="21"/>
                <w:highlight w:val="none"/>
                <w:lang w:eastAsia="zh-CN"/>
                <w14:textFill>
                  <w14:solidFill>
                    <w14:schemeClr w14:val="tx1"/>
                  </w14:solidFill>
                </w14:textFill>
              </w:rPr>
              <w:t xml:space="preserve">240L垃圾桶</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(240升/只)</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120" w:type="dxa"/>
            <w:vAlign w:val="center"/>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东沙港50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、阜沙100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、刘河100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、马河20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、孙灶74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、王庄120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、西季100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、沿川50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、西北100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、唐城34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、阜阳100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垃圾分类亭</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120" w:type="dxa"/>
            <w:vAlign w:val="center"/>
            <w:textDirection w:val="lrTb"/>
            <w:noWrap w:val="false"/>
          </w:tcPr>
          <w:p>
            <w:pPr>
              <w:jc w:val="center"/>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马河</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3组</w:t>
            </w:r>
            <w:r/>
          </w:p>
        </w:tc>
      </w:tr>
    </w:tbl>
    <w:p>
      <w:pPr>
        <w:pStyle w:val="820"/>
        <w:jc w:val="both"/>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820"/>
        <w:ind w:firstLine="21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芦蒲镇</w:t>
      </w:r>
      <w:r/>
    </w:p>
    <w:tbl>
      <w:tblPr>
        <w:tblStyle w:val="816"/>
        <w:tblW w:w="9398" w:type="dxa"/>
        <w:tblInd w:w="-102" w:type="dxa"/>
        <w:tblLayout w:type="fixed"/>
        <w:tblCellMar>
          <w:left w:w="108" w:type="dxa"/>
          <w:top w:w="0" w:type="dxa"/>
          <w:right w:w="108" w:type="dxa"/>
          <w:bottom w:w="0" w:type="dxa"/>
        </w:tblCellMar>
        <w:tblLook w:val="04A0" w:firstRow="1" w:lastRow="0" w:firstColumn="1" w:lastColumn="0" w:noHBand="0" w:noVBand="1"/>
      </w:tblPr>
      <w:tblGrid>
        <w:gridCol w:w="711"/>
        <w:gridCol w:w="1767"/>
        <w:gridCol w:w="1280"/>
        <w:gridCol w:w="850"/>
        <w:gridCol w:w="4790"/>
      </w:tblGrid>
      <w:tr>
        <w:trPr>
          <w:trHeight w:val="436"/>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装备名称</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购置数量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9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村居名称</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塑料</w:t>
            </w:r>
            <w:r>
              <w:rPr>
                <w:rFonts w:hint="eastAsia" w:ascii="宋体" w:hAnsi="宋体" w:eastAsia="宋体" w:cs="宋体"/>
                <w:color w:val="000000" w:themeColor="text1"/>
                <w:szCs w:val="21"/>
                <w:highlight w:val="none"/>
                <w:lang w:eastAsia="zh-CN"/>
                <w14:textFill>
                  <w14:solidFill>
                    <w14:schemeClr w14:val="tx1"/>
                  </w14:solidFill>
                </w14:textFill>
              </w:rPr>
              <w:t xml:space="preserve">240L垃圾桶</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(240升/只)</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790" w:type="dxa"/>
            <w:vAlign w:val="center"/>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东吴100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、高杨100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、临黄100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、芦蒲100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、罗码120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、双码60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、新荡100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、周门100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、童营200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、三马100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r>
      <w:tr>
        <w:trPr>
          <w:trHeight w:val="1042"/>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垃圾分类亭</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90" w:type="dxa"/>
            <w:vAlign w:val="center"/>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东吴12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、沿淮10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、临黄70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、罗码12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、蒲东4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、双码4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、新荡10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、周门8</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、童营10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、长北10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rPr>
                <w:rFonts w:hint="eastAsia" w:ascii="宋体" w:hAnsi="宋体" w:eastAsia="宋体" w:cs="宋体"/>
                <w:color w:val="000000" w:themeColor="text1"/>
                <w:szCs w:val="21"/>
                <w:highlight w:val="none"/>
                <w14:textFill>
                  <w14:solidFill>
                    <w14:schemeClr w14:val="tx1"/>
                  </w14:solidFill>
                </w14:textFill>
              </w:rPr>
              <w:t xml:space="preserve">、三马8</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p>
        </w:tc>
      </w:tr>
    </w:tbl>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20"/>
        <w:ind w:firstLine="480"/>
        <w:jc w:val="both"/>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820"/>
        <w:ind w:firstLine="480"/>
        <w:jc w:val="both"/>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罗桥镇</w:t>
      </w:r>
      <w:r/>
    </w:p>
    <w:tbl>
      <w:tblPr>
        <w:tblStyle w:val="816"/>
        <w:tblW w:w="9377" w:type="dxa"/>
        <w:tblInd w:w="-102" w:type="dxa"/>
        <w:tblLayout w:type="fixed"/>
        <w:tblCellMar>
          <w:left w:w="108" w:type="dxa"/>
          <w:top w:w="0" w:type="dxa"/>
          <w:right w:w="108" w:type="dxa"/>
          <w:bottom w:w="0" w:type="dxa"/>
        </w:tblCellMar>
        <w:tblLook w:val="04A0" w:firstRow="1" w:lastRow="0" w:firstColumn="1" w:lastColumn="0" w:noHBand="0" w:noVBand="1"/>
      </w:tblPr>
      <w:tblGrid>
        <w:gridCol w:w="718"/>
        <w:gridCol w:w="1780"/>
        <w:gridCol w:w="1270"/>
        <w:gridCol w:w="850"/>
        <w:gridCol w:w="4759"/>
      </w:tblGrid>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装备名称</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购置数量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村居名称</w:t>
            </w:r>
            <w:r/>
          </w:p>
        </w:tc>
      </w:tr>
      <w:tr>
        <w:trPr>
          <w:trHeight w:val="1196"/>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塑料</w:t>
            </w:r>
            <w:r>
              <w:rPr>
                <w:rFonts w:hint="eastAsia" w:ascii="宋体" w:hAnsi="宋体" w:eastAsia="宋体" w:cs="宋体"/>
                <w:color w:val="000000" w:themeColor="text1"/>
                <w:szCs w:val="21"/>
                <w:highlight w:val="none"/>
                <w:lang w:eastAsia="zh-CN"/>
                <w14:textFill>
                  <w14:solidFill>
                    <w14:schemeClr w14:val="tx1"/>
                  </w14:solidFill>
                </w14:textFill>
              </w:rPr>
              <w:t xml:space="preserve">240L垃圾桶</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(240升/只)</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1796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凤谷100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、沈顾60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、张赵100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、沿街100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、沿路72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、双联154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、许何120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、洪桥100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、沿边250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、青沟250、东凤250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、青杨80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、龙窝60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、射滨100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垃圾分类亭</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both"/>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双联6</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p>
        </w:tc>
      </w:tr>
    </w:tbl>
    <w:p>
      <w:pPr>
        <w:pStyle w:val="820"/>
        <w:jc w:val="both"/>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三灶镇</w:t>
      </w:r>
      <w:r/>
    </w:p>
    <w:tbl>
      <w:tblPr>
        <w:tblStyle w:val="816"/>
        <w:tblW w:w="9937" w:type="dxa"/>
        <w:tblInd w:w="-91" w:type="dxa"/>
        <w:tblLayout w:type="fixed"/>
        <w:tblCellMar>
          <w:left w:w="108" w:type="dxa"/>
          <w:top w:w="0" w:type="dxa"/>
          <w:right w:w="108" w:type="dxa"/>
          <w:bottom w:w="0" w:type="dxa"/>
        </w:tblCellMar>
        <w:tblLook w:val="04A0" w:firstRow="1" w:lastRow="0" w:firstColumn="1" w:lastColumn="0" w:noHBand="0" w:noVBand="1"/>
      </w:tblPr>
      <w:tblGrid>
        <w:gridCol w:w="717"/>
        <w:gridCol w:w="1770"/>
        <w:gridCol w:w="1064"/>
        <w:gridCol w:w="1056"/>
        <w:gridCol w:w="5330"/>
      </w:tblGrid>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装备名称</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购置数量</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33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村居名称</w:t>
            </w:r>
            <w:r/>
          </w:p>
        </w:tc>
      </w:tr>
      <w:tr>
        <w:trPr>
          <w:trHeight w:val="1655"/>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塑料</w:t>
            </w:r>
            <w:r>
              <w:rPr>
                <w:rFonts w:hint="eastAsia" w:ascii="宋体" w:hAnsi="宋体" w:eastAsia="宋体" w:cs="宋体"/>
                <w:color w:val="000000" w:themeColor="text1"/>
                <w:szCs w:val="21"/>
                <w:highlight w:val="none"/>
                <w:lang w:eastAsia="zh-CN"/>
                <w14:textFill>
                  <w14:solidFill>
                    <w14:schemeClr w14:val="tx1"/>
                  </w14:solidFill>
                </w14:textFill>
              </w:rPr>
              <w:t xml:space="preserve">240L垃圾桶</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(240升/只)</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3300</w:t>
            </w:r>
            <w:r/>
          </w:p>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(黑1650</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蓝1650)</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330" w:type="dxa"/>
            <w:vAlign w:val="center"/>
            <w:textDirection w:val="lrTb"/>
            <w:noWrap/>
          </w:tcPr>
          <w:p>
            <w:pPr>
              <w:jc w:val="left"/>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七灶146</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、掌李194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、九灶122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、同兴100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、楼子110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、陈吕140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、十灶170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、前三灶194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、中三灶170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、丰墩104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、庄杨152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、昌兴176</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、蒯东176</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、东湾228</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、后三灶152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、王集204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、双岗140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、沿渠122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r>
    </w:tbl>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硕集社区</w:t>
      </w:r>
      <w:r/>
    </w:p>
    <w:tbl>
      <w:tblPr>
        <w:tblStyle w:val="816"/>
        <w:tblW w:w="9896" w:type="dxa"/>
        <w:tblInd w:w="-102" w:type="dxa"/>
        <w:tblLayout w:type="fixed"/>
        <w:tblCellMar>
          <w:left w:w="108" w:type="dxa"/>
          <w:top w:w="0" w:type="dxa"/>
          <w:right w:w="108" w:type="dxa"/>
          <w:bottom w:w="0" w:type="dxa"/>
        </w:tblCellMar>
        <w:tblLook w:val="04A0" w:firstRow="1" w:lastRow="0" w:firstColumn="1" w:lastColumn="0" w:noHBand="0" w:noVBand="1"/>
      </w:tblPr>
      <w:tblGrid>
        <w:gridCol w:w="708"/>
        <w:gridCol w:w="1780"/>
        <w:gridCol w:w="1080"/>
        <w:gridCol w:w="1060"/>
        <w:gridCol w:w="5268"/>
      </w:tblGrid>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装备名称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购置数量</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村居名称</w:t>
            </w:r>
            <w:r/>
          </w:p>
        </w:tc>
      </w:tr>
      <w:tr>
        <w:trPr>
          <w:trHeight w:val="59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塑料</w:t>
            </w:r>
            <w:r>
              <w:rPr>
                <w:rFonts w:hint="eastAsia" w:ascii="宋体" w:hAnsi="宋体" w:eastAsia="宋体" w:cs="宋体"/>
                <w:color w:val="000000" w:themeColor="text1"/>
                <w:szCs w:val="21"/>
                <w:highlight w:val="none"/>
                <w:lang w:eastAsia="zh-CN"/>
                <w14:textFill>
                  <w14:solidFill>
                    <w14:schemeClr w14:val="tx1"/>
                  </w14:solidFill>
                </w14:textFill>
              </w:rPr>
              <w:t xml:space="preserve">240L垃圾桶</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(240升/只)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东崔300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、张单21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、计桥50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、阳河300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、阳光130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、硕集居120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rPr>
                <w:rFonts w:hint="eastAsia" w:ascii="宋体" w:hAnsi="宋体" w:eastAsia="宋体" w:cs="宋体"/>
                <w:color w:val="000000" w:themeColor="text1"/>
                <w:szCs w:val="21"/>
                <w:highlight w:val="none"/>
                <w14:textFill>
                  <w14:solidFill>
                    <w14:schemeClr w14:val="tx1"/>
                  </w14:solidFill>
                </w14:textFill>
              </w:rPr>
              <w:t xml:space="preserve">、何桥300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垃圾分类亭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何桥</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5组</w:t>
            </w:r>
            <w:r/>
          </w:p>
        </w:tc>
      </w:tr>
    </w:tbl>
    <w:p>
      <w:pPr>
        <w:pStyle w:val="820"/>
        <w:ind w:firstLine="480"/>
        <w:jc w:val="center"/>
        <w:spacing w:beforeAutospacing="0" w:afterAutospacing="0" w:line="360" w:lineRule="auto"/>
        <w:rPr>
          <w:rFonts w:ascii="黑体" w:hAnsi="宋体" w:eastAsia="黑体" w:cs="黑体"/>
          <w:color w:val="000000" w:themeColor="text1"/>
          <w:sz w:val="44"/>
          <w:szCs w:val="44"/>
          <w:highlight w:val="none"/>
          <w14:textFill>
            <w14:solidFill>
              <w14:schemeClr w14:val="tx1"/>
            </w14:solidFill>
          </w14:textFill>
        </w:rPr>
      </w:pPr>
      <w:r>
        <w:rPr>
          <w:rFonts w:ascii="黑体" w:hAnsi="宋体" w:eastAsia="黑体" w:cs="黑体"/>
          <w:color w:val="000000" w:themeColor="text1"/>
          <w:sz w:val="44"/>
          <w:szCs w:val="44"/>
          <w:highlight w:val="none"/>
          <w14:textFill>
            <w14:solidFill>
              <w14:schemeClr w14:val="tx1"/>
            </w14:solidFill>
          </w14:textFill>
        </w:rPr>
      </w:r>
      <w:r/>
    </w:p>
    <w:p>
      <w:pPr>
        <w:pStyle w:val="820"/>
        <w:ind w:firstLine="480"/>
        <w:jc w:val="center"/>
        <w:spacing w:beforeAutospacing="0" w:afterAutospacing="0" w:line="360" w:lineRule="auto"/>
        <w:rPr>
          <w:rFonts w:ascii="黑体" w:hAnsi="宋体" w:eastAsia="黑体" w:cs="黑体"/>
          <w:color w:val="000000" w:themeColor="text1"/>
          <w:sz w:val="44"/>
          <w:szCs w:val="44"/>
          <w:highlight w:val="none"/>
          <w14:textFill>
            <w14:solidFill>
              <w14:schemeClr w14:val="tx1"/>
            </w14:solidFill>
          </w14:textFill>
        </w:rPr>
      </w:pPr>
      <w:r>
        <w:rPr>
          <w:rFonts w:ascii="黑体" w:hAnsi="宋体" w:eastAsia="黑体" w:cs="黑体"/>
          <w:color w:val="000000" w:themeColor="text1"/>
          <w:sz w:val="44"/>
          <w:szCs w:val="44"/>
          <w:highlight w:val="none"/>
          <w14:textFill>
            <w14:solidFill>
              <w14:schemeClr w14:val="tx1"/>
            </w14:solidFill>
          </w14:textFill>
        </w:rPr>
      </w:r>
      <w:r/>
    </w:p>
    <w:p>
      <w:pPr>
        <w:pStyle w:val="820"/>
        <w:ind w:firstLine="480"/>
        <w:jc w:val="center"/>
        <w:spacing w:beforeAutospacing="0" w:afterAutospacing="0" w:line="360" w:lineRule="auto"/>
        <w:rPr>
          <w:rFonts w:ascii="黑体" w:hAnsi="宋体" w:eastAsia="黑体" w:cs="黑体"/>
          <w:color w:val="000000" w:themeColor="text1"/>
          <w:sz w:val="44"/>
          <w:szCs w:val="44"/>
          <w:highlight w:val="none"/>
          <w14:textFill>
            <w14:solidFill>
              <w14:schemeClr w14:val="tx1"/>
            </w14:solidFill>
          </w14:textFill>
        </w:rPr>
      </w:pPr>
      <w:r>
        <w:rPr>
          <w:rFonts w:ascii="黑体" w:hAnsi="宋体" w:eastAsia="黑体" w:cs="黑体"/>
          <w:color w:val="000000" w:themeColor="text1"/>
          <w:sz w:val="44"/>
          <w:szCs w:val="44"/>
          <w:highlight w:val="none"/>
          <w14:textFill>
            <w14:solidFill>
              <w14:schemeClr w14:val="tx1"/>
            </w14:solidFill>
          </w14:textFill>
        </w:rPr>
      </w:r>
      <w:r/>
    </w:p>
    <w:p>
      <w:pPr>
        <w:pStyle w:val="820"/>
        <w:ind w:firstLine="480"/>
        <w:jc w:val="center"/>
        <w:spacing w:beforeAutospacing="0" w:afterAutospacing="0" w:line="360" w:lineRule="auto"/>
        <w:rPr>
          <w:rFonts w:ascii="黑体" w:hAnsi="宋体" w:eastAsia="黑体" w:cs="黑体"/>
          <w:color w:val="000000" w:themeColor="text1"/>
          <w:sz w:val="44"/>
          <w:szCs w:val="44"/>
          <w:highlight w:val="none"/>
          <w14:textFill>
            <w14:solidFill>
              <w14:schemeClr w14:val="tx1"/>
            </w14:solidFill>
          </w14:textFill>
        </w:rPr>
      </w:pPr>
      <w:r>
        <w:rPr>
          <w:rFonts w:ascii="黑体" w:hAnsi="宋体" w:eastAsia="黑体" w:cs="黑体"/>
          <w:color w:val="000000" w:themeColor="text1"/>
          <w:sz w:val="44"/>
          <w:szCs w:val="44"/>
          <w:highlight w:val="none"/>
          <w14:textFill>
            <w14:solidFill>
              <w14:schemeClr w14:val="tx1"/>
            </w14:solidFill>
          </w14:textFill>
        </w:rPr>
      </w:r>
      <w:r/>
    </w:p>
    <w:p>
      <w:pPr>
        <w:pStyle w:val="820"/>
        <w:ind w:firstLine="480"/>
        <w:jc w:val="center"/>
        <w:spacing w:beforeAutospacing="0" w:afterAutospacing="0" w:line="360" w:lineRule="auto"/>
        <w:rPr>
          <w:rFonts w:ascii="黑体" w:hAnsi="宋体" w:eastAsia="黑体" w:cs="黑体"/>
          <w:color w:val="000000" w:themeColor="text1"/>
          <w:sz w:val="44"/>
          <w:szCs w:val="44"/>
          <w:highlight w:val="none"/>
          <w14:textFill>
            <w14:solidFill>
              <w14:schemeClr w14:val="tx1"/>
            </w14:solidFill>
          </w14:textFill>
        </w:rPr>
      </w:pPr>
      <w:r>
        <w:rPr>
          <w:rFonts w:ascii="黑体" w:hAnsi="宋体" w:eastAsia="黑体" w:cs="黑体"/>
          <w:color w:val="000000" w:themeColor="text1"/>
          <w:sz w:val="44"/>
          <w:szCs w:val="44"/>
          <w:highlight w:val="none"/>
          <w14:textFill>
            <w14:solidFill>
              <w14:schemeClr w14:val="tx1"/>
            </w14:solidFill>
          </w14:textFill>
        </w:rPr>
      </w:r>
      <w:r/>
    </w:p>
    <w:p>
      <w:pPr>
        <w:pStyle w:val="820"/>
        <w:jc w:val="both"/>
        <w:spacing w:beforeAutospacing="0" w:afterAutospacing="0" w:line="360" w:lineRule="auto"/>
        <w:rPr>
          <w:rFonts w:ascii="黑体" w:hAnsi="宋体" w:eastAsia="黑体" w:cs="黑体"/>
          <w:color w:val="000000" w:themeColor="text1"/>
          <w:sz w:val="44"/>
          <w:szCs w:val="44"/>
          <w:highlight w:val="none"/>
          <w14:textFill>
            <w14:solidFill>
              <w14:schemeClr w14:val="tx1"/>
            </w14:solidFill>
          </w14:textFill>
        </w:rPr>
      </w:pPr>
      <w:r>
        <w:rPr>
          <w:rFonts w:ascii="黑体" w:hAnsi="宋体" w:eastAsia="黑体" w:cs="黑体"/>
          <w:color w:val="000000" w:themeColor="text1"/>
          <w:sz w:val="44"/>
          <w:szCs w:val="44"/>
          <w:highlight w:val="none"/>
          <w14:textFill>
            <w14:solidFill>
              <w14:schemeClr w14:val="tx1"/>
            </w14:solidFill>
          </w14:textFill>
        </w:rPr>
      </w:r>
      <w:r/>
    </w:p>
    <w:p>
      <w:pPr>
        <w:pStyle w:val="820"/>
        <w:jc w:val="both"/>
        <w:spacing w:beforeAutospacing="0" w:afterAutospacing="0" w:line="360" w:lineRule="auto"/>
        <w:rPr>
          <w:rFonts w:ascii="黑体" w:hAnsi="宋体" w:eastAsia="黑体" w:cs="黑体"/>
          <w:color w:val="000000" w:themeColor="text1"/>
          <w:sz w:val="44"/>
          <w:szCs w:val="44"/>
          <w:highlight w:val="none"/>
          <w14:textFill>
            <w14:solidFill>
              <w14:schemeClr w14:val="tx1"/>
            </w14:solidFill>
          </w14:textFill>
        </w:rPr>
      </w:pPr>
      <w:r>
        <w:rPr>
          <w:rFonts w:ascii="黑体" w:hAnsi="宋体" w:eastAsia="黑体" w:cs="黑体"/>
          <w:color w:val="000000" w:themeColor="text1"/>
          <w:sz w:val="44"/>
          <w:szCs w:val="44"/>
          <w:highlight w:val="none"/>
          <w14:textFill>
            <w14:solidFill>
              <w14:schemeClr w14:val="tx1"/>
            </w14:solidFill>
          </w14:textFill>
        </w:rPr>
      </w:r>
      <w:r/>
    </w:p>
    <w:p>
      <w:pPr>
        <w:pStyle w:val="820"/>
        <w:jc w:val="both"/>
        <w:spacing w:beforeAutospacing="0" w:afterAutospacing="0" w:line="360" w:lineRule="auto"/>
        <w:rPr>
          <w:rFonts w:ascii="黑体" w:hAnsi="宋体" w:eastAsia="黑体" w:cs="黑体"/>
          <w:color w:val="000000" w:themeColor="text1"/>
          <w:sz w:val="44"/>
          <w:szCs w:val="44"/>
          <w:highlight w:val="none"/>
          <w14:textFill>
            <w14:solidFill>
              <w14:schemeClr w14:val="tx1"/>
            </w14:solidFill>
          </w14:textFill>
        </w:rPr>
      </w:pPr>
      <w:r/>
      <w:bookmarkStart w:id="201" w:name="_GoBack"/>
      <w:r/>
      <w:bookmarkEnd w:id="201"/>
      <w:r/>
      <w:r/>
    </w:p>
    <w:p>
      <w:pPr>
        <w:pStyle w:val="820"/>
        <w:ind w:firstLine="480"/>
        <w:jc w:val="center"/>
        <w:spacing w:beforeAutospacing="0" w:afterAutospacing="0" w:line="360" w:lineRule="auto"/>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第五章  </w:t>
      </w:r>
      <w:r>
        <w:rPr>
          <w:rFonts w:hint="eastAsia" w:ascii="黑体" w:hAnsi="宋体" w:eastAsia="黑体" w:cs="黑体"/>
          <w:b/>
          <w:color w:val="000000" w:themeColor="text1"/>
          <w:sz w:val="44"/>
          <w:szCs w:val="44"/>
          <w:highlight w:val="none"/>
          <w14:textFill>
            <w14:solidFill>
              <w14:schemeClr w14:val="tx1"/>
            </w14:solidFill>
          </w14:textFill>
        </w:rPr>
        <w:t xml:space="preserve">评标方法与评标标准</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ind w:firstLine="441"/>
        <w:spacing w:before="120" w:beforeAutospacing="0" w:after="120" w:afterAutospacing="0" w:line="360" w:lineRule="auto"/>
        <w:rPr>
          <w:rFonts w:ascii="Arial" w:hAnsi="Arial" w:cs="Arial"/>
          <w:color w:val="000000" w:themeColor="text1"/>
          <w:sz w:val="21"/>
          <w:szCs w:val="21"/>
          <w:highlight w:val="none"/>
          <w14:textFill>
            <w14:solidFill>
              <w14:schemeClr w14:val="tx1"/>
            </w14:solidFill>
          </w14:textFill>
        </w:rPr>
      </w:pPr>
      <w:r>
        <w:rPr>
          <w:rFonts w:hint="eastAsia" w:ascii="Arial" w:hAnsi="Arial" w:cs="Arial"/>
          <w:color w:val="000000" w:themeColor="text1"/>
          <w:sz w:val="21"/>
          <w:szCs w:val="21"/>
          <w:highlight w:val="none"/>
          <w14:textFill>
            <w14:solidFill>
              <w14:schemeClr w14:val="tx1"/>
            </w14:solidFill>
          </w14:textFill>
        </w:rPr>
        <w:t xml:space="preserve">采用最低评标价法的，由招标人依法组建的评标委员会对通过初步评审、商务性评审的投标人按照经澄清、补正和修正算术计算错误的投标价由低至高的次序向招标人推荐1名中标候选人。</w:t>
      </w:r>
      <w:r>
        <w:rPr>
          <w:rFonts w:hint="eastAsia" w:ascii="Arial" w:hAnsi="Arial" w:cs="Arial"/>
          <w:color w:val="000000" w:themeColor="text1"/>
          <w:sz w:val="21"/>
          <w:szCs w:val="21"/>
          <w:highlight w:val="none"/>
          <w:lang w:val="en-US" w:eastAsia="zh-CN"/>
          <w14:textFill>
            <w14:solidFill>
              <w14:schemeClr w14:val="tx1"/>
            </w14:solidFill>
          </w14:textFill>
        </w:rPr>
        <w:t xml:space="preserve">若最低价相同时，则由评标委员会抽签决定</w:t>
      </w:r>
      <w:r>
        <w:rPr>
          <w:rFonts w:hint="eastAsia" w:ascii="Arial" w:hAnsi="Arial" w:cs="Arial"/>
          <w:color w:val="000000" w:themeColor="text1"/>
          <w:sz w:val="21"/>
          <w:szCs w:val="21"/>
          <w:highlight w:val="none"/>
          <w14:textFill>
            <w14:solidFill>
              <w14:schemeClr w14:val="tx1"/>
            </w14:solidFill>
          </w14:textFill>
        </w:rPr>
        <w:t xml:space="preserve">中标候选人</w:t>
      </w:r>
      <w:r>
        <w:rPr>
          <w:rFonts w:hint="eastAsia" w:ascii="Arial" w:hAnsi="Arial" w:cs="Arial"/>
          <w:color w:val="000000" w:themeColor="text1"/>
          <w:sz w:val="21"/>
          <w:szCs w:val="21"/>
          <w:highlight w:val="none"/>
          <w:lang w:val="en-US" w:eastAsia="zh-CN"/>
          <w14:textFill>
            <w14:solidFill>
              <w14:schemeClr w14:val="tx1"/>
            </w14:solidFill>
          </w14:textFill>
        </w:rPr>
        <w:t xml:space="preserve">，</w:t>
      </w:r>
      <w:r>
        <w:rPr>
          <w:rFonts w:hint="eastAsia" w:ascii="Arial" w:hAnsi="Arial" w:cs="Arial"/>
          <w:color w:val="000000" w:themeColor="text1"/>
          <w:sz w:val="21"/>
          <w:szCs w:val="21"/>
          <w:highlight w:val="none"/>
          <w14:textFill>
            <w14:solidFill>
              <w14:schemeClr w14:val="tx1"/>
            </w14:solidFill>
          </w14:textFill>
        </w:rPr>
        <w:t xml:space="preserve">招标人根据评标委员会提供的书面评标报告，确定报告中推荐的中标候选人为中标人。</w:t>
      </w:r>
      <w:r/>
    </w:p>
    <w:p>
      <w:pPr>
        <w:pStyle w:val="820"/>
        <w:ind w:firstLine="441"/>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政府采购政策功能落实</w:t>
      </w:r>
      <w:r/>
    </w:p>
    <w:p>
      <w:pPr>
        <w:pStyle w:val="820"/>
        <w:ind w:firstLine="480"/>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1、小微型企业价格扣除</w:t>
      </w:r>
      <w:r/>
    </w:p>
    <w:p>
      <w:pPr>
        <w:pStyle w:val="820"/>
        <w:ind w:firstLine="360"/>
        <w:spacing w:before="120" w:beforeAutospacing="0" w:after="12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（1）本项目对小型和微型企业产品给予</w:t>
      </w:r>
      <w:r>
        <w:rPr>
          <w:rFonts w:hint="eastAsia" w:ascii="宋体" w:hAnsi="宋体" w:eastAsia="宋体" w:cs="宋体"/>
          <w:color w:val="000000" w:themeColor="text1"/>
          <w:sz w:val="21"/>
          <w:szCs w:val="21"/>
          <w:highlight w:val="none"/>
          <w:u w:val="single"/>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的扣除价格，用扣除后的价格参与评审。</w:t>
      </w:r>
      <w:r/>
    </w:p>
    <w:p>
      <w:pPr>
        <w:pStyle w:val="820"/>
        <w:ind w:firstLine="360"/>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（2）供应商需按照采购文件的要求提供相应的《小微企业声明函》。</w:t>
      </w:r>
      <w:r/>
    </w:p>
    <w:p>
      <w:pPr>
        <w:pStyle w:val="820"/>
        <w:ind w:firstLine="360"/>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（3）企业标准请参照《关于印发中小企业划型标准规定的通知》（工信部联企业[2011]300号）文件规定自行填写。</w:t>
      </w:r>
      <w:r/>
    </w:p>
    <w:p>
      <w:pPr>
        <w:pStyle w:val="820"/>
        <w:ind w:firstLine="480"/>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2、残疾人福利单位价格扣除</w:t>
      </w:r>
      <w:r/>
    </w:p>
    <w:p>
      <w:pPr>
        <w:pStyle w:val="820"/>
        <w:ind w:left="120" w:firstLine="360"/>
        <w:spacing w:before="120" w:beforeAutospacing="0" w:after="120" w:afterAutospacing="0" w:line="360" w:lineRule="auto"/>
        <w:rPr>
          <w:rFonts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（1）本项目对残疾人福利性单位视同小型、微型企业，给予</w:t>
      </w:r>
      <w:r>
        <w:rPr>
          <w:rFonts w:hint="eastAsia" w:ascii="宋体" w:hAnsi="宋体" w:eastAsia="宋体" w:cs="宋体"/>
          <w:color w:val="000000" w:themeColor="text1"/>
          <w:sz w:val="21"/>
          <w:szCs w:val="21"/>
          <w:highlight w:val="none"/>
          <w:u w:val="single"/>
          <w14:textFill>
            <w14:solidFill>
              <w14:schemeClr w14:val="tx1"/>
            </w14:solidFill>
          </w14:textFill>
        </w:rPr>
        <w:t xml:space="preserve">20%</w:t>
      </w:r>
      <w:r/>
    </w:p>
    <w:p>
      <w:pPr>
        <w:pStyle w:val="820"/>
        <w:ind w:left="120" w:firstLine="360"/>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（2）残疾人福利单位需按照采购文件的要求提供《残疾人福利性单位声明函》。</w:t>
      </w:r>
      <w:r/>
    </w:p>
    <w:p>
      <w:pPr>
        <w:pStyle w:val="820"/>
        <w:ind w:left="120" w:firstLine="360"/>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（3）残疾人福利单位标准请参照《关于促进残疾人就业政府采购政策的通知》（财库〔2017〕141号）。</w:t>
      </w:r>
      <w:r/>
    </w:p>
    <w:p>
      <w:pPr>
        <w:pStyle w:val="820"/>
        <w:ind w:firstLine="480"/>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3、监狱和戒毒企业价格扣除</w:t>
      </w:r>
      <w:r/>
    </w:p>
    <w:p>
      <w:pPr>
        <w:pStyle w:val="820"/>
        <w:ind w:firstLine="480"/>
        <w:spacing w:before="120" w:beforeAutospacing="0" w:after="120" w:afterAutospacing="0" w:line="360" w:lineRule="auto"/>
        <w:rPr>
          <w:rFonts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（1）本项目对监狱和戒毒企业（简称监狱企业）视同小型、微型企业，给予</w:t>
      </w:r>
      <w:r>
        <w:rPr>
          <w:rFonts w:hint="eastAsia" w:ascii="宋体" w:hAnsi="宋体" w:eastAsia="宋体" w:cs="宋体"/>
          <w:color w:val="000000" w:themeColor="text1"/>
          <w:sz w:val="21"/>
          <w:szCs w:val="21"/>
          <w:highlight w:val="none"/>
          <w:u w:val="single"/>
          <w14:textFill>
            <w14:solidFill>
              <w14:schemeClr w14:val="tx1"/>
            </w14:solidFill>
          </w14:textFill>
        </w:rPr>
        <w:t xml:space="preserve">20%</w:t>
      </w:r>
      <w:r/>
    </w:p>
    <w:p>
      <w:pPr>
        <w:pStyle w:val="820"/>
        <w:ind w:firstLine="480"/>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0"/>
        <w:ind w:firstLine="480"/>
        <w:spacing w:before="120" w:beforeAutospacing="0" w:after="12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（3）监狱企业标准请参照《关于政府采购支持监狱企业发展有关问题的通知》（财库[2014]68号）。</w:t>
      </w:r>
      <w:r/>
    </w:p>
    <w:p>
      <w:pPr>
        <w:pStyle w:val="820"/>
        <w:ind w:firstLine="480"/>
        <w:spacing w:before="120" w:beforeAutospacing="0" w:after="12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4、残疾人福利单位、监狱企业属于小型、微型企业的，不重复享受政策。</w:t>
      </w:r>
      <w:r/>
    </w:p>
    <w:p>
      <w:pPr>
        <w:pStyle w:val="820"/>
        <w:ind w:firstLine="480"/>
        <w:spacing w:before="120" w:beforeAutospacing="0" w:after="12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820"/>
        <w:spacing w:before="120" w:beforeAutospacing="0" w:after="12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820"/>
        <w:jc w:val="both"/>
        <w:keepNext/>
        <w:spacing w:beforeAutospacing="0" w:afterAutospacing="0" w:line="360" w:lineRule="auto"/>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820"/>
        <w:jc w:val="center"/>
        <w:keepNext/>
        <w:spacing w:beforeAutospacing="0" w:afterAutospacing="0" w:line="360" w:lineRule="auto"/>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820"/>
        <w:jc w:val="center"/>
        <w:keepNext/>
        <w:spacing w:beforeAutospacing="0" w:afterAutospacing="0" w:line="360" w:lineRule="auto"/>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第六章  投标文件格式</w:t>
      </w:r>
      <w:r/>
    </w:p>
    <w:p>
      <w:pPr>
        <w:pStyle w:val="820"/>
        <w:jc w:val="center"/>
        <w:spacing w:beforeAutospacing="0" w:afterAutospacing="0" w:line="360" w:lineRule="auto"/>
        <w:rPr>
          <w:rFonts w:ascii="宋体" w:hAnsi="宋体" w:eastAsia="宋体" w:cs="宋体"/>
          <w:b/>
          <w:color w:val="000000" w:themeColor="text1"/>
          <w:sz w:val="72"/>
          <w:szCs w:val="72"/>
          <w:highlight w:val="none"/>
          <w14:textFill>
            <w14:solidFill>
              <w14:schemeClr w14:val="tx1"/>
            </w14:solidFill>
          </w14:textFill>
        </w:rPr>
      </w:pPr>
      <w:r/>
      <w:bookmarkStart w:id="178" w:name="_Toc49090576"/>
      <w:r/>
      <w:bookmarkEnd w:id="178"/>
      <w:r/>
      <w:bookmarkStart w:id="179" w:name="_Toc120614282"/>
      <w:r/>
      <w:bookmarkEnd w:id="179"/>
      <w:r/>
      <w:bookmarkStart w:id="180" w:name="_Toc26554094"/>
      <w:r/>
      <w:bookmarkStart w:id="181" w:name="_Hlt26955039"/>
      <w:r/>
      <w:bookmarkStart w:id="182" w:name="_Hlt26671244"/>
      <w:r/>
      <w:r/>
    </w:p>
    <w:p>
      <w:pPr>
        <w:pStyle w:val="820"/>
        <w:jc w:val="center"/>
        <w:spacing w:beforeAutospacing="0" w:afterAutospacing="0" w:line="360" w:lineRule="auto"/>
        <w:rPr>
          <w:color w:val="000000" w:themeColor="text1"/>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投  标  文  件</w:t>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 目 名 称：</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820"/>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 目 编 号：</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投标人名称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（加盖CA电子公章）</w:t>
      </w:r>
      <w:r/>
    </w:p>
    <w:p>
      <w:pPr>
        <w:pStyle w:val="820"/>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日   期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center"/>
        <w:spacing w:beforeAutospacing="0" w:afterAutospacing="0" w:line="360" w:lineRule="auto"/>
        <w:rPr>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投标文件目录</w:t>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ind w:left="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i/>
          <w:color w:val="000000" w:themeColor="text1"/>
          <w:sz w:val="21"/>
          <w:szCs w:val="21"/>
          <w:highlight w:val="none"/>
          <w:u w:val="single"/>
          <w14:textFill>
            <w14:solidFill>
              <w14:schemeClr w14:val="tx1"/>
            </w14:solidFill>
          </w14:textFill>
        </w:rPr>
        <w:t xml:space="preserve">一、法人或者其他组织的营业执照等证明文件，自然人的身份证明</w:t>
      </w:r>
      <w:r/>
    </w:p>
    <w:p>
      <w:pPr>
        <w:ind w:firstLine="420"/>
        <w:jc w:val="left"/>
        <w:spacing w:line="360" w:lineRule="auto"/>
        <w:tabs>
          <w:tab w:val="left" w:pos="1331" w:leader="none"/>
        </w:tabs>
        <w:rPr>
          <w:rFonts w:ascii="宋体" w:hAnsi="宋体" w:eastAsia="宋体" w:cs="宋体"/>
          <w:i/>
          <w:color w:val="000000" w:themeColor="text1"/>
          <w:szCs w:val="21"/>
          <w:highlight w:val="none"/>
          <w:u w:val="single"/>
          <w14:textFill>
            <w14:solidFill>
              <w14:schemeClr w14:val="tx1"/>
            </w14:solidFill>
          </w14:textFill>
        </w:rPr>
      </w:pPr>
      <w:r>
        <w:rPr>
          <w:rFonts w:hint="eastAsia" w:ascii="宋体" w:hAnsi="宋体" w:eastAsia="宋体" w:cs="宋体"/>
          <w:i/>
          <w:color w:val="000000" w:themeColor="text1"/>
          <w:szCs w:val="21"/>
          <w:highlight w:val="none"/>
          <w:u w:val="single"/>
          <w14:textFill>
            <w14:solidFill>
              <w14:schemeClr w14:val="tx1"/>
            </w14:solidFill>
          </w14:textFill>
        </w:rPr>
        <w:t xml:space="preserve">二、上一年度的财务状况报表（至少提供资产负债表、利润表，</w:t>
      </w:r>
      <w:r/>
    </w:p>
    <w:p>
      <w:pPr>
        <w:pStyle w:val="820"/>
        <w:ind w:left="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i/>
          <w:color w:val="000000" w:themeColor="text1"/>
          <w:sz w:val="21"/>
          <w:szCs w:val="21"/>
          <w:highlight w:val="none"/>
          <w:u w:val="single"/>
          <w14:textFill>
            <w14:solidFill>
              <w14:schemeClr w14:val="tx1"/>
            </w14:solidFill>
          </w14:textFill>
        </w:rPr>
        <w:t xml:space="preserve">投标人成立不满一年无需提供）</w:t>
      </w:r>
      <w:r/>
    </w:p>
    <w:p>
      <w:pPr>
        <w:pStyle w:val="820"/>
        <w:ind w:left="480"/>
        <w:jc w:val="both"/>
        <w:spacing w:beforeAutospacing="0" w:afterAutospacing="0" w:line="360" w:lineRule="auto"/>
        <w:rPr>
          <w:rFonts w:ascii="宋体" w:hAnsi="宋体" w:eastAsia="宋体" w:cs="宋体"/>
          <w:i/>
          <w:color w:val="000000" w:themeColor="text1"/>
          <w:sz w:val="21"/>
          <w:szCs w:val="21"/>
          <w:highlight w:val="none"/>
          <w:u w:val="single"/>
          <w14:textFill>
            <w14:solidFill>
              <w14:schemeClr w14:val="tx1"/>
            </w14:solidFill>
          </w14:textFill>
        </w:rPr>
      </w:pPr>
      <w:r>
        <w:rPr>
          <w:rFonts w:hint="eastAsia" w:ascii="宋体" w:hAnsi="宋体" w:eastAsia="宋体" w:cs="宋体"/>
          <w:i/>
          <w:color w:val="000000" w:themeColor="text1"/>
          <w:sz w:val="21"/>
          <w:szCs w:val="21"/>
          <w:highlight w:val="none"/>
          <w:u w:val="single"/>
          <w14:textFill>
            <w14:solidFill>
              <w14:schemeClr w14:val="tx1"/>
            </w14:solidFill>
          </w14:textFill>
        </w:rPr>
        <w:t xml:space="preserve">三、具备履行合同所必需的设备和专业技术能力的书面声明</w:t>
      </w:r>
      <w:r/>
    </w:p>
    <w:p>
      <w:pPr>
        <w:pStyle w:val="820"/>
        <w:ind w:left="480"/>
        <w:jc w:val="both"/>
        <w:spacing w:beforeAutospacing="0" w:afterAutospacing="0" w:line="360" w:lineRule="auto"/>
        <w:rPr>
          <w:rFonts w:ascii="宋体" w:hAnsi="宋体" w:eastAsia="宋体" w:cs="宋体"/>
          <w:i/>
          <w:color w:val="000000" w:themeColor="text1"/>
          <w:sz w:val="21"/>
          <w:szCs w:val="21"/>
          <w:highlight w:val="none"/>
          <w:u w:val="single"/>
          <w14:textFill>
            <w14:solidFill>
              <w14:schemeClr w14:val="tx1"/>
            </w14:solidFill>
          </w14:textFill>
        </w:rPr>
      </w:pPr>
      <w:r>
        <w:rPr>
          <w:rFonts w:hint="eastAsia" w:ascii="宋体" w:hAnsi="宋体" w:eastAsia="宋体" w:cs="宋体"/>
          <w:i/>
          <w:color w:val="000000" w:themeColor="text1"/>
          <w:sz w:val="21"/>
          <w:szCs w:val="21"/>
          <w:highlight w:val="none"/>
          <w:u w:val="single"/>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i/>
          <w:color w:val="000000" w:themeColor="text1"/>
          <w:sz w:val="21"/>
          <w:szCs w:val="21"/>
          <w:highlight w:val="none"/>
          <w:u w:val="single"/>
          <w14:textFill>
            <w14:solidFill>
              <w14:schemeClr w14:val="tx1"/>
            </w14:solidFill>
          </w14:textFill>
        </w:rPr>
        <w:t xml:space="preserve">五、参加政府采购活动前 3 年内在经营活动中没有重大违法记录的书面声明</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i/>
          <w:color w:val="000000" w:themeColor="text1"/>
          <w:sz w:val="21"/>
          <w:szCs w:val="21"/>
          <w:highlight w:val="none"/>
          <w:u w:val="single"/>
          <w14:textFill>
            <w14:solidFill>
              <w14:schemeClr w14:val="tx1"/>
            </w14:solidFill>
          </w14:textFill>
        </w:rPr>
        <w:t xml:space="preserve">六、特定资格要求的证明文件（如果本项目设置特定资格要求，则需要提供）</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i/>
          <w:color w:val="000000" w:themeColor="text1"/>
          <w:sz w:val="21"/>
          <w:szCs w:val="21"/>
          <w:highlight w:val="none"/>
          <w:u w:val="single"/>
          <w14:textFill>
            <w14:solidFill>
              <w14:schemeClr w14:val="tx1"/>
            </w14:solidFill>
          </w14:textFill>
        </w:rPr>
        <w:t xml:space="preserve">七、法人授权书</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i/>
          <w:color w:val="000000" w:themeColor="text1"/>
          <w:sz w:val="21"/>
          <w:szCs w:val="21"/>
          <w:highlight w:val="none"/>
          <w:u w:val="single"/>
          <w14:textFill>
            <w14:solidFill>
              <w14:schemeClr w14:val="tx1"/>
            </w14:solidFill>
          </w14:textFill>
        </w:rPr>
        <w:t xml:space="preserve">八、投标函</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九、小微企业声明函</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十、残疾人福利性单位声明函</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十一、联合体协议</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十二、投标分项报价表</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十三、技术要求响应及偏离表</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十四、商务要求响应及偏离表</w:t>
      </w:r>
      <w:r/>
    </w:p>
    <w:p>
      <w:pPr>
        <w:pStyle w:val="820"/>
        <w:ind w:firstLine="480"/>
        <w:jc w:val="both"/>
        <w:spacing w:beforeAutospacing="0" w:afterAutospacing="0" w:line="360" w:lineRule="auto"/>
        <w:rPr>
          <w:rFonts w:ascii="宋体" w:hAnsi="宋体" w:eastAsia="宋体" w:cs="宋体"/>
          <w:i/>
          <w:color w:val="000000" w:themeColor="text1"/>
          <w:sz w:val="21"/>
          <w:szCs w:val="21"/>
          <w:highlight w:val="none"/>
          <w:u w:val="single"/>
          <w14:textFill>
            <w14:solidFill>
              <w14:schemeClr w14:val="tx1"/>
            </w14:solidFill>
          </w14:textFill>
        </w:rPr>
      </w:pPr>
      <w:r>
        <w:rPr>
          <w:rFonts w:hint="eastAsia" w:ascii="宋体" w:hAnsi="宋体" w:eastAsia="宋体" w:cs="宋体"/>
          <w:i/>
          <w:color w:val="000000" w:themeColor="text1"/>
          <w:sz w:val="21"/>
          <w:szCs w:val="21"/>
          <w:highlight w:val="none"/>
          <w:u w:val="single"/>
          <w14:textFill>
            <w14:solidFill>
              <w14:schemeClr w14:val="tx1"/>
            </w14:solidFill>
          </w14:textFill>
        </w:rPr>
        <w:t xml:space="preserve">十五、开标一览表</w:t>
      </w:r>
      <w:r/>
    </w:p>
    <w:p>
      <w:pPr>
        <w:ind w:firstLine="420"/>
        <w:spacing w:before="50" w:after="50"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十六、技术方案、服务承诺、培训承诺等</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十七、盐城市政府采购事前信用承诺书</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黑体" w:hAnsi="宋体" w:eastAsia="黑体" w:cs="黑体"/>
          <w:i/>
          <w:color w:val="000000" w:themeColor="text1"/>
          <w:sz w:val="21"/>
          <w:szCs w:val="21"/>
          <w:highlight w:val="none"/>
          <w:u w:val="single"/>
          <w14:textFill>
            <w14:solidFill>
              <w14:schemeClr w14:val="tx1"/>
            </w14:solidFill>
          </w14:textFill>
        </w:rPr>
        <w:t xml:space="preserve">一、法人或者其他组织的营业执照等证明文件，自然人的身份证明</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both"/>
        <w:spacing w:beforeAutospacing="0" w:afterAutospacing="0" w:line="360" w:lineRule="auto"/>
        <w:rPr>
          <w:rFonts w:eastAsia="黑体"/>
          <w:color w:val="000000" w:themeColor="text1"/>
          <w:sz w:val="21"/>
          <w:szCs w:val="21"/>
          <w:highlight w:val="none"/>
          <w14:textFill>
            <w14:solidFill>
              <w14:schemeClr w14:val="tx1"/>
            </w14:solidFill>
          </w14:textFill>
        </w:rPr>
      </w:pPr>
      <w:r>
        <w:rPr>
          <w:rFonts w:hint="eastAsia" w:ascii="黑体" w:hAnsi="宋体" w:eastAsia="黑体" w:cs="黑体"/>
          <w:i/>
          <w:color w:val="000000" w:themeColor="text1"/>
          <w:sz w:val="21"/>
          <w:szCs w:val="21"/>
          <w:highlight w:val="none"/>
          <w:u w:val="single"/>
          <w14:textFill>
            <w14:solidFill>
              <w14:schemeClr w14:val="tx1"/>
            </w14:solidFill>
          </w14:textFill>
        </w:rPr>
        <w:t xml:space="preserve">二、上一年度的财务状况报表</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财务报表至少应包括资产负债表、利润表。投标人成立不满一年无需提供</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黑体" w:hAnsi="宋体" w:eastAsia="黑体" w:cs="黑体"/>
          <w:i/>
          <w:color w:val="000000" w:themeColor="text1"/>
          <w:sz w:val="21"/>
          <w:szCs w:val="21"/>
          <w:highlight w:val="none"/>
          <w:u w:val="single"/>
          <w14:textFill>
            <w14:solidFill>
              <w14:schemeClr w14:val="tx1"/>
            </w14:solidFill>
          </w14:textFill>
        </w:rPr>
        <w:t xml:space="preserve">三、具备履行合同所必需的设备和专业技术能力的书面声明</w:t>
      </w:r>
      <w:r/>
    </w:p>
    <w:p>
      <w:pPr>
        <w:pStyle w:val="820"/>
        <w:ind w:firstLine="492"/>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20"/>
        <w:ind w:firstLine="492"/>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主要设备有：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主要专业技术能力有：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820"/>
        <w:ind w:right="180" w:firstLine="360"/>
        <w:jc w:val="right"/>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20"/>
        <w:ind w:right="180" w:firstLine="36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企业名称（加盖CA电子公章）：</w:t>
      </w:r>
      <w:r/>
    </w:p>
    <w:p>
      <w:pPr>
        <w:pStyle w:val="820"/>
        <w:ind w:right="480" w:firstLine="540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黑体" w:hAnsi="宋体" w:eastAsia="黑体" w:cs="黑体"/>
          <w:i/>
          <w:color w:val="000000" w:themeColor="text1"/>
          <w:sz w:val="21"/>
          <w:szCs w:val="21"/>
          <w:highlight w:val="none"/>
          <w:u w:val="single"/>
          <w14:textFill>
            <w14:solidFill>
              <w14:schemeClr w14:val="tx1"/>
            </w14:solidFill>
          </w14:textFill>
        </w:rPr>
        <w:t xml:space="preserve">四、依法缴纳税收和社会保障资金的相关材料</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黑体" w:hAnsi="宋体" w:eastAsia="黑体" w:cs="黑体"/>
          <w:i/>
          <w:color w:val="000000" w:themeColor="text1"/>
          <w:sz w:val="21"/>
          <w:szCs w:val="21"/>
          <w:highlight w:val="none"/>
          <w:u w:val="single"/>
          <w14:textFill>
            <w14:solidFill>
              <w14:schemeClr w14:val="tx1"/>
            </w14:solidFill>
          </w14:textFill>
        </w:rPr>
        <w:t xml:space="preserve">五、参加政府采购活动前 3 年内在经营活动中没有重大违法记录的书面声明</w:t>
      </w:r>
      <w:r/>
    </w:p>
    <w:p>
      <w:pPr>
        <w:pStyle w:val="820"/>
        <w:jc w:val="both"/>
        <w:spacing w:beforeAutospacing="0" w:afterAutospacing="0"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                </w:t>
      </w:r>
      <w:r/>
    </w:p>
    <w:p>
      <w:pPr>
        <w:pStyle w:val="820"/>
        <w:ind w:firstLine="1476"/>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 声  明</w:t>
      </w:r>
      <w:r/>
    </w:p>
    <w:p>
      <w:pPr>
        <w:pStyle w:val="820"/>
        <w:ind w:firstLine="855"/>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820"/>
        <w:ind w:firstLine="855"/>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ind w:right="180" w:firstLine="36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企业名称（加盖CA电子公章）：</w:t>
      </w:r>
      <w:r/>
    </w:p>
    <w:p>
      <w:pPr>
        <w:pStyle w:val="820"/>
        <w:ind w:right="480" w:firstLine="540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黑体" w:hAnsi="宋体" w:eastAsia="黑体" w:cs="黑体"/>
          <w:i/>
          <w:color w:val="000000" w:themeColor="text1"/>
          <w:sz w:val="21"/>
          <w:szCs w:val="21"/>
          <w:highlight w:val="none"/>
          <w:u w:val="single"/>
          <w14:textFill>
            <w14:solidFill>
              <w14:schemeClr w14:val="tx1"/>
            </w14:solidFill>
          </w14:textFill>
        </w:rPr>
        <w:t xml:space="preserve">六、特定资格要求的证明文件</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如果本项目申请人的特定资格要求中要求提供的，必须提供。</w:t>
      </w:r>
      <w:r/>
    </w:p>
    <w:p>
      <w:pPr>
        <w:pStyle w:val="820"/>
        <w:spacing w:beforeAutospacing="0" w:afterAutospacing="0" w:line="360" w:lineRule="auto"/>
        <w:rPr>
          <w:rFonts w:ascii="黑体" w:hAnsi="宋体" w:eastAsia="黑体" w:cs="黑体"/>
          <w:i/>
          <w:color w:val="000000" w:themeColor="text1"/>
          <w:sz w:val="32"/>
          <w:szCs w:val="32"/>
          <w:highlight w:val="none"/>
          <w:u w:val="single"/>
          <w14:textFill>
            <w14:solidFill>
              <w14:schemeClr w14:val="tx1"/>
            </w14:solidFill>
          </w14:textFill>
        </w:rPr>
      </w:pPr>
      <w:r/>
      <w:bookmarkStart w:id="183" w:name="_Toc120614284"/>
      <w:r/>
      <w:r/>
    </w:p>
    <w:p>
      <w:pPr>
        <w:pStyle w:val="820"/>
        <w:spacing w:beforeAutospacing="0" w:afterAutospacing="0" w:line="360" w:lineRule="auto"/>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20"/>
        <w:spacing w:beforeAutospacing="0" w:afterAutospacing="0" w:line="360" w:lineRule="auto"/>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20"/>
        <w:jc w:val="center"/>
        <w:spacing w:beforeAutospacing="0" w:afterAutospacing="0" w:line="360" w:lineRule="auto"/>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20"/>
        <w:numPr>
          <w:ilvl w:val="0"/>
          <w:numId w:val="2"/>
        </w:numPr>
        <w:jc w:val="center"/>
        <w:spacing w:beforeAutospacing="0" w:afterAutospacing="0" w:line="360" w:lineRule="auto"/>
        <w:rPr>
          <w:rFonts w:ascii="黑体" w:hAnsi="宋体" w:eastAsia="黑体" w:cs="黑体"/>
          <w:i/>
          <w:color w:val="000000" w:themeColor="text1"/>
          <w:sz w:val="32"/>
          <w:szCs w:val="32"/>
          <w:highlight w:val="none"/>
          <w:u w:val="single"/>
          <w14:textFill>
            <w14:solidFill>
              <w14:schemeClr w14:val="tx1"/>
            </w14:solidFill>
          </w14:textFill>
        </w:rPr>
      </w:pPr>
      <w:r>
        <w:rPr>
          <w:rFonts w:hint="eastAsia" w:ascii="黑体" w:hAnsi="宋体" w:eastAsia="黑体" w:cs="黑体"/>
          <w:i/>
          <w:color w:val="000000" w:themeColor="text1"/>
          <w:sz w:val="32"/>
          <w:szCs w:val="32"/>
          <w:highlight w:val="none"/>
          <w:u w:val="single"/>
          <w14:textFill>
            <w14:solidFill>
              <w14:schemeClr w14:val="tx1"/>
            </w14:solidFill>
          </w14:textFill>
        </w:rPr>
        <w:t xml:space="preserve">法人授权书</w:t>
      </w:r>
      <w:r/>
    </w:p>
    <w:p>
      <w:pPr>
        <w:pStyle w:val="820"/>
        <w:jc w:val="both"/>
        <w:spacing w:beforeAutospacing="0" w:afterAutospacing="0" w:line="360" w:lineRule="auto"/>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820"/>
        <w:ind w:firstLine="480"/>
        <w:jc w:val="both"/>
        <w:spacing w:beforeAutospacing="0" w:afterAutospacing="0" w:line="360" w:lineRule="auto"/>
        <w:tabs>
          <w:tab w:val="left" w:pos="360" w:leader="none"/>
        </w:tabs>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本授权书声明：____________（投标人名称）授权________________（被授权人的姓名）为我方就JSZC-</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号项目采购活动的合法代理人，以本单位名义全权处理一切与该项目采购有关的事务。</w:t>
      </w:r>
      <w:r/>
    </w:p>
    <w:p>
      <w:pPr>
        <w:pStyle w:val="820"/>
        <w:ind w:firstLine="480"/>
        <w:jc w:val="both"/>
        <w:spacing w:beforeAutospacing="0" w:afterAutospacing="0" w:line="360" w:lineRule="auto"/>
        <w:tabs>
          <w:tab w:val="left" w:pos="360" w:leader="none"/>
        </w:tabs>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本授权书于______年____月____日起生效，特此声明。</w:t>
      </w:r>
      <w:r/>
    </w:p>
    <w:p>
      <w:pPr>
        <w:pStyle w:val="820"/>
        <w:jc w:val="both"/>
        <w:spacing w:beforeAutospacing="0" w:afterAutospacing="0" w:line="360" w:lineRule="auto"/>
        <w:tabs>
          <w:tab w:val="left" w:pos="360" w:leader="none"/>
        </w:tabs>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          被授权人身份证号码：</w:t>
      </w:r>
      <w:r>
        <w:rPr>
          <w:rFonts w:ascii="Times New Roman" w:hAnsi="Times New Roman"/>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tabs>
          <w:tab w:val="left" w:pos="360" w:leader="none"/>
        </w:tabs>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          被授权人联系电话：（手机）</w:t>
      </w:r>
      <w:r>
        <w:rPr>
          <w:rFonts w:ascii="Times New Roman" w:hAnsi="Times New Roman"/>
          <w:color w:val="000000" w:themeColor="text1"/>
          <w:sz w:val="21"/>
          <w:szCs w:val="21"/>
          <w:highlight w:val="none"/>
          <w:u w:val="single"/>
          <w14:textFill>
            <w14:solidFill>
              <w14:schemeClr w14:val="tx1"/>
            </w14:solidFill>
          </w14:textFill>
        </w:rPr>
        <w:t xml:space="preserve">                          </w:t>
      </w:r>
      <w:r/>
    </w:p>
    <w:p>
      <w:pPr>
        <w:pStyle w:val="820"/>
        <w:ind w:firstLine="1200"/>
        <w:jc w:val="both"/>
        <w:spacing w:beforeAutospacing="0" w:afterAutospacing="0" w:line="360" w:lineRule="auto"/>
        <w:tabs>
          <w:tab w:val="left" w:pos="360" w:leader="none"/>
        </w:tabs>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授权单位名称：</w:t>
      </w:r>
      <w:r>
        <w:rPr>
          <w:rFonts w:ascii="Times New Roman" w:hAnsi="Times New Roman"/>
          <w:color w:val="000000" w:themeColor="text1"/>
          <w:sz w:val="21"/>
          <w:szCs w:val="21"/>
          <w:highlight w:val="none"/>
          <w:u w:val="single"/>
          <w14:textFill>
            <w14:solidFill>
              <w14:schemeClr w14:val="tx1"/>
            </w14:solidFill>
          </w14:textFill>
        </w:rPr>
        <w:t xml:space="preserve">（加盖CA电子公章）</w:t>
      </w:r>
      <w:r/>
    </w:p>
    <w:p>
      <w:pPr>
        <w:pStyle w:val="820"/>
        <w:ind w:firstLine="480"/>
        <w:jc w:val="both"/>
        <w:spacing w:beforeAutospacing="0" w:afterAutospacing="0" w:line="360" w:lineRule="auto"/>
        <w:tabs>
          <w:tab w:val="left" w:pos="360" w:leader="none"/>
        </w:tabs>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      单位地址：</w:t>
      </w:r>
      <w:r>
        <w:rPr>
          <w:rFonts w:ascii="Times New Roman" w:hAnsi="Times New Roman"/>
          <w:color w:val="000000" w:themeColor="text1"/>
          <w:sz w:val="21"/>
          <w:szCs w:val="21"/>
          <w:highlight w:val="none"/>
          <w:u w:val="single"/>
          <w14:textFill>
            <w14:solidFill>
              <w14:schemeClr w14:val="tx1"/>
            </w14:solidFill>
          </w14:textFill>
        </w:rPr>
        <w:t xml:space="preserve">                                         </w:t>
      </w:r>
      <w:r/>
    </w:p>
    <w:p>
      <w:pPr>
        <w:pStyle w:val="820"/>
        <w:ind w:firstLine="480"/>
        <w:jc w:val="both"/>
        <w:spacing w:beforeAutospacing="0" w:afterAutospacing="0" w:line="360" w:lineRule="auto"/>
        <w:tabs>
          <w:tab w:val="left" w:pos="360" w:leader="none"/>
        </w:tabs>
        <w:rPr>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      日期：</w:t>
      </w:r>
      <w:bookmarkStart w:id="184" w:name="_格式3__银行出具的资信证明"/>
      <w:r/>
      <w:bookmarkStart w:id="185" w:name="_Hlt26671380"/>
      <w:r/>
      <w:bookmarkStart w:id="186" w:name="_Hlt26955070"/>
      <w:r>
        <w:rPr>
          <w:rFonts w:ascii="Times New Roman" w:hAnsi="Times New Roman"/>
          <w:color w:val="000000" w:themeColor="text1"/>
          <w:sz w:val="21"/>
          <w:szCs w:val="21"/>
          <w:highlight w:val="none"/>
          <w:u w:val="single"/>
          <w14:textFill>
            <w14:solidFill>
              <w14:schemeClr w14:val="tx1"/>
            </w14:solidFill>
          </w14:textFill>
        </w:rPr>
        <w:t xml:space="preserve">                                         </w:t>
      </w:r>
      <w:r/>
    </w:p>
    <w:p>
      <w:pPr>
        <w:pStyle w:val="820"/>
        <w:ind w:firstLine="4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ind w:firstLine="3390"/>
        <w:jc w:val="both"/>
        <w:keepLines/>
        <w:keepNext/>
        <w:spacing w:before="260" w:beforeAutospacing="0" w:after="260" w:afterAutospacing="0" w:line="360" w:lineRule="auto"/>
        <w:rPr>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黑体" w:hAnsi="宋体" w:eastAsia="黑体" w:cs="黑体"/>
          <w:b/>
          <w:i/>
          <w:color w:val="000000" w:themeColor="text1"/>
          <w:sz w:val="32"/>
          <w:szCs w:val="32"/>
          <w:highlight w:val="none"/>
          <w:u w:val="single"/>
          <w14:textFill>
            <w14:solidFill>
              <w14:schemeClr w14:val="tx1"/>
            </w14:solidFill>
          </w14:textFill>
        </w:rPr>
        <w:t xml:space="preserve">八、投标函</w:t>
      </w:r>
      <w:r/>
    </w:p>
    <w:p>
      <w:pPr>
        <w:pStyle w:val="82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致：采购人</w:t>
      </w:r>
      <w:r/>
    </w:p>
    <w:p>
      <w:pPr>
        <w:pStyle w:val="820"/>
        <w:ind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根据贵方的JSZC-***</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号招标文件，正式授权下述签字人_________________(姓名)代表我方______________（投标人的名称），全权处理本次项目投标的有关事宜。</w:t>
      </w:r>
      <w:r/>
    </w:p>
    <w:p>
      <w:pPr>
        <w:pStyle w:val="820"/>
        <w:ind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据此函，签字人兹宣布同意如下：</w:t>
      </w:r>
      <w:r/>
    </w:p>
    <w:p>
      <w:pPr>
        <w:pStyle w:val="820"/>
        <w:ind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1.按招标文件规定的各项要求，向买方提供所需货物（包含与货物相关的服务）。</w:t>
      </w:r>
      <w:r/>
    </w:p>
    <w:p>
      <w:pPr>
        <w:pStyle w:val="820"/>
        <w:ind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2.我们完全理解贵方不一定将合同授予最低报价的投标人。</w:t>
      </w:r>
      <w:r/>
    </w:p>
    <w:p>
      <w:pPr>
        <w:pStyle w:val="820"/>
        <w:ind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820"/>
        <w:ind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820"/>
        <w:ind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820"/>
        <w:ind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820"/>
        <w:ind w:left="425"/>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7.与本投标有关的正式通讯地址为：</w:t>
      </w:r>
      <w:r/>
    </w:p>
    <w:p>
      <w:pPr>
        <w:pStyle w:val="820"/>
        <w:ind w:left="420"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p>
    <w:p>
      <w:pPr>
        <w:pStyle w:val="820"/>
        <w:ind w:left="420"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          编：</w:t>
      </w:r>
      <w:r/>
    </w:p>
    <w:p>
      <w:pPr>
        <w:pStyle w:val="820"/>
        <w:ind w:left="420"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w:t>
      </w:r>
      <w:r/>
    </w:p>
    <w:p>
      <w:pPr>
        <w:pStyle w:val="820"/>
        <w:ind w:left="420"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          真：</w:t>
      </w:r>
      <w:r/>
    </w:p>
    <w:p>
      <w:pPr>
        <w:pStyle w:val="820"/>
        <w:ind w:left="420"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投标人开户行：</w:t>
      </w:r>
      <w:r/>
    </w:p>
    <w:p>
      <w:pPr>
        <w:pStyle w:val="820"/>
        <w:ind w:left="420"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账          号： </w:t>
      </w:r>
      <w:r/>
    </w:p>
    <w:p>
      <w:pPr>
        <w:pStyle w:val="820"/>
        <w:ind w:left="420" w:firstLine="48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期：________年____月____日</w:t>
      </w:r>
      <w:r/>
    </w:p>
    <w:p>
      <w:pPr>
        <w:pStyle w:val="820"/>
        <w:ind w:firstLine="24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ind w:firstLine="24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ind w:firstLine="24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ind w:firstLine="24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ind w:firstLine="24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ind w:firstLine="24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ind w:firstLine="321"/>
        <w:jc w:val="center"/>
        <w:spacing w:beforeAutospacing="0" w:afterAutospacing="0" w:line="360" w:lineRule="auto"/>
        <w:rPr>
          <w:color w:val="000000" w:themeColor="text1"/>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t xml:space="preserve">九、小微企业声明函（货物）（分包号：**）</w:t>
      </w:r>
      <w:r/>
    </w:p>
    <w:p>
      <w:pPr>
        <w:pStyle w:val="820"/>
        <w:ind w:firstLine="36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1"/>
          <w:szCs w:val="21"/>
          <w:highlight w:val="none"/>
          <w14:textFill>
            <w14:solidFill>
              <w14:schemeClr w14:val="tx1"/>
            </w14:solidFill>
          </w14:textFill>
        </w:rPr>
        <w:t xml:space="preserve">采购编号为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（项目名称）（分包号：**）</w:t>
      </w:r>
      <w:r>
        <w:rPr>
          <w:rFonts w:hint="eastAsia" w:ascii="宋体" w:hAnsi="宋体" w:eastAsia="宋体" w:cs="宋体"/>
          <w:color w:val="000000" w:themeColor="text1"/>
          <w:sz w:val="21"/>
          <w:szCs w:val="21"/>
          <w:highlight w:val="none"/>
          <w14:textFill>
            <w14:solidFill>
              <w14:schemeClr w14:val="tx1"/>
            </w14:solidFill>
          </w14:textFill>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20"/>
        <w:numPr>
          <w:ilvl w:val="0"/>
          <w:numId w:val="3"/>
        </w:numPr>
        <w:ind w:firstLine="36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i/>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i/>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i/>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行业；制造商为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（小型企业、微型企业）；</w:t>
      </w:r>
      <w:r/>
    </w:p>
    <w:p>
      <w:pPr>
        <w:pStyle w:val="820"/>
        <w:numPr>
          <w:ilvl w:val="0"/>
          <w:numId w:val="3"/>
        </w:numPr>
        <w:ind w:left="0" w:firstLine="36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i/>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i/>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行业；制造商为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（小型企业、微型企业）；</w:t>
      </w:r>
      <w:r/>
    </w:p>
    <w:p>
      <w:pPr>
        <w:pStyle w:val="820"/>
        <w:ind w:firstLine="36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820"/>
        <w:ind w:firstLine="36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20"/>
        <w:ind w:firstLine="36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pStyle w:val="820"/>
        <w:ind w:right="7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ind w:right="180" w:firstLine="360"/>
        <w:jc w:val="right"/>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企业名称（加盖CA电子公章）：</w:t>
      </w:r>
      <w:r/>
    </w:p>
    <w:p>
      <w:pPr>
        <w:pStyle w:val="820"/>
        <w:ind w:right="480" w:firstLine="540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p>
    <w:p>
      <w:pPr>
        <w:pStyle w:val="820"/>
        <w:ind w:firstLine="36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备注1：从业人员、营业收入、资产总额填报上一年度数据，无上一年度数据的新成立企业可不填报。</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备注2：供应商如不提供此声明函，价格将不做相应扣除。</w:t>
      </w:r>
      <w:r/>
    </w:p>
    <w:p>
      <w:pPr>
        <w:pStyle w:val="820"/>
        <w:jc w:val="center"/>
        <w:spacing w:beforeAutospacing="0" w:afterAutospacing="0" w:line="360" w:lineRule="auto"/>
        <w:rPr>
          <w:color w:val="000000" w:themeColor="text1"/>
          <w:sz w:val="28"/>
          <w:szCs w:val="28"/>
          <w:highlight w:val="none"/>
          <w14:textFill>
            <w14:solidFill>
              <w14:schemeClr w14:val="tx1"/>
            </w14:solidFill>
          </w14:textFill>
        </w:rPr>
      </w:pPr>
      <w:r>
        <w:rPr>
          <w:rFonts w:hint="eastAsia" w:ascii="黑体" w:hAnsi="宋体" w:eastAsia="黑体" w:cs="黑体"/>
          <w:b/>
          <w:color w:val="000000" w:themeColor="text1"/>
          <w:sz w:val="21"/>
          <w:szCs w:val="21"/>
          <w:highlight w:val="none"/>
          <w14:textFill>
            <w14:solidFill>
              <w14:schemeClr w14:val="tx1"/>
            </w14:solidFill>
          </w14:textFill>
        </w:rPr>
        <w:br w:type="page" w:clear="all"/>
      </w:r>
      <w:r>
        <w:rPr>
          <w:rFonts w:hint="eastAsia" w:ascii="黑体" w:hAnsi="宋体" w:eastAsia="黑体" w:cs="黑体"/>
          <w:b/>
          <w:color w:val="000000" w:themeColor="text1"/>
          <w:sz w:val="28"/>
          <w:szCs w:val="28"/>
          <w:highlight w:val="none"/>
          <w14:textFill>
            <w14:solidFill>
              <w14:schemeClr w14:val="tx1"/>
            </w14:solidFill>
          </w14:textFill>
        </w:rPr>
        <w:t xml:space="preserve"> 十、残疾人福利性单位声明函（分包号：**）</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pStyle w:val="820"/>
        <w:ind w:firstLine="624"/>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ind w:right="1560" w:firstLine="624"/>
        <w:jc w:val="center"/>
        <w:spacing w:beforeAutospacing="0" w:afterAutospacing="0" w:line="360" w:lineRule="auto"/>
        <w:tabs>
          <w:tab w:val="left" w:pos="4864" w:leader="none"/>
        </w:tabs>
        <w:rPr>
          <w:color w:val="000000" w:themeColor="text1"/>
          <w:sz w:val="21"/>
          <w:szCs w:val="21"/>
          <w:highlight w:val="none"/>
          <w14:textFill>
            <w14:solidFill>
              <w14:schemeClr w14:val="tx1"/>
            </w14:solidFill>
          </w14:textFill>
        </w:rPr>
      </w:pPr>
      <w:r>
        <w:rPr>
          <w:rFonts w:ascii="仿宋_GB2312" w:eastAsia="仿宋_GB2312" w:cs="仿宋_GB2312"/>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供应商全称（加盖CA电子公章）：</w:t>
      </w:r>
      <w:r/>
    </w:p>
    <w:p>
      <w:pPr>
        <w:pStyle w:val="820"/>
        <w:ind w:right="1560" w:firstLine="480"/>
        <w:jc w:val="center"/>
        <w:spacing w:beforeAutospacing="0" w:afterAutospacing="0" w:line="360" w:lineRule="auto"/>
        <w:tabs>
          <w:tab w:val="left" w:pos="4864" w:leader="none"/>
        </w:tabs>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日  期：</w:t>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center"/>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both"/>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0"/>
        <w:jc w:val="center"/>
        <w:spacing w:beforeAutospacing="0" w:afterAutospacing="0" w:line="360" w:lineRule="auto"/>
        <w:rPr>
          <w:color w:val="000000" w:themeColor="text1"/>
          <w:sz w:val="28"/>
          <w:szCs w:val="28"/>
          <w:highlight w:val="none"/>
          <w14:textFill>
            <w14:solidFill>
              <w14:schemeClr w14:val="tx1"/>
            </w14:solidFill>
          </w14:textFill>
        </w:rPr>
      </w:pPr>
      <w:r>
        <w:rPr>
          <w:rFonts w:hint="eastAsia" w:ascii="黑体" w:hAnsi="宋体" w:eastAsia="黑体" w:cs="黑体"/>
          <w:b/>
          <w:color w:val="000000" w:themeColor="text1"/>
          <w:sz w:val="28"/>
          <w:szCs w:val="28"/>
          <w:highlight w:val="none"/>
          <w14:textFill>
            <w14:solidFill>
              <w14:schemeClr w14:val="tx1"/>
            </w14:solidFill>
          </w14:textFill>
        </w:rPr>
        <w:t xml:space="preserve">十一、投标分项报价表（分包号：***）</w:t>
      </w:r>
      <w:r/>
    </w:p>
    <w:tbl>
      <w:tblPr>
        <w:tblStyle w:val="816"/>
        <w:tblW w:w="9316"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97"/>
        <w:gridCol w:w="1373"/>
        <w:gridCol w:w="1031"/>
        <w:gridCol w:w="1444"/>
        <w:gridCol w:w="1050"/>
        <w:gridCol w:w="803"/>
        <w:gridCol w:w="1267"/>
        <w:gridCol w:w="892"/>
        <w:gridCol w:w="859"/>
      </w:tblGrid>
      <w:tr>
        <w:trPr>
          <w:tblCellSpacing w:w="0" w:type="dxa"/>
          <w:trHeight w:val="94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产品</w:t>
            </w:r>
            <w:r/>
          </w:p>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规格</w:t>
            </w:r>
            <w:r/>
          </w:p>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分项总价</w:t>
            </w:r>
            <w:r/>
          </w:p>
        </w:tc>
      </w:tr>
      <w:tr>
        <w:trPr>
          <w:tblCellSpacing w:w="0" w:type="dxa"/>
          <w:trHeight w:val="1246"/>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820"/>
              <w:jc w:val="center"/>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塑料</w:t>
            </w:r>
            <w:r>
              <w:rPr>
                <w:rFonts w:hint="eastAsia" w:ascii="宋体" w:hAnsi="宋体" w:eastAsia="宋体" w:cs="宋体"/>
                <w:color w:val="000000" w:themeColor="text1"/>
                <w:szCs w:val="21"/>
                <w:highlight w:val="none"/>
                <w:lang w:eastAsia="zh-CN"/>
                <w14:textFill>
                  <w14:solidFill>
                    <w14:schemeClr w14:val="tx1"/>
                  </w14:solidFill>
                </w14:textFill>
              </w:rPr>
              <w:t xml:space="preserve">240L垃圾桶</w:t>
            </w:r>
            <w:r>
              <w:rPr>
                <w:rFonts w:hint="eastAsia" w:ascii="宋体" w:hAnsi="宋体" w:eastAsia="宋体" w:cs="宋体"/>
                <w:color w:val="000000" w:themeColor="text1"/>
                <w:szCs w:val="21"/>
                <w:highlight w:val="none"/>
                <w14:textFill>
                  <w14:solidFill>
                    <w14:schemeClr w14:val="tx1"/>
                  </w14:solidFill>
                </w14:textFill>
              </w:rPr>
              <w:br/>
            </w:r>
            <w:r>
              <w:rPr>
                <w:rFonts w:hint="eastAsia" w:ascii="宋体" w:hAnsi="宋体" w:eastAsia="宋体" w:cs="宋体"/>
                <w:color w:val="000000" w:themeColor="text1"/>
                <w:szCs w:val="21"/>
                <w:highlight w:val="none"/>
                <w14:textFill>
                  <w14:solidFill>
                    <w14:schemeClr w14:val="tx1"/>
                  </w14:solidFill>
                </w14:textFill>
              </w:rPr>
              <w:t xml:space="preserve">(240升/只)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rFonts w:hint="eastAsia" w:asciiTheme="minorEastAsia" w:hAnsiTheme="minorEastAsia" w:cstheme="minorEastAsia"/>
                <w:color w:val="000000" w:themeColor="text1"/>
                <w:szCs w:val="21"/>
                <w:highlight w:val="none"/>
                <w14:textFill>
                  <w14:solidFill>
                    <w14:schemeClr w14:val="tx1"/>
                  </w14:solidFill>
                </w14:textFill>
              </w:rPr>
              <w:t xml:space="preserve">详见采购需求</w:t>
            </w:r>
            <w:r>
              <w:rPr>
                <w:rFonts w:hint="eastAsia" w:asciiTheme="minorEastAsia" w:hAnsiTheme="minorEastAsia" w:cstheme="minorEastAsia"/>
                <w:b/>
                <w:bCs/>
                <w:color w:val="000000" w:themeColor="text1"/>
                <w:szCs w:val="21"/>
                <w:highlight w:val="none"/>
                <w14:textFill>
                  <w14:solidFill>
                    <w14:schemeClr w14:val="tx1"/>
                  </w14:solidFill>
                </w14:textFill>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eastAsia="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13998</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blCellSpacing w:w="0" w:type="dxa"/>
          <w:trHeight w:val="94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820"/>
              <w:jc w:val="center"/>
              <w:spacing w:beforeAutospacing="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center"/>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四类垃圾分类亭</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spacing w:line="360" w:lineRule="auto"/>
              <w:rPr>
                <w:color w:val="000000" w:themeColor="text1"/>
                <w:szCs w:val="21"/>
                <w:highlight w:val="none"/>
                <w14:textFill>
                  <w14:solidFill>
                    <w14:schemeClr w14:val="tx1"/>
                  </w14:solidFill>
                </w14:textFill>
              </w:rPr>
            </w:pPr>
            <w:r>
              <w:rPr>
                <w:rFonts w:hint="eastAsia" w:asciiTheme="minorEastAsia" w:hAnsiTheme="minorEastAsia" w:cstheme="minorEastAsia"/>
                <w:color w:val="000000" w:themeColor="text1"/>
                <w:szCs w:val="21"/>
                <w:highlight w:val="none"/>
                <w14:textFill>
                  <w14:solidFill>
                    <w14:schemeClr w14:val="tx1"/>
                  </w14:solidFill>
                </w14:textFill>
              </w:rPr>
              <w:t xml:space="preserve">详见采购需求</w:t>
            </w:r>
            <w:r>
              <w:rPr>
                <w:rFonts w:hint="eastAsia" w:asciiTheme="minorEastAsia" w:hAnsiTheme="minorEastAsia" w:cstheme="minorEastAsia"/>
                <w:b/>
                <w:bCs/>
                <w:color w:val="000000" w:themeColor="text1"/>
                <w:szCs w:val="21"/>
                <w:highlight w:val="none"/>
                <w14:textFill>
                  <w14:solidFill>
                    <w14:schemeClr w14:val="tx1"/>
                  </w14:solidFill>
                </w14:textFill>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eastAsia="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539</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blCellSpacing w:w="0" w:type="dxa"/>
          <w:trHeight w:val="1032"/>
        </w:trPr>
        <w:tc>
          <w:tcPr>
            <w:gridSpan w:val="8"/>
            <w:shd w:val="clear" w:color="auto" w:fill="auto"/>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r>
    </w:tbl>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投标分项报价表</w:t>
      </w:r>
      <w:r>
        <w:rPr>
          <w:rFonts w:ascii="Times New Roman" w:hAnsi="Times New Roman"/>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中“投标总报价”数额应当与“开标一览表”中“投标总报价”数额一致。</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center"/>
        <w:spacing w:beforeAutospacing="0" w:afterAutospacing="0" w:line="360" w:lineRule="auto"/>
        <w:rPr>
          <w:color w:val="000000" w:themeColor="text1"/>
          <w:sz w:val="28"/>
          <w:szCs w:val="28"/>
          <w:highlight w:val="none"/>
          <w14:textFill>
            <w14:solidFill>
              <w14:schemeClr w14:val="tx1"/>
            </w14:solidFill>
          </w14:textFill>
        </w:rPr>
      </w:pPr>
      <w:r/>
      <w:bookmarkStart w:id="187" w:name="_Hlt26955054"/>
      <w:r>
        <w:rPr>
          <w:rFonts w:hint="eastAsia" w:ascii="黑体" w:hAnsi="宋体" w:eastAsia="黑体" w:cs="黑体"/>
          <w:b/>
          <w:color w:val="000000" w:themeColor="text1"/>
          <w:sz w:val="28"/>
          <w:szCs w:val="28"/>
          <w:highlight w:val="none"/>
          <w14:textFill>
            <w14:solidFill>
              <w14:schemeClr w14:val="tx1"/>
            </w14:solidFill>
          </w14:textFill>
        </w:rPr>
        <w:t xml:space="preserve">十</w:t>
      </w:r>
      <w:r>
        <w:rPr>
          <w:rFonts w:hint="eastAsia" w:ascii="黑体" w:hAnsi="宋体" w:eastAsia="黑体" w:cs="黑体"/>
          <w:b/>
          <w:color w:val="000000" w:themeColor="text1"/>
          <w:sz w:val="28"/>
          <w:szCs w:val="28"/>
          <w:highlight w:val="none"/>
          <w:lang w:val="en-US" w:eastAsia="zh-CN"/>
          <w14:textFill>
            <w14:solidFill>
              <w14:schemeClr w14:val="tx1"/>
            </w14:solidFill>
          </w14:textFill>
        </w:rPr>
        <w:t xml:space="preserve">二</w:t>
      </w:r>
      <w:r>
        <w:rPr>
          <w:rFonts w:hint="eastAsia" w:ascii="黑体" w:hAnsi="宋体" w:eastAsia="黑体" w:cs="黑体"/>
          <w:b/>
          <w:color w:val="000000" w:themeColor="text1"/>
          <w:sz w:val="28"/>
          <w:szCs w:val="28"/>
          <w:highlight w:val="none"/>
          <w14:textFill>
            <w14:solidFill>
              <w14:schemeClr w14:val="tx1"/>
            </w14:solidFill>
          </w14:textFill>
        </w:rPr>
        <w:t xml:space="preserve">、商务要求响应及偏离表（分包号：**）</w:t>
      </w:r>
      <w:r/>
    </w:p>
    <w:tbl>
      <w:tblPr>
        <w:tblStyle w:val="81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bookmarkStart w:id="188" w:name="_Hlt26671372"/>
            <w:r/>
            <w:bookmarkStart w:id="189" w:name="_Hlt26955064"/>
            <w:r/>
            <w:bookmarkStart w:id="190" w:name="_Hlt26580838"/>
            <w:r/>
            <w:bookmarkStart w:id="191" w:name="_Hlt26955056"/>
            <w:r/>
            <w:bookmarkStart w:id="192" w:name="_Hlt26609391"/>
            <w:r/>
            <w:bookmarkStart w:id="193" w:name="_Hlt24879081"/>
            <w:r/>
            <w:bookmarkStart w:id="194" w:name="_Hlt26671343"/>
            <w:r/>
            <w:bookmarkStart w:id="195" w:name="_Hlt26782999"/>
            <w:r>
              <w:rPr>
                <w:rFonts w:hint="eastAsia" w:ascii="宋体" w:hAnsi="宋体" w:eastAsia="宋体" w:cs="宋体"/>
                <w:color w:val="000000" w:themeColor="text1"/>
                <w:sz w:val="21"/>
                <w:szCs w:val="21"/>
                <w:highlight w:val="none"/>
                <w14:textFill>
                  <w14:solidFill>
                    <w14:schemeClr w14:val="tx1"/>
                  </w14:solidFill>
                </w14:textFill>
              </w:rPr>
              <w:t xml:space="preserve">序号</w:t>
            </w:r>
            <w:bookmarkEnd w:id="188"/>
            <w:r/>
            <w:bookmarkEnd w:id="189"/>
            <w:r/>
            <w:bookmarkEnd w:id="190"/>
            <w:r/>
            <w:bookmarkEnd w:id="191"/>
            <w:r/>
            <w:bookmarkEnd w:id="192"/>
            <w:r/>
            <w:bookmarkEnd w:id="193"/>
            <w:r/>
            <w:bookmarkEnd w:id="194"/>
            <w:r/>
            <w:bookmarkEnd w:id="195"/>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证明</w:t>
            </w:r>
            <w:r/>
          </w:p>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line="360" w:lineRule="auto"/>
              <w:rPr>
                <w:rFonts w:hint="eastAsia" w:eastAsiaTheme="minorEastAsia"/>
                <w:color w:val="000000" w:themeColor="text1"/>
                <w:sz w:val="21"/>
                <w:szCs w:val="21"/>
                <w:highlight w:val="non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 xml:space="preserve"> </w:t>
            </w:r>
            <w:r>
              <w:rPr>
                <w:rFonts w:hint="eastAsia"/>
                <w:color w:val="000000" w:themeColor="text1"/>
                <w:sz w:val="21"/>
                <w:szCs w:val="2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质保期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line="360" w:lineRule="auto"/>
              <w:rPr>
                <w:rFonts w:hint="eastAsia" w:eastAsiaTheme="minorEastAsia"/>
                <w:color w:val="000000" w:themeColor="text1"/>
                <w:sz w:val="21"/>
                <w:szCs w:val="21"/>
                <w:highlight w:val="non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 xml:space="preserve"> </w:t>
            </w:r>
            <w:r>
              <w:rPr>
                <w:rFonts w:hint="eastAsia"/>
                <w:color w:val="000000" w:themeColor="text1"/>
                <w:sz w:val="21"/>
                <w:szCs w:val="2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合同履行期限</w:t>
            </w: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3</w:t>
            </w: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质量要求</w:t>
            </w: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line="360" w:lineRule="auto"/>
              <w:rPr>
                <w:rFonts w:hint="eastAsia" w:eastAsiaTheme="minor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line="360" w:lineRule="auto"/>
              <w:rPr>
                <w:rFonts w:hint="default" w:eastAsiaTheme="minor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0"/>
              <w:jc w:val="center"/>
              <w:spacing w:beforeAutospacing="0" w:afterAutospacing="0" w:line="360" w:lineRule="auto"/>
              <w:rPr>
                <w:rFonts w:hint="default" w:eastAsiaTheme="minorEastAsia"/>
                <w:color w:val="000000" w:themeColor="text1"/>
                <w:sz w:val="21"/>
                <w:szCs w:val="21"/>
                <w:highlight w:val="none"/>
                <w:lang w:val="en-US" w:eastAsia="zh-CN"/>
                <w14:textFill>
                  <w14:solidFill>
                    <w14:schemeClr w14:val="tx1"/>
                  </w14:solidFill>
                </w14:textFill>
              </w:rPr>
            </w:pPr>
            <w:r>
              <w:rPr>
                <w:rFonts w:hint="default" w:eastAsiaTheme="minorEastAsia"/>
                <w:color w:val="000000" w:themeColor="text1"/>
                <w:sz w:val="21"/>
                <w:szCs w:val="21"/>
                <w:highlight w:val="none"/>
                <w:lang w:val="en-US"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tc>
      </w:tr>
    </w:tbl>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 行数不够，可自行添加。</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bookmarkStart w:id="196" w:name="_Hlt26609389"/>
      <w:r/>
      <w:bookmarkStart w:id="197" w:name="_Toc462564146"/>
      <w:r/>
      <w:bookmarkStart w:id="198" w:name="_Hlt26671374"/>
      <w:r/>
      <w:bookmarkStart w:id="199" w:name="_Hlt26955066"/>
      <w:r/>
      <w:bookmarkStart w:id="200" w:name="_格式2__法定代表人授权书"/>
      <w:r>
        <w:rPr>
          <w:color w:val="000000" w:themeColor="text1"/>
          <w:sz w:val="21"/>
          <w:szCs w:val="2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sz w:val="28"/>
          <w:szCs w:val="28"/>
          <w:highlight w:val="none"/>
          <w14:textFill>
            <w14:solidFill>
              <w14:schemeClr w14:val="tx1"/>
            </w14:solidFill>
          </w14:textFill>
        </w:rPr>
      </w:pPr>
      <w:r>
        <w:rPr>
          <w:rFonts w:hint="eastAsia" w:ascii="黑体" w:hAnsi="宋体" w:eastAsia="黑体" w:cs="黑体"/>
          <w:b/>
          <w:i/>
          <w:color w:val="000000" w:themeColor="text1"/>
          <w:sz w:val="28"/>
          <w:szCs w:val="28"/>
          <w:highlight w:val="none"/>
          <w:u w:val="single"/>
          <w14:textFill>
            <w14:solidFill>
              <w14:schemeClr w14:val="tx1"/>
            </w14:solidFill>
          </w14:textFill>
        </w:rPr>
        <w:t xml:space="preserve">十</w:t>
      </w:r>
      <w:r>
        <w:rPr>
          <w:rFonts w:hint="eastAsia" w:ascii="黑体" w:hAnsi="宋体" w:eastAsia="黑体" w:cs="黑体"/>
          <w:b/>
          <w:i/>
          <w:color w:val="000000" w:themeColor="text1"/>
          <w:sz w:val="28"/>
          <w:szCs w:val="28"/>
          <w:highlight w:val="none"/>
          <w:u w:val="single"/>
          <w:lang w:val="en-US" w:eastAsia="zh-CN"/>
          <w14:textFill>
            <w14:solidFill>
              <w14:schemeClr w14:val="tx1"/>
            </w14:solidFill>
          </w14:textFill>
        </w:rPr>
        <w:t xml:space="preserve">三</w:t>
      </w:r>
      <w:r>
        <w:rPr>
          <w:rFonts w:hint="eastAsia" w:ascii="黑体" w:hAnsi="宋体" w:eastAsia="黑体" w:cs="黑体"/>
          <w:b/>
          <w:i/>
          <w:color w:val="000000" w:themeColor="text1"/>
          <w:sz w:val="28"/>
          <w:szCs w:val="28"/>
          <w:highlight w:val="none"/>
          <w:u w:val="single"/>
          <w14:textFill>
            <w14:solidFill>
              <w14:schemeClr w14:val="tx1"/>
            </w14:solidFill>
          </w14:textFill>
        </w:rPr>
        <w:t xml:space="preserve">、开标一览表</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项目编号：                               </w:t>
      </w:r>
      <w:r/>
    </w:p>
    <w:tbl>
      <w:tblPr>
        <w:tblStyle w:val="816"/>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投标总报价（大写）：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20"/>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小写：                             （人民币：元）</w:t>
            </w:r>
            <w:r/>
          </w:p>
        </w:tc>
      </w:tr>
    </w:tbl>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ind w:firstLine="480"/>
        <w:jc w:val="right"/>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820"/>
        <w:ind w:firstLine="480"/>
        <w:jc w:val="center"/>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投标人全称（加盖CA电子签章）：</w:t>
      </w:r>
      <w:r/>
    </w:p>
    <w:p>
      <w:pPr>
        <w:pStyle w:val="820"/>
        <w:ind w:firstLine="48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820"/>
        <w:ind w:firstLine="480"/>
        <w:jc w:val="right"/>
        <w:spacing w:beforeAutospacing="0" w:afterAutospacing="0" w:line="360" w:lineRule="auto"/>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ind w:firstLine="48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both"/>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pStyle w:val="820"/>
        <w:jc w:val="center"/>
        <w:spacing w:beforeAutospacing="0" w:afterAutospacing="0" w:line="360" w:lineRule="auto"/>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pStyle w:val="820"/>
        <w:spacing w:beforeAutospacing="0" w:afterAutospacing="0" w:line="360" w:lineRule="auto"/>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jc w:val="center"/>
        <w:spacing w:before="50" w:after="50" w:line="360" w:lineRule="auto"/>
        <w:widowControl/>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十</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8"/>
          <w:szCs w:val="28"/>
          <w:highlight w:val="none"/>
          <w14:textFill>
            <w14:solidFill>
              <w14:schemeClr w14:val="tx1"/>
            </w14:solidFill>
          </w14:textFill>
        </w:rPr>
        <w:t xml:space="preserve">、技术方案、服务承诺、培训承诺等</w:t>
      </w:r>
      <w:r/>
    </w:p>
    <w:p>
      <w:pPr>
        <w:ind w:left="3193"/>
        <w:jc w:val="center"/>
        <w:spacing w:before="50" w:after="50" w:line="360" w:lineRule="auto"/>
        <w:widowControl/>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p>
      <w:pPr>
        <w:spacing w:line="360" w:lineRule="auto"/>
        <w:widowControl/>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r>
      <w:r/>
    </w:p>
    <w:p>
      <w:pPr>
        <w:jc w:val="center"/>
        <w:spacing w:line="360" w:lineRule="auto"/>
        <w:widowControl/>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十</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8"/>
          <w:szCs w:val="28"/>
          <w:highlight w:val="none"/>
          <w14:textFill>
            <w14:solidFill>
              <w14:schemeClr w14:val="tx1"/>
            </w14:solidFill>
          </w14:textFill>
        </w:rPr>
        <w:t xml:space="preserve">、盐城市政府采购事前信用承诺书</w:t>
      </w:r>
      <w:r/>
    </w:p>
    <w:p>
      <w:pPr>
        <w:ind w:firstLine="640"/>
        <w:jc w:val="left"/>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p>
    <w:p>
      <w:pPr>
        <w:ind w:firstLine="480"/>
        <w:jc w:val="left"/>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（四）严格遵守即时信息公示规定，及时维护和更新维护和更新盐城市政府采购网中与本单位相关的信息；</w:t>
      </w:r>
      <w:r/>
    </w:p>
    <w:p>
      <w:pPr>
        <w:jc w:val="left"/>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（六）自觉接受政府、行业组织、社会公众、新闻舆论的监督；</w:t>
      </w:r>
      <w:r/>
    </w:p>
    <w:p>
      <w:pPr>
        <w:ind w:firstLine="480"/>
        <w:jc w:val="left"/>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（八）本人已认真阅读了上述承诺，并向本单位员工作了宣传教育。</w:t>
      </w:r>
      <w:r/>
    </w:p>
    <w:p>
      <w:pPr>
        <w:jc w:val="left"/>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法定代表人签名</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盖章） </w:t>
      </w:r>
      <w:r>
        <w:rPr>
          <w:rFonts w:hint="eastAsia" w:ascii="宋体" w:hAnsi="宋体" w:eastAsia="宋体" w:cs="宋体"/>
          <w:color w:val="000000" w:themeColor="text1"/>
          <w:szCs w:val="21"/>
          <w:highlight w:val="none"/>
          <w14:textFill>
            <w14:solidFill>
              <w14:schemeClr w14:val="tx1"/>
            </w14:solidFill>
          </w14:textFill>
        </w:rPr>
        <w:t xml:space="preserve">：</w:t>
      </w:r>
      <w:r/>
    </w:p>
    <w:p>
      <w:pPr>
        <w:jc w:val="center"/>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单位名称（盖章）：</w:t>
      </w:r>
      <w:r/>
    </w:p>
    <w:p>
      <w:pPr>
        <w:jc w:val="center"/>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年    月    日</w:t>
      </w:r>
      <w:r/>
    </w:p>
    <w:p>
      <w:pPr>
        <w:pStyle w:val="820"/>
        <w:jc w:val="center"/>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bookmarkEnd w:id="6"/>
      <w:r/>
      <w:bookmarkEnd w:id="47"/>
      <w:r/>
      <w:bookmarkEnd w:id="94"/>
      <w:r/>
      <w:bookmarkEnd w:id="95"/>
      <w:r/>
      <w:bookmarkEnd w:id="96"/>
      <w:r/>
      <w:bookmarkEnd w:id="97"/>
      <w:r/>
      <w:bookmarkEnd w:id="98"/>
      <w:r/>
      <w:bookmarkEnd w:id="99"/>
      <w:r/>
      <w:bookmarkEnd w:id="100"/>
      <w:r/>
      <w:bookmarkEnd w:id="101"/>
      <w:r/>
      <w:bookmarkEnd w:id="110"/>
      <w:r/>
      <w:bookmarkEnd w:id="111"/>
      <w:r/>
      <w:bookmarkEnd w:id="118"/>
      <w:r/>
      <w:bookmarkEnd w:id="174"/>
      <w:r/>
      <w:bookmarkEnd w:id="177"/>
      <w:r/>
      <w:bookmarkEnd w:id="180"/>
      <w:r/>
      <w:bookmarkEnd w:id="181"/>
      <w:r/>
      <w:bookmarkEnd w:id="182"/>
      <w:r/>
      <w:bookmarkEnd w:id="183"/>
      <w:r/>
      <w:bookmarkEnd w:id="184"/>
      <w:r/>
      <w:bookmarkEnd w:id="185"/>
      <w:r/>
      <w:bookmarkEnd w:id="186"/>
      <w:r/>
      <w:bookmarkEnd w:id="187"/>
      <w:r/>
      <w:bookmarkEnd w:id="196"/>
      <w:r/>
      <w:bookmarkEnd w:id="197"/>
      <w:r/>
      <w:bookmarkEnd w:id="198"/>
      <w:r/>
      <w:bookmarkEnd w:id="199"/>
      <w:r/>
      <w:bookmarkEnd w:id="200"/>
      <w:r/>
      <w:r/>
    </w:p>
    <w:p>
      <w:pPr>
        <w:pStyle w:val="820"/>
        <w:jc w:val="both"/>
        <w:spacing w:beforeAutospacing="0" w:afterAutospacing="0" w:line="360" w:lineRule="auto"/>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pStyle w:val="820"/>
        <w:jc w:val="center"/>
        <w:spacing w:beforeAutospacing="0" w:afterAutospacing="0"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质疑函范本</w:t>
      </w:r>
      <w:r/>
    </w:p>
    <w:p>
      <w:pPr>
        <w:pStyle w:val="820"/>
        <w:jc w:val="both"/>
        <w:spacing w:before="290"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一、质疑供应商基本信息</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质疑供应商：</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rPr>
          <w:rFonts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邮编：</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rPr>
          <w:rFonts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授权代表：</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rPr>
          <w:rFonts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邮编：</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二、质疑项目基本情况</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质疑项目的名称：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rPr>
          <w:rFonts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质疑项目的编号：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包号：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ab/>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采购人名称：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采购文件获取日期：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三、质疑事项具体内容</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质疑事项1：</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事实依据：</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法律依据：</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质疑事项2</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四、与质疑事项相关的质疑请求</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请求：</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签字(签章)：                 公章：               日期：    </w:t>
      </w:r>
      <w:r/>
    </w:p>
    <w:p>
      <w:pPr>
        <w:pStyle w:val="820"/>
        <w:jc w:val="both"/>
        <w:spacing w:beforeAutospacing="0" w:afterAutospacing="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质疑函制作说明：</w:t>
      </w:r>
      <w:r/>
    </w:p>
    <w:p>
      <w:pPr>
        <w:pStyle w:val="820"/>
        <w:ind w:firstLine="480"/>
        <w:spacing w:beforeAutospacing="0" w:afterAutospacing="0" w:line="360" w:lineRule="auto"/>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1.供应商提出质疑时，应提交质疑函和必要的证明材料。</w:t>
      </w:r>
      <w:r/>
    </w:p>
    <w:p>
      <w:pPr>
        <w:pStyle w:val="820"/>
        <w:ind w:firstLine="480"/>
        <w:spacing w:beforeAutospacing="0" w:afterAutospacing="0" w:line="360" w:lineRule="auto"/>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0"/>
        <w:ind w:firstLine="480"/>
        <w:spacing w:beforeAutospacing="0" w:afterAutospacing="0" w:line="360" w:lineRule="auto"/>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3.质疑供应商若对项目的某一分包进行质疑，质疑函中应列明具体分包号。</w:t>
      </w:r>
      <w:r/>
    </w:p>
    <w:p>
      <w:pPr>
        <w:pStyle w:val="820"/>
        <w:ind w:firstLine="480"/>
        <w:spacing w:beforeAutospacing="0" w:afterAutospacing="0" w:line="360" w:lineRule="auto"/>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4.质疑函的质疑事项应具体、明确，并有必要的事实依据和法律依据。</w:t>
      </w:r>
      <w:r/>
    </w:p>
    <w:p>
      <w:pPr>
        <w:pStyle w:val="820"/>
        <w:ind w:firstLine="480"/>
        <w:spacing w:beforeAutospacing="0" w:afterAutospacing="0" w:line="360" w:lineRule="auto"/>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5.质疑函的质疑请求应与质疑事项相关。</w:t>
      </w:r>
      <w:r/>
    </w:p>
    <w:p>
      <w:pPr>
        <w:pStyle w:val="820"/>
        <w:ind w:firstLine="480"/>
        <w:spacing w:beforeAutospacing="0" w:afterAutospacing="0" w:line="360" w:lineRule="auto"/>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820"/>
        <w:spacing w:beforeAutospacing="0" w:afterAutospacing="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大标宋_GBK">
    <w:panose1 w:val="020B0503020202020204"/>
  </w:font>
  <w:font w:name="仿宋_GB2312">
    <w:panose1 w:val="02010609060101010101"/>
  </w:font>
  <w:font w:name="黑体">
    <w:panose1 w:val="02010609060101010101"/>
  </w:font>
  <w:font w:name="Segoe UI">
    <w:panose1 w:val="020B0502040204020203"/>
  </w:font>
  <w:font w:name="Calibri">
    <w:panose1 w:val="020F0502020204030204"/>
  </w:font>
  <w:font w:name="Symbol">
    <w:panose1 w:val="05050102010706020507"/>
  </w:font>
  <w:font w:name="Wingdings">
    <w:panose1 w:val="05000000000000000000"/>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ind w:left="-5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0">
    <w:name w:val="Heading 1 Char"/>
    <w:basedOn w:val="815"/>
    <w:link w:val="812"/>
    <w:uiPriority w:val="9"/>
    <w:rPr>
      <w:rFonts w:ascii="Arial" w:hAnsi="Arial" w:eastAsia="Arial" w:cs="Arial"/>
      <w:sz w:val="40"/>
      <w:szCs w:val="40"/>
    </w:rPr>
  </w:style>
  <w:style w:type="character" w:styleId="641">
    <w:name w:val="Heading 2 Char"/>
    <w:basedOn w:val="815"/>
    <w:link w:val="813"/>
    <w:uiPriority w:val="9"/>
    <w:rPr>
      <w:rFonts w:ascii="Arial" w:hAnsi="Arial" w:eastAsia="Arial" w:cs="Arial"/>
      <w:sz w:val="34"/>
    </w:rPr>
  </w:style>
  <w:style w:type="character" w:styleId="642">
    <w:name w:val="Heading 3 Char"/>
    <w:basedOn w:val="815"/>
    <w:link w:val="814"/>
    <w:uiPriority w:val="9"/>
    <w:rPr>
      <w:rFonts w:ascii="Arial" w:hAnsi="Arial" w:eastAsia="Arial" w:cs="Arial"/>
      <w:sz w:val="30"/>
      <w:szCs w:val="30"/>
    </w:rPr>
  </w:style>
  <w:style w:type="paragraph" w:styleId="643">
    <w:name w:val="Heading 4"/>
    <w:basedOn w:val="811"/>
    <w:next w:val="811"/>
    <w:link w:val="644"/>
    <w:uiPriority w:val="9"/>
    <w:unhideWhenUsed/>
    <w:qFormat/>
    <w:pPr>
      <w:keepLines/>
      <w:keepNext/>
      <w:spacing w:before="320" w:after="200"/>
      <w:outlineLvl w:val="3"/>
    </w:pPr>
    <w:rPr>
      <w:rFonts w:ascii="Arial" w:hAnsi="Arial" w:eastAsia="Arial" w:cs="Arial"/>
      <w:b/>
      <w:bCs/>
      <w:sz w:val="26"/>
      <w:szCs w:val="26"/>
    </w:rPr>
  </w:style>
  <w:style w:type="character" w:styleId="644">
    <w:name w:val="Heading 4 Char"/>
    <w:basedOn w:val="815"/>
    <w:link w:val="643"/>
    <w:uiPriority w:val="9"/>
    <w:rPr>
      <w:rFonts w:ascii="Arial" w:hAnsi="Arial" w:eastAsia="Arial" w:cs="Arial"/>
      <w:b/>
      <w:bCs/>
      <w:sz w:val="26"/>
      <w:szCs w:val="26"/>
    </w:rPr>
  </w:style>
  <w:style w:type="paragraph" w:styleId="645">
    <w:name w:val="Heading 5"/>
    <w:basedOn w:val="811"/>
    <w:next w:val="811"/>
    <w:link w:val="646"/>
    <w:uiPriority w:val="9"/>
    <w:unhideWhenUsed/>
    <w:qFormat/>
    <w:pPr>
      <w:keepLines/>
      <w:keepNext/>
      <w:spacing w:before="320" w:after="200"/>
      <w:outlineLvl w:val="4"/>
    </w:pPr>
    <w:rPr>
      <w:rFonts w:ascii="Arial" w:hAnsi="Arial" w:eastAsia="Arial" w:cs="Arial"/>
      <w:b/>
      <w:bCs/>
      <w:sz w:val="24"/>
      <w:szCs w:val="24"/>
    </w:rPr>
  </w:style>
  <w:style w:type="character" w:styleId="646">
    <w:name w:val="Heading 5 Char"/>
    <w:basedOn w:val="815"/>
    <w:link w:val="645"/>
    <w:uiPriority w:val="9"/>
    <w:rPr>
      <w:rFonts w:ascii="Arial" w:hAnsi="Arial" w:eastAsia="Arial" w:cs="Arial"/>
      <w:b/>
      <w:bCs/>
      <w:sz w:val="24"/>
      <w:szCs w:val="24"/>
    </w:rPr>
  </w:style>
  <w:style w:type="paragraph" w:styleId="647">
    <w:name w:val="Heading 6"/>
    <w:basedOn w:val="811"/>
    <w:next w:val="811"/>
    <w:link w:val="648"/>
    <w:uiPriority w:val="9"/>
    <w:unhideWhenUsed/>
    <w:qFormat/>
    <w:pPr>
      <w:keepLines/>
      <w:keepNext/>
      <w:spacing w:before="320" w:after="200"/>
      <w:outlineLvl w:val="5"/>
    </w:pPr>
    <w:rPr>
      <w:rFonts w:ascii="Arial" w:hAnsi="Arial" w:eastAsia="Arial" w:cs="Arial"/>
      <w:b/>
      <w:bCs/>
      <w:sz w:val="22"/>
      <w:szCs w:val="22"/>
    </w:rPr>
  </w:style>
  <w:style w:type="character" w:styleId="648">
    <w:name w:val="Heading 6 Char"/>
    <w:basedOn w:val="815"/>
    <w:link w:val="647"/>
    <w:uiPriority w:val="9"/>
    <w:rPr>
      <w:rFonts w:ascii="Arial" w:hAnsi="Arial" w:eastAsia="Arial" w:cs="Arial"/>
      <w:b/>
      <w:bCs/>
      <w:sz w:val="22"/>
      <w:szCs w:val="22"/>
    </w:rPr>
  </w:style>
  <w:style w:type="paragraph" w:styleId="649">
    <w:name w:val="Heading 7"/>
    <w:basedOn w:val="811"/>
    <w:next w:val="811"/>
    <w:link w:val="650"/>
    <w:uiPriority w:val="9"/>
    <w:unhideWhenUsed/>
    <w:qFormat/>
    <w:pPr>
      <w:keepLines/>
      <w:keepNext/>
      <w:spacing w:before="320" w:after="200"/>
      <w:outlineLvl w:val="6"/>
    </w:pPr>
    <w:rPr>
      <w:rFonts w:ascii="Arial" w:hAnsi="Arial" w:eastAsia="Arial" w:cs="Arial"/>
      <w:b/>
      <w:bCs/>
      <w:i/>
      <w:iCs/>
      <w:sz w:val="22"/>
      <w:szCs w:val="22"/>
    </w:rPr>
  </w:style>
  <w:style w:type="character" w:styleId="650">
    <w:name w:val="Heading 7 Char"/>
    <w:basedOn w:val="815"/>
    <w:link w:val="649"/>
    <w:uiPriority w:val="9"/>
    <w:rPr>
      <w:rFonts w:ascii="Arial" w:hAnsi="Arial" w:eastAsia="Arial" w:cs="Arial"/>
      <w:b/>
      <w:bCs/>
      <w:i/>
      <w:iCs/>
      <w:sz w:val="22"/>
      <w:szCs w:val="22"/>
    </w:rPr>
  </w:style>
  <w:style w:type="paragraph" w:styleId="651">
    <w:name w:val="Heading 8"/>
    <w:basedOn w:val="811"/>
    <w:next w:val="811"/>
    <w:link w:val="652"/>
    <w:uiPriority w:val="9"/>
    <w:unhideWhenUsed/>
    <w:qFormat/>
    <w:pPr>
      <w:keepLines/>
      <w:keepNext/>
      <w:spacing w:before="320" w:after="200"/>
      <w:outlineLvl w:val="7"/>
    </w:pPr>
    <w:rPr>
      <w:rFonts w:ascii="Arial" w:hAnsi="Arial" w:eastAsia="Arial" w:cs="Arial"/>
      <w:i/>
      <w:iCs/>
      <w:sz w:val="22"/>
      <w:szCs w:val="22"/>
    </w:rPr>
  </w:style>
  <w:style w:type="character" w:styleId="652">
    <w:name w:val="Heading 8 Char"/>
    <w:basedOn w:val="815"/>
    <w:link w:val="651"/>
    <w:uiPriority w:val="9"/>
    <w:rPr>
      <w:rFonts w:ascii="Arial" w:hAnsi="Arial" w:eastAsia="Arial" w:cs="Arial"/>
      <w:i/>
      <w:iCs/>
      <w:sz w:val="22"/>
      <w:szCs w:val="22"/>
    </w:rPr>
  </w:style>
  <w:style w:type="paragraph" w:styleId="653">
    <w:name w:val="Heading 9"/>
    <w:basedOn w:val="811"/>
    <w:next w:val="811"/>
    <w:link w:val="654"/>
    <w:uiPriority w:val="9"/>
    <w:unhideWhenUsed/>
    <w:qFormat/>
    <w:pPr>
      <w:keepLines/>
      <w:keepNext/>
      <w:spacing w:before="320" w:after="200"/>
      <w:outlineLvl w:val="8"/>
    </w:pPr>
    <w:rPr>
      <w:rFonts w:ascii="Arial" w:hAnsi="Arial" w:eastAsia="Arial" w:cs="Arial"/>
      <w:i/>
      <w:iCs/>
      <w:sz w:val="21"/>
      <w:szCs w:val="21"/>
    </w:rPr>
  </w:style>
  <w:style w:type="character" w:styleId="654">
    <w:name w:val="Heading 9 Char"/>
    <w:basedOn w:val="815"/>
    <w:link w:val="653"/>
    <w:uiPriority w:val="9"/>
    <w:rPr>
      <w:rFonts w:ascii="Arial" w:hAnsi="Arial" w:eastAsia="Arial" w:cs="Arial"/>
      <w:i/>
      <w:iCs/>
      <w:sz w:val="21"/>
      <w:szCs w:val="21"/>
    </w:rPr>
  </w:style>
  <w:style w:type="paragraph" w:styleId="655">
    <w:name w:val="List Paragraph"/>
    <w:basedOn w:val="811"/>
    <w:uiPriority w:val="34"/>
    <w:qFormat/>
    <w:pPr>
      <w:contextualSpacing/>
      <w:ind w:left="720"/>
    </w:pPr>
  </w:style>
  <w:style w:type="paragraph" w:styleId="656">
    <w:name w:val="No Spacing"/>
    <w:uiPriority w:val="1"/>
    <w:qFormat/>
    <w:pPr>
      <w:spacing w:before="0" w:after="0" w:line="240" w:lineRule="auto"/>
    </w:pPr>
  </w:style>
  <w:style w:type="paragraph" w:styleId="657">
    <w:name w:val="Title"/>
    <w:basedOn w:val="811"/>
    <w:next w:val="811"/>
    <w:link w:val="658"/>
    <w:uiPriority w:val="10"/>
    <w:qFormat/>
    <w:pPr>
      <w:contextualSpacing/>
      <w:spacing w:before="300" w:after="200"/>
    </w:pPr>
    <w:rPr>
      <w:sz w:val="48"/>
      <w:szCs w:val="48"/>
    </w:rPr>
  </w:style>
  <w:style w:type="character" w:styleId="658">
    <w:name w:val="Title Char"/>
    <w:basedOn w:val="815"/>
    <w:link w:val="657"/>
    <w:uiPriority w:val="10"/>
    <w:rPr>
      <w:sz w:val="48"/>
      <w:szCs w:val="48"/>
    </w:rPr>
  </w:style>
  <w:style w:type="paragraph" w:styleId="659">
    <w:name w:val="Subtitle"/>
    <w:basedOn w:val="811"/>
    <w:next w:val="811"/>
    <w:link w:val="660"/>
    <w:uiPriority w:val="11"/>
    <w:qFormat/>
    <w:pPr>
      <w:spacing w:before="200" w:after="200"/>
    </w:pPr>
    <w:rPr>
      <w:sz w:val="24"/>
      <w:szCs w:val="24"/>
    </w:rPr>
  </w:style>
  <w:style w:type="character" w:styleId="660">
    <w:name w:val="Subtitle Char"/>
    <w:basedOn w:val="815"/>
    <w:link w:val="659"/>
    <w:uiPriority w:val="11"/>
    <w:rPr>
      <w:sz w:val="24"/>
      <w:szCs w:val="24"/>
    </w:rPr>
  </w:style>
  <w:style w:type="paragraph" w:styleId="661">
    <w:name w:val="Quote"/>
    <w:basedOn w:val="811"/>
    <w:next w:val="811"/>
    <w:link w:val="662"/>
    <w:uiPriority w:val="29"/>
    <w:qFormat/>
    <w:pPr>
      <w:ind w:left="720" w:right="720"/>
    </w:pPr>
    <w:rPr>
      <w:i/>
    </w:rPr>
  </w:style>
  <w:style w:type="character" w:styleId="662">
    <w:name w:val="Quote Char"/>
    <w:link w:val="661"/>
    <w:uiPriority w:val="29"/>
    <w:rPr>
      <w:i/>
    </w:rPr>
  </w:style>
  <w:style w:type="paragraph" w:styleId="663">
    <w:name w:val="Intense Quote"/>
    <w:basedOn w:val="811"/>
    <w:next w:val="811"/>
    <w:link w:val="6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4">
    <w:name w:val="Intense Quote Char"/>
    <w:link w:val="663"/>
    <w:uiPriority w:val="30"/>
    <w:rPr>
      <w:i/>
    </w:rPr>
  </w:style>
  <w:style w:type="character" w:styleId="665">
    <w:name w:val="Header Char"/>
    <w:basedOn w:val="815"/>
    <w:link w:val="819"/>
    <w:uiPriority w:val="99"/>
  </w:style>
  <w:style w:type="character" w:styleId="666">
    <w:name w:val="Footer Char"/>
    <w:basedOn w:val="815"/>
    <w:link w:val="818"/>
    <w:uiPriority w:val="99"/>
  </w:style>
  <w:style w:type="paragraph" w:styleId="667">
    <w:name w:val="Caption"/>
    <w:basedOn w:val="811"/>
    <w:next w:val="811"/>
    <w:uiPriority w:val="35"/>
    <w:semiHidden/>
    <w:unhideWhenUsed/>
    <w:qFormat/>
    <w:pPr>
      <w:spacing w:line="276" w:lineRule="auto"/>
    </w:pPr>
    <w:rPr>
      <w:b/>
      <w:bCs/>
      <w:color w:val="4f81bd" w:themeColor="accent1"/>
      <w:sz w:val="18"/>
      <w:szCs w:val="18"/>
    </w:rPr>
  </w:style>
  <w:style w:type="character" w:styleId="668">
    <w:name w:val="Caption Char"/>
    <w:basedOn w:val="667"/>
    <w:link w:val="818"/>
    <w:uiPriority w:val="99"/>
  </w:style>
  <w:style w:type="table" w:styleId="669">
    <w:name w:val="Table Grid Light"/>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basedOn w:val="8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basedOn w:val="8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basedOn w:val="8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basedOn w:val="8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basedOn w:val="8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basedOn w:val="8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5">
    <w:name w:val="Grid Table 5 Dark - Accent 2"/>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6">
    <w:name w:val="Grid Table 5 Dark - Accent 3"/>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7">
    <w:name w:val="Grid Table 5 Dark- Accent 4"/>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8">
    <w:name w:val="Grid Table 5 Dark - Accent 5"/>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9">
    <w:name w:val="Grid Table 5 Dark - Accent 6"/>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0">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basedOn w:val="8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basedOn w:val="8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basedOn w:val="8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6">
    <w:name w:val="Grid Table 6 Colorful - Accent 6"/>
    <w:basedOn w:val="8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7">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basedOn w:val="8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basedOn w:val="8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basedOn w:val="8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basedOn w:val="8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basedOn w:val="8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basedOn w:val="8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basedOn w:val="81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basedOn w:val="81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basedOn w:val="81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basedOn w:val="81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basedOn w:val="81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basedOn w:val="81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basedOn w:val="8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basedOn w:val="8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basedOn w:val="8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basedOn w:val="8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basedOn w:val="8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basedOn w:val="8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basedOn w:val="8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0">
    <w:name w:val="List Table 3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1">
    <w:name w:val="List Table 3 - Accent 3"/>
    <w:basedOn w:val="8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2">
    <w:name w:val="List Table 3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3">
    <w:name w:val="List Table 3 - Accent 5"/>
    <w:basedOn w:val="8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4">
    <w:name w:val="List Table 3 - Accent 6"/>
    <w:basedOn w:val="8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5">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basedOn w:val="8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7">
    <w:name w:val="List Table 4 - Accent 2"/>
    <w:basedOn w:val="8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8">
    <w:name w:val="List Table 4 - Accent 3"/>
    <w:basedOn w:val="8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9">
    <w:name w:val="List Table 4 - Accent 4"/>
    <w:basedOn w:val="8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0">
    <w:name w:val="List Table 4 - Accent 5"/>
    <w:basedOn w:val="8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1">
    <w:name w:val="List Table 4 - Accent 6"/>
    <w:basedOn w:val="8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2">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basedOn w:val="8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basedOn w:val="8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basedOn w:val="8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basedOn w:val="8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basedOn w:val="8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basedOn w:val="8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basedOn w:val="8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1">
    <w:name w:val="List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2">
    <w:name w:val="List Table 6 Colorful - Accent 3"/>
    <w:basedOn w:val="8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3">
    <w:name w:val="List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4">
    <w:name w:val="List Table 6 Colorful - Accent 5"/>
    <w:basedOn w:val="8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5">
    <w:name w:val="List Table 6 Colorful - Accent 6"/>
    <w:basedOn w:val="8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6">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basedOn w:val="8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8">
    <w:name w:val="List Table 7 Colorful - Accent 2"/>
    <w:basedOn w:val="8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9">
    <w:name w:val="List Table 7 Colorful - Accent 3"/>
    <w:basedOn w:val="8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0">
    <w:name w:val="List Table 7 Colorful - Accent 4"/>
    <w:basedOn w:val="8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1">
    <w:name w:val="List Table 7 Colorful - Accent 5"/>
    <w:basedOn w:val="8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2">
    <w:name w:val="List Table 7 Colorful - Accent 6"/>
    <w:basedOn w:val="8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3">
    <w:name w:val="Lined - Accent"/>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5">
    <w:name w:val="Lined - Accent 2"/>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6">
    <w:name w:val="Lined - Accent 3"/>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7">
    <w:name w:val="Lined - Accent 4"/>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8">
    <w:name w:val="Lined - Accent 5"/>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9">
    <w:name w:val="Lined - Accent 6"/>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0">
    <w:name w:val="Bordered &amp; Lined - Accent"/>
    <w:basedOn w:val="8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basedOn w:val="8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2">
    <w:name w:val="Bordered &amp; Lined - Accent 2"/>
    <w:basedOn w:val="8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3">
    <w:name w:val="Bordered &amp; Lined - Accent 3"/>
    <w:basedOn w:val="8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4">
    <w:name w:val="Bordered &amp; Lined - Accent 4"/>
    <w:basedOn w:val="8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5">
    <w:name w:val="Bordered &amp; Lined - Accent 5"/>
    <w:basedOn w:val="8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6">
    <w:name w:val="Bordered &amp; Lined - Accent 6"/>
    <w:basedOn w:val="8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7">
    <w:name w:val="Bordered"/>
    <w:basedOn w:val="8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94">
    <w:name w:val="footnote text"/>
    <w:basedOn w:val="811"/>
    <w:link w:val="795"/>
    <w:uiPriority w:val="99"/>
    <w:semiHidden/>
    <w:unhideWhenUsed/>
    <w:pPr>
      <w:spacing w:after="40" w:line="240" w:lineRule="auto"/>
    </w:pPr>
    <w:rPr>
      <w:sz w:val="18"/>
    </w:rPr>
  </w:style>
  <w:style w:type="character" w:styleId="795">
    <w:name w:val="Footnote Text Char"/>
    <w:link w:val="794"/>
    <w:uiPriority w:val="99"/>
    <w:rPr>
      <w:sz w:val="18"/>
    </w:rPr>
  </w:style>
  <w:style w:type="character" w:styleId="796">
    <w:name w:val="footnote reference"/>
    <w:basedOn w:val="815"/>
    <w:uiPriority w:val="99"/>
    <w:unhideWhenUsed/>
    <w:rPr>
      <w:vertAlign w:val="superscript"/>
    </w:rPr>
  </w:style>
  <w:style w:type="paragraph" w:styleId="797">
    <w:name w:val="endnote text"/>
    <w:basedOn w:val="811"/>
    <w:link w:val="798"/>
    <w:uiPriority w:val="99"/>
    <w:semiHidden/>
    <w:unhideWhenUsed/>
    <w:pPr>
      <w:spacing w:after="0" w:line="240" w:lineRule="auto"/>
    </w:pPr>
    <w:rPr>
      <w:sz w:val="20"/>
    </w:rPr>
  </w:style>
  <w:style w:type="character" w:styleId="798">
    <w:name w:val="Endnote Text Char"/>
    <w:link w:val="797"/>
    <w:uiPriority w:val="99"/>
    <w:rPr>
      <w:sz w:val="20"/>
    </w:rPr>
  </w:style>
  <w:style w:type="character" w:styleId="799">
    <w:name w:val="endnote reference"/>
    <w:basedOn w:val="815"/>
    <w:uiPriority w:val="99"/>
    <w:semiHidden/>
    <w:unhideWhenUsed/>
    <w:rPr>
      <w:vertAlign w:val="superscript"/>
    </w:rPr>
  </w:style>
  <w:style w:type="paragraph" w:styleId="800">
    <w:name w:val="toc 1"/>
    <w:basedOn w:val="811"/>
    <w:next w:val="811"/>
    <w:uiPriority w:val="39"/>
    <w:unhideWhenUsed/>
    <w:pPr>
      <w:ind w:left="0" w:right="0" w:firstLine="0"/>
      <w:spacing w:after="57"/>
    </w:pPr>
  </w:style>
  <w:style w:type="paragraph" w:styleId="801">
    <w:name w:val="toc 2"/>
    <w:basedOn w:val="811"/>
    <w:next w:val="811"/>
    <w:uiPriority w:val="39"/>
    <w:unhideWhenUsed/>
    <w:pPr>
      <w:ind w:left="283" w:right="0" w:firstLine="0"/>
      <w:spacing w:after="57"/>
    </w:pPr>
  </w:style>
  <w:style w:type="paragraph" w:styleId="802">
    <w:name w:val="toc 3"/>
    <w:basedOn w:val="811"/>
    <w:next w:val="811"/>
    <w:uiPriority w:val="39"/>
    <w:unhideWhenUsed/>
    <w:pPr>
      <w:ind w:left="567" w:right="0" w:firstLine="0"/>
      <w:spacing w:after="57"/>
    </w:pPr>
  </w:style>
  <w:style w:type="paragraph" w:styleId="803">
    <w:name w:val="toc 4"/>
    <w:basedOn w:val="811"/>
    <w:next w:val="811"/>
    <w:uiPriority w:val="39"/>
    <w:unhideWhenUsed/>
    <w:pPr>
      <w:ind w:left="850" w:right="0" w:firstLine="0"/>
      <w:spacing w:after="57"/>
    </w:pPr>
  </w:style>
  <w:style w:type="paragraph" w:styleId="804">
    <w:name w:val="toc 5"/>
    <w:basedOn w:val="811"/>
    <w:next w:val="811"/>
    <w:uiPriority w:val="39"/>
    <w:unhideWhenUsed/>
    <w:pPr>
      <w:ind w:left="1134" w:right="0" w:firstLine="0"/>
      <w:spacing w:after="57"/>
    </w:pPr>
  </w:style>
  <w:style w:type="paragraph" w:styleId="805">
    <w:name w:val="toc 6"/>
    <w:basedOn w:val="811"/>
    <w:next w:val="811"/>
    <w:uiPriority w:val="39"/>
    <w:unhideWhenUsed/>
    <w:pPr>
      <w:ind w:left="1417" w:right="0" w:firstLine="0"/>
      <w:spacing w:after="57"/>
    </w:pPr>
  </w:style>
  <w:style w:type="paragraph" w:styleId="806">
    <w:name w:val="toc 7"/>
    <w:basedOn w:val="811"/>
    <w:next w:val="811"/>
    <w:uiPriority w:val="39"/>
    <w:unhideWhenUsed/>
    <w:pPr>
      <w:ind w:left="1701" w:right="0" w:firstLine="0"/>
      <w:spacing w:after="57"/>
    </w:pPr>
  </w:style>
  <w:style w:type="paragraph" w:styleId="807">
    <w:name w:val="toc 8"/>
    <w:basedOn w:val="811"/>
    <w:next w:val="811"/>
    <w:uiPriority w:val="39"/>
    <w:unhideWhenUsed/>
    <w:pPr>
      <w:ind w:left="1984" w:right="0" w:firstLine="0"/>
      <w:spacing w:after="57"/>
    </w:pPr>
  </w:style>
  <w:style w:type="paragraph" w:styleId="808">
    <w:name w:val="toc 9"/>
    <w:basedOn w:val="811"/>
    <w:next w:val="811"/>
    <w:uiPriority w:val="39"/>
    <w:unhideWhenUsed/>
    <w:pPr>
      <w:ind w:left="2268" w:right="0" w:firstLine="0"/>
      <w:spacing w:after="57"/>
    </w:pPr>
  </w:style>
  <w:style w:type="paragraph" w:styleId="809">
    <w:name w:val="TOC Heading"/>
    <w:uiPriority w:val="39"/>
    <w:unhideWhenUsed/>
  </w:style>
  <w:style w:type="paragraph" w:styleId="810">
    <w:name w:val="table of figures"/>
    <w:basedOn w:val="811"/>
    <w:next w:val="811"/>
    <w:uiPriority w:val="99"/>
    <w:unhideWhenUsed/>
    <w:pPr>
      <w:spacing w:after="0" w:afterAutospacing="0"/>
    </w:pPr>
  </w:style>
  <w:style w:type="paragraph" w:styleId="811" w:default="1">
    <w:name w:val="Normal"/>
    <w:next w:val="81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2">
    <w:name w:val="Heading 1"/>
    <w:basedOn w:val="811"/>
    <w:next w:val="811"/>
    <w:link w:val="836"/>
    <w:uiPriority w:val="0"/>
    <w:qFormat/>
    <w:pPr>
      <w:keepLines/>
      <w:keepNext/>
      <w:spacing w:line="576" w:lineRule="auto"/>
      <w:outlineLvl w:val="0"/>
    </w:pPr>
    <w:rPr>
      <w:b/>
      <w:sz w:val="44"/>
    </w:rPr>
  </w:style>
  <w:style w:type="paragraph" w:styleId="813">
    <w:name w:val="Heading 2"/>
    <w:basedOn w:val="811"/>
    <w:next w:val="811"/>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14">
    <w:name w:val="Heading 3"/>
    <w:basedOn w:val="811"/>
    <w:next w:val="811"/>
    <w:uiPriority w:val="9"/>
    <w:semiHidden/>
    <w:unhideWhenUsed/>
    <w:qFormat/>
    <w:pPr>
      <w:keepLines/>
      <w:keepNext/>
      <w:spacing w:line="413" w:lineRule="auto"/>
      <w:outlineLvl w:val="2"/>
    </w:p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name w:val="Balloon Text"/>
    <w:basedOn w:val="811"/>
    <w:link w:val="837"/>
    <w:uiPriority w:val="0"/>
    <w:qFormat/>
    <w:rPr>
      <w:sz w:val="18"/>
      <w:szCs w:val="18"/>
    </w:rPr>
  </w:style>
  <w:style w:type="paragraph" w:styleId="818">
    <w:name w:val="Footer"/>
    <w:basedOn w:val="811"/>
    <w:link w:val="826"/>
    <w:uiPriority w:val="0"/>
    <w:qFormat/>
    <w:pPr>
      <w:jc w:val="left"/>
      <w:tabs>
        <w:tab w:val="center" w:pos="4153" w:leader="none"/>
        <w:tab w:val="right" w:pos="8306" w:leader="none"/>
      </w:tabs>
    </w:pPr>
    <w:rPr>
      <w:sz w:val="18"/>
      <w:szCs w:val="18"/>
    </w:rPr>
  </w:style>
  <w:style w:type="paragraph" w:styleId="819">
    <w:name w:val="Header"/>
    <w:basedOn w:val="811"/>
    <w:link w:val="825"/>
    <w:uiPriority w:val="0"/>
    <w:qFormat/>
    <w:pPr>
      <w:jc w:val="center"/>
      <w:tabs>
        <w:tab w:val="center" w:pos="4153" w:leader="none"/>
        <w:tab w:val="right" w:pos="8306" w:leader="none"/>
      </w:tabs>
      <w:pBdr>
        <w:bottom w:val="single" w:color="auto" w:sz="6" w:space="1"/>
      </w:pBdr>
    </w:pPr>
    <w:rPr>
      <w:sz w:val="18"/>
      <w:szCs w:val="18"/>
    </w:rPr>
  </w:style>
  <w:style w:type="paragraph" w:styleId="820">
    <w:name w:val="Normal (Web)"/>
    <w:basedOn w:val="811"/>
    <w:uiPriority w:val="0"/>
    <w:qFormat/>
    <w:pPr>
      <w:jc w:val="left"/>
      <w:spacing w:beforeAutospacing="1" w:afterAutospacing="1"/>
    </w:pPr>
    <w:rPr>
      <w:rFonts w:cs="Times New Roman"/>
      <w:sz w:val="24"/>
    </w:rPr>
  </w:style>
  <w:style w:type="table" w:styleId="821">
    <w:name w:val="Table Grid"/>
    <w:basedOn w:val="81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2">
    <w:name w:val="Strong"/>
    <w:basedOn w:val="815"/>
    <w:uiPriority w:val="0"/>
    <w:qFormat/>
    <w:rPr>
      <w:b/>
      <w:bCs/>
    </w:rPr>
  </w:style>
  <w:style w:type="character" w:styleId="823">
    <w:name w:val="FollowedHyperlink"/>
    <w:basedOn w:val="815"/>
    <w:uiPriority w:val="0"/>
    <w:qFormat/>
    <w:rPr>
      <w:color w:val="333333"/>
      <w:u w:val="none"/>
    </w:rPr>
  </w:style>
  <w:style w:type="character" w:styleId="824">
    <w:name w:val="Hyperlink"/>
    <w:basedOn w:val="815"/>
    <w:uiPriority w:val="0"/>
    <w:qFormat/>
    <w:rPr>
      <w:color w:val="333333"/>
      <w:u w:val="none"/>
    </w:rPr>
  </w:style>
  <w:style w:type="character" w:styleId="825" w:customStyle="1">
    <w:name w:val="页眉 Char"/>
    <w:basedOn w:val="815"/>
    <w:link w:val="819"/>
    <w:uiPriority w:val="0"/>
    <w:qFormat/>
    <w:rPr>
      <w:rFonts w:asciiTheme="minorHAnsi" w:hAnsiTheme="minorHAnsi" w:eastAsiaTheme="minorEastAsia" w:cstheme="minorBidi"/>
      <w:sz w:val="18"/>
      <w:szCs w:val="18"/>
    </w:rPr>
  </w:style>
  <w:style w:type="character" w:styleId="826" w:customStyle="1">
    <w:name w:val="页脚 Char"/>
    <w:basedOn w:val="815"/>
    <w:link w:val="818"/>
    <w:uiPriority w:val="0"/>
    <w:qFormat/>
    <w:rPr>
      <w:rFonts w:asciiTheme="minorHAnsi" w:hAnsiTheme="minorHAnsi" w:eastAsiaTheme="minorEastAsia" w:cstheme="minorBidi"/>
      <w:sz w:val="18"/>
      <w:szCs w:val="18"/>
    </w:rPr>
  </w:style>
  <w:style w:type="character" w:styleId="827" w:customStyle="1">
    <w:name w:val="font21"/>
    <w:basedOn w:val="815"/>
    <w:uiPriority w:val="0"/>
    <w:qFormat/>
    <w:rPr>
      <w:rFonts w:hint="eastAsia" w:ascii="宋体" w:hAnsi="宋体" w:eastAsia="宋体" w:cs="宋体"/>
      <w:b/>
      <w:bCs/>
      <w:color w:val="000000"/>
      <w:sz w:val="24"/>
      <w:szCs w:val="24"/>
      <w:u w:val="none"/>
    </w:rPr>
  </w:style>
  <w:style w:type="character" w:styleId="828" w:customStyle="1">
    <w:name w:val="gonext"/>
    <w:basedOn w:val="815"/>
    <w:uiPriority w:val="0"/>
    <w:qFormat/>
    <w:rPr>
      <w:color w:val="cccccc"/>
    </w:rPr>
  </w:style>
  <w:style w:type="character" w:styleId="829" w:customStyle="1">
    <w:name w:val="hover72"/>
    <w:basedOn w:val="815"/>
    <w:uiPriority w:val="0"/>
    <w:qFormat/>
    <w:rPr>
      <w:shd w:val="clear" w:color="auto" w:fill="de0025"/>
    </w:rPr>
  </w:style>
  <w:style w:type="character" w:styleId="830" w:customStyle="1">
    <w:name w:val="time2"/>
    <w:basedOn w:val="815"/>
    <w:uiPriority w:val="0"/>
    <w:qFormat/>
    <w:rPr>
      <w:color w:val="888888"/>
      <w:sz w:val="14"/>
      <w:szCs w:val="14"/>
    </w:rPr>
  </w:style>
  <w:style w:type="character" w:styleId="831" w:customStyle="1">
    <w:name w:val="hover71"/>
    <w:basedOn w:val="815"/>
    <w:uiPriority w:val="0"/>
    <w:qFormat/>
    <w:rPr>
      <w:color w:val="ffffff"/>
      <w:shd w:val="clear" w:color="auto" w:fill="6dbbd7"/>
    </w:rPr>
  </w:style>
  <w:style w:type="character" w:styleId="832" w:customStyle="1">
    <w:name w:val="count"/>
    <w:basedOn w:val="815"/>
    <w:uiPriority w:val="0"/>
    <w:qFormat/>
    <w:rPr>
      <w:color w:val="333333"/>
    </w:rPr>
  </w:style>
  <w:style w:type="character" w:styleId="833" w:customStyle="1">
    <w:name w:val="current"/>
    <w:basedOn w:val="815"/>
    <w:uiPriority w:val="0"/>
    <w:qFormat/>
    <w:rPr>
      <w:color w:val="ffffff"/>
      <w:shd w:val="clear" w:color="auto" w:fill="d93037"/>
    </w:rPr>
  </w:style>
  <w:style w:type="character" w:styleId="834" w:customStyle="1">
    <w:name w:val="goprev2"/>
    <w:basedOn w:val="815"/>
    <w:uiPriority w:val="0"/>
    <w:qFormat/>
    <w:rPr>
      <w:color w:val="cccccc"/>
    </w:rPr>
  </w:style>
  <w:style w:type="character" w:styleId="835" w:customStyle="1">
    <w:name w:val="owl-numbers"/>
    <w:basedOn w:val="815"/>
    <w:uiPriority w:val="0"/>
    <w:qFormat/>
    <w:rPr>
      <w:color w:val="ffffff"/>
      <w:sz w:val="14"/>
      <w:szCs w:val="14"/>
    </w:rPr>
  </w:style>
  <w:style w:type="character" w:styleId="836" w:customStyle="1">
    <w:name w:val="标题 1 Char"/>
    <w:link w:val="812"/>
    <w:uiPriority w:val="0"/>
    <w:qFormat/>
    <w:rPr>
      <w:b/>
      <w:sz w:val="44"/>
    </w:rPr>
  </w:style>
  <w:style w:type="character" w:styleId="837" w:customStyle="1">
    <w:name w:val="批注框文本 Char"/>
    <w:basedOn w:val="815"/>
    <w:link w:val="817"/>
    <w:uiPriority w:val="0"/>
    <w:qFormat/>
    <w:rPr>
      <w:rFonts w:asciiTheme="minorHAnsi" w:hAnsiTheme="minorHAnsi" w:eastAsiaTheme="minorEastAsia" w:cstheme="minorBidi"/>
      <w:sz w:val="18"/>
      <w:szCs w:val="18"/>
    </w:rPr>
  </w:style>
  <w:style w:type="character" w:styleId="838" w:customStyle="1">
    <w:name w:val="NormalCharacter"/>
    <w:uiPriority w:val="0"/>
    <w:semiHidden/>
    <w:qFormat/>
  </w:style>
  <w:style w:type="numbering" w:styleId="8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杨莹莹</cp:lastModifiedBy>
  <cp:revision>140</cp:revision>
  <dcterms:created xsi:type="dcterms:W3CDTF">2014-10-29T12:08:00Z</dcterms:created>
  <dcterms:modified xsi:type="dcterms:W3CDTF">2024-12-10T08:24:09Z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01AD2A791C904A67A935BEA6C4976552_13</vt:lpwstr>
  </property>
</Properties>
</file>