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spacing w:line="360" w:lineRule="auto"/>
        <w:rPr>
          <w:rFonts w:ascii="宋体" w:hAnsi="宋体"/>
          <w:b/>
          <w:color w:val="auto"/>
          <w:sz w:val="72"/>
          <w:highlight w:val="none"/>
        </w:rPr>
      </w:pPr>
      <w:r>
        <w:rPr>
          <w:rFonts w:ascii="宋体" w:hAnsi="宋体"/>
          <w:b/>
          <w:color w:val="auto"/>
          <w:sz w:val="72"/>
          <w:highlight w:val="none"/>
        </w:rPr>
      </w:r>
      <w:r/>
    </w:p>
    <w:p>
      <w:pPr>
        <w:ind w:firstLine="2168"/>
        <w:spacing w:line="360" w:lineRule="auto"/>
        <w:rPr>
          <w:rFonts w:ascii="宋体" w:hAnsi="宋体"/>
          <w:b/>
          <w:color w:val="auto"/>
          <w:sz w:val="72"/>
          <w:highlight w:val="none"/>
        </w:rPr>
      </w:pPr>
      <w:r>
        <w:rPr>
          <w:rFonts w:hint="eastAsia" w:ascii="宋体" w:hAnsi="宋体"/>
          <w:b/>
          <w:color w:val="auto"/>
          <w:sz w:val="72"/>
          <w:highlight w:val="none"/>
        </w:rPr>
        <w:t xml:space="preserve">太仓市政府采购</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 招 标 文 件</w:t>
      </w:r>
      <w:r/>
    </w:p>
    <w:p>
      <w:pPr>
        <w:jc w:val="center"/>
        <w:spacing w:line="360" w:lineRule="auto"/>
        <w:rPr>
          <w:rFonts w:ascii="宋体" w:hAnsi="宋体"/>
          <w:color w:val="auto"/>
          <w:highlight w:val="none"/>
        </w:rPr>
      </w:pPr>
      <w:r>
        <w:rPr>
          <w:rFonts w:ascii="宋体" w:hAnsi="宋体"/>
          <w:color w:val="auto"/>
          <w:highlight w:val="none"/>
        </w:rPr>
      </w:r>
      <w:r/>
    </w:p>
    <w:p>
      <w:pPr>
        <w:ind w:firstLine="630"/>
        <w:spacing w:line="360" w:lineRule="auto"/>
        <w:tabs>
          <w:tab w:val="left" w:pos="3570" w:leader="none"/>
        </w:tabs>
        <w:rPr>
          <w:rFonts w:ascii="宋体" w:hAnsi="宋体"/>
          <w:color w:val="auto"/>
          <w:highlight w:val="none"/>
        </w:rPr>
      </w:pPr>
      <w:r>
        <w:rPr>
          <w:rFonts w:ascii="宋体" w:hAnsi="宋体"/>
          <w:color w:val="auto"/>
          <w:highlight w:val="none"/>
        </w:rPr>
        <w:tab/>
      </w:r>
      <w:r/>
    </w:p>
    <w:p>
      <w:pPr>
        <w:jc w:val="right"/>
        <w:spacing w:line="360" w:lineRule="auto"/>
        <w:rPr>
          <w:rFonts w:ascii="宋体" w:hAnsi="宋体"/>
          <w:color w:val="auto"/>
          <w:sz w:val="32"/>
          <w:highlight w:val="none"/>
        </w:rPr>
      </w:pPr>
      <w:r>
        <w:rPr>
          <w:rFonts w:ascii="宋体" w:hAnsi="宋体"/>
          <w:color w:val="auto"/>
          <w:sz w:val="32"/>
          <w:highlight w:val="none"/>
        </w:rPr>
      </w:r>
      <w:r/>
    </w:p>
    <w:p>
      <w:pPr>
        <w:ind w:left="1596"/>
        <w:jc w:val="left"/>
        <w:spacing w:line="360" w:lineRule="auto"/>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JSZC-320585-JSQY-G2024-0008</w:t>
      </w:r>
      <w:r/>
    </w:p>
    <w:p>
      <w:pPr>
        <w:ind w:left="1596"/>
        <w:jc w:val="left"/>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上市前土壤污染检测项目</w:t>
      </w:r>
      <w:r/>
    </w:p>
    <w:p>
      <w:pPr>
        <w:ind w:firstLine="1606"/>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太仓市城厢镇人民政府</w:t>
      </w:r>
      <w:r/>
    </w:p>
    <w:p>
      <w:pPr>
        <w:ind w:firstLine="1606"/>
        <w:spacing w:line="360" w:lineRule="auto"/>
        <w:rPr>
          <w:rFonts w:ascii="宋体" w:hAnsi="宋体"/>
          <w:b/>
          <w:color w:val="auto"/>
          <w:sz w:val="32"/>
          <w:szCs w:val="32"/>
          <w:highlight w:val="none"/>
        </w:rPr>
      </w:pPr>
      <w:r>
        <w:rPr>
          <w:rFonts w:hint="eastAsia" w:hAnsi="宋体"/>
          <w:b/>
          <w:color w:val="auto"/>
          <w:sz w:val="32"/>
          <w:szCs w:val="32"/>
          <w:highlight w:val="none"/>
        </w:rPr>
        <w:t xml:space="preserve">采购项目类别：服务类</w:t>
      </w:r>
      <w:r/>
    </w:p>
    <w:p>
      <w:pPr>
        <w:ind w:firstLine="1606"/>
        <w:rPr>
          <w:b/>
          <w:bCs/>
          <w:color w:val="auto"/>
          <w:sz w:val="32"/>
          <w:szCs w:val="32"/>
          <w:highlight w:val="none"/>
        </w:rPr>
      </w:pPr>
      <w:r>
        <w:rPr>
          <w:rFonts w:hint="eastAsia"/>
          <w:b/>
          <w:bCs/>
          <w:color w:val="auto"/>
          <w:sz w:val="32"/>
          <w:szCs w:val="32"/>
          <w:highlight w:val="none"/>
        </w:rPr>
        <w:t xml:space="preserve">标的所属行业：其他未列明行业</w:t>
      </w:r>
      <w:r/>
    </w:p>
    <w:p>
      <w:pPr>
        <w:spacing w:line="360" w:lineRule="auto"/>
        <w:rPr>
          <w:rFonts w:ascii="宋体" w:hAnsi="宋体"/>
          <w:color w:val="auto"/>
          <w:sz w:val="28"/>
          <w:highlight w:val="none"/>
        </w:rPr>
      </w:pPr>
      <w:r>
        <w:rPr>
          <w:rFonts w:ascii="宋体" w:hAnsi="宋体"/>
          <w:color w:val="auto"/>
          <w:sz w:val="28"/>
          <w:highlight w:val="none"/>
        </w:rPr>
      </w:r>
      <w:r/>
    </w:p>
    <w:p>
      <w:pPr>
        <w:jc w:val="center"/>
        <w:spacing w:line="360" w:lineRule="auto"/>
        <w:rPr>
          <w:rFonts w:ascii="宋体" w:hAnsi="宋体"/>
          <w:color w:val="auto"/>
          <w:sz w:val="44"/>
          <w:szCs w:val="44"/>
          <w:highlight w:val="none"/>
        </w:rPr>
      </w:pPr>
      <w:r>
        <w:rPr>
          <w:rFonts w:ascii="宋体" w:hAnsi="宋体"/>
          <w:color w:val="auto"/>
          <w:sz w:val="44"/>
          <w:szCs w:val="44"/>
          <w:highlight w:val="none"/>
        </w:rPr>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江苏启越工程管理有限公司</w:t>
      </w:r>
      <w:r/>
    </w:p>
    <w:p>
      <w:pPr>
        <w:jc w:val="center"/>
        <w:spacing w:line="360" w:lineRule="auto"/>
        <w:rPr>
          <w:color w:val="auto"/>
          <w:sz w:val="18"/>
          <w:szCs w:val="16"/>
          <w:highlight w:val="none"/>
        </w:rPr>
      </w:pPr>
      <w:r>
        <w:rPr>
          <w:rFonts w:hint="eastAsia" w:ascii="宋体" w:hAnsi="宋体"/>
          <w:color w:val="auto"/>
          <w:sz w:val="36"/>
          <w:szCs w:val="36"/>
          <w:highlight w:val="none"/>
        </w:rPr>
        <w:t xml:space="preserve">二</w:t>
      </w:r>
      <w:r>
        <w:rPr>
          <w:b/>
          <w:color w:val="auto"/>
          <w:sz w:val="36"/>
          <w:szCs w:val="36"/>
          <w:highlight w:val="none"/>
        </w:rPr>
        <w:t xml:space="preserve">〇</w:t>
      </w:r>
      <w:r>
        <w:rPr>
          <w:rFonts w:hint="eastAsia" w:ascii="宋体" w:hAnsi="宋体"/>
          <w:color w:val="auto"/>
          <w:sz w:val="36"/>
          <w:szCs w:val="36"/>
          <w:highlight w:val="none"/>
        </w:rPr>
        <w:t xml:space="preserve">二四年</w:t>
      </w:r>
      <w:r>
        <w:rPr>
          <w:rFonts w:hint="eastAsia" w:ascii="宋体" w:hAnsi="宋体"/>
          <w:color w:val="auto"/>
          <w:sz w:val="36"/>
          <w:szCs w:val="36"/>
          <w:highlight w:val="none"/>
          <w:lang w:val="en-US" w:eastAsia="zh-CN"/>
        </w:rPr>
        <w:t xml:space="preserve">四</w:t>
      </w:r>
      <w:r>
        <w:rPr>
          <w:rFonts w:hint="eastAsia" w:ascii="宋体" w:hAnsi="宋体"/>
          <w:color w:val="auto"/>
          <w:sz w:val="36"/>
          <w:szCs w:val="36"/>
          <w:highlight w:val="none"/>
        </w:rPr>
        <w:t xml:space="preserve">月</w:t>
      </w:r>
      <w:r>
        <w:rPr>
          <w:color w:val="auto"/>
          <w:sz w:val="18"/>
          <w:szCs w:val="16"/>
          <w:highlight w:val="none"/>
        </w:rPr>
        <w:br w:type="page" w:clear="all"/>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b/>
          <w:color w:val="auto"/>
          <w:sz w:val="36"/>
          <w:szCs w:val="36"/>
          <w:highlight w:val="none"/>
        </w:rPr>
        <w:t xml:space="preserve">目   录</w:t>
      </w:r>
      <w:bookmarkStart w:id="0" w:name="_Toc158691765"/>
      <w:r/>
      <w:r/>
    </w:p>
    <w:p>
      <w:pPr>
        <w:pStyle w:val="1127"/>
        <w:rPr>
          <w:color w:val="auto"/>
          <w:highlight w:val="none"/>
        </w:rPr>
      </w:pPr>
      <w:r>
        <w:rPr>
          <w:color w:val="auto"/>
          <w:highlight w:val="none"/>
        </w:rPr>
      </w:r>
      <w:r/>
    </w:p>
    <w:p>
      <w:pPr>
        <w:spacing w:line="360" w:lineRule="auto"/>
        <w:rPr>
          <w:rFonts w:ascii="宋体"/>
          <w:color w:val="auto"/>
          <w:sz w:val="30"/>
          <w:szCs w:val="30"/>
          <w:highlight w:val="none"/>
        </w:rPr>
      </w:pPr>
      <w:r>
        <w:rPr>
          <w:rFonts w:hint="eastAsia" w:ascii="宋体"/>
          <w:color w:val="auto"/>
          <w:sz w:val="30"/>
          <w:szCs w:val="30"/>
          <w:highlight w:val="none"/>
        </w:rPr>
        <w:t xml:space="preserve">第一部分：招标公告</w:t>
      </w:r>
      <w:r/>
    </w:p>
    <w:p>
      <w:pPr>
        <w:spacing w:line="360" w:lineRule="auto"/>
        <w:rPr>
          <w:rFonts w:ascii="宋体"/>
          <w:color w:val="auto"/>
          <w:sz w:val="30"/>
          <w:szCs w:val="30"/>
          <w:highlight w:val="none"/>
        </w:rPr>
      </w:pPr>
      <w:r>
        <w:rPr>
          <w:rFonts w:hint="eastAsia" w:ascii="宋体"/>
          <w:color w:val="auto"/>
          <w:sz w:val="30"/>
          <w:szCs w:val="30"/>
          <w:highlight w:val="none"/>
        </w:rPr>
        <w:t xml:space="preserve">第二部分：投标人须知</w:t>
      </w:r>
      <w:r/>
    </w:p>
    <w:p>
      <w:pPr>
        <w:spacing w:line="360" w:lineRule="auto"/>
        <w:rPr>
          <w:rFonts w:ascii="宋体"/>
          <w:color w:val="auto"/>
          <w:sz w:val="30"/>
          <w:szCs w:val="30"/>
          <w:highlight w:val="none"/>
        </w:rPr>
      </w:pPr>
      <w:r>
        <w:rPr>
          <w:rFonts w:hint="eastAsia" w:ascii="宋体"/>
          <w:color w:val="auto"/>
          <w:sz w:val="30"/>
          <w:szCs w:val="30"/>
          <w:highlight w:val="none"/>
        </w:rPr>
        <w:t xml:space="preserve">第三部分：项目需求</w:t>
      </w:r>
      <w:r/>
    </w:p>
    <w:p>
      <w:pPr>
        <w:spacing w:line="360" w:lineRule="auto"/>
        <w:rPr>
          <w:rFonts w:ascii="宋体"/>
          <w:color w:val="auto"/>
          <w:sz w:val="30"/>
          <w:szCs w:val="30"/>
          <w:highlight w:val="none"/>
        </w:rPr>
      </w:pPr>
      <w:r>
        <w:rPr>
          <w:rFonts w:hint="eastAsia" w:ascii="宋体"/>
          <w:color w:val="auto"/>
          <w:sz w:val="30"/>
          <w:szCs w:val="30"/>
          <w:highlight w:val="none"/>
        </w:rPr>
        <w:t xml:space="preserve">第四部分：投标文件格式</w:t>
      </w:r>
      <w:r/>
    </w:p>
    <w:p>
      <w:pPr>
        <w:spacing w:line="360" w:lineRule="auto"/>
        <w:rPr>
          <w:rFonts w:ascii="宋体"/>
          <w:color w:val="auto"/>
          <w:sz w:val="30"/>
          <w:szCs w:val="30"/>
          <w:highlight w:val="none"/>
        </w:rPr>
      </w:pPr>
      <w:r>
        <w:rPr>
          <w:rFonts w:hint="eastAsia" w:ascii="宋体"/>
          <w:color w:val="auto"/>
          <w:sz w:val="30"/>
          <w:szCs w:val="30"/>
          <w:highlight w:val="none"/>
        </w:rPr>
        <w:t xml:space="preserve">第五部分：评标方法与评标标准</w:t>
      </w:r>
      <w:r/>
    </w:p>
    <w:p>
      <w:pPr>
        <w:rPr>
          <w:b/>
          <w:color w:val="auto"/>
          <w:sz w:val="36"/>
          <w:szCs w:val="36"/>
          <w:highlight w:val="none"/>
        </w:rPr>
      </w:pPr>
      <w:r>
        <w:rPr>
          <w:rFonts w:hint="eastAsia" w:ascii="宋体"/>
          <w:color w:val="auto"/>
          <w:sz w:val="30"/>
          <w:szCs w:val="30"/>
          <w:highlight w:val="none"/>
        </w:rPr>
        <w:t xml:space="preserve">第六部分：合同主要条款</w:t>
      </w:r>
      <w:r/>
    </w:p>
    <w:p>
      <w:pPr>
        <w:pStyle w:val="1138"/>
        <w:rPr>
          <w:color w:val="auto"/>
          <w:highlight w:val="none"/>
        </w:rPr>
      </w:pPr>
      <w:r/>
      <w:bookmarkStart w:id="1" w:name="_Toc315868049"/>
      <w:r/>
      <w:bookmarkStart w:id="2" w:name="_Toc315875312"/>
      <w:r/>
      <w:bookmarkStart w:id="3" w:name="_Toc467507028"/>
      <w:r/>
      <w:r/>
    </w:p>
    <w:p>
      <w:pPr>
        <w:pStyle w:val="1138"/>
        <w:rPr>
          <w:color w:val="auto"/>
          <w:highlight w:val="none"/>
        </w:rPr>
      </w:pPr>
      <w:r>
        <w:rPr>
          <w:color w:val="auto"/>
          <w:highlight w:val="none"/>
        </w:rPr>
      </w:r>
      <w:r/>
    </w:p>
    <w:p>
      <w:pPr>
        <w:pStyle w:val="1138"/>
        <w:rPr>
          <w:color w:val="auto"/>
          <w:highlight w:val="none"/>
        </w:rPr>
      </w:pPr>
      <w:r>
        <w:rPr>
          <w:color w:val="auto"/>
          <w:highlight w:val="none"/>
        </w:rPr>
      </w:r>
      <w:r/>
    </w:p>
    <w:p>
      <w:pPr>
        <w:pStyle w:val="1138"/>
        <w:rPr>
          <w:color w:val="auto"/>
          <w:highlight w:val="none"/>
        </w:rPr>
      </w:pPr>
      <w:r>
        <w:rPr>
          <w:color w:val="auto"/>
          <w:highlight w:val="none"/>
        </w:rPr>
      </w:r>
      <w:r/>
    </w:p>
    <w:p>
      <w:pPr>
        <w:pStyle w:val="1138"/>
        <w:rPr>
          <w:color w:val="auto"/>
          <w:highlight w:val="none"/>
        </w:rPr>
      </w:pPr>
      <w:r>
        <w:rPr>
          <w:color w:val="auto"/>
          <w:highlight w:val="none"/>
        </w:rPr>
      </w:r>
      <w:r/>
    </w:p>
    <w:p>
      <w:pPr>
        <w:pStyle w:val="1138"/>
        <w:rPr>
          <w:color w:val="auto"/>
          <w:highlight w:val="none"/>
        </w:rPr>
      </w:pPr>
      <w:r>
        <w:rPr>
          <w:color w:val="auto"/>
          <w:highlight w:val="none"/>
        </w:rPr>
      </w:r>
      <w:r/>
    </w:p>
    <w:p>
      <w:pPr>
        <w:pStyle w:val="1138"/>
        <w:rPr>
          <w:color w:val="auto"/>
          <w:highlight w:val="none"/>
        </w:rPr>
      </w:pPr>
      <w:r>
        <w:rPr>
          <w:color w:val="auto"/>
          <w:highlight w:val="none"/>
        </w:rPr>
      </w:r>
      <w:r/>
    </w:p>
    <w:p>
      <w:pPr>
        <w:pStyle w:val="1138"/>
        <w:rPr>
          <w:color w:val="auto"/>
          <w:highlight w:val="none"/>
        </w:rPr>
      </w:pPr>
      <w:r>
        <w:rPr>
          <w:color w:val="auto"/>
          <w:highlight w:val="none"/>
        </w:rPr>
      </w:r>
      <w:r/>
    </w:p>
    <w:p>
      <w:pPr>
        <w:rPr>
          <w:color w:val="auto"/>
          <w:highlight w:val="none"/>
        </w:rPr>
      </w:pPr>
      <w:r>
        <w:rPr>
          <w:color w:val="auto"/>
          <w:highlight w:val="none"/>
        </w:rPr>
      </w:r>
      <w:r/>
    </w:p>
    <w:p>
      <w:pPr>
        <w:pStyle w:val="1144"/>
        <w:ind w:firstLine="420"/>
        <w:rPr>
          <w:color w:val="auto"/>
          <w:highlight w:val="none"/>
        </w:rPr>
      </w:pPr>
      <w:r>
        <w:rPr>
          <w:color w:val="auto"/>
          <w:highlight w:val="none"/>
        </w:rPr>
      </w:r>
      <w:r/>
    </w:p>
    <w:p>
      <w:pPr>
        <w:rPr>
          <w:color w:val="auto"/>
          <w:highlight w:val="none"/>
        </w:rPr>
      </w:pPr>
      <w:r>
        <w:rPr>
          <w:color w:val="auto"/>
          <w:highlight w:val="none"/>
        </w:rPr>
      </w:r>
      <w:r/>
    </w:p>
    <w:p>
      <w:pPr>
        <w:pStyle w:val="1144"/>
        <w:ind w:firstLine="420"/>
        <w:rPr>
          <w:color w:val="auto"/>
          <w:highlight w:val="none"/>
        </w:rPr>
      </w:pPr>
      <w:r>
        <w:rPr>
          <w:color w:val="auto"/>
          <w:highlight w:val="none"/>
        </w:rPr>
      </w:r>
      <w:r/>
    </w:p>
    <w:p>
      <w:pPr>
        <w:rPr>
          <w:color w:val="auto"/>
          <w:highlight w:val="none"/>
        </w:rPr>
      </w:pPr>
      <w:r>
        <w:rPr>
          <w:color w:val="auto"/>
          <w:highlight w:val="none"/>
        </w:rPr>
      </w:r>
      <w:r/>
    </w:p>
    <w:p>
      <w:pPr>
        <w:pStyle w:val="1144"/>
        <w:ind w:firstLine="420"/>
        <w:rPr>
          <w:color w:val="auto"/>
          <w:highlight w:val="none"/>
        </w:rPr>
      </w:pPr>
      <w:r>
        <w:rPr>
          <w:color w:val="auto"/>
          <w:highlight w:val="none"/>
        </w:rPr>
      </w:r>
      <w:r/>
    </w:p>
    <w:p>
      <w:pPr>
        <w:rPr>
          <w:color w:val="auto"/>
          <w:highlight w:val="none"/>
        </w:rPr>
      </w:pPr>
      <w:r>
        <w:rPr>
          <w:color w:val="auto"/>
          <w:highlight w:val="none"/>
        </w:rPr>
      </w:r>
      <w:r/>
    </w:p>
    <w:p>
      <w:pPr>
        <w:pStyle w:val="1144"/>
        <w:ind w:firstLine="420"/>
        <w:rPr>
          <w:color w:val="auto"/>
          <w:highlight w:val="none"/>
        </w:rPr>
      </w:pPr>
      <w:r>
        <w:rPr>
          <w:color w:val="auto"/>
          <w:highlight w:val="none"/>
        </w:rPr>
      </w:r>
      <w:r/>
    </w:p>
    <w:p>
      <w:pPr>
        <w:rPr>
          <w:color w:val="auto"/>
          <w:highlight w:val="none"/>
        </w:rPr>
      </w:pPr>
      <w:r>
        <w:rPr>
          <w:color w:val="auto"/>
          <w:highlight w:val="none"/>
        </w:rPr>
      </w:r>
      <w:r/>
    </w:p>
    <w:p>
      <w:pPr>
        <w:pStyle w:val="1147"/>
        <w:rPr>
          <w:b/>
          <w:color w:val="auto"/>
          <w:sz w:val="30"/>
          <w:szCs w:val="30"/>
          <w:highlight w:val="none"/>
        </w:rPr>
        <w:sectPr>
          <w:footerReference w:type="default" r:id="rId10"/>
          <w:footerReference w:type="first" r:id="rId11"/>
          <w:footnotePr/>
          <w:endnotePr/>
          <w:type w:val="nextPage"/>
          <w:pgSz w:w="11900" w:h="16820" w:orient="portrait"/>
          <w:pgMar w:top="1540" w:right="1680" w:bottom="1160" w:left="1660" w:header="0" w:footer="975" w:gutter="0"/>
          <w:cols w:num="1" w:sep="0" w:space="720" w:equalWidth="1"/>
          <w:docGrid w:linePitch="360"/>
        </w:sectPr>
      </w:pPr>
      <w:r>
        <w:rPr>
          <w:b/>
          <w:color w:val="auto"/>
          <w:sz w:val="30"/>
          <w:szCs w:val="30"/>
          <w:highlight w:val="none"/>
        </w:rPr>
      </w:r>
      <w:r/>
    </w:p>
    <w:p>
      <w:pPr>
        <w:pStyle w:val="1147"/>
        <w:jc w:val="center"/>
        <w:rPr>
          <w:rFonts w:hAnsi="宋体" w:eastAsia="宋体"/>
          <w:b/>
          <w:color w:val="auto"/>
          <w:sz w:val="30"/>
          <w:szCs w:val="30"/>
          <w:highlight w:val="none"/>
        </w:rPr>
      </w:pPr>
      <w:r>
        <w:rPr>
          <w:rFonts w:hint="eastAsia"/>
          <w:b/>
          <w:color w:val="auto"/>
          <w:sz w:val="30"/>
          <w:szCs w:val="30"/>
          <w:highlight w:val="none"/>
        </w:rPr>
        <w:t xml:space="preserve"> </w:t>
      </w:r>
      <w:bookmarkEnd w:id="0"/>
      <w:r/>
      <w:bookmarkEnd w:id="1"/>
      <w:r/>
      <w:bookmarkEnd w:id="2"/>
      <w:r/>
      <w:bookmarkEnd w:id="3"/>
      <w:r/>
      <w:bookmarkStart w:id="4" w:name="_Toc315868051"/>
      <w:r/>
      <w:bookmarkStart w:id="5" w:name="_Toc315875314"/>
      <w:r/>
      <w:bookmarkStart w:id="6" w:name="_Toc158691767"/>
      <w:r/>
      <w:bookmarkStart w:id="7" w:name="_Toc467507030"/>
      <w:r>
        <w:rPr>
          <w:rFonts w:hAnsi="宋体" w:eastAsia="宋体"/>
          <w:b/>
          <w:color w:val="auto"/>
          <w:sz w:val="30"/>
          <w:szCs w:val="30"/>
          <w:highlight w:val="none"/>
        </w:rPr>
        <w:t xml:space="preserve">第</w:t>
      </w:r>
      <w:r>
        <w:rPr>
          <w:rFonts w:hint="eastAsia" w:hAnsi="宋体" w:eastAsia="宋体"/>
          <w:b/>
          <w:color w:val="auto"/>
          <w:sz w:val="30"/>
          <w:szCs w:val="30"/>
          <w:highlight w:val="none"/>
        </w:rPr>
        <w:t xml:space="preserve">一部分</w:t>
      </w:r>
      <w:r>
        <w:rPr>
          <w:rFonts w:hAnsi="宋体" w:eastAsia="宋体"/>
          <w:b/>
          <w:color w:val="auto"/>
          <w:sz w:val="30"/>
          <w:szCs w:val="30"/>
          <w:highlight w:val="none"/>
        </w:rPr>
        <w:t xml:space="preserve">  </w:t>
      </w:r>
      <w:r>
        <w:rPr>
          <w:rFonts w:hint="eastAsia" w:hAnsi="宋体" w:eastAsia="宋体"/>
          <w:b/>
          <w:color w:val="auto"/>
          <w:sz w:val="30"/>
          <w:szCs w:val="30"/>
          <w:highlight w:val="none"/>
        </w:rPr>
        <w:t xml:space="preserve">招标公告</w:t>
      </w:r>
      <w:r/>
    </w:p>
    <w:p>
      <w:pPr>
        <w:ind w:firstLine="482"/>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项目概况</w:t>
      </w:r>
      <w:r/>
    </w:p>
    <w:p>
      <w:pPr>
        <w:ind w:firstLine="480"/>
        <w:spacing w:line="480" w:lineRule="auto"/>
        <w:rPr>
          <w:rFonts w:asciiTheme="majorEastAsia" w:hAnsiTheme="majorEastAsia" w:eastAsiaTheme="majorEastAsia"/>
          <w:color w:val="auto"/>
          <w:sz w:val="24"/>
          <w:szCs w:val="24"/>
          <w:highlight w:val="none"/>
        </w:rPr>
      </w:pPr>
      <w:r>
        <w:rPr>
          <w:rFonts w:hint="eastAsia" w:ascii="宋体" w:hAnsi="宋体" w:cs="宋体"/>
          <w:color w:val="auto"/>
          <w:sz w:val="24"/>
          <w:szCs w:val="24"/>
          <w:highlight w:val="none"/>
          <w:shd w:val="clear" w:color="auto" w:fill="ffffff"/>
          <w:lang w:eastAsia="zh-CN" w:bidi="ar"/>
        </w:rPr>
        <w:t xml:space="preserve">太仓市城厢镇人民政府</w:t>
      </w:r>
      <w:r>
        <w:rPr>
          <w:rFonts w:hint="eastAsia" w:ascii="宋体" w:hAnsi="宋体" w:cs="宋体"/>
          <w:color w:val="auto"/>
          <w:sz w:val="24"/>
          <w:szCs w:val="24"/>
          <w:highlight w:val="none"/>
          <w:shd w:val="clear" w:color="auto" w:fill="ffffff"/>
          <w:lang w:bidi="ar"/>
        </w:rPr>
        <w:t xml:space="preserve">的</w:t>
      </w:r>
      <w:r>
        <w:rPr>
          <w:rFonts w:hint="eastAsia" w:ascii="宋体" w:hAnsi="宋体" w:cs="宋体"/>
          <w:color w:val="auto"/>
          <w:sz w:val="24"/>
          <w:szCs w:val="24"/>
          <w:highlight w:val="none"/>
          <w:shd w:val="clear" w:color="auto" w:fill="ffffff"/>
          <w:lang w:eastAsia="zh-CN" w:bidi="ar"/>
        </w:rPr>
        <w:t xml:space="preserve">上市前土壤污染检测项目</w:t>
      </w:r>
      <w:r>
        <w:rPr>
          <w:rFonts w:hint="eastAsia" w:asciiTheme="majorEastAsia" w:hAnsiTheme="majorEastAsia" w:eastAsiaTheme="majorEastAsia"/>
          <w:color w:val="auto"/>
          <w:sz w:val="24"/>
          <w:szCs w:val="24"/>
          <w:highlight w:val="none"/>
        </w:rPr>
        <w:t xml:space="preserve">的潜在投标人应在</w:t>
      </w:r>
      <w:r>
        <w:rPr>
          <w:rFonts w:hint="eastAsia" w:asciiTheme="majorEastAsia" w:hAnsiTheme="majorEastAsia" w:eastAsiaTheme="majorEastAsia"/>
          <w:b w:val="0"/>
          <w:bCs w:val="0"/>
          <w:color w:val="auto"/>
          <w:sz w:val="24"/>
          <w:szCs w:val="24"/>
          <w:highlight w:val="none"/>
        </w:rPr>
        <w:t xml:space="preserve">“苏采云政府采购一体化平台”中参与项目并下载获</w:t>
      </w:r>
      <w:r>
        <w:rPr>
          <w:rFonts w:hint="eastAsia" w:asciiTheme="majorEastAsia" w:hAnsiTheme="majorEastAsia" w:eastAsiaTheme="majorEastAsia"/>
          <w:color w:val="auto"/>
          <w:sz w:val="24"/>
          <w:szCs w:val="24"/>
          <w:highlight w:val="none"/>
        </w:rPr>
        <w:t xml:space="preserve">取电子招标文件，并于</w:t>
      </w:r>
      <w:r>
        <w:rPr>
          <w:rFonts w:hint="eastAsia" w:asciiTheme="majorEastAsia" w:hAnsiTheme="majorEastAsia" w:eastAsiaTheme="majorEastAsia"/>
          <w:b/>
          <w:color w:val="auto"/>
          <w:sz w:val="24"/>
          <w:szCs w:val="24"/>
          <w:highlight w:val="none"/>
          <w:u w:val="single"/>
        </w:rPr>
        <w:t xml:space="preserve">2024年</w:t>
      </w:r>
      <w:r>
        <w:rPr>
          <w:rFonts w:hint="eastAsia" w:asciiTheme="majorEastAsia" w:hAnsiTheme="majorEastAsia" w:eastAsiaTheme="majorEastAsia"/>
          <w:b/>
          <w:color w:val="auto"/>
          <w:sz w:val="24"/>
          <w:szCs w:val="24"/>
          <w:highlight w:val="none"/>
          <w:u w:val="single"/>
          <w:lang w:val="en-US" w:eastAsia="zh-CN"/>
        </w:rPr>
        <w:t xml:space="preserve">5</w:t>
      </w:r>
      <w:r>
        <w:rPr>
          <w:rFonts w:hint="eastAsia" w:asciiTheme="majorEastAsia" w:hAnsiTheme="majorEastAsia" w:eastAsiaTheme="majorEastAsia"/>
          <w:b/>
          <w:color w:val="auto"/>
          <w:sz w:val="24"/>
          <w:szCs w:val="24"/>
          <w:highlight w:val="none"/>
          <w:u w:val="single"/>
        </w:rPr>
        <w:t xml:space="preserve">月</w:t>
      </w:r>
      <w:r>
        <w:rPr>
          <w:rFonts w:hint="eastAsia" w:asciiTheme="majorEastAsia" w:hAnsiTheme="majorEastAsia" w:eastAsiaTheme="majorEastAsia"/>
          <w:b/>
          <w:color w:val="auto"/>
          <w:sz w:val="24"/>
          <w:szCs w:val="24"/>
          <w:highlight w:val="none"/>
          <w:u w:val="single"/>
          <w:lang w:val="en-US" w:eastAsia="zh-CN"/>
        </w:rPr>
        <w:t xml:space="preserve"> 28</w:t>
      </w:r>
      <w:r>
        <w:rPr>
          <w:rFonts w:hint="eastAsia" w:asciiTheme="majorEastAsia" w:hAnsiTheme="majorEastAsia" w:eastAsiaTheme="majorEastAsia"/>
          <w:b/>
          <w:color w:val="auto"/>
          <w:sz w:val="24"/>
          <w:szCs w:val="24"/>
          <w:highlight w:val="none"/>
          <w:u w:val="single"/>
        </w:rPr>
        <w:t xml:space="preserve">日</w:t>
      </w:r>
      <w:r>
        <w:rPr>
          <w:rFonts w:hint="eastAsia" w:asciiTheme="majorEastAsia" w:hAnsiTheme="majorEastAsia" w:eastAsiaTheme="majorEastAsia"/>
          <w:b/>
          <w:color w:val="auto"/>
          <w:sz w:val="24"/>
          <w:szCs w:val="24"/>
          <w:highlight w:val="none"/>
          <w:u w:val="single"/>
          <w:lang w:val="en-US" w:eastAsia="zh-CN"/>
        </w:rPr>
        <w:t xml:space="preserve">14</w:t>
      </w:r>
      <w:r>
        <w:rPr>
          <w:rFonts w:hint="eastAsia" w:asciiTheme="majorEastAsia" w:hAnsiTheme="majorEastAsia" w:eastAsiaTheme="majorEastAsia"/>
          <w:b/>
          <w:color w:val="auto"/>
          <w:sz w:val="24"/>
          <w:szCs w:val="24"/>
          <w:highlight w:val="none"/>
          <w:u w:val="single"/>
        </w:rPr>
        <w:t xml:space="preserve">点</w:t>
      </w:r>
      <w:r>
        <w:rPr>
          <w:rFonts w:hint="eastAsia" w:asciiTheme="majorEastAsia" w:hAnsiTheme="majorEastAsia" w:eastAsiaTheme="majorEastAsia"/>
          <w:b/>
          <w:color w:val="auto"/>
          <w:sz w:val="24"/>
          <w:szCs w:val="24"/>
          <w:highlight w:val="none"/>
          <w:u w:val="single"/>
          <w:lang w:val="en-US" w:eastAsia="zh-CN"/>
        </w:rPr>
        <w:t xml:space="preserve">00</w:t>
      </w:r>
      <w:r>
        <w:rPr>
          <w:rFonts w:hint="eastAsia" w:asciiTheme="majorEastAsia" w:hAnsiTheme="majorEastAsia" w:eastAsiaTheme="majorEastAsia"/>
          <w:b/>
          <w:color w:val="auto"/>
          <w:sz w:val="24"/>
          <w:szCs w:val="24"/>
          <w:highlight w:val="none"/>
          <w:u w:val="single"/>
        </w:rPr>
        <w:t xml:space="preserve"> 分</w:t>
      </w:r>
      <w:r>
        <w:rPr>
          <w:rFonts w:hint="eastAsia" w:asciiTheme="majorEastAsia" w:hAnsiTheme="majorEastAsia" w:eastAsiaTheme="majorEastAsia"/>
          <w:color w:val="auto"/>
          <w:sz w:val="24"/>
          <w:szCs w:val="24"/>
          <w:highlight w:val="none"/>
        </w:rPr>
        <w:t xml:space="preserve">（北京时间）前上传电子投标文件。</w:t>
      </w:r>
      <w:r/>
    </w:p>
    <w:p>
      <w:pPr>
        <w:spacing w:line="480" w:lineRule="auto"/>
        <w:rPr>
          <w:b/>
          <w:bCs/>
          <w:color w:val="auto"/>
          <w:highlight w:val="none"/>
        </w:rPr>
      </w:pPr>
      <w:r>
        <w:rPr>
          <w:rFonts w:hint="eastAsia" w:cs="宋体"/>
          <w:b/>
          <w:bCs/>
          <w:color w:val="auto"/>
          <w:sz w:val="24"/>
          <w:szCs w:val="24"/>
          <w:highlight w:val="none"/>
          <w:shd w:val="clear" w:color="auto" w:fill="ffffff"/>
        </w:rPr>
        <w:t xml:space="preserve"> 一、项目基本情况： </w:t>
      </w:r>
      <w:r/>
    </w:p>
    <w:p>
      <w:pPr>
        <w:ind w:firstLine="480"/>
        <w:jc w:val="left"/>
        <w:spacing w:line="360" w:lineRule="auto"/>
        <w:widowControl/>
        <w:rPr>
          <w:rFonts w:hint="default" w:ascii="宋体" w:hAnsi="宋体" w:eastAsia="宋体" w:cs="宋体"/>
          <w:b w:val="0"/>
          <w:bCs w:val="0"/>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bidi="ar"/>
        </w:rPr>
        <w:t xml:space="preserve">1、项目编号</w:t>
      </w:r>
      <w:r>
        <w:rPr>
          <w:rFonts w:hint="eastAsia" w:ascii="宋体" w:hAnsi="宋体" w:cs="宋体"/>
          <w:b w:val="0"/>
          <w:bCs w:val="0"/>
          <w:color w:val="auto"/>
          <w:sz w:val="24"/>
          <w:szCs w:val="24"/>
          <w:highlight w:val="none"/>
          <w:shd w:val="clear" w:color="auto" w:fill="ffffff"/>
          <w:lang w:bidi="ar"/>
        </w:rPr>
        <w:t xml:space="preserve">：</w:t>
      </w:r>
      <w:r>
        <w:rPr>
          <w:rFonts w:hint="eastAsia" w:ascii="宋体" w:hAnsi="宋体"/>
          <w:b w:val="0"/>
          <w:bCs w:val="0"/>
          <w:color w:val="auto"/>
          <w:sz w:val="24"/>
          <w:szCs w:val="24"/>
          <w:highlight w:val="none"/>
          <w:lang w:eastAsia="zh-CN"/>
        </w:rPr>
        <w:t xml:space="preserve">JSZC-320585-JSQY-G2024-0008</w:t>
      </w:r>
      <w:r/>
    </w:p>
    <w:p>
      <w:pPr>
        <w:ind w:firstLine="480"/>
        <w:jc w:val="left"/>
        <w:spacing w:line="360" w:lineRule="auto"/>
        <w:widowControl/>
        <w:rPr>
          <w:rFonts w:hint="eastAsia" w:ascii="宋体" w:hAnsi="宋体" w:eastAsia="宋体" w:cs="宋体"/>
          <w:color w:val="auto"/>
          <w:sz w:val="24"/>
          <w:szCs w:val="24"/>
          <w:highlight w:val="none"/>
          <w:u w:val="single"/>
          <w:shd w:val="clear" w:color="auto" w:fill="ffffff"/>
          <w:lang w:eastAsia="zh-CN" w:bidi="ar"/>
        </w:rPr>
      </w:pPr>
      <w:r>
        <w:rPr>
          <w:rFonts w:hint="eastAsia" w:ascii="宋体" w:hAnsi="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上市前土壤污染检测项目</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3、预算金额：人民币</w:t>
      </w:r>
      <w:r>
        <w:rPr>
          <w:rFonts w:hint="eastAsia" w:ascii="宋体" w:hAnsi="宋体" w:cs="宋体"/>
          <w:color w:val="auto"/>
          <w:sz w:val="24"/>
          <w:szCs w:val="24"/>
          <w:highlight w:val="none"/>
          <w:shd w:val="clear" w:color="auto" w:fill="ffffff"/>
          <w:lang w:val="en-US" w:eastAsia="zh-CN" w:bidi="ar"/>
        </w:rPr>
        <w:t xml:space="preserve">玖拾贰万伍仟元</w:t>
      </w:r>
      <w:r>
        <w:rPr>
          <w:rFonts w:hint="eastAsia" w:ascii="宋体" w:hAnsi="宋体" w:cs="宋体"/>
          <w:color w:val="auto"/>
          <w:sz w:val="24"/>
          <w:szCs w:val="24"/>
          <w:highlight w:val="none"/>
          <w:shd w:val="clear" w:color="auto" w:fill="ffffff"/>
          <w:lang w:bidi="ar"/>
        </w:rPr>
        <w:t xml:space="preserve">整（￥</w:t>
      </w:r>
      <w:r>
        <w:rPr>
          <w:rFonts w:hint="eastAsia" w:ascii="宋体" w:hAnsi="宋体" w:cs="宋体"/>
          <w:color w:val="auto"/>
          <w:sz w:val="24"/>
          <w:szCs w:val="24"/>
          <w:highlight w:val="none"/>
          <w:shd w:val="clear" w:color="auto" w:fill="ffffff"/>
          <w:lang w:val="en-US" w:eastAsia="zh-CN" w:bidi="ar"/>
        </w:rPr>
        <w:t xml:space="preserve">92.5</w:t>
      </w:r>
      <w:r>
        <w:rPr>
          <w:rFonts w:hint="eastAsia" w:ascii="宋体" w:hAnsi="宋体" w:cs="宋体"/>
          <w:color w:val="auto"/>
          <w:sz w:val="24"/>
          <w:szCs w:val="24"/>
          <w:highlight w:val="none"/>
          <w:shd w:val="clear" w:color="auto" w:fill="ffffff"/>
          <w:lang w:bidi="ar"/>
        </w:rPr>
        <w:t xml:space="preserve">万元）</w:t>
      </w:r>
      <w:r>
        <w:rPr>
          <w:rFonts w:hint="eastAsia" w:ascii="宋体" w:hAnsi="宋体"/>
          <w:color w:val="auto"/>
          <w:sz w:val="24"/>
          <w:szCs w:val="24"/>
          <w:highlight w:val="none"/>
        </w:rPr>
        <w:t xml:space="preserve">。</w:t>
      </w:r>
      <w:r/>
    </w:p>
    <w:p>
      <w:pPr>
        <w:ind w:firstLine="480"/>
        <w:jc w:val="left"/>
        <w:spacing w:line="360" w:lineRule="auto"/>
        <w:widowControl/>
        <w:rPr>
          <w:rFonts w:ascii="宋体" w:hAnsi="宋体"/>
          <w:bCs/>
          <w:color w:val="auto"/>
          <w:sz w:val="24"/>
          <w:szCs w:val="24"/>
          <w:highlight w:val="none"/>
        </w:rPr>
      </w:pPr>
      <w:r>
        <w:rPr>
          <w:rFonts w:hint="eastAsia" w:ascii="宋体" w:hAnsi="宋体" w:cs="宋体"/>
          <w:bCs/>
          <w:color w:val="auto"/>
          <w:sz w:val="24"/>
          <w:szCs w:val="24"/>
          <w:highlight w:val="none"/>
          <w:shd w:val="clear" w:color="auto" w:fill="ffffff"/>
          <w:lang w:bidi="ar"/>
        </w:rPr>
        <w:t xml:space="preserve">4、</w:t>
      </w:r>
      <w:r>
        <w:rPr>
          <w:rFonts w:hint="eastAsia" w:ascii="宋体" w:hAnsi="宋体"/>
          <w:color w:val="auto"/>
          <w:sz w:val="24"/>
          <w:szCs w:val="24"/>
          <w:highlight w:val="none"/>
          <w:shd w:val="clear" w:color="auto" w:fill="ffffff"/>
        </w:rPr>
        <w:t xml:space="preserve">最高限价：</w:t>
      </w:r>
      <w:r>
        <w:rPr>
          <w:rFonts w:hint="eastAsia" w:ascii="宋体" w:hAnsi="宋体" w:cs="宋体"/>
          <w:color w:val="auto"/>
          <w:sz w:val="24"/>
          <w:szCs w:val="24"/>
          <w:highlight w:val="none"/>
          <w:shd w:val="clear" w:color="auto" w:fill="ffffff"/>
          <w:lang w:bidi="ar"/>
        </w:rPr>
        <w:t xml:space="preserve">人民币</w:t>
      </w:r>
      <w:r>
        <w:rPr>
          <w:rFonts w:hint="eastAsia" w:ascii="宋体" w:hAnsi="宋体" w:cs="宋体"/>
          <w:color w:val="auto"/>
          <w:sz w:val="24"/>
          <w:szCs w:val="24"/>
          <w:highlight w:val="none"/>
          <w:shd w:val="clear" w:color="auto" w:fill="ffffff"/>
          <w:lang w:val="en-US" w:eastAsia="zh-CN" w:bidi="ar"/>
        </w:rPr>
        <w:t xml:space="preserve">玖拾贰万伍仟元</w:t>
      </w:r>
      <w:r>
        <w:rPr>
          <w:rFonts w:hint="eastAsia" w:ascii="宋体" w:hAnsi="宋体" w:cs="宋体"/>
          <w:color w:val="auto"/>
          <w:sz w:val="24"/>
          <w:szCs w:val="24"/>
          <w:highlight w:val="none"/>
          <w:shd w:val="clear" w:color="auto" w:fill="ffffff"/>
          <w:lang w:bidi="ar"/>
        </w:rPr>
        <w:t xml:space="preserve">整（￥</w:t>
      </w:r>
      <w:r>
        <w:rPr>
          <w:rFonts w:hint="eastAsia" w:ascii="宋体" w:hAnsi="宋体" w:cs="宋体"/>
          <w:color w:val="auto"/>
          <w:sz w:val="24"/>
          <w:szCs w:val="24"/>
          <w:highlight w:val="none"/>
          <w:shd w:val="clear" w:color="auto" w:fill="ffffff"/>
          <w:lang w:val="en-US" w:eastAsia="zh-CN" w:bidi="ar"/>
        </w:rPr>
        <w:t xml:space="preserve">92.5</w:t>
      </w:r>
      <w:r>
        <w:rPr>
          <w:rFonts w:hint="eastAsia" w:ascii="宋体" w:hAnsi="宋体" w:cs="宋体"/>
          <w:color w:val="auto"/>
          <w:sz w:val="24"/>
          <w:szCs w:val="24"/>
          <w:highlight w:val="none"/>
          <w:shd w:val="clear" w:color="auto" w:fill="ffffff"/>
          <w:lang w:bidi="ar"/>
        </w:rPr>
        <w:t xml:space="preserve">万元）</w:t>
      </w:r>
      <w:r>
        <w:rPr>
          <w:rFonts w:hint="eastAsia" w:ascii="宋体" w:hAnsi="宋体"/>
          <w:color w:val="auto"/>
          <w:sz w:val="24"/>
          <w:szCs w:val="24"/>
          <w:highlight w:val="none"/>
        </w:rPr>
        <w:t xml:space="preserve">。</w:t>
      </w:r>
      <w:r/>
    </w:p>
    <w:p>
      <w:pPr>
        <w:ind w:firstLine="512"/>
        <w:keepLines w:val="0"/>
        <w:keepNext w:val="0"/>
        <w:pageBreakBefore w:val="0"/>
        <w:spacing w:line="360" w:lineRule="auto"/>
        <w:widowControl w:val="off"/>
        <w:rPr>
          <w:rFonts w:ascii="宋体" w:hAnsi="宋体" w:cs="宋体"/>
          <w:color w:val="auto"/>
          <w:sz w:val="24"/>
          <w:szCs w:val="24"/>
          <w:highlight w:val="none"/>
          <w:shd w:val="clear" w:color="auto" w:fill="ffffff"/>
          <w:lang w:bidi="ar"/>
        </w:rPr>
      </w:pPr>
      <w:r>
        <w:rPr>
          <w:rFonts w:hint="eastAsia" w:ascii="宋体" w:hAnsi="宋体" w:cs="宋体"/>
          <w:color w:val="auto"/>
          <w:spacing w:val="8"/>
          <w:sz w:val="24"/>
          <w:szCs w:val="24"/>
          <w:highlight w:val="none"/>
        </w:rPr>
        <w:t xml:space="preserve">5、</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1年</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本次招标投标报价不高于采购预算为有效投标报价。超采购预算的投标报价为无效投标报价。</w:t>
      </w:r>
      <w:r/>
    </w:p>
    <w:p>
      <w:pPr>
        <w:ind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7、采购需求：</w:t>
      </w:r>
      <w:r>
        <w:rPr>
          <w:rFonts w:hint="eastAsia" w:ascii="宋体" w:hAnsi="宋体" w:cs="宋体"/>
          <w:color w:val="auto"/>
          <w:sz w:val="24"/>
          <w:szCs w:val="24"/>
          <w:highlight w:val="none"/>
          <w:shd w:val="clear" w:color="auto" w:fill="ffffff"/>
          <w:lang w:eastAsia="zh-CN" w:bidi="ar"/>
        </w:rPr>
        <w:t xml:space="preserve">上市前土壤污染检测项目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详见第三部分项目需求</w:t>
      </w:r>
      <w:r>
        <w:rPr>
          <w:rFonts w:hint="eastAsia" w:ascii="宋体" w:hAnsi="宋体" w:eastAsia="宋体" w:cs="宋体"/>
          <w:color w:val="auto"/>
          <w:sz w:val="24"/>
          <w:szCs w:val="24"/>
          <w:highlight w:val="none"/>
          <w:lang w:eastAsia="zh-CN"/>
        </w:rPr>
        <w:t xml:space="preserve">。</w:t>
      </w:r>
      <w:r/>
    </w:p>
    <w:p>
      <w:pPr>
        <w:jc w:val="left"/>
        <w:spacing w:line="360" w:lineRule="auto"/>
        <w:widowControl/>
        <w:rPr>
          <w:color w:val="auto"/>
          <w:highlight w:val="none"/>
        </w:rPr>
      </w:pPr>
      <w:r>
        <w:rPr>
          <w:rFonts w:hint="eastAsia" w:ascii="宋体" w:hAnsi="宋体" w:cs="宋体"/>
          <w:b/>
          <w:color w:val="auto"/>
          <w:sz w:val="24"/>
          <w:szCs w:val="24"/>
          <w:highlight w:val="none"/>
          <w:shd w:val="clear" w:color="auto" w:fill="ffffff"/>
          <w:lang w:bidi="ar"/>
        </w:rPr>
        <w:t xml:space="preserve">二、申请人的资格要求： </w:t>
      </w:r>
      <w:r/>
    </w:p>
    <w:p>
      <w:pPr>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（一）满足《中华人民共和国政府采购法》第二十二条规定 </w:t>
      </w:r>
      <w:r/>
    </w:p>
    <w:p>
      <w:pPr>
        <w:ind w:firstLine="480"/>
        <w:jc w:val="left"/>
        <w:spacing w:line="360" w:lineRule="auto"/>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1、</w:t>
      </w:r>
      <w:r>
        <w:rPr>
          <w:rFonts w:hint="eastAsia" w:ascii="宋体" w:hAnsi="宋体" w:cs="宋体"/>
          <w:color w:val="auto"/>
          <w:sz w:val="24"/>
          <w:szCs w:val="24"/>
          <w:highlight w:val="none"/>
          <w:shd w:val="clear" w:color="auto" w:fill="ffffff"/>
        </w:rPr>
        <w:t xml:space="preserve">具有独立承担民事责任的能力</w:t>
      </w:r>
      <w:r>
        <w:rPr>
          <w:rFonts w:hint="eastAsia" w:ascii="宋体" w:hAnsi="宋体" w:cs="宋体"/>
          <w:color w:val="auto"/>
          <w:sz w:val="24"/>
          <w:szCs w:val="24"/>
          <w:highlight w:val="none"/>
          <w:lang w:bidi="ar"/>
        </w:rPr>
        <w:t xml:space="preserve">（提供法人或者其他组织的营业执照等证明文件，自然人的身份证明）</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shd w:val="clear" w:color="auto" w:fill="ffffff"/>
        </w:rPr>
        <w:br/>
      </w:r>
      <w:r>
        <w:rPr>
          <w:rFonts w:hint="eastAsia" w:ascii="宋体" w:hAnsi="宋体" w:cs="宋体"/>
          <w:color w:val="auto"/>
          <w:sz w:val="24"/>
          <w:szCs w:val="24"/>
          <w:highlight w:val="none"/>
          <w:shd w:val="clear" w:color="auto" w:fill="ffffff"/>
        </w:rPr>
        <w:t xml:space="preserve">    2、具有良好的商业信誉和健全的财务会计制度</w:t>
      </w:r>
      <w:r>
        <w:rPr>
          <w:rFonts w:hint="eastAsia" w:ascii="宋体" w:hAnsi="宋体" w:cs="宋体"/>
          <w:color w:val="auto"/>
          <w:sz w:val="24"/>
          <w:szCs w:val="24"/>
          <w:highlight w:val="none"/>
          <w:lang w:bidi="ar"/>
        </w:rPr>
        <w:t xml:space="preserve">（提供最近一期的年度财务状况报告，成立未满一年的提供至少一个月财务状况报表，其他组织、自然人提供银行出具的资信证明）；</w:t>
      </w:r>
      <w:r>
        <w:rPr>
          <w:rFonts w:hint="eastAsia" w:ascii="宋体" w:hAnsi="宋体" w:cs="宋体"/>
          <w:color w:val="auto"/>
          <w:sz w:val="24"/>
          <w:szCs w:val="24"/>
          <w:highlight w:val="none"/>
          <w:shd w:val="clear" w:color="auto" w:fill="ffffff"/>
        </w:rPr>
        <w:br/>
      </w:r>
      <w:r>
        <w:rPr>
          <w:rFonts w:hint="eastAsia" w:ascii="宋体" w:hAnsi="宋体" w:cs="宋体"/>
          <w:color w:val="auto"/>
          <w:sz w:val="24"/>
          <w:szCs w:val="24"/>
          <w:highlight w:val="none"/>
          <w:shd w:val="clear" w:color="auto" w:fill="ffffff"/>
        </w:rPr>
        <w:t xml:space="preserve">    3、具有履行合同所必需的设备和专业技术能力</w:t>
      </w:r>
      <w:r>
        <w:rPr>
          <w:rFonts w:hint="eastAsia" w:ascii="宋体" w:hAnsi="宋体" w:cs="宋体"/>
          <w:color w:val="auto"/>
          <w:sz w:val="24"/>
          <w:szCs w:val="24"/>
          <w:highlight w:val="none"/>
          <w:lang w:bidi="ar"/>
        </w:rPr>
        <w:t xml:space="preserve">（提供履行合同所必需的设备和专业技术能力的证明材料）；</w:t>
      </w:r>
      <w:r>
        <w:rPr>
          <w:rFonts w:hint="eastAsia" w:ascii="宋体" w:hAnsi="宋体" w:cs="宋体"/>
          <w:color w:val="auto"/>
          <w:sz w:val="24"/>
          <w:szCs w:val="24"/>
          <w:highlight w:val="none"/>
          <w:shd w:val="clear" w:color="auto" w:fill="ffffff"/>
        </w:rPr>
        <w:br/>
      </w:r>
      <w:r>
        <w:rPr>
          <w:rFonts w:hint="eastAsia" w:ascii="宋体" w:hAnsi="宋体" w:cs="宋体"/>
          <w:color w:val="auto"/>
          <w:sz w:val="24"/>
          <w:szCs w:val="24"/>
          <w:highlight w:val="none"/>
          <w:shd w:val="clear" w:color="auto" w:fill="ffffff"/>
        </w:rPr>
        <w:t xml:space="preserve">    4、有依法缴纳税收和社会保障资金的良好记录</w:t>
      </w:r>
      <w:r>
        <w:rPr>
          <w:rFonts w:hint="eastAsia" w:ascii="宋体" w:hAnsi="宋体" w:cs="宋体"/>
          <w:color w:val="auto"/>
          <w:sz w:val="24"/>
          <w:szCs w:val="24"/>
          <w:highlight w:val="none"/>
          <w:lang w:bidi="ar"/>
        </w:rPr>
        <w:t xml:space="preserve">（提供参加本次采购活动前半年（至少一个月）依法缴纳税收和社会保障资金的证明材料，依法免税或不需要缴纳社会保障资金的，提供相关证明文件）；</w:t>
      </w:r>
      <w:r>
        <w:rPr>
          <w:rFonts w:hint="eastAsia" w:ascii="宋体" w:hAnsi="宋体" w:cs="宋体"/>
          <w:color w:val="auto"/>
          <w:sz w:val="24"/>
          <w:szCs w:val="24"/>
          <w:highlight w:val="none"/>
          <w:shd w:val="clear" w:color="auto" w:fill="ffffff"/>
        </w:rPr>
        <w:br/>
      </w:r>
      <w:r>
        <w:rPr>
          <w:rFonts w:hint="eastAsia" w:ascii="宋体" w:hAnsi="宋体" w:cs="宋体"/>
          <w:color w:val="auto"/>
          <w:sz w:val="24"/>
          <w:szCs w:val="24"/>
          <w:highlight w:val="none"/>
          <w:shd w:val="clear" w:color="auto" w:fill="ffffff"/>
        </w:rPr>
        <w:t xml:space="preserve">   5、参加政府采购活动前三年内，在经营活动中没有重大违法记录</w:t>
      </w:r>
      <w:r>
        <w:rPr>
          <w:rFonts w:hint="eastAsia" w:ascii="宋体" w:hAnsi="宋体" w:cs="宋体"/>
          <w:color w:val="auto"/>
          <w:sz w:val="24"/>
          <w:szCs w:val="24"/>
          <w:highlight w:val="none"/>
          <w:lang w:bidi="ar"/>
        </w:rPr>
        <w:t xml:space="preserve">（提供参加本次政府采购活动前3年内在经营活动中没有重大违法记录的书面声明）；</w:t>
      </w:r>
      <w:r>
        <w:rPr>
          <w:rFonts w:hint="eastAsia" w:ascii="宋体" w:hAnsi="宋体" w:cs="宋体"/>
          <w:color w:val="auto"/>
          <w:sz w:val="24"/>
          <w:szCs w:val="24"/>
          <w:highlight w:val="none"/>
          <w:shd w:val="clear" w:color="auto" w:fill="ffffff"/>
        </w:rPr>
        <w:br/>
      </w:r>
      <w:r>
        <w:rPr>
          <w:rFonts w:hint="eastAsia" w:ascii="宋体" w:hAnsi="宋体" w:cs="宋体"/>
          <w:color w:val="auto"/>
          <w:sz w:val="24"/>
          <w:szCs w:val="24"/>
          <w:highlight w:val="none"/>
          <w:shd w:val="clear" w:color="auto" w:fill="ffffff"/>
        </w:rPr>
        <w:t xml:space="preserve">   6、法律、行政法规规定的其他条件； </w:t>
      </w:r>
      <w:r/>
    </w:p>
    <w:p>
      <w:pPr>
        <w:spacing w:line="580" w:lineRule="exact"/>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（二）落实政府采购政策需满足的资格要求：</w:t>
      </w:r>
      <w:r/>
    </w:p>
    <w:p>
      <w:pPr>
        <w:pStyle w:val="1137"/>
        <w:ind w:left="0" w:right="0" w:firstLine="480"/>
        <w:keepLines w:val="0"/>
        <w:keepNext w:val="0"/>
        <w:pageBreakBefore w:val="0"/>
        <w:spacing w:before="0" w:beforeAutospacing="0" w:after="0" w:afterAutospacing="0" w:line="360" w:lineRule="auto"/>
        <w:widowControl/>
        <w:rPr>
          <w:rFonts w:hint="eastAsia" w:eastAsia="宋体"/>
          <w:color w:val="auto"/>
          <w:highlight w:val="none"/>
          <w:lang w:eastAsia="zh-CN"/>
        </w:rPr>
        <w:suppressLineNumbers w:val="0"/>
      </w:pPr>
      <w:r>
        <w:rPr>
          <w:rFonts w:hint="eastAsia" w:ascii="宋体" w:hAnsi="宋体" w:eastAsia="宋体" w:cs="宋体"/>
          <w:color w:val="auto"/>
          <w:sz w:val="24"/>
          <w:szCs w:val="24"/>
          <w:highlight w:val="none"/>
          <w:shd w:val="clear" w:color="auto" w:fill="ffffff"/>
        </w:rPr>
        <w:t xml:space="preserve">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p>
    <w:p>
      <w:pPr>
        <w:jc w:val="left"/>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（三）本项目的特定资格要求：</w:t>
      </w:r>
      <w:r/>
    </w:p>
    <w:p>
      <w:pPr>
        <w:jc w:val="left"/>
        <w:spacing w:line="360" w:lineRule="auto"/>
        <w:widowControl/>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 xml:space="preserve">无</w:t>
      </w:r>
      <w:r/>
    </w:p>
    <w:p>
      <w:pPr>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（四）本项目不接受联合体投标。 </w:t>
      </w:r>
      <w:r/>
    </w:p>
    <w:p>
      <w:pPr>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（五）拒绝下述供应商参加本次采购活动： </w:t>
      </w:r>
      <w:r/>
    </w:p>
    <w:p>
      <w:pPr>
        <w:ind w:firstLine="240"/>
        <w:jc w:val="left"/>
        <w:spacing w:line="360" w:lineRule="auto"/>
        <w:widowControl/>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 </w:t>
      </w:r>
      <w:r/>
    </w:p>
    <w:p>
      <w:pPr>
        <w:ind w:firstLine="240"/>
        <w:jc w:val="left"/>
        <w:spacing w:line="360" w:lineRule="auto"/>
        <w:widowControl/>
        <w:rPr>
          <w:color w:val="auto"/>
          <w:sz w:val="24"/>
          <w:szCs w:val="24"/>
          <w:highlight w:val="none"/>
        </w:rPr>
      </w:pPr>
      <w:r>
        <w:rPr>
          <w:rFonts w:hint="eastAsia" w:ascii="宋体" w:hAnsi="宋体" w:cs="宋体"/>
          <w:color w:val="auto"/>
          <w:sz w:val="24"/>
          <w:szCs w:val="24"/>
          <w:highlight w:val="none"/>
          <w:lang w:bidi="ar"/>
        </w:rPr>
        <w:t xml:space="preserve">2、凡为采购项目提供整体设计、规范编制或者项目管理、监理、检测等服务的供应商，不得再参加本项目的采购活动。</w:t>
      </w:r>
      <w:r/>
    </w:p>
    <w:p>
      <w:pPr>
        <w:ind w:firstLine="24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3、法人的分支机构不得参加投标（除银行、保险、石油石化、电力、电信等行业特殊情况外） </w:t>
      </w:r>
      <w:r/>
    </w:p>
    <w:p>
      <w:pPr>
        <w:pStyle w:val="1137"/>
        <w:ind w:firstLine="240"/>
        <w:spacing w:before="0" w:beforeAutospacing="0" w:after="0" w:afterAutospacing="0" w:line="360" w:lineRule="auto"/>
        <w:rPr>
          <w:rFonts w:asciiTheme="majorEastAsia" w:hAnsiTheme="majorEastAsia" w:eastAsiaTheme="majorEastAsia"/>
          <w:b/>
          <w:color w:val="auto"/>
          <w:szCs w:val="24"/>
          <w:highlight w:val="none"/>
        </w:rPr>
      </w:pPr>
      <w:r>
        <w:rPr>
          <w:rFonts w:hint="eastAsia" w:eastAsia="宋体"/>
          <w:color w:val="auto"/>
          <w:szCs w:val="24"/>
          <w:highlight w:val="none"/>
          <w:shd w:val="clear" w:color="auto" w:fill="ffffff"/>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三、获取招标文件：</w:t>
      </w:r>
      <w:r/>
    </w:p>
    <w:p>
      <w:pPr>
        <w:ind w:firstLine="482"/>
        <w:spacing w:line="360" w:lineRule="auto"/>
        <w:rPr>
          <w:rFonts w:cs="宋体" w:asciiTheme="majorEastAsia" w:hAnsiTheme="majorEastAsia" w:eastAsiaTheme="maj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bCs/>
          <w:color w:val="auto"/>
          <w:sz w:val="24"/>
          <w:szCs w:val="24"/>
          <w:highlight w:val="none"/>
        </w:rPr>
        <w:t xml:space="preserve">1、依法获取电子招标文件：投标人在</w:t>
      </w:r>
      <w:r>
        <w:rPr>
          <w:rFonts w:hint="eastAsia" w:asciiTheme="majorEastAsia" w:hAnsiTheme="majorEastAsia" w:eastAsiaTheme="majorEastAsia"/>
          <w:b/>
          <w:bCs/>
          <w:color w:val="auto"/>
          <w:sz w:val="24"/>
          <w:szCs w:val="24"/>
          <w:highlight w:val="none"/>
          <w:u w:val="single"/>
        </w:rPr>
        <w:t xml:space="preserve">2024年</w:t>
      </w:r>
      <w:r>
        <w:rPr>
          <w:rFonts w:hint="eastAsia" w:asciiTheme="majorEastAsia" w:hAnsiTheme="majorEastAsia" w:eastAsiaTheme="majorEastAsia"/>
          <w:b/>
          <w:bCs/>
          <w:color w:val="auto"/>
          <w:sz w:val="24"/>
          <w:szCs w:val="24"/>
          <w:highlight w:val="none"/>
          <w:u w:val="single"/>
          <w:lang w:val="en-US" w:eastAsia="zh-CN"/>
        </w:rPr>
        <w:t xml:space="preserve">5</w:t>
      </w:r>
      <w:r>
        <w:rPr>
          <w:rFonts w:hint="eastAsia" w:asciiTheme="majorEastAsia" w:hAnsiTheme="majorEastAsia" w:eastAsiaTheme="majorEastAsia"/>
          <w:b/>
          <w:bCs/>
          <w:color w:val="auto"/>
          <w:sz w:val="24"/>
          <w:szCs w:val="24"/>
          <w:highlight w:val="none"/>
          <w:u w:val="single"/>
        </w:rPr>
        <w:t xml:space="preserve">月</w:t>
      </w:r>
      <w:r>
        <w:rPr>
          <w:rFonts w:hint="eastAsia" w:asciiTheme="majorEastAsia" w:hAnsiTheme="majorEastAsia" w:eastAsiaTheme="majorEastAsia"/>
          <w:b/>
          <w:bCs/>
          <w:color w:val="auto"/>
          <w:sz w:val="24"/>
          <w:szCs w:val="24"/>
          <w:highlight w:val="none"/>
          <w:u w:val="single"/>
          <w:lang w:val="en-US" w:eastAsia="zh-CN"/>
        </w:rPr>
        <w:t xml:space="preserve">6</w:t>
      </w:r>
      <w:r>
        <w:rPr>
          <w:rFonts w:hint="eastAsia" w:asciiTheme="majorEastAsia" w:hAnsiTheme="majorEastAsia" w:eastAsiaTheme="majorEastAsia"/>
          <w:b/>
          <w:bCs/>
          <w:color w:val="auto"/>
          <w:sz w:val="24"/>
          <w:szCs w:val="24"/>
          <w:highlight w:val="none"/>
          <w:u w:val="single"/>
        </w:rPr>
        <w:t xml:space="preserve">日至2024年</w:t>
      </w:r>
      <w:r>
        <w:rPr>
          <w:rFonts w:hint="eastAsia" w:asciiTheme="majorEastAsia" w:hAnsiTheme="majorEastAsia" w:eastAsiaTheme="majorEastAsia"/>
          <w:b/>
          <w:bCs/>
          <w:color w:val="auto"/>
          <w:sz w:val="24"/>
          <w:szCs w:val="24"/>
          <w:highlight w:val="none"/>
          <w:u w:val="single"/>
          <w:lang w:val="en-US" w:eastAsia="zh-CN"/>
        </w:rPr>
        <w:t xml:space="preserve">5</w:t>
      </w:r>
      <w:r>
        <w:rPr>
          <w:rFonts w:hint="eastAsia" w:asciiTheme="majorEastAsia" w:hAnsiTheme="majorEastAsia" w:eastAsiaTheme="majorEastAsia"/>
          <w:b/>
          <w:bCs/>
          <w:color w:val="auto"/>
          <w:sz w:val="24"/>
          <w:szCs w:val="24"/>
          <w:highlight w:val="none"/>
          <w:u w:val="single"/>
        </w:rPr>
        <w:t xml:space="preserve">月</w:t>
      </w:r>
      <w:r>
        <w:rPr>
          <w:rFonts w:hint="eastAsia" w:asciiTheme="majorEastAsia" w:hAnsiTheme="majorEastAsia" w:eastAsiaTheme="majorEastAsia"/>
          <w:b/>
          <w:bCs/>
          <w:color w:val="auto"/>
          <w:sz w:val="24"/>
          <w:szCs w:val="24"/>
          <w:highlight w:val="none"/>
          <w:u w:val="single"/>
          <w:lang w:val="en-US" w:eastAsia="zh-CN"/>
        </w:rPr>
        <w:t xml:space="preserve">10</w:t>
      </w:r>
      <w:r>
        <w:rPr>
          <w:rFonts w:hint="eastAsia" w:asciiTheme="majorEastAsia" w:hAnsiTheme="majorEastAsia" w:eastAsiaTheme="majorEastAsia"/>
          <w:b/>
          <w:bCs/>
          <w:color w:val="auto"/>
          <w:sz w:val="24"/>
          <w:szCs w:val="24"/>
          <w:highlight w:val="none"/>
          <w:u w:val="single"/>
        </w:rPr>
        <w:t xml:space="preserve">日</w:t>
      </w:r>
      <w:r>
        <w:rPr>
          <w:rFonts w:hint="eastAsia" w:asciiTheme="majorEastAsia" w:hAnsiTheme="majorEastAsia" w:eastAsiaTheme="majorEastAsia"/>
          <w:bCs/>
          <w:color w:val="auto"/>
          <w:sz w:val="24"/>
          <w:szCs w:val="24"/>
          <w:highlight w:val="none"/>
        </w:rPr>
        <w:t xml:space="preserve">，</w:t>
      </w:r>
      <w:r>
        <w:rPr>
          <w:rFonts w:ascii="宋体" w:hAnsi="宋体" w:cs="宋体"/>
          <w:b/>
          <w:bCs/>
          <w:color w:val="auto"/>
          <w:sz w:val="24"/>
          <w:szCs w:val="24"/>
          <w:highlight w:val="none"/>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p>
    <w:p>
      <w:pPr>
        <w:ind w:firstLine="482"/>
        <w:spacing w:line="48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b/>
          <w:color w:val="auto"/>
          <w:sz w:val="24"/>
          <w:szCs w:val="24"/>
          <w:highlight w:val="none"/>
        </w:rPr>
        <w:t xml:space="preserve">2、获取方式：</w:t>
      </w:r>
      <w:r>
        <w:rPr>
          <w:rFonts w:hint="eastAsia" w:asciiTheme="majorEastAsia" w:hAnsiTheme="majorEastAsia" w:eastAsiaTheme="majorEastAsia"/>
          <w:color w:val="auto"/>
          <w:sz w:val="24"/>
          <w:szCs w:val="24"/>
          <w:highlight w:val="none"/>
        </w:rPr>
        <w:t xml:space="preserve">网上下载电子招标文件</w:t>
      </w:r>
      <w:r/>
    </w:p>
    <w:p>
      <w:pPr>
        <w:ind w:firstLine="482"/>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3、本项目免费下载电子招标文件</w:t>
      </w:r>
      <w:r/>
    </w:p>
    <w:p>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四</w:t>
      </w:r>
      <w:r>
        <w:rPr>
          <w:rFonts w:asciiTheme="majorEastAsia" w:hAnsiTheme="majorEastAsia" w:eastAsiaTheme="majorEastAsia"/>
          <w:b/>
          <w:color w:val="auto"/>
          <w:sz w:val="24"/>
          <w:szCs w:val="24"/>
          <w:highlight w:val="none"/>
        </w:rPr>
        <w:t xml:space="preserve">、</w:t>
      </w:r>
      <w:r>
        <w:rPr>
          <w:rFonts w:hint="eastAsia" w:asciiTheme="majorEastAsia" w:hAnsiTheme="majorEastAsia" w:eastAsiaTheme="majorEastAsia"/>
          <w:b/>
          <w:color w:val="auto"/>
          <w:sz w:val="24"/>
          <w:szCs w:val="24"/>
          <w:highlight w:val="none"/>
        </w:rPr>
        <w:t xml:space="preserve">提交电子</w:t>
      </w:r>
      <w:r>
        <w:rPr>
          <w:rFonts w:hint="eastAsia" w:cs="宋体" w:asciiTheme="majorEastAsia" w:hAnsiTheme="majorEastAsia" w:eastAsiaTheme="majorEastAsia"/>
          <w:b/>
          <w:color w:val="auto"/>
          <w:sz w:val="24"/>
          <w:szCs w:val="24"/>
          <w:highlight w:val="none"/>
        </w:rPr>
        <w:t xml:space="preserve">投标文件截止时间、开标时间和地点</w:t>
      </w:r>
      <w:r>
        <w:rPr>
          <w:rFonts w:asciiTheme="majorEastAsia" w:hAnsiTheme="majorEastAsia" w:eastAsiaTheme="majorEastAsia"/>
          <w:b/>
          <w:color w:val="auto"/>
          <w:sz w:val="24"/>
          <w:szCs w:val="24"/>
          <w:highlight w:val="none"/>
        </w:rPr>
        <w:t xml:space="preserve">：</w:t>
      </w:r>
      <w:r/>
    </w:p>
    <w:p>
      <w:pPr>
        <w:ind w:firstLine="482"/>
        <w:spacing w:line="360" w:lineRule="auto"/>
        <w:rPr>
          <w:rFonts w:asciiTheme="majorEastAsia" w:hAnsiTheme="majorEastAsia" w:eastAsiaTheme="maj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olor w:val="auto"/>
          <w:sz w:val="24"/>
          <w:szCs w:val="24"/>
          <w:highlight w:val="none"/>
        </w:rPr>
        <w:t xml:space="preserve">1、加密的电子投标文件上传截止时间：</w:t>
      </w:r>
      <w:r>
        <w:rPr>
          <w:rFonts w:hint="eastAsia" w:asciiTheme="majorEastAsia" w:hAnsiTheme="majorEastAsia" w:eastAsiaTheme="majorEastAsia"/>
          <w:b/>
          <w:color w:val="auto"/>
          <w:sz w:val="24"/>
          <w:szCs w:val="24"/>
          <w:highlight w:val="none"/>
          <w:u w:val="single"/>
        </w:rPr>
        <w:t xml:space="preserve">2024年</w:t>
      </w:r>
      <w:r>
        <w:rPr>
          <w:rFonts w:hint="eastAsia" w:asciiTheme="majorEastAsia" w:hAnsiTheme="majorEastAsia" w:eastAsiaTheme="majorEastAsia"/>
          <w:b/>
          <w:color w:val="auto"/>
          <w:sz w:val="24"/>
          <w:szCs w:val="24"/>
          <w:highlight w:val="none"/>
          <w:u w:val="single"/>
          <w:lang w:val="en-US" w:eastAsia="zh-CN"/>
        </w:rPr>
        <w:t xml:space="preserve">5</w:t>
      </w:r>
      <w:r>
        <w:rPr>
          <w:rFonts w:hint="eastAsia" w:asciiTheme="majorEastAsia" w:hAnsiTheme="majorEastAsia" w:eastAsiaTheme="majorEastAsia"/>
          <w:b/>
          <w:color w:val="auto"/>
          <w:sz w:val="24"/>
          <w:szCs w:val="24"/>
          <w:highlight w:val="none"/>
          <w:u w:val="single"/>
        </w:rPr>
        <w:t xml:space="preserve">月</w:t>
      </w:r>
      <w:r>
        <w:rPr>
          <w:rFonts w:hint="eastAsia" w:asciiTheme="majorEastAsia" w:hAnsiTheme="majorEastAsia" w:eastAsiaTheme="majorEastAsia"/>
          <w:b/>
          <w:color w:val="auto"/>
          <w:sz w:val="24"/>
          <w:szCs w:val="24"/>
          <w:highlight w:val="none"/>
          <w:u w:val="single"/>
          <w:lang w:val="en-US" w:eastAsia="zh-CN"/>
        </w:rPr>
        <w:t xml:space="preserve"> 28</w:t>
      </w:r>
      <w:r>
        <w:rPr>
          <w:rFonts w:hint="eastAsia" w:asciiTheme="majorEastAsia" w:hAnsiTheme="majorEastAsia" w:eastAsiaTheme="majorEastAsia"/>
          <w:b/>
          <w:color w:val="auto"/>
          <w:sz w:val="24"/>
          <w:szCs w:val="24"/>
          <w:highlight w:val="none"/>
          <w:u w:val="single"/>
        </w:rPr>
        <w:t xml:space="preserve">日1</w:t>
      </w:r>
      <w:r>
        <w:rPr>
          <w:rFonts w:hint="eastAsia" w:asciiTheme="majorEastAsia" w:hAnsiTheme="majorEastAsia" w:eastAsiaTheme="majorEastAsia"/>
          <w:b/>
          <w:color w:val="auto"/>
          <w:sz w:val="24"/>
          <w:szCs w:val="24"/>
          <w:highlight w:val="none"/>
          <w:u w:val="single"/>
          <w:lang w:val="en-US" w:eastAsia="zh-CN"/>
        </w:rPr>
        <w:t xml:space="preserve">4</w:t>
      </w:r>
      <w:r>
        <w:rPr>
          <w:rFonts w:hint="eastAsia" w:asciiTheme="majorEastAsia" w:hAnsiTheme="majorEastAsia" w:eastAsiaTheme="majorEastAsia"/>
          <w:b/>
          <w:color w:val="auto"/>
          <w:sz w:val="24"/>
          <w:szCs w:val="24"/>
          <w:highlight w:val="none"/>
          <w:u w:val="single"/>
        </w:rPr>
        <w:t xml:space="preserve">点</w:t>
      </w:r>
      <w:r>
        <w:rPr>
          <w:rFonts w:hint="eastAsia" w:asciiTheme="majorEastAsia" w:hAnsiTheme="majorEastAsia" w:eastAsiaTheme="majorEastAsia"/>
          <w:b/>
          <w:color w:val="auto"/>
          <w:sz w:val="24"/>
          <w:szCs w:val="24"/>
          <w:highlight w:val="none"/>
          <w:u w:val="single"/>
          <w:lang w:val="en-US" w:eastAsia="zh-CN"/>
        </w:rPr>
        <w:t xml:space="preserve">0</w:t>
      </w:r>
      <w:r>
        <w:rPr>
          <w:rFonts w:hint="eastAsia" w:asciiTheme="majorEastAsia" w:hAnsiTheme="majorEastAsia" w:eastAsiaTheme="majorEastAsia"/>
          <w:b/>
          <w:color w:val="auto"/>
          <w:sz w:val="24"/>
          <w:szCs w:val="24"/>
          <w:highlight w:val="none"/>
          <w:u w:val="single"/>
        </w:rPr>
        <w:t xml:space="preserve">0 分</w:t>
      </w:r>
      <w:r>
        <w:rPr>
          <w:rFonts w:hint="eastAsia" w:asciiTheme="majorEastAsia" w:hAnsiTheme="majorEastAsia" w:eastAsiaTheme="majorEastAsia"/>
          <w:b/>
          <w:color w:val="auto"/>
          <w:sz w:val="24"/>
          <w:szCs w:val="24"/>
          <w:highlight w:val="none"/>
        </w:rPr>
        <w:t xml:space="preserve">（北京时间）</w:t>
      </w:r>
      <w:r>
        <w:rPr>
          <w:rFonts w:hint="eastAsia" w:asciiTheme="majorEastAsia" w:hAnsiTheme="majorEastAsia" w:eastAsiaTheme="majorEastAsia"/>
          <w:color w:val="auto"/>
          <w:sz w:val="24"/>
          <w:szCs w:val="24"/>
          <w:highlight w:val="none"/>
        </w:rPr>
        <w:t xml:space="preserve">，</w:t>
      </w:r>
      <w:r>
        <w:rPr>
          <w:rFonts w:ascii="宋体" w:hAnsi="宋体" w:cs="宋体"/>
          <w:b/>
          <w:bCs/>
          <w:color w:val="auto"/>
          <w:sz w:val="24"/>
          <w:highlight w:val="none"/>
        </w:rPr>
        <w:t xml:space="preserve">投标人登录苏采云政府采购一体化平台，进入“参与详情”页面，上传电子投标文件。</w:t>
      </w:r>
      <w:r/>
    </w:p>
    <w:p>
      <w:pPr>
        <w:ind w:firstLine="480"/>
        <w:spacing w:line="48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注：考虑网络上传速度因素，请投标供应商适当提前上传电子投标文件。</w:t>
      </w:r>
      <w:r/>
    </w:p>
    <w:p>
      <w:pPr>
        <w:ind w:firstLine="480"/>
        <w:spacing w:line="480" w:lineRule="auto"/>
        <w:rPr>
          <w:rFonts w:cs="宋体"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rPr>
        <w:t xml:space="preserve">2、开标时间：</w:t>
      </w:r>
      <w:r>
        <w:rPr>
          <w:rFonts w:hint="eastAsia" w:asciiTheme="majorEastAsia" w:hAnsiTheme="majorEastAsia" w:eastAsiaTheme="majorEastAsia"/>
          <w:b/>
          <w:color w:val="auto"/>
          <w:sz w:val="24"/>
          <w:szCs w:val="24"/>
          <w:highlight w:val="none"/>
          <w:u w:val="single"/>
        </w:rPr>
        <w:t xml:space="preserve">2024年</w:t>
      </w:r>
      <w:r>
        <w:rPr>
          <w:rFonts w:hint="eastAsia" w:asciiTheme="majorEastAsia" w:hAnsiTheme="majorEastAsia" w:eastAsiaTheme="majorEastAsia"/>
          <w:b/>
          <w:color w:val="auto"/>
          <w:sz w:val="24"/>
          <w:szCs w:val="24"/>
          <w:highlight w:val="none"/>
          <w:u w:val="single"/>
          <w:lang w:val="en-US" w:eastAsia="zh-CN"/>
        </w:rPr>
        <w:t xml:space="preserve">5</w:t>
      </w:r>
      <w:r>
        <w:rPr>
          <w:rFonts w:hint="eastAsia" w:asciiTheme="majorEastAsia" w:hAnsiTheme="majorEastAsia" w:eastAsiaTheme="majorEastAsia"/>
          <w:b/>
          <w:color w:val="auto"/>
          <w:sz w:val="24"/>
          <w:szCs w:val="24"/>
          <w:highlight w:val="none"/>
          <w:u w:val="single"/>
        </w:rPr>
        <w:t xml:space="preserve">月 </w:t>
      </w:r>
      <w:r>
        <w:rPr>
          <w:rFonts w:hint="eastAsia" w:asciiTheme="majorEastAsia" w:hAnsiTheme="majorEastAsia" w:eastAsiaTheme="majorEastAsia"/>
          <w:b/>
          <w:color w:val="auto"/>
          <w:sz w:val="24"/>
          <w:szCs w:val="24"/>
          <w:highlight w:val="none"/>
          <w:u w:val="single"/>
          <w:lang w:val="en-US" w:eastAsia="zh-CN"/>
        </w:rPr>
        <w:t xml:space="preserve">28</w:t>
      </w:r>
      <w:bookmarkStart w:id="19" w:name="_GoBack"/>
      <w:r/>
      <w:bookmarkEnd w:id="19"/>
      <w:r>
        <w:rPr>
          <w:rFonts w:hint="eastAsia" w:asciiTheme="majorEastAsia" w:hAnsiTheme="majorEastAsia" w:eastAsiaTheme="majorEastAsia"/>
          <w:b/>
          <w:color w:val="auto"/>
          <w:sz w:val="24"/>
          <w:szCs w:val="24"/>
          <w:highlight w:val="none"/>
          <w:u w:val="single"/>
        </w:rPr>
        <w:t xml:space="preserve">日 1</w:t>
      </w:r>
      <w:r>
        <w:rPr>
          <w:rFonts w:hint="eastAsia" w:asciiTheme="majorEastAsia" w:hAnsiTheme="majorEastAsia" w:eastAsiaTheme="majorEastAsia"/>
          <w:b/>
          <w:color w:val="auto"/>
          <w:sz w:val="24"/>
          <w:szCs w:val="24"/>
          <w:highlight w:val="none"/>
          <w:u w:val="single"/>
          <w:lang w:val="en-US" w:eastAsia="zh-CN"/>
        </w:rPr>
        <w:t xml:space="preserve">4</w:t>
      </w:r>
      <w:r>
        <w:rPr>
          <w:rFonts w:hint="eastAsia" w:asciiTheme="majorEastAsia" w:hAnsiTheme="majorEastAsia" w:eastAsiaTheme="majorEastAsia"/>
          <w:b/>
          <w:color w:val="auto"/>
          <w:sz w:val="24"/>
          <w:szCs w:val="24"/>
          <w:highlight w:val="none"/>
          <w:u w:val="single"/>
        </w:rPr>
        <w:t xml:space="preserve">点</w:t>
      </w:r>
      <w:r>
        <w:rPr>
          <w:rFonts w:hint="eastAsia" w:asciiTheme="majorEastAsia" w:hAnsiTheme="majorEastAsia" w:eastAsiaTheme="majorEastAsia"/>
          <w:b/>
          <w:color w:val="auto"/>
          <w:sz w:val="24"/>
          <w:szCs w:val="24"/>
          <w:highlight w:val="none"/>
          <w:u w:val="single"/>
          <w:lang w:val="en-US" w:eastAsia="zh-CN"/>
        </w:rPr>
        <w:t xml:space="preserve">0</w:t>
      </w:r>
      <w:r>
        <w:rPr>
          <w:rFonts w:hint="eastAsia" w:asciiTheme="majorEastAsia" w:hAnsiTheme="majorEastAsia" w:eastAsiaTheme="majorEastAsia"/>
          <w:b/>
          <w:color w:val="auto"/>
          <w:sz w:val="24"/>
          <w:szCs w:val="24"/>
          <w:highlight w:val="none"/>
          <w:u w:val="single"/>
        </w:rPr>
        <w:t xml:space="preserve">0 分</w:t>
      </w:r>
      <w:r>
        <w:rPr>
          <w:rFonts w:cs="宋体" w:asciiTheme="majorEastAsia" w:hAnsiTheme="majorEastAsia" w:eastAsiaTheme="majorEastAsia"/>
          <w:b/>
          <w:color w:val="auto"/>
          <w:sz w:val="24"/>
          <w:szCs w:val="24"/>
          <w:highlight w:val="none"/>
        </w:rPr>
        <w:t xml:space="preserve">（北京时间）</w:t>
      </w:r>
      <w:r/>
    </w:p>
    <w:p>
      <w:pPr>
        <w:ind w:firstLine="480"/>
        <w:spacing w:line="480" w:lineRule="auto"/>
        <w:rPr>
          <w:rFonts w:ascii="宋体" w:hAnsi="宋体" w:cs="宋体"/>
          <w:b/>
          <w:color w:val="auto"/>
          <w:sz w:val="24"/>
          <w:highlight w:val="none"/>
        </w:rPr>
      </w:pPr>
      <w:r>
        <w:rPr>
          <w:rFonts w:hint="eastAsia" w:asciiTheme="majorEastAsia" w:hAnsiTheme="majorEastAsia" w:eastAsiaTheme="majorEastAsia"/>
          <w:color w:val="auto"/>
          <w:sz w:val="24"/>
          <w:szCs w:val="24"/>
          <w:highlight w:val="none"/>
        </w:rPr>
        <w:t xml:space="preserve">3、</w:t>
      </w:r>
      <w:r>
        <w:rPr>
          <w:rFonts w:asciiTheme="majorEastAsia" w:hAnsiTheme="majorEastAsia" w:eastAsiaTheme="majorEastAsia"/>
          <w:color w:val="auto"/>
          <w:sz w:val="24"/>
          <w:szCs w:val="24"/>
          <w:highlight w:val="none"/>
        </w:rPr>
        <w:t xml:space="preserve">开标地点：</w:t>
      </w:r>
      <w:r>
        <w:rPr>
          <w:rFonts w:ascii="宋体" w:hAnsi="宋体" w:cs="宋体"/>
          <w:b/>
          <w:color w:val="auto"/>
          <w:sz w:val="24"/>
          <w:highlight w:val="none"/>
        </w:rPr>
        <w:t xml:space="preserve">苏采云网上不见面开标大厅</w:t>
      </w:r>
      <w:r/>
    </w:p>
    <w:p>
      <w:pPr>
        <w:ind w:firstLine="420"/>
        <w:spacing w:line="360" w:lineRule="auto"/>
        <w:rPr>
          <w:rFonts w:ascii="宋体" w:hAnsi="宋体" w:cs="宋体"/>
          <w:b/>
          <w:color w:val="auto"/>
          <w:sz w:val="24"/>
          <w:szCs w:val="24"/>
          <w:highlight w:val="none"/>
        </w:rPr>
      </w:pPr>
      <w:r>
        <w:rPr>
          <w:rFonts w:hint="eastAsia" w:hAnsi="宋体" w:cs="等线"/>
          <w:color w:val="auto"/>
          <w:sz w:val="24"/>
          <w:szCs w:val="24"/>
          <w:highlight w:val="none"/>
        </w:rPr>
        <w:t xml:space="preserve">4、现场地址：江苏省太仓市县府东街99号市政务服务中心3号楼3楼不见面开标间（查看当日三楼电子大屏幕提示信息）</w:t>
      </w:r>
      <w:r/>
    </w:p>
    <w:p>
      <w:pPr>
        <w:jc w:val="left"/>
        <w:spacing w:line="312" w:lineRule="auto"/>
        <w:widowControl/>
        <w:rPr>
          <w:color w:val="auto"/>
          <w:highlight w:val="none"/>
        </w:rPr>
      </w:pPr>
      <w:r>
        <w:rPr>
          <w:rFonts w:hint="eastAsia" w:ascii="宋体" w:hAnsi="宋体" w:cs="宋体"/>
          <w:b/>
          <w:color w:val="auto"/>
          <w:sz w:val="24"/>
          <w:szCs w:val="24"/>
          <w:highlight w:val="none"/>
          <w:shd w:val="clear" w:color="auto" w:fill="ffffff"/>
          <w:lang w:bidi="ar"/>
        </w:rPr>
        <w:t xml:space="preserve">五、公告期限： </w:t>
      </w:r>
      <w:r/>
    </w:p>
    <w:p>
      <w:pPr>
        <w:ind w:firstLine="480"/>
        <w:jc w:val="left"/>
        <w:spacing w:line="312"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自本公告发布之日起5个工作日。 </w:t>
      </w:r>
      <w:r/>
    </w:p>
    <w:p>
      <w:pPr>
        <w:spacing w:line="480" w:lineRule="auto"/>
        <w:widowControl/>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 xml:space="preserve">六、其他补充事宜：</w:t>
      </w:r>
      <w:r/>
    </w:p>
    <w:p>
      <w:pPr>
        <w:ind w:firstLine="420"/>
        <w:spacing w:line="360" w:lineRule="auto"/>
        <w:widowControl/>
        <w:rPr>
          <w:rFonts w:hAnsi="宋体" w:cs="等线"/>
          <w:b/>
          <w:bCs/>
          <w:color w:val="auto"/>
          <w:sz w:val="24"/>
          <w:szCs w:val="24"/>
          <w:highlight w:val="none"/>
        </w:rPr>
      </w:pPr>
      <w:r>
        <w:rPr>
          <w:rFonts w:hint="eastAsia" w:hAnsi="宋体" w:cs="等线"/>
          <w:b/>
          <w:bCs/>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22"/>
        <w:spacing w:line="360" w:lineRule="auto"/>
        <w:widowControl/>
        <w:rPr>
          <w:rFonts w:hAnsi="宋体" w:cs="等线"/>
          <w:b/>
          <w:bCs/>
          <w:color w:val="auto"/>
          <w:sz w:val="24"/>
          <w:szCs w:val="24"/>
          <w:highlight w:val="none"/>
        </w:rPr>
      </w:pPr>
      <w:r>
        <w:rPr>
          <w:rFonts w:hint="eastAsia" w:hAnsi="宋体" w:cs="等线"/>
          <w:b/>
          <w:bCs/>
          <w:color w:val="auto"/>
          <w:sz w:val="24"/>
          <w:szCs w:val="24"/>
          <w:highlight w:val="none"/>
        </w:rPr>
        <w:t xml:space="preserve">2、本项目采用不见面开标，投标人开标时无需到现场进行解密，采取网上开标大厅解密电子投标文件，投标人远程解密要求如下：</w:t>
      </w:r>
      <w:r/>
    </w:p>
    <w:p>
      <w:pPr>
        <w:ind w:firstLine="48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7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2）投标人登录苏采云系统，点击开标大厅，选择开标项目，完成不见面开标流程。</w:t>
      </w:r>
      <w:r/>
    </w:p>
    <w:p>
      <w:pPr>
        <w:ind w:firstLine="48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3）投标截止时间后根据系统提示解密电子投标文件。解密时间为</w:t>
      </w:r>
      <w:r>
        <w:rPr>
          <w:rFonts w:hint="eastAsia" w:ascii="宋体" w:hAnsi="宋体" w:cs="宋体"/>
          <w:b/>
          <w:bCs/>
          <w:color w:val="auto"/>
          <w:sz w:val="24"/>
          <w:szCs w:val="24"/>
          <w:highlight w:val="none"/>
          <w:lang w:val="en-US" w:eastAsia="zh-CN"/>
        </w:rPr>
        <w:t xml:space="preserve">15</w:t>
      </w:r>
      <w:r>
        <w:rPr>
          <w:rFonts w:ascii="宋体" w:hAnsi="宋体" w:cs="宋体"/>
          <w:b/>
          <w:bCs/>
          <w:color w:val="auto"/>
          <w:sz w:val="24"/>
          <w:szCs w:val="24"/>
          <w:highlight w:val="none"/>
        </w:rPr>
        <w:t xml:space="preserve">分钟，未在规定时间内完成解密，其投标文件将被拒绝，不参与后续投标流程。</w:t>
      </w:r>
      <w:r/>
    </w:p>
    <w:p>
      <w:pPr>
        <w:ind w:firstLine="48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7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7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70"/>
        <w:spacing w:line="360" w:lineRule="auto"/>
        <w:rPr>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5</w:t>
      </w:r>
      <w:r>
        <w:rPr>
          <w:rFonts w:ascii="宋体" w:hAnsi="宋体" w:cs="宋体"/>
          <w:b/>
          <w:bCs/>
          <w:color w:val="auto"/>
          <w:sz w:val="24"/>
          <w:szCs w:val="24"/>
          <w:highlight w:val="none"/>
        </w:rPr>
        <w:t xml:space="preserve">、有关办理CA数字申领及电子签章事项，登录苏州政府采购网，点击页面底部苏采云图标，进入苏采云政府采购一体化平台，下载“新CA办理指南”文件查阅。</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6、中标服务费：由中标单位支付。按预算金额100万元以内1.5%、100万元（含）--500万元以内1.1%、500万元（含）-- 1000万元以内0.8%，不足3000元按3000元计取。差额定率累进法计算并支付中标服务费。该费用应在领取中标通知书时付清。 </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中标服务费缴纳户名：江苏启越工程管理有限公司苏州众辉分公司   </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开户银行：太仓农村商业银行 </w:t>
      </w:r>
      <w:r/>
    </w:p>
    <w:p>
      <w:pPr>
        <w:ind w:firstLine="480"/>
        <w:jc w:val="left"/>
        <w:spacing w:line="360" w:lineRule="auto"/>
        <w:widowControl/>
        <w:rPr>
          <w:rFonts w:asciiTheme="majorEastAsia" w:hAnsiTheme="majorEastAsia" w:eastAsiaTheme="majorEastAsia"/>
          <w:b/>
          <w:bCs/>
          <w:color w:val="auto"/>
          <w:sz w:val="24"/>
          <w:szCs w:val="24"/>
          <w:highlight w:val="none"/>
        </w:rPr>
      </w:pPr>
      <w:r>
        <w:rPr>
          <w:rFonts w:hint="eastAsia" w:ascii="宋体" w:hAnsi="宋体" w:cs="宋体"/>
          <w:color w:val="auto"/>
          <w:sz w:val="24"/>
          <w:szCs w:val="24"/>
          <w:highlight w:val="none"/>
          <w:shd w:val="clear" w:color="auto" w:fill="ffffff"/>
          <w:lang w:bidi="ar"/>
        </w:rPr>
        <w:t xml:space="preserve">账    号：320 585 100 101 000 000 0794 </w:t>
      </w:r>
      <w:r/>
    </w:p>
    <w:p>
      <w:pPr>
        <w:ind w:firstLine="241"/>
        <w:spacing w:line="360" w:lineRule="auto"/>
        <w:widowControl/>
        <w:rPr>
          <w:rFonts w:cs="宋体" w:asciiTheme="majorEastAsia" w:hAnsiTheme="majorEastAsia" w:eastAsiaTheme="majorEastAsia"/>
          <w:b/>
          <w:color w:val="auto"/>
          <w:sz w:val="24"/>
          <w:szCs w:val="24"/>
          <w:highlight w:val="none"/>
        </w:rPr>
      </w:pPr>
      <w:r>
        <w:rPr>
          <w:rFonts w:hint="eastAsia" w:asciiTheme="majorEastAsia" w:hAnsiTheme="majorEastAsia" w:eastAsiaTheme="majorEastAsia"/>
          <w:b/>
          <w:bCs/>
          <w:color w:val="auto"/>
          <w:sz w:val="24"/>
          <w:szCs w:val="24"/>
          <w:highlight w:val="none"/>
        </w:rPr>
        <w:t xml:space="preserve">7、本项目为网上电子投标，中标人在领取中标通知书后需向招标代理机构额外提供与投标所报电子文件一致的纸质投标书3份。</w:t>
      </w:r>
      <w:r/>
    </w:p>
    <w:p>
      <w:pPr>
        <w:ind w:firstLine="240"/>
        <w:jc w:val="left"/>
        <w:spacing w:line="360" w:lineRule="auto"/>
        <w:widowControl/>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8、履约保证金：无</w:t>
      </w:r>
      <w:r/>
    </w:p>
    <w:p>
      <w:pPr>
        <w:ind w:left="482" w:hanging="241"/>
        <w:jc w:val="left"/>
        <w:keepLines w:val="0"/>
        <w:keepNext w:val="0"/>
        <w:pageBreakBefore w:val="0"/>
        <w:spacing w:line="360" w:lineRule="auto"/>
        <w:widowControl/>
        <w:rPr>
          <w:color w:val="auto"/>
          <w:highlight w:val="none"/>
        </w:rPr>
      </w:pPr>
      <w:r>
        <w:rPr>
          <w:rFonts w:hint="eastAsia" w:ascii="宋体" w:hAnsi="宋体" w:cs="宋体"/>
          <w:b/>
          <w:bCs/>
          <w:color w:val="auto"/>
          <w:sz w:val="24"/>
          <w:szCs w:val="24"/>
          <w:highlight w:val="none"/>
          <w:lang w:val="en-US" w:eastAsia="zh-CN"/>
        </w:rPr>
        <w:t xml:space="preserve">9</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政府采购履约资金扶持政策：</w:t>
      </w:r>
      <w:r>
        <w:rPr>
          <w:rFonts w:ascii="宋体" w:hAnsi="宋体" w:eastAsia="宋体" w:cs="宋体"/>
          <w:b/>
          <w:bCs/>
          <w:color w:val="auto"/>
          <w:sz w:val="24"/>
          <w:szCs w:val="24"/>
          <w:highlight w:val="none"/>
        </w:rPr>
        <w:br/>
      </w:r>
      <w:r>
        <w:rPr>
          <w:rFonts w:ascii="宋体" w:hAnsi="宋体" w:eastAsia="宋体" w:cs="宋体"/>
          <w:color w:val="auto"/>
          <w:sz w:val="24"/>
          <w:szCs w:val="24"/>
          <w:highlight w:val="none"/>
        </w:rPr>
        <w:t xml:space="preserve">中标供应商可凭政府采购合同办理融资贷款，详情请见江苏政府采购网‘政采贷’专栏</w:t>
      </w:r>
      <w:r>
        <w:rPr>
          <w:rFonts w:hint="eastAsia" w:ascii="宋体" w:hAnsi="宋体" w:eastAsia="宋体" w:cs="宋体"/>
          <w:color w:val="auto"/>
          <w:sz w:val="24"/>
          <w:szCs w:val="24"/>
          <w:highlight w:val="none"/>
          <w:lang w:eastAsia="zh-CN"/>
        </w:rPr>
        <w:t xml:space="preserve">。</w:t>
      </w:r>
      <w:r/>
    </w:p>
    <w:p>
      <w:pPr>
        <w:pStyle w:val="1127"/>
        <w:ind w:firstLine="0"/>
        <w:spacing w:line="480" w:lineRule="auto"/>
        <w:rPr>
          <w:rFonts w:asciiTheme="majorEastAsia" w:hAnsiTheme="majorEastAsia" w:eastAsiaTheme="majorEastAsia"/>
          <w:color w:val="auto"/>
          <w:sz w:val="24"/>
          <w:szCs w:val="24"/>
          <w:highlight w:val="none"/>
        </w:rPr>
      </w:pPr>
      <w:r>
        <w:rPr>
          <w:rFonts w:hint="eastAsia" w:cs="宋体" w:asciiTheme="majorEastAsia" w:hAnsiTheme="majorEastAsia" w:eastAsiaTheme="majorEastAsia"/>
          <w:b/>
          <w:color w:val="auto"/>
          <w:sz w:val="24"/>
          <w:szCs w:val="24"/>
          <w:highlight w:val="none"/>
        </w:rPr>
        <w:t xml:space="preserve">七、</w:t>
      </w:r>
      <w:r>
        <w:rPr>
          <w:rFonts w:hint="eastAsia" w:asciiTheme="majorEastAsia" w:hAnsiTheme="majorEastAsia" w:eastAsiaTheme="majorEastAsia"/>
          <w:b/>
          <w:color w:val="auto"/>
          <w:sz w:val="24"/>
          <w:szCs w:val="24"/>
          <w:highlight w:val="none"/>
        </w:rPr>
        <w:t xml:space="preserve">本次招标投标保证金：</w:t>
      </w:r>
      <w:r/>
    </w:p>
    <w:p>
      <w:pPr>
        <w:pStyle w:val="1127"/>
        <w:spacing w:line="480" w:lineRule="auto"/>
        <w:rPr>
          <w:rFonts w:hint="eastAsia" w:ascii="宋体" w:hAnsi="宋体" w:cs="宋体"/>
          <w:b/>
          <w:color w:val="auto"/>
          <w:sz w:val="24"/>
          <w:szCs w:val="24"/>
          <w:highlight w:val="none"/>
          <w:shd w:val="clear" w:color="auto" w:fill="ffffff"/>
          <w:lang w:bidi="ar"/>
        </w:rPr>
      </w:pPr>
      <w:r>
        <w:rPr>
          <w:rFonts w:hint="eastAsia" w:asciiTheme="majorEastAsia" w:hAnsiTheme="majorEastAsia" w:eastAsiaTheme="majorEastAsia"/>
          <w:color w:val="auto"/>
          <w:sz w:val="24"/>
          <w:szCs w:val="24"/>
          <w:highlight w:val="none"/>
        </w:rPr>
        <w:t xml:space="preserve">本项目无须缴纳投标保证金。</w:t>
      </w:r>
      <w:r/>
    </w:p>
    <w:p>
      <w:pPr>
        <w:jc w:val="left"/>
        <w:spacing w:line="312" w:lineRule="auto"/>
        <w:widowControl/>
        <w:rPr>
          <w:color w:val="auto"/>
          <w:highlight w:val="none"/>
        </w:rPr>
      </w:pPr>
      <w:r>
        <w:rPr>
          <w:rFonts w:hint="eastAsia" w:ascii="宋体" w:hAnsi="宋体" w:cs="宋体"/>
          <w:b/>
          <w:color w:val="auto"/>
          <w:sz w:val="24"/>
          <w:szCs w:val="24"/>
          <w:highlight w:val="none"/>
          <w:shd w:val="clear" w:color="auto" w:fill="ffffff"/>
          <w:lang w:val="en-US" w:eastAsia="zh-CN" w:bidi="ar"/>
        </w:rPr>
        <w:t xml:space="preserve">八</w:t>
      </w:r>
      <w:r>
        <w:rPr>
          <w:rFonts w:hint="eastAsia" w:ascii="宋体" w:hAnsi="宋体" w:cs="宋体"/>
          <w:b/>
          <w:color w:val="auto"/>
          <w:sz w:val="24"/>
          <w:szCs w:val="24"/>
          <w:highlight w:val="none"/>
          <w:shd w:val="clear" w:color="auto" w:fill="ffffff"/>
          <w:lang w:bidi="ar"/>
        </w:rPr>
        <w:t xml:space="preserve">、对本次招标提出询问，请按以下方式联系：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1、采购人信息： </w:t>
      </w:r>
      <w:r/>
    </w:p>
    <w:p>
      <w:pPr>
        <w:ind w:firstLine="480"/>
        <w:rPr>
          <w:rFonts w:hint="eastAsia"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 xml:space="preserve">名称：</w:t>
      </w:r>
      <w:r>
        <w:rPr>
          <w:rFonts w:hint="eastAsia"/>
          <w:color w:val="auto"/>
          <w:sz w:val="24"/>
          <w:szCs w:val="24"/>
          <w:highlight w:val="none"/>
          <w:lang w:eastAsia="zh-CN"/>
        </w:rPr>
        <w:t xml:space="preserve">太仓市城厢镇人民政府</w:t>
      </w:r>
      <w:r/>
    </w:p>
    <w:p>
      <w:pPr>
        <w:ind w:firstLine="420"/>
        <w:jc w:val="left"/>
        <w:spacing w:line="360" w:lineRule="auto"/>
        <w:widowControl/>
        <w:rPr>
          <w:color w:val="auto"/>
          <w:sz w:val="24"/>
          <w:szCs w:val="24"/>
          <w:highlight w:val="none"/>
        </w:rPr>
      </w:pPr>
      <w:r>
        <w:rPr>
          <w:color w:val="auto"/>
          <w:sz w:val="24"/>
          <w:szCs w:val="24"/>
          <w:highlight w:val="none"/>
        </w:rPr>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地址</w:t>
      </w:r>
      <w:r>
        <w:rPr>
          <w:rFonts w:hint="eastAsia"/>
          <w:color w:val="auto"/>
          <w:sz w:val="24"/>
          <w:szCs w:val="24"/>
          <w:highlight w:val="none"/>
        </w:rPr>
        <w:t xml:space="preserve">：</w:t>
      </w:r>
      <w:r>
        <w:rPr>
          <w:rFonts w:hint="eastAsia" w:ascii="宋体" w:hAnsi="宋体" w:eastAsia="宋体" w:cs="宋体"/>
          <w:color w:val="auto"/>
          <w:sz w:val="24"/>
          <w:szCs w:val="24"/>
          <w:highlight w:val="none"/>
        </w:rPr>
        <w:t xml:space="preserve">太仓市太平南路76号</w:t>
      </w:r>
      <w:r/>
    </w:p>
    <w:p>
      <w:pPr>
        <w:ind w:firstLine="480"/>
        <w:jc w:val="left"/>
        <w:spacing w:before="120" w:after="120" w:line="360" w:lineRule="auto"/>
        <w:rPr>
          <w:rFonts w:hint="default" w:ascii="宋体" w:eastAsia="宋体"/>
          <w:color w:val="auto"/>
          <w:sz w:val="24"/>
          <w:szCs w:val="22"/>
          <w:highlight w:val="none"/>
          <w:lang w:val="en-US" w:eastAsia="zh-CN"/>
        </w:rPr>
      </w:pPr>
      <w:r>
        <w:rPr>
          <w:rFonts w:hint="eastAsia" w:ascii="宋体" w:hAnsi="宋体" w:cs="宋体"/>
          <w:color w:val="auto"/>
          <w:sz w:val="24"/>
          <w:szCs w:val="24"/>
          <w:highlight w:val="none"/>
          <w:shd w:val="clear" w:color="auto" w:fill="ffffff"/>
          <w:lang w:bidi="ar"/>
        </w:rPr>
        <w:t xml:space="preserve">联系人：</w:t>
      </w:r>
      <w:r>
        <w:rPr>
          <w:rFonts w:cs="宋体"/>
          <w:color w:val="auto"/>
          <w:sz w:val="24"/>
          <w:szCs w:val="24"/>
          <w:highlight w:val="none"/>
        </w:rPr>
        <w:t xml:space="preserve"> </w:t>
      </w:r>
      <w:r>
        <w:rPr>
          <w:rFonts w:hint="eastAsia" w:cs="宋体"/>
          <w:color w:val="auto"/>
          <w:sz w:val="24"/>
          <w:szCs w:val="24"/>
          <w:highlight w:val="none"/>
          <w:lang w:val="en-US" w:eastAsia="zh-CN"/>
        </w:rPr>
        <w:t xml:space="preserve">龚轶韬</w:t>
      </w:r>
      <w:r>
        <w:rPr>
          <w:rFonts w:hint="eastAsia" w:ascii="宋体"/>
          <w:color w:val="auto"/>
          <w:sz w:val="24"/>
          <w:szCs w:val="24"/>
          <w:highlight w:val="none"/>
        </w:rPr>
        <w:t xml:space="preserve">   联系电话：</w:t>
      </w:r>
      <w:r>
        <w:rPr>
          <w:rFonts w:hint="eastAsia" w:ascii="宋体"/>
          <w:color w:val="auto"/>
          <w:sz w:val="24"/>
          <w:szCs w:val="24"/>
          <w:highlight w:val="none"/>
          <w:lang w:val="en-US" w:eastAsia="zh-CN"/>
        </w:rPr>
        <w:t xml:space="preserve">15950192437</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2、采购代理机构信息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名称：江苏启越工程管理有限公司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地址：太仓市东仓南路9号太仓创智科技企业孵化中心2楼</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联系人：李甜    联系电话：15365324601</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3.项目联系方式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项目联系人：李甜   联系电话：15365324601</w:t>
      </w:r>
      <w:r/>
    </w:p>
    <w:p>
      <w:pPr>
        <w:ind w:firstLine="482"/>
        <w:spacing w:line="360" w:lineRule="auto"/>
        <w:rPr>
          <w:rFonts w:asciiTheme="majorEastAsia" w:hAnsiTheme="majorEastAsia" w:eastAsiaTheme="maj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olor w:val="auto"/>
          <w:sz w:val="24"/>
          <w:szCs w:val="24"/>
          <w:highlight w:val="none"/>
        </w:rPr>
        <w:t xml:space="preserve">4、</w:t>
      </w:r>
      <w:r>
        <w:rPr>
          <w:rFonts w:ascii="宋体" w:hAnsi="宋体" w:cs="宋体"/>
          <w:b/>
          <w:color w:val="auto"/>
          <w:sz w:val="24"/>
          <w:highlight w:val="none"/>
        </w:rPr>
        <w:t xml:space="preserve">有关电子投标制作技术疑问，请咨询苏采云软件公司客服：18261002950、0512-69820854、0519-86722802</w:t>
      </w:r>
      <w:r/>
    </w:p>
    <w:p>
      <w:pPr>
        <w:pStyle w:val="1127"/>
        <w:ind w:firstLine="0"/>
        <w:spacing w:line="360" w:lineRule="auto"/>
        <w:rPr>
          <w:color w:val="auto"/>
          <w:highlight w:val="none"/>
        </w:rPr>
      </w:pPr>
      <w:r>
        <w:rPr>
          <w:rFonts w:hint="eastAsia" w:asciiTheme="majorEastAsia" w:hAnsiTheme="majorEastAsia" w:eastAsiaTheme="majorEastAsia"/>
          <w:b/>
          <w:bCs/>
          <w:color w:val="auto"/>
          <w:sz w:val="24"/>
          <w:szCs w:val="24"/>
          <w:highlight w:val="none"/>
          <w:lang w:val="en-US" w:eastAsia="zh-CN"/>
        </w:rPr>
        <w:t xml:space="preserve">九</w:t>
      </w:r>
      <w:r>
        <w:rPr>
          <w:rFonts w:hint="eastAsia" w:asciiTheme="majorEastAsia" w:hAnsiTheme="majorEastAsia" w:eastAsiaTheme="majorEastAsia"/>
          <w:b/>
          <w:bCs/>
          <w:color w:val="auto"/>
          <w:sz w:val="24"/>
          <w:szCs w:val="24"/>
          <w:highlight w:val="none"/>
        </w:rPr>
        <w:t xml:space="preserve">、政府采购</w:t>
      </w:r>
      <w:r>
        <w:rPr>
          <w:rFonts w:hint="eastAsia" w:asciiTheme="majorEastAsia" w:hAnsiTheme="majorEastAsia" w:eastAsiaTheme="majorEastAsia"/>
          <w:b/>
          <w:color w:val="auto"/>
          <w:sz w:val="24"/>
          <w:szCs w:val="24"/>
          <w:highlight w:val="none"/>
        </w:rPr>
        <w:t xml:space="preserve">监督电话：</w:t>
      </w:r>
      <w:r>
        <w:rPr>
          <w:rFonts w:hint="eastAsia" w:asciiTheme="majorEastAsia" w:hAnsiTheme="majorEastAsia" w:eastAsiaTheme="majorEastAsia"/>
          <w:color w:val="auto"/>
          <w:sz w:val="24"/>
          <w:szCs w:val="24"/>
          <w:highlight w:val="none"/>
        </w:rPr>
        <w:t xml:space="preserve">0512-</w:t>
      </w:r>
      <w:r>
        <w:rPr>
          <w:rFonts w:asciiTheme="majorEastAsia" w:hAnsiTheme="majorEastAsia" w:eastAsiaTheme="majorEastAsia"/>
          <w:color w:val="auto"/>
          <w:sz w:val="24"/>
          <w:szCs w:val="24"/>
          <w:highlight w:val="none"/>
        </w:rPr>
        <w:t xml:space="preserve">53512539</w:t>
      </w:r>
      <w:r/>
    </w:p>
    <w:p>
      <w:pPr>
        <w:ind w:firstLine="480"/>
        <w:jc w:val="right"/>
        <w:spacing w:line="312"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江苏启越工程管理有限公司 </w:t>
      </w:r>
      <w:r/>
    </w:p>
    <w:p>
      <w:pPr>
        <w:jc w:val="center"/>
        <w:spacing w:line="312"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                                                     2024年</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 30</w:t>
      </w:r>
      <w:r>
        <w:rPr>
          <w:rFonts w:hint="eastAsia" w:ascii="宋体" w:hAnsi="宋体" w:cs="宋体"/>
          <w:color w:val="auto"/>
          <w:sz w:val="24"/>
          <w:szCs w:val="24"/>
          <w:highlight w:val="none"/>
          <w:shd w:val="clear" w:color="auto" w:fill="ffffff"/>
          <w:lang w:bidi="ar"/>
        </w:rPr>
        <w:t xml:space="preserve">日</w:t>
      </w:r>
      <w:r/>
    </w:p>
    <w:p>
      <w:pPr>
        <w:pStyle w:val="1136"/>
        <w:jc w:val="both"/>
        <w:rPr>
          <w:color w:val="auto"/>
          <w:sz w:val="30"/>
          <w:szCs w:val="30"/>
          <w:highlight w:val="none"/>
        </w:rPr>
      </w:pPr>
      <w:r>
        <w:rPr>
          <w:color w:val="auto"/>
          <w:sz w:val="30"/>
          <w:szCs w:val="30"/>
          <w:highlight w:val="none"/>
        </w:rPr>
      </w:r>
      <w:r/>
    </w:p>
    <w:p>
      <w:pPr>
        <w:pStyle w:val="1136"/>
        <w:jc w:val="center"/>
        <w:rPr>
          <w:color w:val="auto"/>
          <w:sz w:val="30"/>
          <w:szCs w:val="30"/>
          <w:highlight w:val="none"/>
        </w:rPr>
      </w:pPr>
      <w:r>
        <w:rPr>
          <w:color w:val="auto"/>
          <w:sz w:val="30"/>
          <w:szCs w:val="30"/>
          <w:highlight w:val="none"/>
        </w:rPr>
        <w:t xml:space="preserve">第</w:t>
      </w:r>
      <w:r>
        <w:rPr>
          <w:rFonts w:hint="eastAsia"/>
          <w:color w:val="auto"/>
          <w:sz w:val="30"/>
          <w:szCs w:val="30"/>
          <w:highlight w:val="none"/>
        </w:rPr>
        <w:t xml:space="preserve">二部分</w:t>
      </w:r>
      <w:r>
        <w:rPr>
          <w:color w:val="auto"/>
          <w:sz w:val="30"/>
          <w:szCs w:val="30"/>
          <w:highlight w:val="none"/>
        </w:rPr>
        <w:t xml:space="preserve">  投标人须知</w:t>
      </w:r>
      <w:bookmarkEnd w:id="4"/>
      <w:r/>
      <w:bookmarkEnd w:id="5"/>
      <w:r/>
      <w:bookmarkEnd w:id="6"/>
      <w:r/>
      <w:bookmarkEnd w:id="7"/>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一、说明和释义</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 说明</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1.1本招标文件仅适用于江苏启越工程管理有限公司组织的招标活动。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1.2本次招标活动及因本次招标产生的合同受中国法律制约和保护。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1.3本招标文件的解释权属于江苏启越工程管理有限公司。</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 词语释义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2.1采购代理机构：具体组织实施招标活动的法人。本项目采购代理机构是江苏启越工程管理有限公司</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2.2投标人：经认定有资格响应招标，参加投标竞争的法人或其他组织和自然人。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2.3响应：投标人根据采购人或采购代理机构发布的招标文件，编制投标文件并按规定投标的行为。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2.5</w:t>
      </w:r>
      <w:r>
        <w:rPr>
          <w:rFonts w:hint="eastAsia" w:ascii="宋体" w:hAnsi="宋体"/>
          <w:color w:val="auto"/>
          <w:sz w:val="24"/>
          <w:szCs w:val="24"/>
          <w:highlight w:val="none"/>
        </w:rPr>
        <w:t xml:space="preserve">甲方（采购方）：合同中明确规定的实际购买货物和服务的法人或其他组织和自然人（采购人）</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乙方（供应商）：合同中规定的向采购方提供货物和服务的法人或其他组织和自然人（中标人）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2.7货物：系指乙方按招标采购文件规定，应向甲方提供的一切设备、备品、备件、工具、手册及其它有关技术资料和材料。</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2.9知识产权：指专利权、商标权、著作权等无形财产专有权的统称。</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2.10天：日历日。</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2.11交货地点：合同中明确约定的乙方提交的货物和服务最终到达地点。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2.12 合同价款：根据合同规定，乙方在正确地履行合同义务后甲方应支付乙方的价款。</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2.13 产地：货物开采、生长、生产、最终制造、加工或提供服务的来源地。</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2.14不可抗力：不能预见、不能避免并且不能克服的客观情况。</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2.15 实质性响应：满足有关本次采购标的、数量、质量、价款或者报酬、履行期限、履行地点和方式、违约责任和解决争议方法等要求。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2.17进口产品：指通过中国海关报关验收进入中国境内且产自境外的产品。</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2.18书面形式：指书面文字、合同书、信件和传真等可以有形地表现所载内容的形式。</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二、 投标人</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 合格投标人的基本条件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3.1符合《中华人民共和国政府采购法》第二十二条第一款之规定；</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3.2满足本文件实质性条款的规定。</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4．合格投标人的特定条件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 按招标公告规定。</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5. 投标人代表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5.1指全权代表投标人参加投标活动并签署投标文件的人，如果投标人代表不是法人代表，须持有《法人代表授权委托书》（详见统一格式）。</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6. 联合投标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6.1本次招标不接受联合体投标。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7. 投标费用 </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7.1投标人应自行承担所有准备及参加投标的相关费用。不论投标结果如何，采购代理机构在任何情况下均无义务也无责任承担这些费用。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 本次招标项目收取中标服务费，请投标人在投标时充分考虑这一因素。</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三、招标文件说明</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8. 招标文件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8.1招标文件由招标文件目录所列内容组成，投标人获得招标文件后，应仔细检查招标文件的所有内容，</w:t>
      </w:r>
      <w:r>
        <w:rPr>
          <w:rFonts w:hAnsi="宋体"/>
          <w:color w:val="auto"/>
          <w:sz w:val="24"/>
          <w:szCs w:val="24"/>
          <w:highlight w:val="none"/>
        </w:rPr>
        <w:t xml:space="preserve">如有缺漏，请立即与</w:t>
      </w:r>
      <w:r>
        <w:rPr>
          <w:rFonts w:hint="eastAsia" w:ascii="宋体" w:hAnsi="宋体"/>
          <w:color w:val="auto"/>
          <w:sz w:val="24"/>
          <w:szCs w:val="24"/>
          <w:highlight w:val="none"/>
        </w:rPr>
        <w:t xml:space="preserve">采购代理机构</w:t>
      </w:r>
      <w:r>
        <w:rPr>
          <w:rFonts w:hAnsi="宋体"/>
          <w:color w:val="auto"/>
          <w:sz w:val="24"/>
          <w:szCs w:val="24"/>
          <w:highlight w:val="none"/>
        </w:rPr>
        <w:t xml:space="preserve">联系解决</w:t>
      </w:r>
      <w:r>
        <w:rPr>
          <w:rFonts w:hint="eastAsia" w:hAnsi="宋体"/>
          <w:color w:val="auto"/>
          <w:sz w:val="24"/>
          <w:szCs w:val="24"/>
          <w:highlight w:val="none"/>
        </w:rPr>
        <w:t xml:space="preserve">，</w:t>
      </w:r>
      <w:r>
        <w:rPr>
          <w:rFonts w:hint="eastAsia" w:ascii="宋体" w:hAnsi="宋体"/>
          <w:color w:val="auto"/>
          <w:sz w:val="24"/>
          <w:szCs w:val="24"/>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8.2</w:t>
      </w:r>
      <w:r>
        <w:rPr>
          <w:rFonts w:hint="eastAsia" w:ascii="宋体" w:hAnsi="宋体" w:cs="宋体"/>
          <w:color w:val="auto"/>
          <w:sz w:val="24"/>
          <w:szCs w:val="24"/>
          <w:highlight w:val="none"/>
          <w:lang w:bidi="ar"/>
        </w:rPr>
        <w:t xml:space="preserve">招标文件及其更正文件不是直接从</w:t>
      </w:r>
      <w:r>
        <w:rPr>
          <w:rFonts w:hint="eastAsia" w:ascii="宋体" w:hAnsi="宋体"/>
          <w:color w:val="auto"/>
          <w:sz w:val="24"/>
          <w:szCs w:val="24"/>
          <w:highlight w:val="none"/>
        </w:rPr>
        <w:t xml:space="preserve">采购代理机构</w:t>
      </w:r>
      <w:r>
        <w:rPr>
          <w:rFonts w:hint="eastAsia" w:ascii="宋体" w:hAnsi="宋体" w:cs="宋体"/>
          <w:color w:val="auto"/>
          <w:sz w:val="24"/>
          <w:szCs w:val="24"/>
          <w:highlight w:val="none"/>
          <w:lang w:bidi="ar"/>
        </w:rPr>
        <w:t xml:space="preserve">或指定媒体获得的，</w:t>
      </w:r>
      <w:r>
        <w:rPr>
          <w:rFonts w:hint="eastAsia" w:ascii="宋体" w:hAnsi="宋体"/>
          <w:color w:val="auto"/>
          <w:sz w:val="24"/>
          <w:szCs w:val="24"/>
          <w:highlight w:val="none"/>
        </w:rPr>
        <w:t xml:space="preserve">采购代理机构</w:t>
      </w:r>
      <w:r>
        <w:rPr>
          <w:rFonts w:hint="eastAsia" w:ascii="宋体" w:hAnsi="宋体" w:cs="宋体"/>
          <w:color w:val="auto"/>
          <w:sz w:val="24"/>
          <w:szCs w:val="24"/>
          <w:highlight w:val="none"/>
          <w:lang w:bidi="ar"/>
        </w:rPr>
        <w:t xml:space="preserve">对招标文件及其补遗的真实性、完整性不承担任何责任。</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9. 招标文件的澄清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9.1</w:t>
      </w:r>
      <w:r>
        <w:rPr>
          <w:rFonts w:hint="eastAsia" w:ascii="宋体" w:hAnsi="宋体" w:cs="宋体"/>
          <w:color w:val="auto"/>
          <w:sz w:val="24"/>
          <w:szCs w:val="24"/>
          <w:highlight w:val="none"/>
        </w:rPr>
        <w:t xml:space="preserve">投标人在获取招标文件后，若有疑问，应于网上投标截止时间之前，在网上报名系统上向采购代理机构提出，采购代理机构将在系统上予以解答。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cs="宋体"/>
          <w:color w:val="auto"/>
          <w:sz w:val="24"/>
          <w:szCs w:val="24"/>
          <w:highlight w:val="none"/>
        </w:rPr>
        <w:t xml:space="preserve">如有必要，问题答复将以“变更公告”形式由采购代理机构按照本须知第10条的规定发出。</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10.招标文件的修改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10.1采购代理机构无论出于自己的考虑，还是出于对投标人提问的澄清，均可对已发出的招标文件用</w:t>
      </w:r>
      <w:r>
        <w:rPr>
          <w:rFonts w:hAnsi="宋体"/>
          <w:color w:val="auto"/>
          <w:sz w:val="24"/>
          <w:szCs w:val="24"/>
          <w:highlight w:val="none"/>
          <w:lang w:val="zh-CN"/>
        </w:rPr>
        <w:t xml:space="preserve">补充文件的方式</w:t>
      </w:r>
      <w:r>
        <w:rPr>
          <w:rFonts w:hint="eastAsia" w:ascii="宋体" w:hAnsi="宋体"/>
          <w:color w:val="auto"/>
          <w:sz w:val="24"/>
          <w:szCs w:val="24"/>
          <w:highlight w:val="none"/>
        </w:rPr>
        <w:t xml:space="preserve">进行必要澄清或者修改。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10.3招标文件的更正（含澄清、修改等）内容与原招标文件在同一内容上表述不一致时，以发出日期最接近开标时间的公告为准。</w:t>
      </w:r>
      <w:r/>
    </w:p>
    <w:p>
      <w:pPr>
        <w:ind w:firstLine="360"/>
        <w:spacing w:line="440" w:lineRule="exact"/>
        <w:rPr>
          <w:rFonts w:ascii="宋体" w:hAnsi="宋体" w:cs="宋体"/>
          <w:color w:val="auto"/>
          <w:sz w:val="24"/>
          <w:szCs w:val="24"/>
          <w:highlight w:val="none"/>
          <w:lang w:bidi="ar"/>
        </w:rPr>
      </w:pPr>
      <w:r>
        <w:rPr>
          <w:rFonts w:hint="eastAsia" w:ascii="宋体" w:hAnsi="宋体"/>
          <w:color w:val="auto"/>
          <w:sz w:val="24"/>
          <w:szCs w:val="24"/>
          <w:highlight w:val="none"/>
        </w:rPr>
        <w:t xml:space="preserve">10.4</w:t>
      </w:r>
      <w:r>
        <w:rPr>
          <w:rFonts w:hint="eastAsia" w:ascii="宋体" w:hAnsi="宋体" w:cs="宋体"/>
          <w:color w:val="auto"/>
          <w:sz w:val="24"/>
          <w:szCs w:val="24"/>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p>
    <w:p>
      <w:pPr>
        <w:pStyle w:val="1127"/>
        <w:ind w:firstLine="573"/>
        <w:spacing w:line="360" w:lineRule="auto"/>
        <w:rPr>
          <w:color w:val="auto"/>
          <w:highlight w:val="none"/>
        </w:rPr>
      </w:pPr>
      <w:r>
        <w:rPr>
          <w:rFonts w:hint="eastAsia" w:hAnsi="宋体"/>
          <w:b/>
          <w:color w:val="auto"/>
          <w:sz w:val="24"/>
          <w:szCs w:val="24"/>
          <w:highlight w:val="none"/>
        </w:rPr>
        <w:t xml:space="preserve">10.5招标文件若有</w:t>
      </w:r>
      <w:r>
        <w:rPr>
          <w:rFonts w:hint="eastAsia" w:hAnsi="宋体" w:cs="宋体"/>
          <w:b/>
          <w:color w:val="auto"/>
          <w:sz w:val="24"/>
          <w:szCs w:val="24"/>
          <w:highlight w:val="none"/>
        </w:rPr>
        <w:t xml:space="preserve">最新的答疑文件，投标供应商必须下载并使用该文件制作新的电子投标文件，否则将无法完成电子投标文件的上传及投标。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11.质疑</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11.3上述应知其权益受到损害之日是指：</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11.3.1对采购文件提出质疑的，为获取采购文件或者采购文件公告期限届满之日起计算；</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11.3.2对采购过程提出质疑的，自采购程序环节结束之日起计算；</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11.3.3对中标结果提出质疑的，自中标结果公告期限届满之日起计算。</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11.4 供应商提出质疑应当提交质疑函和必要的证明材料。质疑函应当包括下列内容：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11.4.1 </w:t>
      </w:r>
      <w:r>
        <w:rPr>
          <w:rFonts w:ascii="宋体" w:hAnsi="宋体"/>
          <w:color w:val="auto"/>
          <w:sz w:val="24"/>
          <w:szCs w:val="24"/>
          <w:highlight w:val="none"/>
        </w:rPr>
        <w:t xml:space="preserve">供应商的姓名或者名称、地址、邮编、联系人及联系电话；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11.4.2 </w:t>
      </w:r>
      <w:r>
        <w:rPr>
          <w:rFonts w:ascii="宋体" w:hAnsi="宋体"/>
          <w:color w:val="auto"/>
          <w:sz w:val="24"/>
          <w:szCs w:val="24"/>
          <w:highlight w:val="none"/>
        </w:rPr>
        <w:t xml:space="preserve">质疑项目的名称、编号；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11.4.3 </w:t>
      </w:r>
      <w:r>
        <w:rPr>
          <w:rFonts w:ascii="宋体" w:hAnsi="宋体"/>
          <w:color w:val="auto"/>
          <w:sz w:val="24"/>
          <w:szCs w:val="24"/>
          <w:highlight w:val="none"/>
        </w:rPr>
        <w:t xml:space="preserve">具体、明确的质疑事项和与质疑事项相关的请求；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11.4.4 </w:t>
      </w:r>
      <w:r>
        <w:rPr>
          <w:rFonts w:ascii="宋体" w:hAnsi="宋体"/>
          <w:color w:val="auto"/>
          <w:sz w:val="24"/>
          <w:szCs w:val="24"/>
          <w:highlight w:val="none"/>
        </w:rPr>
        <w:t xml:space="preserve">事实依据；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11.4.5 </w:t>
      </w:r>
      <w:r>
        <w:rPr>
          <w:rFonts w:ascii="宋体" w:hAnsi="宋体"/>
          <w:color w:val="auto"/>
          <w:sz w:val="24"/>
          <w:szCs w:val="24"/>
          <w:highlight w:val="none"/>
        </w:rPr>
        <w:t xml:space="preserve">必要的法律依据；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11.4.6 </w:t>
      </w:r>
      <w:r>
        <w:rPr>
          <w:rFonts w:ascii="宋体" w:hAnsi="宋体"/>
          <w:color w:val="auto"/>
          <w:sz w:val="24"/>
          <w:szCs w:val="24"/>
          <w:highlight w:val="none"/>
        </w:rPr>
        <w:t xml:space="preserve">提出质疑的日期。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11.5质疑函的格式和内容应当符合财政部《政府采购供应商质疑函范本》 </w:t>
      </w:r>
      <w:bookmarkStart w:id="8" w:name="baidusnap5"/>
      <w:r/>
      <w:bookmarkEnd w:id="8"/>
      <w:r>
        <w:rPr>
          <w:rFonts w:hint="eastAsia" w:ascii="宋体" w:hAnsi="宋体"/>
          <w:color w:val="auto"/>
          <w:sz w:val="24"/>
          <w:szCs w:val="24"/>
          <w:highlight w:val="none"/>
        </w:rPr>
        <w:t xml:space="preserve">要求，质疑函范本在</w:t>
      </w:r>
      <w:r>
        <w:rPr>
          <w:rFonts w:ascii="宋体" w:hAnsi="宋体"/>
          <w:color w:val="auto"/>
          <w:sz w:val="24"/>
          <w:szCs w:val="24"/>
          <w:highlight w:val="none"/>
        </w:rPr>
        <w:t xml:space="preserve">财政</w:t>
      </w:r>
      <w:r>
        <w:rPr>
          <w:rFonts w:hint="eastAsia" w:ascii="宋体" w:hAnsi="宋体"/>
          <w:color w:val="auto"/>
          <w:sz w:val="24"/>
          <w:szCs w:val="24"/>
          <w:highlight w:val="none"/>
        </w:rPr>
        <w:t xml:space="preserve">部官网上提供下载。</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 提交质疑函同时应当附如下证明材料：</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11.6.1对采购文件提出质疑的供应商提供参加本项目的报名确认单；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11.6.2质疑供应商的营业执照复印件加盖单位公章；</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11.6.3质疑供应商法定代表人身份证复印件加盖单位公章；</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11.7 </w:t>
      </w:r>
      <w:r>
        <w:rPr>
          <w:rFonts w:ascii="宋体" w:hAnsi="宋体"/>
          <w:color w:val="auto"/>
          <w:sz w:val="24"/>
          <w:szCs w:val="24"/>
          <w:highlight w:val="none"/>
        </w:rPr>
        <w:t xml:space="preserve">供应商为自然人的，应当由本人签字；供应商为法人或者其他组织的，应当由法定代表人、主要负责人，或者其授权代表签字或者盖章，并加盖公章。 </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11.8 供应商对招标项目技术、商务及其他要求，以及评审细则、标准提出询问或质疑的，应向采购人提出；供应商对采购过程及中标结果提出询问或质疑的，应向采购机代理构提出；</w:t>
      </w:r>
      <w:r>
        <w:rPr>
          <w:rFonts w:hint="eastAsia" w:ascii="宋体" w:hAnsi="宋体"/>
          <w:color w:val="auto"/>
          <w:sz w:val="24"/>
          <w:szCs w:val="24"/>
          <w:highlight w:val="none"/>
        </w:rPr>
        <w:br/>
      </w:r>
      <w:r>
        <w:rPr>
          <w:rFonts w:hint="eastAsia" w:ascii="宋体" w:hAnsi="宋体"/>
          <w:color w:val="auto"/>
          <w:sz w:val="24"/>
          <w:szCs w:val="24"/>
          <w:highlight w:val="none"/>
        </w:rPr>
        <w:t xml:space="preserve">   11.9 供应商如对本项目提出质疑须在法定质疑期内一次性提出针对同一采购程序环节的质疑，否则不予受理重复质疑。</w:t>
      </w:r>
      <w:r>
        <w:rPr>
          <w:rFonts w:hint="eastAsia" w:ascii="宋体" w:hAnsi="宋体"/>
          <w:color w:val="auto"/>
          <w:sz w:val="24"/>
          <w:szCs w:val="24"/>
          <w:highlight w:val="none"/>
        </w:rPr>
        <w:br/>
      </w:r>
      <w:r>
        <w:rPr>
          <w:rFonts w:hint="eastAsia" w:ascii="宋体" w:hAnsi="宋体"/>
          <w:color w:val="auto"/>
          <w:sz w:val="24"/>
          <w:szCs w:val="24"/>
          <w:highlight w:val="none"/>
        </w:rPr>
        <w:t xml:space="preserve">   11.10 接受质疑函联系方式见采购公告联系事项。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四、 投标文件说明</w:t>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、提示与要求</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s="宋体"/>
          <w:color w:val="auto"/>
          <w:sz w:val="24"/>
          <w:szCs w:val="24"/>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无论是否递交投标文件，投标人都应将招标文件及以后的所有通知、文件等视为保密文件。</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13. 投标文件计量单位和使用文字</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13.1投标文件中所使用的计量单位，除招标文件中有特殊要求外，均应使用中华人民共和国法定计量单位。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 知识产权</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 投标文件的组成和顺序</w:t>
      </w:r>
      <w:r/>
    </w:p>
    <w:p>
      <w:pPr>
        <w:ind w:firstLine="12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15.1报价部分（详见投标文件格式）：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15.1.1投标单位营业执照副本或三证合一副本复印件；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15.1.2投标单位法定代表人身份证复印件；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15.1.3法定代表人授权委托书（如有授权）；</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15.1.4授权委托代理人身份证复印件（如有授权）；</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15.1.5《开标一览表》(统一格式，用于唱标)；</w:t>
      </w:r>
      <w:r/>
    </w:p>
    <w:p>
      <w:pPr>
        <w:ind w:firstLine="360"/>
        <w:spacing w:line="440" w:lineRule="exact"/>
        <w:rPr>
          <w:rFonts w:hint="eastAsia" w:eastAsia="宋体"/>
          <w:lang w:eastAsia="zh-CN"/>
        </w:rPr>
      </w:pPr>
      <w:r>
        <w:rPr>
          <w:rFonts w:hint="eastAsia" w:ascii="宋体" w:hAnsi="宋体" w:eastAsia="宋体" w:cs="Times New Roman"/>
          <w:color w:val="auto"/>
          <w:sz w:val="24"/>
          <w:szCs w:val="24"/>
          <w:highlight w:val="none"/>
          <w:lang w:val="en-US" w:eastAsia="zh-CN"/>
        </w:rPr>
        <w:t xml:space="preserve">15.1.6</w:t>
      </w:r>
      <w:r>
        <w:rPr>
          <w:rFonts w:hint="eastAsia" w:ascii="宋体" w:hAnsi="宋体" w:eastAsia="宋体" w:cs="Times New Roman"/>
          <w:color w:val="auto"/>
          <w:sz w:val="24"/>
          <w:szCs w:val="24"/>
          <w:highlight w:val="none"/>
        </w:rPr>
        <w:t xml:space="preserve">投标报价</w:t>
      </w:r>
      <w:r>
        <w:rPr>
          <w:rFonts w:hint="eastAsia" w:ascii="宋体" w:hAnsi="宋体" w:eastAsia="宋体" w:cs="Times New Roman"/>
          <w:color w:val="auto"/>
          <w:sz w:val="24"/>
          <w:szCs w:val="24"/>
          <w:highlight w:val="none"/>
          <w:lang w:val="en-US" w:eastAsia="zh-CN"/>
        </w:rPr>
        <w:t xml:space="preserve">分项</w:t>
      </w:r>
      <w:r>
        <w:rPr>
          <w:rFonts w:hint="eastAsia" w:ascii="宋体" w:hAnsi="宋体" w:eastAsia="宋体" w:cs="Times New Roman"/>
          <w:color w:val="auto"/>
          <w:sz w:val="24"/>
          <w:szCs w:val="24"/>
          <w:highlight w:val="none"/>
        </w:rPr>
        <w:t xml:space="preserve">明细表</w:t>
      </w:r>
      <w:r>
        <w:rPr>
          <w:rFonts w:hint="eastAsia" w:ascii="宋体" w:hAnsi="宋体" w:eastAsia="宋体" w:cs="Times New Roman"/>
          <w:color w:val="auto"/>
          <w:sz w:val="24"/>
          <w:szCs w:val="24"/>
          <w:highlight w:val="none"/>
          <w:lang w:eastAsia="zh-CN"/>
        </w:rPr>
        <w:t xml:space="preserve">；</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15.2 投标正文部分（包含资质证明和技术部分）</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15.2.1资质证明文件部分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15.2.1.1关于资格文件的声明函（详见投标文件格式）；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15.2.1.2投标承诺函（详见投标文件格式）；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15.2.1.3投标单位营业执照副本或三证合一营业执照复印件；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15.2.1.4投标人参加本次政府采购活动前的财务状况报告或者银行出具的资信证明、投标担保函；</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15.2.1.5投标人根据项目需求提供履行合同所必需的设备和专业技术能力的证明材料；</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15.2.1.6投标人参加本次政府采购活动前半年（至少一个月）依法缴纳税收和社会保障资金的证明材料；</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15.2.1.7投标人参加政府采购活动前三年在经营活动中没有重大违法记录的书面申明（详见投标文件格式）；</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15.2.1.8投标人证明其符合招标文件规定的投标人特定资格条件的证书、证明和文件材料（若有）；</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15.2.1.9投标人基本情况表（详见投标文件格式）；</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15.2.1.10投标人法定代表人身份证复印件；</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15.2.1.11投标人法定代表人授权委托书原件（如有授权）（详见投标文件格式）；</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15.2.1.12投标人授权代理人身份证复印件（如有授权）；</w:t>
      </w:r>
      <w:r/>
    </w:p>
    <w:p>
      <w:pPr>
        <w:ind w:firstLine="480"/>
        <w:jc w:val="left"/>
        <w:keepLines w:val="0"/>
        <w:keepNext w:val="0"/>
        <w:pageBreakBefore w:val="0"/>
        <w:spacing w:line="360" w:lineRule="auto"/>
        <w:widowControl/>
        <w:rPr>
          <w:rFonts w:ascii="宋体" w:hAnsi="宋体" w:cs="宋体"/>
          <w:color w:val="auto"/>
          <w:sz w:val="24"/>
          <w:szCs w:val="24"/>
          <w:highlight w:val="none"/>
          <w:lang w:bidi="ar"/>
        </w:rPr>
      </w:pPr>
      <w:r>
        <w:rPr>
          <w:rFonts w:hint="eastAsia" w:ascii="宋体" w:hAnsi="宋体"/>
          <w:color w:val="auto"/>
          <w:sz w:val="24"/>
          <w:szCs w:val="24"/>
          <w:highlight w:val="none"/>
        </w:rPr>
        <w:t xml:space="preserve">15.2.1.13</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 xml:space="preserve">中</w:t>
      </w:r>
      <w:r>
        <w:rPr>
          <w:rFonts w:hint="eastAsia" w:ascii="宋体" w:hAnsi="宋体" w:cs="宋体"/>
          <w:color w:val="auto"/>
          <w:sz w:val="24"/>
          <w:szCs w:val="24"/>
          <w:highlight w:val="none"/>
          <w:lang w:bidi="ar"/>
        </w:rPr>
        <w:t xml:space="preserve">小企业</w:t>
      </w:r>
      <w:r>
        <w:rPr>
          <w:rFonts w:hint="eastAsia" w:ascii="宋体" w:hAnsi="宋体" w:cs="宋体"/>
          <w:color w:val="auto"/>
          <w:sz w:val="24"/>
          <w:szCs w:val="24"/>
          <w:highlight w:val="none"/>
          <w:lang w:val="en-US" w:eastAsia="zh-CN" w:bidi="ar"/>
        </w:rPr>
        <w:t xml:space="preserve">声明函</w:t>
      </w:r>
      <w:r>
        <w:rPr>
          <w:rFonts w:hint="eastAsia" w:ascii="宋体" w:hAnsi="宋体"/>
          <w:color w:val="auto"/>
          <w:sz w:val="24"/>
          <w:szCs w:val="24"/>
          <w:highlight w:val="none"/>
        </w:rPr>
        <w:t xml:space="preserve">、残疾人福利性单位声明函；</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bCs/>
          <w:color w:val="auto"/>
          <w:sz w:val="24"/>
          <w:szCs w:val="24"/>
          <w:highlight w:val="none"/>
        </w:rPr>
        <w:t xml:space="preserve">15.2.1.14</w:t>
      </w:r>
      <w:r>
        <w:rPr>
          <w:rFonts w:hint="eastAsia" w:ascii="Arial" w:hAnsi="Arial" w:cs="Arial"/>
          <w:bCs/>
          <w:color w:val="auto"/>
          <w:sz w:val="24"/>
          <w:szCs w:val="24"/>
          <w:highlight w:val="none"/>
        </w:rPr>
        <w:t xml:space="preserve">合格供应商资格要求承诺函</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15.2.1.15 其他可以证明投标人资信、资质和货物、服务质量的证书、文件等资料；</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15.2.2技术部分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服务要求偏离表（统一格式）；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15.2.2.2投标商务要求偏离表（统一格式）；</w:t>
      </w:r>
      <w:r/>
    </w:p>
    <w:p>
      <w:pPr>
        <w:ind w:firstLine="360"/>
        <w:spacing w:line="440" w:lineRule="exact"/>
        <w:rPr>
          <w:rFonts w:ascii="宋体" w:hAnsi="宋体"/>
          <w:color w:val="auto"/>
          <w:sz w:val="24"/>
          <w:szCs w:val="24"/>
          <w:highlight w:val="none"/>
        </w:rPr>
      </w:pPr>
      <w:r>
        <w:rPr>
          <w:rFonts w:hint="eastAsia" w:ascii="宋体" w:hAnsi="宋体" w:cs="宋体"/>
          <w:color w:val="auto"/>
          <w:sz w:val="24"/>
          <w:szCs w:val="24"/>
          <w:highlight w:val="none"/>
          <w:lang w:bidi="ar"/>
        </w:rPr>
        <w:t xml:space="preserve">15.2.2.3</w:t>
      </w:r>
      <w:r>
        <w:rPr>
          <w:rFonts w:hint="eastAsia" w:ascii="宋体" w:hAnsi="宋体"/>
          <w:color w:val="auto"/>
          <w:sz w:val="24"/>
          <w:szCs w:val="24"/>
          <w:highlight w:val="none"/>
        </w:rPr>
        <w:t xml:space="preserve">类似项目业绩一览表及相关证明材料；</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15.2.2.4投入本项目技术（服务）人员一览表及相关证明材料；</w:t>
      </w:r>
      <w:r/>
    </w:p>
    <w:p>
      <w:pPr>
        <w:ind w:firstLine="36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12.2.2.5</w:t>
      </w:r>
      <w:r>
        <w:rPr>
          <w:rFonts w:hint="eastAsia" w:ascii="宋体" w:hAnsi="宋体" w:eastAsia="宋体" w:cs="Times New Roman"/>
          <w:color w:val="auto"/>
          <w:sz w:val="24"/>
          <w:szCs w:val="24"/>
          <w:highlight w:val="none"/>
        </w:rPr>
        <w:t xml:space="preserve">拟投入本项目的设备情况一览表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技术方案、服务方案（技术方案及服务方案的内容编排等由响应人自定）</w:t>
      </w:r>
      <w:r/>
    </w:p>
    <w:p>
      <w:pPr>
        <w:ind w:firstLine="360"/>
        <w:spacing w:line="440" w:lineRule="exact"/>
        <w:rPr>
          <w:rFonts w:cs="宋体"/>
          <w:color w:val="auto"/>
          <w:sz w:val="24"/>
          <w:szCs w:val="24"/>
          <w:highlight w:val="none"/>
          <w:lang w:val="zh-CN" w:bidi="ar"/>
        </w:rPr>
      </w:pPr>
      <w:r>
        <w:rPr>
          <w:rFonts w:hint="eastAsia" w:ascii="宋体" w:hAnsi="宋体"/>
          <w:color w:val="auto"/>
          <w:sz w:val="24"/>
          <w:szCs w:val="24"/>
          <w:highlight w:val="none"/>
        </w:rPr>
        <w:t xml:space="preserve">15.2.2.</w:t>
      </w:r>
      <w:r>
        <w:rPr>
          <w:rFonts w:hint="eastAsia" w:ascii="宋体" w:hAnsi="宋体"/>
          <w:color w:val="auto"/>
          <w:sz w:val="24"/>
          <w:szCs w:val="24"/>
          <w:highlight w:val="none"/>
          <w:lang w:val="en-US" w:eastAsia="zh-CN"/>
        </w:rPr>
        <w:t xml:space="preserve">7</w:t>
      </w:r>
      <w:r>
        <w:rPr>
          <w:rFonts w:hint="eastAsia" w:ascii="宋体" w:hAnsi="宋体" w:cs="宋体"/>
          <w:b/>
          <w:bCs/>
          <w:color w:val="auto"/>
          <w:sz w:val="24"/>
          <w:szCs w:val="24"/>
          <w:highlight w:val="none"/>
          <w:lang w:bidi="ar"/>
        </w:rPr>
        <w:t xml:space="preserve">招标文件及评分标准中要求提供的其他相关材料；</w:t>
      </w:r>
      <w:r/>
    </w:p>
    <w:p>
      <w:pPr>
        <w:ind w:firstLine="360"/>
        <w:spacing w:line="440" w:lineRule="exact"/>
        <w:rPr>
          <w:rFonts w:ascii="宋体" w:hAnsi="宋体"/>
          <w:color w:val="auto"/>
          <w:sz w:val="24"/>
          <w:szCs w:val="24"/>
          <w:highlight w:val="none"/>
        </w:rPr>
      </w:pPr>
      <w:r>
        <w:rPr>
          <w:rFonts w:hint="eastAsia" w:ascii="宋体" w:hAnsi="宋体" w:cs="宋体"/>
          <w:color w:val="auto"/>
          <w:sz w:val="24"/>
          <w:szCs w:val="24"/>
          <w:highlight w:val="none"/>
          <w:lang w:bidi="ar"/>
        </w:rPr>
        <w:t xml:space="preserve">15.2.2.</w:t>
      </w:r>
      <w:r>
        <w:rPr>
          <w:rFonts w:hint="eastAsia" w:ascii="宋体" w:hAnsi="宋体" w:cs="宋体"/>
          <w:color w:val="auto"/>
          <w:sz w:val="24"/>
          <w:szCs w:val="24"/>
          <w:highlight w:val="none"/>
          <w:lang w:val="en-US" w:eastAsia="zh-CN" w:bidi="ar"/>
        </w:rPr>
        <w:t xml:space="preserve">8</w:t>
      </w:r>
      <w:r>
        <w:rPr>
          <w:rFonts w:hint="eastAsia" w:ascii="宋体" w:hAnsi="宋体"/>
          <w:color w:val="auto"/>
          <w:sz w:val="24"/>
          <w:szCs w:val="24"/>
          <w:highlight w:val="none"/>
        </w:rPr>
        <w:t xml:space="preserve">其他需投标人对本次投标的详细说明（投标人视各自的情况自行编制）；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spacing w:line="440" w:lineRule="exact"/>
        <w:rPr>
          <w:rFonts w:ascii="宋体" w:hAnsi="宋体"/>
          <w:color w:val="auto"/>
          <w:sz w:val="24"/>
          <w:szCs w:val="24"/>
          <w:highlight w:val="none"/>
        </w:rPr>
      </w:pPr>
      <w:r/>
      <w:bookmarkStart w:id="9" w:name="_Toc467507043"/>
      <w:r/>
      <w:bookmarkStart w:id="10" w:name="_Toc467507037"/>
      <w:r/>
      <w:bookmarkStart w:id="11" w:name="_Toc315868058"/>
      <w:r/>
      <w:bookmarkStart w:id="12" w:name="_Toc158691774"/>
      <w:r/>
      <w:bookmarkStart w:id="13" w:name="_Toc315875321"/>
      <w:r>
        <w:rPr>
          <w:rFonts w:hint="eastAsia" w:ascii="宋体" w:hAnsi="宋体"/>
          <w:b/>
          <w:color w:val="auto"/>
          <w:sz w:val="24"/>
          <w:szCs w:val="24"/>
          <w:highlight w:val="none"/>
        </w:rPr>
        <w:t xml:space="preserve">15.3投标文件由15.1、15.2款规定的内容共同组成。</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16. 投标文件编制要求</w:t>
      </w:r>
      <w:r/>
    </w:p>
    <w:p>
      <w:pPr>
        <w:spacing w:line="440" w:lineRule="exact"/>
        <w:rPr>
          <w:rFonts w:hAnsi="宋体"/>
          <w:color w:val="auto"/>
          <w:sz w:val="24"/>
          <w:szCs w:val="24"/>
          <w:highlight w:val="none"/>
        </w:rPr>
      </w:pPr>
      <w:r>
        <w:rPr>
          <w:rFonts w:hint="eastAsia" w:ascii="宋体" w:hAnsi="宋体"/>
          <w:color w:val="auto"/>
          <w:sz w:val="24"/>
          <w:szCs w:val="24"/>
          <w:highlight w:val="none"/>
        </w:rPr>
        <w:t xml:space="preserve">16.1</w:t>
      </w:r>
      <w:r>
        <w:rPr>
          <w:rFonts w:hint="eastAsia" w:hAnsi="宋体"/>
          <w:color w:val="auto"/>
          <w:sz w:val="24"/>
          <w:szCs w:val="24"/>
          <w:highlight w:val="none"/>
        </w:rPr>
        <w:t xml:space="preserve">电子投标文件编制要求：投标人应使用招标文件要求的投标文件制作软件制作电子投标文件，电子投标文件按招标文件规定的格式制作，如果未按要求制作上传，可能导致投标无效。</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17. 投标报价（编制）要求的说明</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17.3 一项投标内容只允许一个报价，采购代理机构不接受任何有选择性的投标报价。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17.4投标文件报价中的单价和总价全部采用人民币表示，除非合同的特殊条款另有规定。</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17.5最</w:t>
      </w:r>
      <w:r>
        <w:rPr>
          <w:rFonts w:ascii="宋体" w:hAnsi="宋体"/>
          <w:color w:val="auto"/>
          <w:sz w:val="24"/>
          <w:szCs w:val="24"/>
          <w:highlight w:val="none"/>
        </w:rPr>
        <w:t xml:space="preserve">低的投标报价或最高的折扣比例是中标的重要条件，但不是中标的唯一条件。</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18. 投标保证金：</w:t>
      </w:r>
      <w:r>
        <w:rPr>
          <w:rFonts w:hint="eastAsia" w:ascii="宋体" w:hAnsi="宋体"/>
          <w:color w:val="auto"/>
          <w:sz w:val="24"/>
          <w:szCs w:val="24"/>
          <w:highlight w:val="none"/>
        </w:rPr>
        <w:t xml:space="preserve">本项目无须缴纳投标保证金。</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19. 投标文件的有效期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19.1在本招标文件规定的</w:t>
      </w:r>
      <w:r>
        <w:rPr>
          <w:rFonts w:hAnsi="宋体"/>
          <w:color w:val="auto"/>
          <w:sz w:val="24"/>
          <w:szCs w:val="24"/>
          <w:highlight w:val="none"/>
        </w:rPr>
        <w:t xml:space="preserve">开标之日起</w:t>
      </w:r>
      <w:r>
        <w:rPr>
          <w:rFonts w:hint="eastAsia" w:hAnsi="宋体"/>
          <w:color w:val="auto"/>
          <w:sz w:val="24"/>
          <w:szCs w:val="24"/>
          <w:highlight w:val="none"/>
        </w:rPr>
        <w:t xml:space="preserve">九十</w:t>
      </w:r>
      <w:r>
        <w:rPr>
          <w:rFonts w:hAnsi="宋体"/>
          <w:color w:val="auto"/>
          <w:sz w:val="24"/>
          <w:szCs w:val="24"/>
          <w:highlight w:val="none"/>
        </w:rPr>
        <w:t xml:space="preserve">（</w:t>
      </w:r>
      <w:r>
        <w:rPr>
          <w:rFonts w:hint="eastAsia" w:hAnsi="宋体"/>
          <w:color w:val="auto"/>
          <w:sz w:val="24"/>
          <w:szCs w:val="24"/>
          <w:highlight w:val="none"/>
        </w:rPr>
        <w:t xml:space="preserve">9</w:t>
      </w:r>
      <w:r>
        <w:rPr>
          <w:color w:val="auto"/>
          <w:sz w:val="24"/>
          <w:szCs w:val="24"/>
          <w:highlight w:val="none"/>
        </w:rPr>
        <w:t xml:space="preserve">0</w:t>
      </w:r>
      <w:r>
        <w:rPr>
          <w:rFonts w:hAnsi="宋体"/>
          <w:color w:val="auto"/>
          <w:sz w:val="24"/>
          <w:szCs w:val="24"/>
          <w:highlight w:val="none"/>
        </w:rPr>
        <w:t xml:space="preserve">）天</w:t>
      </w:r>
      <w:r>
        <w:rPr>
          <w:rFonts w:hint="eastAsia" w:ascii="宋体" w:hAnsi="宋体"/>
          <w:color w:val="auto"/>
          <w:sz w:val="24"/>
          <w:szCs w:val="24"/>
          <w:highlight w:val="none"/>
        </w:rPr>
        <w:t xml:space="preserve">内，投标人所提交的投标文件应保持有效。有效期短于这个规定期限的投标文件，将被认定为未实质性响应招标文件要求。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五、 投标文件的提交、撤回和修改</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20. 投标文件的上传、提交</w:t>
      </w:r>
      <w:r/>
    </w:p>
    <w:p>
      <w:pPr>
        <w:spacing w:line="440" w:lineRule="exact"/>
        <w:tabs>
          <w:tab w:val="left" w:pos="426" w:leader="none"/>
        </w:tabs>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20.</w:t>
      </w:r>
      <w:r>
        <w:rPr>
          <w:rFonts w:hint="eastAsia" w:ascii="宋体" w:hAnsi="宋体"/>
          <w:b/>
          <w:color w:val="auto"/>
          <w:sz w:val="24"/>
          <w:szCs w:val="24"/>
          <w:highlight w:val="none"/>
        </w:rPr>
        <w:t xml:space="preserve">1投标人应将制作好的加密电子投标文件按要求在投标截止时间前上传到交易系统平台中。</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21. 投标截止时间</w:t>
      </w:r>
      <w:r/>
    </w:p>
    <w:p>
      <w:pPr>
        <w:spacing w:line="440" w:lineRule="exact"/>
        <w:tabs>
          <w:tab w:val="left" w:pos="284" w:leader="none"/>
        </w:tabs>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21.1</w:t>
      </w:r>
      <w:r>
        <w:rPr>
          <w:rFonts w:hint="eastAsia" w:ascii="宋体" w:hAnsi="宋体"/>
          <w:b/>
          <w:color w:val="auto"/>
          <w:sz w:val="24"/>
          <w:szCs w:val="24"/>
          <w:highlight w:val="none"/>
        </w:rPr>
        <w:t xml:space="preserve">电子投标文件必须按招标公告中规定的网上投标截止时间前提交</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否则投标无效</w:t>
      </w:r>
      <w:r>
        <w:rPr>
          <w:rFonts w:hint="eastAsia"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21.2采购代理机构</w:t>
      </w:r>
      <w:r>
        <w:rPr>
          <w:rFonts w:hint="eastAsia" w:ascii="宋体" w:hAnsi="宋体" w:cs="宋体"/>
          <w:color w:val="auto"/>
          <w:sz w:val="24"/>
          <w:szCs w:val="24"/>
          <w:highlight w:val="none"/>
        </w:rPr>
        <w:t xml:space="preserve">推迟投标截止时间时，</w:t>
      </w:r>
      <w:r>
        <w:rPr>
          <w:rFonts w:hint="eastAsia" w:ascii="宋体" w:hAnsi="宋体"/>
          <w:color w:val="auto"/>
          <w:sz w:val="24"/>
          <w:szCs w:val="24"/>
          <w:highlight w:val="none"/>
        </w:rPr>
        <w:t xml:space="preserve">应以更正公告的形式，通知所有投标人</w:t>
      </w:r>
      <w:r>
        <w:rPr>
          <w:rFonts w:hint="eastAsia" w:ascii="宋体" w:hAnsi="宋体" w:cs="宋体"/>
          <w:color w:val="auto"/>
          <w:sz w:val="24"/>
          <w:szCs w:val="24"/>
          <w:highlight w:val="none"/>
        </w:rPr>
        <w:t xml:space="preserve">。在这种情况下，采购代理机构和投标人的权利和义务将受到新的截止期的约束。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21.3在投标截止时间止采购代理机构收到的电子投标文件</w:t>
      </w:r>
      <w:r>
        <w:rPr>
          <w:rFonts w:hint="eastAsia" w:ascii="宋体" w:hAnsi="宋体"/>
          <w:b/>
          <w:color w:val="auto"/>
          <w:sz w:val="24"/>
          <w:szCs w:val="24"/>
          <w:highlight w:val="none"/>
        </w:rPr>
        <w:t xml:space="preserve">少于三份</w:t>
      </w:r>
      <w:r>
        <w:rPr>
          <w:rFonts w:hint="eastAsia" w:ascii="宋体" w:hAnsi="宋体"/>
          <w:color w:val="auto"/>
          <w:sz w:val="24"/>
          <w:szCs w:val="24"/>
          <w:highlight w:val="none"/>
        </w:rPr>
        <w:t xml:space="preserve">的，采购代理机构有权宣布本次招标失败。</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22. 投标文件的修改和撤回</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22.1投标人在提交投标文件截止时间前，可对其投标文件进行撤回或修改。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22.2</w:t>
      </w:r>
      <w:r>
        <w:rPr>
          <w:rFonts w:ascii="宋体" w:hAnsi="宋体"/>
          <w:color w:val="auto"/>
          <w:sz w:val="24"/>
          <w:szCs w:val="24"/>
          <w:highlight w:val="none"/>
        </w:rPr>
        <w:t xml:space="preserve">开标后投标人不得撤回投标。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六、开标和评标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23. 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23.1采购代理机构按采购公告规定的时间、地点主持不见面开标活动。开标仪式由采购代理机构主持。</w:t>
      </w:r>
      <w:r/>
    </w:p>
    <w:p>
      <w:pPr>
        <w:ind w:firstLine="36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23.2</w:t>
      </w:r>
      <w:r>
        <w:rPr>
          <w:rFonts w:ascii="宋体" w:hAnsi="宋体" w:cs="宋体"/>
          <w:b/>
          <w:color w:val="auto"/>
          <w:sz w:val="24"/>
          <w:highlight w:val="none"/>
        </w:rPr>
        <w:t xml:space="preserve">参加开标的投标法定代表人或授权代理人须在项目开标前登录苏采云不见面开标系统，进入网上不见面开标大厅，做好相关准备工作。</w:t>
      </w:r>
      <w:r/>
    </w:p>
    <w:p>
      <w:pPr>
        <w:ind w:firstLine="360"/>
        <w:spacing w:line="440" w:lineRule="exact"/>
        <w:rPr>
          <w:rFonts w:ascii="宋体" w:hAnsi="宋体" w:cs="宋体"/>
          <w:color w:val="auto"/>
          <w:sz w:val="24"/>
          <w:szCs w:val="24"/>
          <w:highlight w:val="none"/>
        </w:rPr>
      </w:pPr>
      <w:r>
        <w:rPr>
          <w:rFonts w:hint="eastAsia" w:ascii="宋体" w:hAnsi="宋体"/>
          <w:color w:val="auto"/>
          <w:sz w:val="24"/>
          <w:szCs w:val="24"/>
          <w:highlight w:val="none"/>
        </w:rPr>
        <w:t xml:space="preserve">23.3</w:t>
      </w:r>
      <w:r>
        <w:rPr>
          <w:rFonts w:hint="eastAsia" w:ascii="宋体" w:hAnsi="宋体" w:cs="创艺简仿宋"/>
          <w:b/>
          <w:color w:val="auto"/>
          <w:sz w:val="24"/>
          <w:szCs w:val="24"/>
          <w:highlight w:val="none"/>
        </w:rPr>
        <w:t xml:space="preserve">本项目开标后在规定的解密时间内，投标人须自行登录网上开标大厅解密投标文件，解密时间为</w:t>
      </w:r>
      <w:r>
        <w:rPr>
          <w:rFonts w:hint="eastAsia" w:ascii="宋体" w:hAnsi="宋体" w:cs="创艺简仿宋"/>
          <w:b/>
          <w:color w:val="auto"/>
          <w:sz w:val="24"/>
          <w:szCs w:val="24"/>
          <w:highlight w:val="none"/>
          <w:lang w:val="en-US" w:eastAsia="zh-CN"/>
        </w:rPr>
        <w:t xml:space="preserve">15</w:t>
      </w:r>
      <w:r>
        <w:rPr>
          <w:rFonts w:hint="eastAsia" w:ascii="宋体" w:hAnsi="宋体" w:cs="创艺简仿宋"/>
          <w:b/>
          <w:color w:val="auto"/>
          <w:sz w:val="24"/>
          <w:szCs w:val="24"/>
          <w:highlight w:val="none"/>
        </w:rPr>
        <w:t xml:space="preserve">分钟，因自身原因导致解密失败的，由投标人自行承担相关责任。</w:t>
      </w:r>
      <w:r/>
    </w:p>
    <w:p>
      <w:pPr>
        <w:ind w:firstLine="360"/>
        <w:spacing w:line="440" w:lineRule="exact"/>
        <w:rPr>
          <w:rFonts w:ascii="宋体" w:hAnsi="宋体" w:cs="宋体"/>
          <w:color w:val="auto"/>
          <w:sz w:val="24"/>
          <w:szCs w:val="24"/>
          <w:highlight w:val="none"/>
        </w:rPr>
      </w:pPr>
      <w:r>
        <w:rPr>
          <w:rFonts w:hint="eastAsia" w:ascii="宋体" w:hAnsi="宋体"/>
          <w:color w:val="auto"/>
          <w:sz w:val="24"/>
          <w:szCs w:val="24"/>
          <w:highlight w:val="none"/>
        </w:rPr>
        <w:t xml:space="preserve">23.4</w:t>
      </w:r>
      <w:r>
        <w:rPr>
          <w:rFonts w:hint="eastAsia" w:ascii="宋体" w:hAnsi="宋体" w:cs="宋体"/>
          <w:color w:val="auto"/>
          <w:sz w:val="24"/>
          <w:szCs w:val="24"/>
          <w:highlight w:val="none"/>
        </w:rPr>
        <w:t xml:space="preserve">采购代理机构在开标仪式上，将公布投标人的名称、投标价格，并将作唱标记录。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23.5</w:t>
      </w:r>
      <w:r>
        <w:rPr>
          <w:rFonts w:hint="eastAsia" w:ascii="宋体" w:hAnsi="宋体" w:cs="Arial"/>
          <w:color w:val="auto"/>
          <w:sz w:val="24"/>
          <w:szCs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szCs w:val="24"/>
          <w:highlight w:val="none"/>
        </w:rPr>
        <w:t xml:space="preserve">应通过不见面开标大厅提出</w:t>
      </w:r>
      <w:r>
        <w:rPr>
          <w:rFonts w:hint="eastAsia" w:ascii="宋体" w:hAnsi="宋体" w:cs="Arial"/>
          <w:color w:val="auto"/>
          <w:sz w:val="24"/>
          <w:szCs w:val="24"/>
          <w:highlight w:val="none"/>
        </w:rPr>
        <w:t xml:space="preserve">询问或者回避申请。采购人、采购代理机构对投标人代表提出的询问或者回避申请应当及时处理。</w:t>
      </w:r>
      <w:r/>
    </w:p>
    <w:p>
      <w:pPr>
        <w:ind w:firstLine="24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24. 评标委员会</w:t>
      </w:r>
      <w:r>
        <w:rPr>
          <w:rFonts w:hint="eastAsia" w:ascii="宋体" w:hAnsi="宋体"/>
          <w:b/>
          <w:color w:val="auto"/>
          <w:sz w:val="24"/>
          <w:szCs w:val="24"/>
          <w:highlight w:val="none"/>
        </w:rPr>
        <w:tab/>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24.1评标委员会由采购代理机构依法组建，负责本项目的评标事务。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24.2评标委员会独立履行下列职责：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24.2.1审查投标文件是否符合招标文件的要求，并作出评价；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24.2.2可以要求投标供应商对投标文件有关事项作出解释或澄清；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24.2.3推荐中标候选供应商名单，或者受采购人委托按照事先确定的办法直接确定中标供应商；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24.2.4向采购代理机构或者有关部门报告非法干预评标工作的行为。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24.3评标委员会成员应当履行下列义务：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24.3.1遵纪守法，客观、公正、廉洁地履行职责；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24.3.2按照招标文件规定的评标办法和评标标准进行评标，对评审意见承担个人责任；</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24.3.3对评标过程和结果，以及投标人的商业秘密保密；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24.3.4参与评标报告的起草；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24.3.5配合采购代理机构答复投标供应商提出的质疑；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24.3.6配合相关部门的投诉处理工作；</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25. 评标内容的保密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25.3在评标期间，采购代理机构将通过指定联络人与投标人进行联系。</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26.对投标文件初审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26.1投标文件初审分为资格性检查和符合性检查。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26.1.1资格性检查。依据法律法规和招标文件的规定，</w:t>
      </w:r>
      <w:r>
        <w:rPr>
          <w:rFonts w:hint="eastAsia" w:ascii="Arial" w:hAnsi="Arial" w:cs="Arial"/>
          <w:color w:val="auto"/>
          <w:sz w:val="24"/>
          <w:highlight w:val="none"/>
        </w:rPr>
        <w:t xml:space="preserve">采购人或者采购代理机构依法对投标人的资格进行审查。</w:t>
      </w:r>
      <w:r>
        <w:rPr>
          <w:rFonts w:hint="eastAsia" w:ascii="宋体" w:hAnsi="宋体"/>
          <w:color w:val="auto"/>
          <w:sz w:val="24"/>
          <w:szCs w:val="24"/>
          <w:highlight w:val="none"/>
        </w:rPr>
        <w:t xml:space="preserve">对投标文件中的资格证明等文件进行审查，以确定投标供应商是否具备投标资格。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szCs w:val="24"/>
          <w:highlight w:val="none"/>
        </w:rPr>
        <w:t xml:space="preserve">26.1.2 </w:t>
      </w:r>
      <w:r>
        <w:rPr>
          <w:rFonts w:hint="eastAsia" w:ascii="宋体" w:hAnsi="宋体"/>
          <w:color w:val="auto"/>
          <w:sz w:val="24"/>
          <w:highlight w:val="none"/>
          <w:lang w:val="zh-CN"/>
        </w:rPr>
        <w:t xml:space="preserve">关于信用记录查询：</w:t>
      </w:r>
      <w:r/>
    </w:p>
    <w:p>
      <w:pPr>
        <w:pStyle w:val="1137"/>
        <w:ind w:firstLine="480"/>
        <w:spacing w:before="0" w:beforeAutospacing="0" w:after="0" w:afterAutospacing="0" w:line="360" w:lineRule="auto"/>
        <w:rPr>
          <w:rFonts w:eastAsia="宋体" w:cs="Times New Roman"/>
          <w:color w:val="auto"/>
          <w:szCs w:val="24"/>
          <w:highlight w:val="none"/>
          <w:lang w:val="zh-CN"/>
        </w:rPr>
      </w:pPr>
      <w:r>
        <w:rPr>
          <w:rFonts w:hint="eastAsia" w:eastAsia="宋体" w:cs="Times New Roman"/>
          <w:color w:val="auto"/>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szCs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szCs w:val="24"/>
          <w:highlight w:val="none"/>
        </w:rPr>
        <w:t xml:space="preserve">26.1.2.2</w:t>
      </w:r>
      <w:r>
        <w:rPr>
          <w:rFonts w:hint="eastAsia" w:ascii="宋体" w:hAnsi="宋体"/>
          <w:color w:val="auto"/>
          <w:sz w:val="24"/>
          <w:highlight w:val="none"/>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360"/>
        <w:spacing w:line="440" w:lineRule="exact"/>
        <w:rPr>
          <w:rFonts w:ascii="宋体" w:hAnsi="宋体"/>
          <w:color w:val="auto"/>
          <w:sz w:val="24"/>
          <w:highlight w:val="none"/>
          <w:lang w:val="zh-CN"/>
        </w:rPr>
      </w:pPr>
      <w:r>
        <w:rPr>
          <w:rFonts w:hint="eastAsia" w:ascii="宋体" w:hAnsi="宋体"/>
          <w:color w:val="auto"/>
          <w:sz w:val="24"/>
          <w:szCs w:val="24"/>
          <w:highlight w:val="none"/>
        </w:rPr>
        <w:t xml:space="preserve">26.1.2.3</w:t>
      </w:r>
      <w:r>
        <w:rPr>
          <w:rFonts w:hint="eastAsia" w:ascii="宋体" w:hAnsi="宋体"/>
          <w:color w:val="auto"/>
          <w:sz w:val="24"/>
          <w:highlight w:val="none"/>
          <w:lang w:val="zh-CN"/>
        </w:rPr>
        <w:t xml:space="preserve">查询证据留存方式：对存在失信信息的供应商，</w:t>
      </w:r>
      <w:r>
        <w:rPr>
          <w:rFonts w:hint="eastAsia" w:ascii="Arial" w:hAnsi="Arial" w:cs="Arial"/>
          <w:color w:val="auto"/>
          <w:sz w:val="24"/>
          <w:highlight w:val="none"/>
        </w:rPr>
        <w:t xml:space="preserve">采购人或者采购代理机构</w:t>
      </w:r>
      <w:r>
        <w:rPr>
          <w:rFonts w:hint="eastAsia" w:ascii="宋体" w:hAnsi="宋体"/>
          <w:color w:val="auto"/>
          <w:sz w:val="24"/>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p>
    <w:p>
      <w:pPr>
        <w:ind w:firstLine="360"/>
        <w:spacing w:line="440" w:lineRule="exact"/>
        <w:rPr>
          <w:rFonts w:ascii="宋体" w:hAnsi="宋体"/>
          <w:color w:val="auto"/>
          <w:sz w:val="24"/>
          <w:highlight w:val="none"/>
          <w:lang w:val="zh-CN"/>
        </w:rPr>
      </w:pPr>
      <w:r>
        <w:rPr>
          <w:rFonts w:hint="eastAsia" w:ascii="宋体" w:hAnsi="宋体"/>
          <w:color w:val="auto"/>
          <w:sz w:val="24"/>
          <w:szCs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.2.1 不同投标人的投标文件由同一单位或者个人编制；</w:t>
      </w:r>
      <w:r/>
    </w:p>
    <w:p>
      <w:pPr>
        <w:ind w:firstLine="360"/>
        <w:spacing w:line="440" w:lineRule="exact"/>
        <w:rPr>
          <w:rFonts w:ascii="宋体" w:hAnsi="宋体"/>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.2.2不同投</w:t>
      </w:r>
      <w:r>
        <w:rPr>
          <w:rFonts w:hint="eastAsia" w:ascii="宋体" w:hAnsi="宋体"/>
          <w:color w:val="auto"/>
          <w:sz w:val="24"/>
          <w:szCs w:val="24"/>
          <w:highlight w:val="none"/>
        </w:rPr>
        <w:t xml:space="preserve">标人委托同一单位或者个人办理投标事宜；</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26.2.3不同投标人的投标文件载明的项目管理成员或者联系人员为同一人；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26.2.4不同投标人的投标文件异常一致或者投标报价呈规律性差异；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26.2.5不同投标人的投标文件相互混装；</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szCs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.6评委会将对确定为实质性响应的投标进行审核，看其是否有计算上或累加上的算术错误，修正错误的原则如下：</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.6.1投标文件中开标一览表（报价表）内容与投标文件中相应内容不一致的，以开标一览表（报价表）为准；</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.6.2大写金额和小写金额不一致的，以大写金额为准；</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.6.3单价金额小数点或者百分比有明显错位的，以开标一览表的总价为准，并修改单价；</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.6.4总价金额与按单价汇总金额不一致的，以单价金额计算结果为准。</w:t>
      </w:r>
      <w:r/>
    </w:p>
    <w:p>
      <w:pPr>
        <w:ind w:firstLine="360"/>
        <w:spacing w:line="440" w:lineRule="exact"/>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须知27.6条</w:t>
      </w:r>
      <w:r>
        <w:rPr>
          <w:rFonts w:ascii="宋体" w:hAnsi="宋体"/>
          <w:color w:val="auto"/>
          <w:sz w:val="24"/>
          <w:highlight w:val="none"/>
          <w:lang w:val="zh-CN"/>
        </w:rPr>
        <w:t xml:space="preserve">规定经投标人确认后产生约束力，投标人不确认的，其投标无效。</w:t>
      </w:r>
      <w:r/>
    </w:p>
    <w:p>
      <w:pPr>
        <w:ind w:firstLine="36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.8</w:t>
      </w:r>
      <w:r>
        <w:rPr>
          <w:rFonts w:hint="eastAsia" w:ascii="宋体" w:hAnsi="宋体"/>
          <w:color w:val="auto"/>
          <w:sz w:val="24"/>
          <w:szCs w:val="24"/>
          <w:highlight w:val="none"/>
        </w:rPr>
        <w:t xml:space="preserve">对不同文字文本投标文件的解释发生异议的，以中文文本为准；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szCs w:val="24"/>
          <w:highlight w:val="none"/>
        </w:rPr>
        <w:t xml:space="preserve">对投标文件的判定，只依据投标内容本身，不依靠开标后的任何外来证明。</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szCs w:val="24"/>
          <w:highlight w:val="none"/>
        </w:rPr>
        <w:t xml:space="preserve">将拒绝被确定为非实质性响应的投标，投标人不能通过修正或撤销不符之处而使其投标成为实质性响应的投标。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27.投标的澄清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27.1在投标文件中含有不明确、同类问题表述不一致或者有明显文字和计算错误的内容，评标委员会应当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28.无效投标和废标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28.1无效投标的具体情形有：  </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28.1.1投标文件未按招标文件要求签署、盖章或电子签章的；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28.1.2不具备招标文件中规定的资格要求的；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28.1.3报价超过招标文件中规定的预算金额或者最高限价的；</w:t>
      </w:r>
      <w:r/>
    </w:p>
    <w:p>
      <w:pPr>
        <w:ind w:firstLine="361"/>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28.1.4不同投标人的投标文件使用同一台电脑编制的；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28.1.5投标文件含有采购人不能接受的附加条件的；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28.1.6法律、法规和招标文件规定的其他无效情形。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28.2 在招标采购中，出现下列情形之一的，应予废标：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28.2.1符合专业条件的供应商或者对招标文件作实质响应的供应商不足三家的；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28.2.2出现影响采购公正的违法、违规行为的；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28.2.3投标人的报价均超过了采购预算，采购人不能支付的；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28.2.4因重大变故，采购任务取消的。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28.3 废标后，采购人应当将废标理由通知所有投标人。</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29. 投标文件的评价和比较</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29.2.1</w:t>
      </w:r>
      <w:r>
        <w:rPr>
          <w:rFonts w:ascii="宋体" w:hAnsi="宋体"/>
          <w:color w:val="auto"/>
          <w:sz w:val="24"/>
          <w:szCs w:val="24"/>
          <w:highlight w:val="none"/>
        </w:rPr>
        <w:t xml:space="preserve">服务的质量保证（保障）内容</w:t>
      </w:r>
      <w:r>
        <w:rPr>
          <w:rFonts w:hint="eastAsia"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29.2.2</w:t>
      </w:r>
      <w:r>
        <w:rPr>
          <w:rFonts w:ascii="宋体" w:hAnsi="宋体"/>
          <w:color w:val="auto"/>
          <w:sz w:val="24"/>
          <w:szCs w:val="24"/>
          <w:highlight w:val="none"/>
        </w:rPr>
        <w:t xml:space="preserve">服务配备的人员；</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29.2.3投标者的资信情况和履约能力；</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29.2.4投标者提供的其他优惠条件；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29.2.5参与本项目政府采购工作的态度及信誉；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29.2.6</w:t>
      </w:r>
      <w:r>
        <w:rPr>
          <w:rFonts w:ascii="宋体" w:hAnsi="宋体"/>
          <w:color w:val="auto"/>
          <w:sz w:val="24"/>
          <w:szCs w:val="24"/>
          <w:highlight w:val="none"/>
        </w:rPr>
        <w:t xml:space="preserve">最低的投标报价或最高的折扣比例是中标的重要条件，但不是唯一条件。</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七、授予合同</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30. 中标供应商的确认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30.1评标委员会按招标文件规定的评标方法和标准进行详细评审后，按采购代理机构的委托向采购代理机构推荐中标候选单位或根据采购人授权直接确定中标供应商。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30.2经评标委员会评审并确定中标供应商后，采购代理机构将在规定的时间内将中标结果在相关媒体上予以公告。</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30.3各投标单位如对公告结果有异议，应在中标公告期届满起七个工作日内，以书面形式向采购代理机构提出质疑，</w:t>
      </w:r>
      <w:r>
        <w:rPr>
          <w:rFonts w:ascii="宋体" w:hAnsi="宋体"/>
          <w:color w:val="auto"/>
          <w:sz w:val="24"/>
          <w:szCs w:val="24"/>
          <w:highlight w:val="none"/>
        </w:rPr>
        <w:t xml:space="preserve">该质疑</w:t>
      </w:r>
      <w:r>
        <w:rPr>
          <w:rFonts w:hint="eastAsia" w:ascii="宋体" w:hAnsi="宋体"/>
          <w:color w:val="auto"/>
          <w:sz w:val="24"/>
          <w:szCs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szCs w:val="24"/>
          <w:highlight w:val="none"/>
        </w:rPr>
        <w:t xml:space="preserve">后向采购代理机构提出质疑或质疑未经投标人法定代表人或参加投标的</w:t>
      </w:r>
      <w:r>
        <w:rPr>
          <w:rFonts w:hint="eastAsia" w:ascii="宋体" w:hAnsi="宋体"/>
          <w:color w:val="auto"/>
          <w:sz w:val="24"/>
          <w:szCs w:val="24"/>
          <w:highlight w:val="none"/>
        </w:rPr>
        <w:t xml:space="preserve">代理人</w:t>
      </w:r>
      <w:r>
        <w:rPr>
          <w:rFonts w:ascii="宋体" w:hAnsi="宋体"/>
          <w:color w:val="auto"/>
          <w:sz w:val="24"/>
          <w:szCs w:val="24"/>
          <w:highlight w:val="none"/>
        </w:rPr>
        <w:t xml:space="preserve">签署和盖公章（原件），</w:t>
      </w:r>
      <w:r>
        <w:rPr>
          <w:rFonts w:hint="eastAsia" w:ascii="宋体" w:hAnsi="宋体"/>
          <w:color w:val="auto"/>
          <w:sz w:val="24"/>
          <w:szCs w:val="24"/>
          <w:highlight w:val="none"/>
        </w:rPr>
        <w:t xml:space="preserve">采购代理机构有权对该质疑不予答复。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30.4质疑函递交地点及联系方式详见公告内容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31. 合同授予标准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31.1采购代理机构将把合同授予其投标文件在实质上响应招标文件要求和按本须知规定评选出的投标人。确定为中标的投标人必须具有实施本合同的能力和资源。</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32. 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32.2中标通知书在中标公告发布后将发布在业务系统中，中标通知书发布之日视为中标供应商领取之日，中标供应商自行在业务系统中下载打印。</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32.3中标通知书将成为合同的组成部分。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32.4采购代理机构对未中标供应商不承担解释未中标原因的义务。</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33.履约保证金</w:t>
      </w:r>
      <w:r/>
    </w:p>
    <w:p>
      <w:pPr>
        <w:ind w:firstLine="360"/>
        <w:spacing w:line="440" w:lineRule="exact"/>
        <w:rPr>
          <w:rFonts w:ascii="宋体" w:hAnsi="宋体"/>
          <w:color w:val="auto"/>
          <w:sz w:val="24"/>
          <w:szCs w:val="24"/>
          <w:highlight w:val="none"/>
        </w:rPr>
      </w:pPr>
      <w:r>
        <w:rPr>
          <w:rFonts w:hint="eastAsia" w:hAnsi="宋体" w:cs="宋体"/>
          <w:color w:val="auto"/>
          <w:sz w:val="24"/>
          <w:szCs w:val="24"/>
          <w:highlight w:val="none"/>
        </w:rPr>
        <w:t xml:space="preserve">本项目无履约保证金。</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34. 合同的签订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34.1中标供应商应按中标通知书中规定的时间和地点，</w:t>
      </w:r>
      <w:r>
        <w:rPr>
          <w:rFonts w:hint="eastAsia" w:ascii="宋体" w:hAnsi="宋体"/>
          <w:color w:val="auto"/>
          <w:sz w:val="24"/>
          <w:highlight w:val="none"/>
        </w:rPr>
        <w:t xml:space="preserve">按照招标文件确定的事项</w:t>
      </w:r>
      <w:r>
        <w:rPr>
          <w:rFonts w:hint="eastAsia" w:ascii="宋体" w:hAnsi="宋体"/>
          <w:color w:val="auto"/>
          <w:sz w:val="24"/>
          <w:szCs w:val="24"/>
          <w:highlight w:val="none"/>
        </w:rPr>
        <w:t xml:space="preserve">由法定代表人或代理人与采购人代表签订合同，</w:t>
      </w:r>
      <w:r>
        <w:rPr>
          <w:rFonts w:hint="eastAsia" w:ascii="宋体" w:hAnsi="宋体"/>
          <w:color w:val="auto"/>
          <w:sz w:val="24"/>
          <w:highlight w:val="none"/>
        </w:rPr>
        <w:t xml:space="preserve">且不得迟于中标通知书发出之日起三十日内，</w:t>
      </w:r>
      <w:r>
        <w:rPr>
          <w:rFonts w:hint="eastAsia" w:ascii="宋体" w:hAnsi="宋体"/>
          <w:color w:val="auto"/>
          <w:sz w:val="24"/>
          <w:szCs w:val="24"/>
          <w:highlight w:val="none"/>
        </w:rPr>
        <w:t xml:space="preserve">否则按放弃中标权处理。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34.2签订合同及合同条款应以招标文件和中标供应商的投标文件及其澄清文件为依据。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360"/>
        <w:spacing w:line="440" w:lineRule="exact"/>
        <w:rPr>
          <w:rFonts w:ascii="宋体" w:hAnsi="宋体"/>
          <w:color w:val="auto"/>
          <w:sz w:val="24"/>
          <w:highlight w:val="none"/>
        </w:rPr>
      </w:pPr>
      <w:r>
        <w:rPr>
          <w:rFonts w:hint="eastAsia" w:ascii="宋体" w:hAnsi="宋体" w:cs="宋体"/>
          <w:color w:val="auto"/>
          <w:sz w:val="24"/>
          <w:szCs w:val="24"/>
          <w:highlight w:val="none"/>
        </w:rPr>
        <w:t xml:space="preserve">34.4</w:t>
      </w:r>
      <w:r>
        <w:rPr>
          <w:rFonts w:hint="eastAsia" w:ascii="宋体" w:hAnsi="宋体" w:cs="宋体"/>
          <w:color w:val="auto"/>
          <w:sz w:val="24"/>
          <w:highlight w:val="none"/>
        </w:rPr>
        <w:t xml:space="preserve">签订合同后，</w:t>
      </w:r>
      <w:r>
        <w:rPr>
          <w:rFonts w:hint="eastAsia" w:ascii="宋体" w:hAnsi="宋体" w:cs="宋体"/>
          <w:color w:val="auto"/>
          <w:sz w:val="24"/>
          <w:highlight w:val="none"/>
          <w:u w:val="single"/>
        </w:rPr>
        <w:t xml:space="preserve">中标人不得将货物及其他相关服务进行转包</w:t>
      </w:r>
      <w:r>
        <w:rPr>
          <w:rFonts w:hint="eastAsia" w:ascii="宋体" w:hAnsi="宋体" w:cs="宋体"/>
          <w:color w:val="auto"/>
          <w:sz w:val="24"/>
          <w:highlight w:val="none"/>
        </w:rPr>
        <w:t xml:space="preserve">。未经采购人同意，中标人也不得采用分包的形式履行合同，否则采购人有权终止合同。</w:t>
      </w:r>
      <w:r>
        <w:rPr>
          <w:rFonts w:hint="eastAsia" w:ascii="宋体" w:hAnsi="宋体"/>
          <w:color w:val="auto"/>
          <w:sz w:val="24"/>
          <w:szCs w:val="24"/>
          <w:highlight w:val="none"/>
        </w:rPr>
        <w:t xml:space="preserve">转包或分包造成采购人损失的，中标人应承担相应赔偿责任。</w:t>
      </w:r>
      <w:r/>
    </w:p>
    <w:p>
      <w:pPr>
        <w:spacing w:line="460" w:lineRule="exact"/>
        <w:rPr>
          <w:rFonts w:ascii="宋体" w:hAnsi="宋体" w:cs="宋体"/>
          <w:color w:val="auto"/>
          <w:sz w:val="24"/>
          <w:szCs w:val="24"/>
          <w:highlight w:val="none"/>
        </w:rPr>
      </w:pPr>
      <w:r>
        <w:rPr>
          <w:rFonts w:hint="eastAsia" w:ascii="宋体" w:hAnsi="宋体"/>
          <w:b/>
          <w:color w:val="auto"/>
          <w:sz w:val="24"/>
          <w:szCs w:val="24"/>
          <w:highlight w:val="none"/>
        </w:rPr>
        <w:t xml:space="preserve">八、政府采购相关政策</w:t>
      </w:r>
      <w:r/>
    </w:p>
    <w:p>
      <w:pPr>
        <w:spacing w:line="460" w:lineRule="exact"/>
        <w:rPr>
          <w:rFonts w:ascii="宋体" w:hAnsi="宋体"/>
          <w:b/>
          <w:color w:val="auto"/>
          <w:sz w:val="24"/>
          <w:szCs w:val="24"/>
          <w:highlight w:val="none"/>
        </w:rPr>
      </w:pPr>
      <w:r>
        <w:rPr>
          <w:rFonts w:hint="eastAsia" w:ascii="宋体" w:hAnsi="宋体"/>
          <w:b/>
          <w:color w:val="auto"/>
          <w:sz w:val="24"/>
          <w:szCs w:val="24"/>
          <w:highlight w:val="none"/>
        </w:rPr>
        <w:t xml:space="preserve">35.节能产品和环境标志产品</w:t>
      </w:r>
      <w:r/>
    </w:p>
    <w:p>
      <w:pPr>
        <w:ind w:firstLine="420"/>
        <w:jc w:val="left"/>
        <w:spacing w:line="440" w:lineRule="exact"/>
        <w:widowControl/>
        <w:rPr>
          <w:rFonts w:ascii="宋体" w:hAnsi="宋体"/>
          <w:b/>
          <w:bCs/>
          <w:color w:val="auto"/>
          <w:sz w:val="24"/>
          <w:szCs w:val="24"/>
          <w:highlight w:val="none"/>
        </w:rPr>
      </w:pPr>
      <w:r>
        <w:rPr>
          <w:rFonts w:hint="eastAsia" w:ascii="宋体" w:hAnsi="宋体"/>
          <w:color w:val="auto"/>
          <w:sz w:val="24"/>
          <w:szCs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b/>
          <w:color w:val="auto"/>
          <w:sz w:val="24"/>
          <w:szCs w:val="24"/>
          <w:highlight w:val="none"/>
        </w:rPr>
        <w:t xml:space="preserve">采购清单产品如属于国家节能或环保品目清单的强制采购产品的，投标人应当选择强制采购产品，并提供</w:t>
      </w:r>
      <w:r>
        <w:rPr>
          <w:rFonts w:hint="eastAsia" w:ascii="宋体" w:hAnsi="宋体"/>
          <w:b/>
          <w:bCs/>
          <w:color w:val="auto"/>
          <w:sz w:val="24"/>
          <w:szCs w:val="24"/>
          <w:highlight w:val="none"/>
        </w:rPr>
        <w:t xml:space="preserve">由国家确定的认证机构出具的、处于有效期之内的节能产品或环境标志产品认证证书，否则视为未实质响应。</w:t>
      </w:r>
      <w:r/>
    </w:p>
    <w:p>
      <w:pPr>
        <w:numPr>
          <w:ilvl w:val="0"/>
          <w:numId w:val="0"/>
        </w:numPr>
        <w:spacing w:line="360" w:lineRule="auto"/>
        <w:rPr>
          <w:rFonts w:hint="eastAsia"/>
          <w:b/>
          <w:bCs/>
          <w:color w:val="auto"/>
          <w:sz w:val="24"/>
          <w:szCs w:val="24"/>
          <w:highlight w:val="none"/>
        </w:rPr>
      </w:pPr>
      <w:r>
        <w:rPr>
          <w:rFonts w:hint="eastAsia" w:ascii="宋体" w:hAnsi="宋体" w:cs="宋体"/>
          <w:b/>
          <w:bCs/>
          <w:color w:val="auto"/>
          <w:sz w:val="24"/>
          <w:szCs w:val="24"/>
          <w:highlight w:val="none"/>
          <w:lang w:val="en-US" w:eastAsia="zh-CN"/>
        </w:rPr>
        <w:t xml:space="preserve">36.</w:t>
      </w:r>
      <w:r>
        <w:rPr>
          <w:rFonts w:hint="eastAsia" w:ascii="宋体" w:hAnsi="宋体" w:cs="宋体"/>
          <w:bCs/>
          <w:color w:val="auto"/>
          <w:sz w:val="24"/>
          <w:szCs w:val="24"/>
          <w:highlight w:val="none"/>
        </w:rPr>
        <w:t xml:space="preserve">中小企业相关政策：</w:t>
      </w:r>
      <w:r/>
    </w:p>
    <w:p>
      <w:pPr>
        <w:ind w:left="0" w:right="0" w:firstLine="482"/>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36.1</w:t>
      </w:r>
      <w:r>
        <w:rPr>
          <w:rFonts w:ascii="宋体" w:hAnsi="宋体" w:eastAsia="宋体" w:cs="宋体"/>
          <w:b/>
          <w:color w:val="auto"/>
          <w:sz w:val="24"/>
          <w:highlight w:val="none"/>
        </w:rPr>
        <w:t xml:space="preserve">本项目专门面向中小企业采购，执行以下相关政策：</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auto"/>
          <w:sz w:val="24"/>
          <w:highlight w:val="none"/>
        </w:rPr>
        <w:t xml:space="preserve">否则视为投标无效。</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中小企业划分：</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（1）符合中小企业划分标准的个体工商户，在政府采购活动中视同中小企业。</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（2）中小企业划分标准详见“工信部联企业〔2011〕300号通知”</w:t>
      </w:r>
      <w:r/>
    </w:p>
    <w:p>
      <w:pPr>
        <w:ind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残疾人福利性单位政策：</w:t>
      </w:r>
      <w:r/>
    </w:p>
    <w:p>
      <w:pPr>
        <w:ind w:left="0" w:right="0" w:firstLine="48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left="0" w:right="0" w:firstLine="48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监狱企业发展政策：</w:t>
      </w:r>
      <w:r/>
    </w:p>
    <w:p>
      <w:pPr>
        <w:ind w:left="0" w:right="0" w:firstLine="48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right="0"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中标、成交供应商享受规定的中小企业扶持政策的，其声明函及相关证明材料应当随中标、成交结果同时公告，接受社会监督。</w:t>
      </w:r>
      <w:r/>
    </w:p>
    <w:p>
      <w:pPr>
        <w:ind w:firstLine="482"/>
        <w:jc w:val="left"/>
        <w:keepLines w:val="0"/>
        <w:keepNext w:val="0"/>
        <w:pageBreakBefore w:val="0"/>
        <w:spacing w:line="360" w:lineRule="auto"/>
        <w:widowControl w:val="off"/>
        <w:rPr>
          <w:rFonts w:hint="eastAsia" w:ascii="宋体"/>
          <w:b/>
          <w:color w:val="auto"/>
          <w:sz w:val="44"/>
          <w:szCs w:val="44"/>
          <w:highlight w:val="none"/>
        </w:rPr>
      </w:pPr>
      <w:r>
        <w:rPr>
          <w:rFonts w:hint="eastAsia" w:ascii="宋体" w:hAnsi="宋体" w:eastAsia="宋体" w:cs="宋体"/>
          <w:b/>
          <w:color w:val="auto"/>
          <w:sz w:val="24"/>
          <w:highlight w:val="none"/>
          <w:lang w:val="en-US" w:eastAsia="zh-CN"/>
        </w:rPr>
        <w:t xml:space="preserve">5、</w:t>
      </w:r>
      <w:r>
        <w:rPr>
          <w:rFonts w:ascii="宋体" w:hAnsi="宋体" w:eastAsia="宋体" w:cs="宋体"/>
          <w:b/>
          <w:color w:val="auto"/>
          <w:sz w:val="24"/>
          <w:highlight w:val="none"/>
        </w:rPr>
        <w:t xml:space="preserve">专门面向中小企业采购的项目，不再执行价格评审优惠的扶持政策。</w:t>
      </w:r>
      <w:r/>
    </w:p>
    <w:p>
      <w:pPr>
        <w:spacing w:line="440" w:lineRule="exact"/>
        <w:rPr>
          <w:rFonts w:ascii="宋体" w:hAnsi="宋体"/>
          <w:color w:val="auto"/>
          <w:sz w:val="24"/>
          <w:highlight w:val="none"/>
        </w:rPr>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rPr>
        <w:t xml:space="preserve">、其他事项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7</w:t>
      </w:r>
      <w:r>
        <w:rPr>
          <w:rFonts w:hint="eastAsia" w:ascii="宋体" w:hAnsi="宋体"/>
          <w:b/>
          <w:color w:val="auto"/>
          <w:sz w:val="24"/>
          <w:szCs w:val="24"/>
          <w:highlight w:val="none"/>
        </w:rPr>
        <w:t xml:space="preserve">. 监督和公证</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.1政府有关监督部门将对招投标全过程进行监督。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.2采购代理机构的招标过程将通过公证机关进行公证。</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rPr>
        <w:t xml:space="preserve">. 未尽事宜</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.1按《中华人民共和国政府采购法》及其他有关法律法规的规定执行。</w:t>
      </w:r>
      <w:r/>
    </w:p>
    <w:p>
      <w:pPr>
        <w:jc w:val="both"/>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rFonts w:hint="eastAsia"/>
          <w:b/>
          <w:bCs/>
          <w:color w:val="auto"/>
          <w:sz w:val="44"/>
          <w:szCs w:val="44"/>
          <w:highlight w:val="none"/>
        </w:rPr>
      </w:pPr>
      <w:r>
        <w:rPr>
          <w:rFonts w:hint="eastAsia"/>
          <w:b/>
          <w:bCs/>
          <w:color w:val="auto"/>
          <w:sz w:val="44"/>
          <w:szCs w:val="44"/>
          <w:highlight w:val="none"/>
        </w:rPr>
      </w:r>
      <w:r/>
    </w:p>
    <w:p>
      <w:pPr>
        <w:ind w:firstLine="663"/>
        <w:jc w:val="center"/>
        <w:spacing w:line="360" w:lineRule="auto"/>
        <w:rPr>
          <w:color w:val="auto"/>
          <w:sz w:val="32"/>
          <w:szCs w:val="32"/>
          <w:highlight w:val="none"/>
        </w:rPr>
      </w:pPr>
      <w:r>
        <w:rPr>
          <w:rFonts w:hint="eastAsia"/>
          <w:b/>
          <w:bCs/>
          <w:color w:val="auto"/>
          <w:sz w:val="44"/>
          <w:szCs w:val="44"/>
          <w:highlight w:val="none"/>
        </w:rPr>
        <w:t xml:space="preserve">第三部分 </w:t>
      </w:r>
      <w:r>
        <w:rPr>
          <w:b/>
          <w:bCs/>
          <w:color w:val="auto"/>
          <w:sz w:val="44"/>
          <w:szCs w:val="44"/>
          <w:highlight w:val="none"/>
        </w:rPr>
        <w:t xml:space="preserve">项目需求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shd w:val="clear" w:color="auto" w:fill="ffffff"/>
          <w:lang w:eastAsia="zh-CN" w:bidi="ar"/>
        </w:rPr>
        <w:t xml:space="preserve">太仓市城厢镇人民政府</w:t>
      </w:r>
      <w:r>
        <w:rPr>
          <w:rFonts w:hint="eastAsia" w:ascii="宋体" w:hAnsi="宋体" w:cs="宋体"/>
          <w:color w:val="auto"/>
          <w:sz w:val="24"/>
          <w:szCs w:val="24"/>
          <w:highlight w:val="none"/>
        </w:rPr>
        <w:t xml:space="preserve">之委托，江苏启越工程管理有限公司作为招标代理机构，对其拟采购的</w:t>
      </w:r>
      <w:r>
        <w:rPr>
          <w:rFonts w:hint="eastAsia" w:ascii="宋体" w:hAnsi="宋体" w:cs="宋体"/>
          <w:color w:val="auto"/>
          <w:sz w:val="24"/>
          <w:szCs w:val="24"/>
          <w:highlight w:val="none"/>
          <w:lang w:eastAsia="zh-CN"/>
        </w:rPr>
        <w:t xml:space="preserve">上市前土壤污染检测项目</w:t>
      </w:r>
      <w:r>
        <w:rPr>
          <w:rFonts w:hint="eastAsia" w:ascii="宋体" w:hAnsi="宋体" w:cs="宋体"/>
          <w:color w:val="auto"/>
          <w:sz w:val="24"/>
          <w:szCs w:val="24"/>
          <w:highlight w:val="none"/>
        </w:rPr>
        <w:t xml:space="preserve">进行国内公开招标。欢迎符合资格条件的供应商前来报名参加投标。</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（一）招标编号：</w:t>
      </w:r>
      <w:r>
        <w:rPr>
          <w:rFonts w:hint="eastAsia" w:ascii="宋体" w:hAnsi="宋体"/>
          <w:b w:val="0"/>
          <w:bCs/>
          <w:color w:val="auto"/>
          <w:sz w:val="24"/>
          <w:szCs w:val="24"/>
          <w:highlight w:val="none"/>
          <w:lang w:eastAsia="zh-CN"/>
        </w:rPr>
        <w:t xml:space="preserve">JSZC-320585-JSQY-G2024-0008</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（二）采购项目名称：</w:t>
      </w:r>
      <w:r>
        <w:rPr>
          <w:rFonts w:hint="eastAsia" w:ascii="宋体" w:hAnsi="宋体" w:cs="宋体"/>
          <w:color w:val="auto"/>
          <w:sz w:val="24"/>
          <w:szCs w:val="24"/>
          <w:highlight w:val="none"/>
          <w:lang w:eastAsia="zh-CN"/>
        </w:rPr>
        <w:t xml:space="preserve">上市前土壤污染检测项目</w:t>
      </w:r>
      <w:r/>
    </w:p>
    <w:p>
      <w:pPr>
        <w:pStyle w:val="1126"/>
        <w:ind w:firstLine="480"/>
        <w:keepLines w:val="0"/>
        <w:keepNext w:val="0"/>
        <w:pageBreakBefore w:val="0"/>
        <w:spacing w:line="360" w:lineRule="auto"/>
        <w:widowControl w:val="off"/>
        <w:rPr>
          <w:rFonts w:hint="eastAsia"/>
          <w:color w:val="auto"/>
          <w:highlight w:val="none"/>
          <w:lang w:val="zh-CN" w:eastAsia="zh-CN"/>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zh-CN" w:eastAsia="zh-CN" w:bidi="ar-SA"/>
        </w:rPr>
        <w:t xml:space="preserve">）合同履行期限：1年。</w:t>
      </w:r>
      <w:r/>
    </w:p>
    <w:p>
      <w:pPr>
        <w:ind w:firstLine="480"/>
        <w:keepLines w:val="0"/>
        <w:keepNext w:val="0"/>
        <w:pageBreakBefore w:val="0"/>
        <w:spacing w:line="360" w:lineRule="auto"/>
        <w:widowControl w:val="off"/>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）采购总预算价：</w:t>
      </w:r>
      <w:r>
        <w:rPr>
          <w:rFonts w:hint="eastAsia" w:ascii="宋体" w:hAnsi="宋体" w:cs="宋体"/>
          <w:color w:val="auto"/>
          <w:sz w:val="24"/>
          <w:szCs w:val="24"/>
          <w:highlight w:val="none"/>
          <w:shd w:val="clear" w:color="auto" w:fill="ffffff"/>
          <w:lang w:bidi="ar"/>
        </w:rPr>
        <w:t xml:space="preserve">人民币</w:t>
      </w:r>
      <w:r>
        <w:rPr>
          <w:rFonts w:hint="eastAsia" w:ascii="宋体" w:hAnsi="宋体" w:cs="宋体"/>
          <w:color w:val="auto"/>
          <w:sz w:val="24"/>
          <w:szCs w:val="24"/>
          <w:highlight w:val="none"/>
          <w:shd w:val="clear" w:color="auto" w:fill="ffffff"/>
          <w:lang w:val="en-US" w:eastAsia="zh-CN" w:bidi="ar"/>
        </w:rPr>
        <w:t xml:space="preserve">玖拾贰万伍仟元</w:t>
      </w:r>
      <w:r>
        <w:rPr>
          <w:rFonts w:hint="eastAsia" w:ascii="宋体" w:hAnsi="宋体" w:cs="宋体"/>
          <w:color w:val="auto"/>
          <w:sz w:val="24"/>
          <w:szCs w:val="24"/>
          <w:highlight w:val="none"/>
          <w:shd w:val="clear" w:color="auto" w:fill="ffffff"/>
          <w:lang w:bidi="ar"/>
        </w:rPr>
        <w:t xml:space="preserve">整（￥</w:t>
      </w:r>
      <w:r>
        <w:rPr>
          <w:rFonts w:hint="eastAsia" w:ascii="宋体" w:hAnsi="宋体" w:cs="宋体"/>
          <w:color w:val="auto"/>
          <w:sz w:val="24"/>
          <w:szCs w:val="24"/>
          <w:highlight w:val="none"/>
          <w:shd w:val="clear" w:color="auto" w:fill="ffffff"/>
          <w:lang w:val="en-US" w:eastAsia="zh-CN" w:bidi="ar"/>
        </w:rPr>
        <w:t xml:space="preserve">92.5</w:t>
      </w:r>
      <w:r>
        <w:rPr>
          <w:rFonts w:hint="eastAsia" w:ascii="宋体" w:hAnsi="宋体" w:cs="宋体"/>
          <w:color w:val="auto"/>
          <w:sz w:val="24"/>
          <w:szCs w:val="24"/>
          <w:highlight w:val="none"/>
          <w:shd w:val="clear" w:color="auto" w:fill="ffffff"/>
          <w:lang w:bidi="ar"/>
        </w:rPr>
        <w:t xml:space="preserve">万元）</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shd w:val="clear" w:color="auto" w:fill="ffffff"/>
          <w:lang w:bidi="ar"/>
        </w:rPr>
        <w:t xml:space="preserve">人民币</w:t>
      </w:r>
      <w:r>
        <w:rPr>
          <w:rFonts w:hint="eastAsia" w:ascii="宋体" w:hAnsi="宋体" w:cs="宋体"/>
          <w:color w:val="auto"/>
          <w:sz w:val="24"/>
          <w:szCs w:val="24"/>
          <w:highlight w:val="none"/>
          <w:shd w:val="clear" w:color="auto" w:fill="ffffff"/>
          <w:lang w:val="en-US" w:eastAsia="zh-CN" w:bidi="ar"/>
        </w:rPr>
        <w:t xml:space="preserve">玖拾贰万伍仟元</w:t>
      </w:r>
      <w:r>
        <w:rPr>
          <w:rFonts w:hint="eastAsia" w:ascii="宋体" w:hAnsi="宋体" w:cs="宋体"/>
          <w:color w:val="auto"/>
          <w:sz w:val="24"/>
          <w:szCs w:val="24"/>
          <w:highlight w:val="none"/>
          <w:shd w:val="clear" w:color="auto" w:fill="ffffff"/>
          <w:lang w:bidi="ar"/>
        </w:rPr>
        <w:t xml:space="preserve">整（￥</w:t>
      </w:r>
      <w:r>
        <w:rPr>
          <w:rFonts w:hint="eastAsia" w:ascii="宋体" w:hAnsi="宋体" w:cs="宋体"/>
          <w:color w:val="auto"/>
          <w:sz w:val="24"/>
          <w:szCs w:val="24"/>
          <w:highlight w:val="none"/>
          <w:shd w:val="clear" w:color="auto" w:fill="ffffff"/>
          <w:lang w:val="en-US" w:eastAsia="zh-CN" w:bidi="ar"/>
        </w:rPr>
        <w:t xml:space="preserve">92.5</w:t>
      </w:r>
      <w:r>
        <w:rPr>
          <w:rFonts w:hint="eastAsia" w:ascii="宋体" w:hAnsi="宋体" w:cs="宋体"/>
          <w:color w:val="auto"/>
          <w:sz w:val="24"/>
          <w:szCs w:val="24"/>
          <w:highlight w:val="none"/>
          <w:shd w:val="clear" w:color="auto" w:fill="ffffff"/>
          <w:lang w:bidi="ar"/>
        </w:rPr>
        <w:t xml:space="preserve">万元），</w:t>
      </w:r>
      <w:r>
        <w:rPr>
          <w:rFonts w:hint="eastAsia" w:ascii="宋体" w:hAnsi="宋体" w:cs="宋体"/>
          <w:color w:val="auto"/>
          <w:sz w:val="24"/>
          <w:szCs w:val="24"/>
          <w:highlight w:val="none"/>
          <w:lang w:val="zh-CN"/>
        </w:rPr>
        <w:t xml:space="preserve">投标报价超过最高限价的为无效标。</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zh-CN"/>
        </w:rPr>
        <w:t xml:space="preserve">地点：</w:t>
      </w:r>
      <w:r>
        <w:rPr>
          <w:rFonts w:hint="eastAsia" w:ascii="宋体" w:hAnsi="宋体" w:cs="宋体"/>
          <w:color w:val="auto"/>
          <w:sz w:val="24"/>
          <w:szCs w:val="24"/>
          <w:highlight w:val="none"/>
          <w:lang w:val="en-US" w:eastAsia="zh-CN"/>
        </w:rPr>
        <w:t xml:space="preserve">采购方指定</w:t>
      </w:r>
      <w:r>
        <w:rPr>
          <w:rFonts w:hint="eastAsia" w:ascii="宋体" w:hAnsi="宋体" w:cs="宋体"/>
          <w:color w:val="auto"/>
          <w:sz w:val="24"/>
          <w:szCs w:val="24"/>
          <w:highlight w:val="none"/>
        </w:rPr>
        <w:t xml:space="preserve">。</w:t>
      </w:r>
      <w:r/>
    </w:p>
    <w:p>
      <w:pPr>
        <w:numPr>
          <w:ilvl w:val="0"/>
          <w:numId w:val="0"/>
        </w:numPr>
        <w:ind w:right="0"/>
        <w:keepLines w:val="0"/>
        <w:keepNext w:val="0"/>
        <w:pageBreakBefore w:val="0"/>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lang w:val="zh-CN"/>
        </w:rPr>
        <w:t xml:space="preserve">采购需求：</w:t>
      </w:r>
      <w:r/>
    </w:p>
    <w:p>
      <w:pPr>
        <w:ind w:firstLine="420"/>
        <w:spacing w:after="156"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（一）项目概况</w:t>
      </w:r>
      <w:r/>
    </w:p>
    <w:p>
      <w:pPr>
        <w:ind w:firstLine="420"/>
        <w:spacing w:after="156"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根据《中华人民共和国土壤污染防治法》、《土壤环境质量建设用地土壤污染风险管控标准（试行）》（G</w:t>
      </w:r>
      <w:r>
        <w:rPr>
          <w:rFonts w:hAnsi="宋体" w:cs="等线"/>
          <w:color w:val="auto"/>
          <w:sz w:val="24"/>
          <w:szCs w:val="24"/>
          <w:highlight w:val="none"/>
        </w:rPr>
        <w:t xml:space="preserve">B 36600-2018</w:t>
      </w:r>
      <w:r>
        <w:rPr>
          <w:rFonts w:hint="eastAsia" w:hAnsi="宋体" w:cs="等线"/>
          <w:color w:val="auto"/>
          <w:sz w:val="24"/>
          <w:szCs w:val="24"/>
          <w:highlight w:val="none"/>
        </w:rPr>
        <w:t xml:space="preserve">）及其他相关技术、规范等开展上市前地块土壤污染状况调查。</w:t>
      </w:r>
      <w:r/>
    </w:p>
    <w:p>
      <w:pPr>
        <w:ind w:firstLine="420"/>
        <w:spacing w:after="156"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（二）服务内容及项目清单</w:t>
      </w:r>
      <w:r/>
    </w:p>
    <w:p>
      <w:pPr>
        <w:ind w:firstLine="420"/>
        <w:spacing w:after="156" w:line="360" w:lineRule="auto"/>
        <w:widowControl/>
        <w:rPr>
          <w:color w:val="auto"/>
          <w:sz w:val="24"/>
          <w:szCs w:val="24"/>
          <w:highlight w:val="none"/>
          <w:lang w:val="en-US"/>
        </w:rPr>
      </w:pPr>
      <w:r>
        <w:rPr>
          <w:rFonts w:hint="eastAsia" w:hAnsi="宋体" w:cs="等线"/>
          <w:color w:val="auto"/>
          <w:sz w:val="24"/>
          <w:szCs w:val="24"/>
          <w:highlight w:val="none"/>
        </w:rPr>
        <w:t xml:space="preserve">中标人可在以下业务范围内接受委托土壤调查业务：项目所涉地块土壤污染状况调查，含资料收集、人员访谈、现场勘踏、样品采集及实验室检测等，对所涉项目地块编制污染状况调查报告，并通过专家评审。</w:t>
      </w:r>
      <w:r/>
    </w:p>
    <w:p>
      <w:pPr>
        <w:pStyle w:val="1143"/>
        <w:ind w:firstLine="440"/>
        <w:spacing w:line="360" w:lineRule="auto"/>
        <w:rPr>
          <w:color w:val="auto"/>
          <w:sz w:val="24"/>
          <w:szCs w:val="24"/>
          <w:highlight w:val="none"/>
        </w:rPr>
      </w:pPr>
      <w:r>
        <w:rPr>
          <w:rFonts w:hint="eastAsia"/>
          <w:color w:val="auto"/>
          <w:sz w:val="24"/>
          <w:szCs w:val="24"/>
          <w:highlight w:val="none"/>
        </w:rPr>
        <w:t xml:space="preserve">（三）实施要求</w:t>
      </w:r>
      <w:r/>
    </w:p>
    <w:p>
      <w:pPr>
        <w:ind w:firstLine="420"/>
        <w:spacing w:after="156" w:line="360" w:lineRule="auto"/>
        <w:widowControl/>
        <w:rPr>
          <w:rFonts w:hAnsi="宋体" w:cs="等线"/>
          <w:color w:val="auto"/>
          <w:sz w:val="24"/>
          <w:szCs w:val="24"/>
          <w:highlight w:val="none"/>
        </w:rPr>
      </w:pPr>
      <w:r>
        <w:rPr>
          <w:rFonts w:hAnsi="宋体" w:cs="等线"/>
          <w:color w:val="auto"/>
          <w:sz w:val="24"/>
          <w:szCs w:val="24"/>
          <w:highlight w:val="none"/>
        </w:rPr>
        <w:t xml:space="preserve">1</w:t>
      </w:r>
      <w:r>
        <w:rPr>
          <w:rFonts w:hint="eastAsia" w:hAnsi="宋体" w:cs="等线"/>
          <w:color w:val="auto"/>
          <w:sz w:val="24"/>
          <w:szCs w:val="24"/>
          <w:highlight w:val="none"/>
        </w:rPr>
        <w:t xml:space="preserve">、开展要求及相关流程：</w:t>
      </w:r>
      <w:r/>
    </w:p>
    <w:p>
      <w:pPr>
        <w:ind w:firstLine="420"/>
        <w:spacing w:after="156"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（1）中标人根据委托方的具体要求开展委托工作，并对委托方负责；完成指定项目后，应按委托方的要求出具相关书面材料，经委托方审核后作为结算凭据。</w:t>
      </w:r>
      <w:r/>
    </w:p>
    <w:p>
      <w:pPr>
        <w:ind w:firstLine="420"/>
        <w:spacing w:after="156"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具体流程详见下图。</w:t>
      </w:r>
      <w:r/>
    </w:p>
    <w:p>
      <w:pPr>
        <w:ind w:firstLine="600"/>
        <w:spacing w:after="156" w:line="360" w:lineRule="auto"/>
        <w:rPr>
          <w:rFonts w:hAnsi="宋体"/>
          <w:color w:val="auto"/>
          <w:sz w:val="24"/>
          <w:szCs w:val="24"/>
          <w:highlight w:val="none"/>
        </w:rPr>
      </w:pPr>
      <w:r>
        <w:rPr>
          <w:rFonts w:hAnsi="宋体"/>
          <w:color w:val="auto"/>
          <w:sz w:val="24"/>
          <w:szCs w:val="24"/>
          <w:highlight w:val="none"/>
        </w:rPr>
        <mc:AlternateContent>
          <mc:Choice Requires="wpg">
            <w:drawing>
              <wp:inline xmlns:wp="http://schemas.openxmlformats.org/drawingml/2006/wordprocessingDrawing" distT="0" distB="0" distL="0" distR="0">
                <wp:extent cx="5207000" cy="6388100"/>
                <wp:effectExtent l="0" t="0" r="12700" b="1270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9"/>
                        <a:stretch/>
                      </pic:blipFill>
                      <pic:spPr bwMode="auto">
                        <a:xfrm>
                          <a:off x="0" y="0"/>
                          <a:ext cx="5207000" cy="638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0.0pt;height:503.0pt;mso-wrap-distance-left:0.0pt;mso-wrap-distance-top:0.0pt;mso-wrap-distance-right:0.0pt;mso-wrap-distance-bottom:0.0pt;" stroked="f">
                <v:path textboxrect="0,0,0,0"/>
                <v:imagedata r:id="rId19" o:title=""/>
              </v:shape>
            </w:pict>
          </mc:Fallback>
        </mc:AlternateContent>
      </w:r>
      <w:r/>
    </w:p>
    <w:p>
      <w:pPr>
        <w:ind w:firstLine="600"/>
        <w:spacing w:after="156" w:line="360" w:lineRule="auto"/>
        <w:rPr>
          <w:rFonts w:hAnsi="宋体"/>
          <w:color w:val="auto"/>
          <w:sz w:val="24"/>
          <w:szCs w:val="24"/>
          <w:highlight w:val="none"/>
        </w:rPr>
      </w:pPr>
      <w:r>
        <w:rPr>
          <w:rFonts w:hint="eastAsia" w:hAnsi="宋体"/>
          <w:color w:val="auto"/>
          <w:sz w:val="24"/>
          <w:szCs w:val="24"/>
          <w:highlight w:val="none"/>
        </w:rPr>
        <w:t xml:space="preserve">（2）</w:t>
      </w:r>
      <w:r>
        <w:rPr>
          <w:rFonts w:hint="eastAsia" w:hAnsi="宋体"/>
          <w:bCs/>
          <w:color w:val="auto"/>
          <w:sz w:val="24"/>
          <w:szCs w:val="24"/>
          <w:highlight w:val="none"/>
        </w:rPr>
        <w:t xml:space="preserve">中标人</w:t>
      </w:r>
      <w:r>
        <w:rPr>
          <w:rFonts w:hint="eastAsia" w:hAnsi="宋体"/>
          <w:color w:val="auto"/>
          <w:sz w:val="24"/>
          <w:szCs w:val="24"/>
          <w:highlight w:val="none"/>
        </w:rPr>
        <w:t xml:space="preserve">须根据《建设用地土壤污染状况调查技术导则》等规范要求实施场地土壤污染状况调查，包括但不限于：编制初步调查实施方案，开展资料收集、现场踏勘、人员访谈及污染识别、组织现场钻探采样与实验室检测分析，进行数据分析与评价、编制调查报告、通过专家评审论证等。特别说明，若资料收集过程中未找到能够真实反应项目地块的地勘资料，调查单位应开展地质勘察，查明项目所在地土层结构、地下水水位、流向等基本信息，为调查方案编制提供有力的支撑材料。</w:t>
      </w:r>
      <w:r/>
    </w:p>
    <w:p>
      <w:pPr>
        <w:pStyle w:val="1124"/>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中标人</w:t>
      </w:r>
      <w:r>
        <w:rPr>
          <w:rFonts w:hint="eastAsia" w:ascii="宋体" w:hAnsi="宋体" w:cs="宋体"/>
          <w:color w:val="auto"/>
          <w:sz w:val="24"/>
          <w:szCs w:val="24"/>
          <w:highlight w:val="none"/>
        </w:rPr>
        <w:t xml:space="preserve">出具的调查报告均应附从业人员责任页，明确项目负责人，各分项工作承担者，从业单位应建立内部审核制度，明确报告的审核人、审定人，上述人员均需签字确认。另外</w:t>
      </w:r>
      <w:r>
        <w:rPr>
          <w:rFonts w:hint="eastAsia" w:ascii="宋体" w:hAnsi="宋体" w:cs="宋体"/>
          <w:bCs/>
          <w:color w:val="auto"/>
          <w:sz w:val="24"/>
          <w:szCs w:val="24"/>
          <w:highlight w:val="none"/>
        </w:rPr>
        <w:t xml:space="preserve">中标人</w:t>
      </w:r>
      <w:r>
        <w:rPr>
          <w:rFonts w:hint="eastAsia" w:ascii="宋体" w:hAnsi="宋体" w:cs="宋体"/>
          <w:color w:val="auto"/>
          <w:sz w:val="24"/>
          <w:szCs w:val="24"/>
          <w:highlight w:val="none"/>
        </w:rPr>
        <w:t xml:space="preserve">和检测单位的营业执照、资质证明等文件也应作为附件附在调查报告内。</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人根据委托调查协议书的要求开展调查工作。对在调查过程中发现由于委托方提供的资料不全，且由于补送资料不及时而严重影响调查进度的，由调查机构提出要求延长调查时间的书面申请，经委托方核准后给予调整调查时间。</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（5）中标人按照委托方的要求开展调查工作。需在30天内出场地环境质量初步调查报告，如因特殊情况未能在规定的时间内出报告，应事先与采购人沟通，征得采购人同意后可适当延长出报告周期。</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6</w:t>
      </w:r>
      <w:r>
        <w:rPr>
          <w:rFonts w:hint="eastAsia" w:ascii="宋体" w:hAnsi="宋体" w:cs="宋体"/>
          <w:bCs/>
          <w:color w:val="auto"/>
          <w:sz w:val="24"/>
          <w:szCs w:val="24"/>
          <w:highlight w:val="none"/>
        </w:rPr>
        <w:t xml:space="preserve">）中标人应加强对土壤环境调查资料的保管，土壤环境调查工作全面完成后，土壤环境调查中标人应将委托方认为必要的有关资料返还给委托方；其余资料，中标人应按委托方的要求存档保管，并应及时满足委托方对调查资料有关调用、审核等要求。对档案管理不完善造成资料遗失的中标人，委托方将予以警告直至不再对其进行委托。</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、中标单位可自行开展采样工作，也可选择有能力的采样单位。</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、采购清单：</w:t>
      </w:r>
      <w:r/>
    </w:p>
    <w:tbl>
      <w:tblPr>
        <w:tblStyle w:val="1122"/>
        <w:tblW w:w="9422" w:type="dxa"/>
        <w:tblInd w:w="93" w:type="dxa"/>
        <w:tblLayout w:type="autofit"/>
        <w:tblCellMar>
          <w:left w:w="108" w:type="dxa"/>
          <w:top w:w="0" w:type="dxa"/>
          <w:right w:w="108" w:type="dxa"/>
          <w:bottom w:w="0" w:type="dxa"/>
        </w:tblCellMar>
        <w:tblLook w:val="04A0" w:firstRow="1" w:lastRow="0" w:firstColumn="1" w:lastColumn="0" w:noHBand="0" w:noVBand="1"/>
      </w:tblPr>
      <w:tblGrid>
        <w:gridCol w:w="690"/>
        <w:gridCol w:w="3748"/>
        <w:gridCol w:w="1337"/>
        <w:gridCol w:w="2160"/>
        <w:gridCol w:w="1487"/>
      </w:tblGrid>
      <w:tr>
        <w:trPr>
          <w:trHeight w:val="332"/>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jc w:val="center"/>
              <w:widowControl/>
              <w:rPr>
                <w:rFonts w:hAnsi="宋体"/>
                <w:b/>
                <w:bCs/>
                <w:color w:val="auto"/>
                <w:sz w:val="24"/>
                <w:szCs w:val="24"/>
                <w:highlight w:val="none"/>
              </w:rPr>
            </w:pPr>
            <w:r>
              <w:rPr>
                <w:rFonts w:hint="eastAsia" w:hAnsi="宋体"/>
                <w:b/>
                <w:bCs/>
                <w:color w:val="auto"/>
                <w:sz w:val="24"/>
                <w:szCs w:val="24"/>
                <w:highlight w:val="none"/>
                <w:lang w:val="en-US" w:eastAsia="zh-CN"/>
              </w:rPr>
              <w:t xml:space="preserve">地块</w:t>
            </w:r>
            <w:r>
              <w:rPr>
                <w:rFonts w:hint="eastAsia" w:hAnsi="宋体"/>
                <w:b/>
                <w:bCs/>
                <w:color w:val="auto"/>
                <w:sz w:val="24"/>
                <w:szCs w:val="24"/>
                <w:highlight w:val="none"/>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现状</w:t>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规划用途</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面积：公顷</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陈门泾路南、201国道西</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城镇住宅用地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t xml:space="preserve">4.9838</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康养中心二期</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城镇住宅用地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t xml:space="preserve">1.3246</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新园路南、独溇路西</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t xml:space="preserve">2.3463</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永丰路东、永胜路南</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.9812</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永丰路东、孟子泾路北</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.5095</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东林秸秆饲料厂</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.5153</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产业园环卫所</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公共设施用地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0</w:t>
            </w:r>
            <w:r>
              <w:rPr>
                <w:rFonts w:hAnsi="宋体"/>
                <w:color w:val="auto"/>
                <w:sz w:val="24"/>
                <w:szCs w:val="24"/>
                <w:highlight w:val="none"/>
              </w:rPr>
              <w:t xml:space="preserve">.5850</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太仓市欣农共创投资发展有限公司新建新农村农业研发中心项目</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科研用地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0</w:t>
            </w:r>
            <w:r>
              <w:rPr>
                <w:rFonts w:hAnsi="宋体"/>
                <w:color w:val="auto"/>
                <w:sz w:val="24"/>
                <w:szCs w:val="24"/>
                <w:highlight w:val="none"/>
              </w:rPr>
              <w:t xml:space="preserve">.4338</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widowControl/>
              <w:rPr>
                <w:rFonts w:hAnsi="宋体"/>
                <w:color w:val="auto"/>
                <w:sz w:val="24"/>
                <w:szCs w:val="24"/>
                <w:highlight w:val="none"/>
              </w:rPr>
            </w:pPr>
            <w:r>
              <w:rPr>
                <w:rFonts w:hint="eastAsia" w:hAnsi="宋体"/>
                <w:color w:val="auto"/>
                <w:sz w:val="24"/>
                <w:szCs w:val="24"/>
                <w:highlight w:val="none"/>
              </w:rPr>
              <w:t xml:space="preserve">独溇小海花间堂</w:t>
            </w:r>
            <w:r/>
          </w:p>
        </w:tc>
        <w:tc>
          <w:tcPr>
            <w:shd w:val="clear" w:color="ffffff"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Ansi="宋体"/>
                <w:color w:val="auto"/>
                <w:sz w:val="24"/>
                <w:szCs w:val="24"/>
                <w:highlight w:val="none"/>
              </w:rPr>
            </w:pPr>
            <w:r>
              <w:rPr>
                <w:rFonts w:hAnsi="宋体"/>
                <w:color w:val="auto"/>
                <w:sz w:val="24"/>
                <w:szCs w:val="24"/>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社会福利用地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.1293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Ansi="宋体"/>
                <w:b/>
                <w:bCs/>
                <w:color w:val="auto"/>
                <w:sz w:val="24"/>
                <w:szCs w:val="24"/>
                <w:highlight w:val="none"/>
              </w:rPr>
            </w:pPr>
            <w:r>
              <w:rPr>
                <w:rFonts w:hAnsi="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8" w:type="dxa"/>
            <w:vAlign w:val="center"/>
            <w:textDirection w:val="lrTb"/>
            <w:noWrap/>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小      计</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rPr>
                <w:rFonts w:hAnsi="宋体"/>
                <w:b/>
                <w:bCs/>
                <w:color w:val="auto"/>
                <w:sz w:val="24"/>
                <w:szCs w:val="24"/>
                <w:highlight w:val="none"/>
              </w:rPr>
            </w:pPr>
            <w:r>
              <w:rPr>
                <w:rFonts w:hAnsi="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rPr>
                <w:rFonts w:hAnsi="宋体"/>
                <w:b/>
                <w:bCs/>
                <w:color w:val="auto"/>
                <w:sz w:val="24"/>
                <w:szCs w:val="24"/>
                <w:highlight w:val="none"/>
              </w:rPr>
            </w:pPr>
            <w:r>
              <w:rPr>
                <w:rFonts w:hAnsi="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hAnsi="宋体"/>
                <w:b/>
                <w:bCs/>
                <w:color w:val="auto"/>
                <w:sz w:val="24"/>
                <w:szCs w:val="24"/>
                <w:highlight w:val="none"/>
              </w:rPr>
            </w:pPr>
            <w:r>
              <w:rPr>
                <w:rFonts w:hAnsi="宋体"/>
                <w:b/>
                <w:bCs/>
                <w:color w:val="auto"/>
                <w:sz w:val="24"/>
                <w:szCs w:val="24"/>
                <w:highlight w:val="none"/>
              </w:rPr>
              <w:t xml:space="preserve">17.8088</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422" w:type="dxa"/>
            <w:vAlign w:val="center"/>
            <w:textDirection w:val="lrTb"/>
            <w:noWrap/>
          </w:tcPr>
          <w:p>
            <w:pPr>
              <w:widowControl/>
              <w:tabs>
                <w:tab w:val="left" w:pos="1040" w:leader="none"/>
              </w:tabs>
              <w:rPr>
                <w:rFonts w:hAnsi="宋体"/>
                <w:b/>
                <w:bCs/>
                <w:color w:val="auto"/>
                <w:sz w:val="24"/>
                <w:szCs w:val="24"/>
                <w:highlight w:val="none"/>
              </w:rPr>
            </w:pPr>
            <w:r>
              <w:rPr>
                <w:rFonts w:hint="eastAsia" w:hAnsi="宋体"/>
                <w:b/>
                <w:bCs/>
                <w:color w:val="auto"/>
                <w:sz w:val="24"/>
                <w:szCs w:val="24"/>
                <w:highlight w:val="none"/>
              </w:rPr>
              <w:t xml:space="preserve">注：</w:t>
            </w:r>
            <w:r>
              <w:rPr>
                <w:rFonts w:hint="eastAsia"/>
                <w:color w:val="auto"/>
                <w:sz w:val="24"/>
                <w:szCs w:val="24"/>
                <w:highlight w:val="none"/>
              </w:rPr>
              <w:t xml:space="preserve">项目地块具体位置及面积以最终的红线范围图为准。</w:t>
            </w:r>
            <w:r/>
          </w:p>
        </w:tc>
      </w:tr>
    </w:tbl>
    <w:p>
      <w:pPr>
        <w:pStyle w:val="1124"/>
        <w:ind w:left="0"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、委托调查的责任</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受委托的中标人应确保项目质量，按时完成调查工作。项目应当严格遵守国家的有关法律、法规、制度规定、有关执业规范及太仓市城厢镇人民政府的要求。中标人对调查结果的真实性、完整性、可靠性负责。调查报告只向太仓市城厢镇人民政府提供，不得自行提供给其他单位。对提供不实或内容虚假的调查结果以及自行对外提供调查报告的，除由中标人自行承担责任外，太仓市城厢镇人民政府可采取必要措施终止委托调查，情节严重的，依法提请有关部门追究中标人和相关责任人的行政及法律责任。</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、违约责任</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下达调查任务后，中标人应在0.5个小时内响应，如有5次超时响应，采购人有权终止合同。调查机构未能在采购人要求的时间内（含同意延长的时间）提交调查报告或受采购人两次书面警告则视为违约。违约二次，采购人有权终止合同。</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人在合同期限内因从事本项目或其他项目的委托人委托的土壤环境检测相关业务存在违规违纪行为，或在从业过程中被有关部门进行处理或行政处罚的（包括但不限于通报、警告、行政处罚、禁业等），采购人有权解除本合同。</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为了确保项目质量，采购人将不定期对中标人的调查质量等进行综合考核（服务质量考核办法详见附件），考核结果将作为下一次择优选择调查机构的重要依据。考核结果不合格的中标人，采购人有权终止合同。</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如发现中标人出现弄虚作假行为的，采购人有权解除合同并追究其相关责任。</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、其他要求：</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（1）人员配置要求</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 w:val="0"/>
          <w:bCs/>
          <w:color w:val="auto"/>
          <w:sz w:val="24"/>
          <w:szCs w:val="24"/>
          <w:highlight w:val="none"/>
        </w:rPr>
        <w:t xml:space="preserve">至少配置1名项目负责人</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能熟练掌握</w:t>
      </w:r>
      <w:r>
        <w:rPr>
          <w:rFonts w:hint="eastAsia"/>
          <w:b w:val="0"/>
          <w:bCs/>
          <w:color w:val="auto"/>
          <w:sz w:val="24"/>
          <w:szCs w:val="24"/>
          <w:highlight w:val="none"/>
        </w:rPr>
        <w:t xml:space="preserve">土壤学或环境工程</w:t>
      </w:r>
      <w:r>
        <w:rPr>
          <w:rFonts w:hint="eastAsia"/>
          <w:b w:val="0"/>
          <w:bCs/>
          <w:color w:val="auto"/>
          <w:sz w:val="24"/>
          <w:szCs w:val="24"/>
          <w:highlight w:val="none"/>
          <w:lang w:val="en-US" w:eastAsia="zh-CN"/>
        </w:rPr>
        <w:t xml:space="preserve">相关</w:t>
      </w:r>
      <w:r>
        <w:rPr>
          <w:rFonts w:hint="eastAsia"/>
          <w:b w:val="0"/>
          <w:bCs/>
          <w:color w:val="auto"/>
          <w:sz w:val="24"/>
          <w:szCs w:val="24"/>
          <w:highlight w:val="none"/>
        </w:rPr>
        <w:t xml:space="preserve">专业</w:t>
      </w:r>
      <w:r>
        <w:rPr>
          <w:rFonts w:hint="eastAsia"/>
          <w:b w:val="0"/>
          <w:bCs/>
          <w:color w:val="auto"/>
          <w:sz w:val="24"/>
          <w:szCs w:val="24"/>
          <w:highlight w:val="none"/>
          <w:lang w:val="en-US" w:eastAsia="zh-CN"/>
        </w:rPr>
        <w:t xml:space="preserve">知识，具有满足本项目需求的职称证书，能够胜任本项目的组织管理工作，</w:t>
      </w:r>
      <w:r>
        <w:rPr>
          <w:rFonts w:ascii="宋体" w:hAnsi="宋体" w:eastAsia="宋体" w:cs="宋体"/>
          <w:color w:val="auto"/>
          <w:sz w:val="24"/>
          <w:szCs w:val="24"/>
          <w:highlight w:val="none"/>
        </w:rPr>
        <w:t xml:space="preserve">具有较好的沟通能力</w:t>
      </w:r>
      <w:r>
        <w:rPr>
          <w:rFonts w:hint="eastAsia"/>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配备项目组</w:t>
      </w:r>
      <w:r>
        <w:rPr>
          <w:rFonts w:hint="eastAsia" w:ascii="宋体" w:hAnsi="宋体" w:cs="宋体"/>
          <w:b w:val="0"/>
          <w:bCs/>
          <w:color w:val="auto"/>
          <w:sz w:val="24"/>
          <w:szCs w:val="24"/>
          <w:highlight w:val="none"/>
        </w:rPr>
        <w:t xml:space="preserve">技术人员</w:t>
      </w:r>
      <w:r>
        <w:rPr>
          <w:rFonts w:ascii="宋体" w:hAnsi="宋体" w:cs="宋体"/>
          <w:b w:val="0"/>
          <w:bCs/>
          <w:color w:val="auto"/>
          <w:sz w:val="24"/>
          <w:szCs w:val="24"/>
          <w:highlight w:val="none"/>
        </w:rPr>
        <w:t xml:space="preserve">3</w:t>
      </w:r>
      <w:r>
        <w:rPr>
          <w:rFonts w:hint="eastAsia" w:ascii="宋体" w:hAnsi="宋体" w:cs="宋体"/>
          <w:b w:val="0"/>
          <w:bCs/>
          <w:color w:val="auto"/>
          <w:sz w:val="24"/>
          <w:szCs w:val="24"/>
          <w:highlight w:val="none"/>
        </w:rPr>
        <w:t xml:space="preserve">人及以上</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具有满足本项目需求的相关专业知识。</w:t>
      </w:r>
      <w:r>
        <w:rPr>
          <w:rFonts w:ascii="宋体" w:hAnsi="宋体" w:eastAsia="宋体" w:cs="宋体"/>
          <w:color w:val="auto"/>
          <w:sz w:val="24"/>
          <w:szCs w:val="24"/>
          <w:highlight w:val="none"/>
        </w:rPr>
        <w:t xml:space="preserve">中标单位须为服务人员缴纳正规社医保</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按照</w:t>
      </w:r>
      <w:r>
        <w:rPr>
          <w:rFonts w:hint="eastAsia" w:ascii="宋体" w:hAnsi="宋体" w:cs="宋体"/>
          <w:bCs/>
          <w:color w:val="auto"/>
          <w:sz w:val="24"/>
          <w:szCs w:val="24"/>
          <w:highlight w:val="none"/>
          <w:lang w:val="en-US" w:eastAsia="zh-CN"/>
        </w:rPr>
        <w:t xml:space="preserve">招标文件</w:t>
      </w:r>
      <w:r>
        <w:rPr>
          <w:rFonts w:hint="eastAsia" w:ascii="宋体" w:hAnsi="宋体" w:cs="宋体"/>
          <w:bCs/>
          <w:color w:val="auto"/>
          <w:sz w:val="24"/>
          <w:szCs w:val="24"/>
          <w:highlight w:val="none"/>
        </w:rPr>
        <w:t xml:space="preserve">的要求配备相应人员。</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（2）设备配置要求</w:t>
      </w:r>
      <w:r/>
    </w:p>
    <w:p>
      <w:pPr>
        <w:pStyle w:val="1124"/>
        <w:ind w:left="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标人需综合考虑本项目特点，可以提供提升工作效率、服务质量的有关设备，包括但不限于专业土壤环境调查设备，检测设备、航拍工具、有关交通工具等。前述设备，投标人需提供设备购置合同或者设备租赁协议，并附证明合同真实履行的设备购置发票或者设备租赁发票。</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、综合说明</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（1）中标人需按照国家现行法律法规组织并协调检测、采样单位开展场地调查，并对采样、检测和调查结果承担责任。</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（2）中标人在调查期间，应按照相关规范妥善保管样品，样品保管时间按国家相关规定执行，并做好采样、检测质量管理工作，调查报告中体现质量管理情况，质量控制相关资料原件备查。</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（3）中标人应严格按照《场地环境调查技术导则》相关行业标准在规定时间内制作完成土壤环境初步调查报告。</w:t>
      </w:r>
      <w:r/>
    </w:p>
    <w:p>
      <w:pPr>
        <w:pStyle w:val="1124"/>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（4）中标人初步调查报告形成后，应经专家评审通过，方可交至委托方。</w:t>
      </w:r>
      <w:r/>
    </w:p>
    <w:p>
      <w:pPr>
        <w:pStyle w:val="1124"/>
        <w:ind w:left="0"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Cs/>
          <w:color w:val="auto"/>
          <w:sz w:val="24"/>
          <w:szCs w:val="24"/>
          <w:highlight w:val="none"/>
        </w:rPr>
        <w:t xml:space="preserve">（5）中标人需对委托方提供的数据、材料及调查结果、检测结果具有保密义务，如发现中标人有泄密行为，采购人有权解除合同并追究其相关责任。</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综合说明</w:t>
      </w:r>
      <w:r>
        <w:rPr>
          <w:rFonts w:hint="eastAsia" w:ascii="宋体" w:hAnsi="宋体" w:cs="宋体"/>
          <w:b/>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要求包括合同规定乙方应承担的义务及相关的后续服务，如限时理赔支付赔款、无偿提供保险知识培训、保险宣传、管理成本、劳保、利润、税金、政策性文件规定及合同包含的所有风险、责任等各项应有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2、投标单位必须说明其是否响应采购文件中提出的全部服务内容与要求，如果以其中某些条款不响应时，应在文件中逐条列出，未列出的视同响应。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3、投标人必须按照《劳动法》及苏州市的有关规定配置工作人员数量，并支付工资、国假加班费和交纳正常的社会保险。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4、中标供应商对服务缺陷不予更正，招标人有权另请其他单位更正，所发生的费用由中标供应商承担。</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付款方式：</w:t>
      </w:r>
      <w:r/>
    </w:p>
    <w:p>
      <w:pPr>
        <w:ind w:firstLine="480"/>
        <w:spacing w:line="360" w:lineRule="auto"/>
        <w:tabs>
          <w:tab w:val="center" w:pos="5131" w:leader="none"/>
        </w:tabs>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甲方根据甲乙双方确认的工程量清单</w:t>
      </w:r>
      <w:r>
        <w:rPr>
          <w:rFonts w:hint="eastAsia" w:hAnsi="宋体"/>
          <w:color w:val="auto"/>
          <w:sz w:val="24"/>
          <w:szCs w:val="24"/>
          <w:highlight w:val="none"/>
          <w:lang w:val="en-US" w:eastAsia="zh-CN"/>
        </w:rPr>
        <w:t xml:space="preserve">一次性</w:t>
      </w:r>
      <w:r>
        <w:rPr>
          <w:rFonts w:hint="eastAsia" w:hAnsi="宋体"/>
          <w:color w:val="auto"/>
          <w:sz w:val="24"/>
          <w:szCs w:val="24"/>
          <w:highlight w:val="none"/>
        </w:rPr>
        <w:t xml:space="preserve">支付实际工程款。结算依据为调查报告需通过专家评审并完成市生态环境局和市资规局备案</w:t>
      </w:r>
      <w:r>
        <w:rPr>
          <w:rFonts w:hAnsi="宋体"/>
          <w:color w:val="auto"/>
          <w:sz w:val="24"/>
          <w:szCs w:val="24"/>
          <w:highlight w:val="none"/>
        </w:rPr>
        <w:t xml:space="preserve">。</w:t>
      </w:r>
      <w:r/>
    </w:p>
    <w:p>
      <w:pPr>
        <w:ind w:firstLine="420"/>
        <w:spacing w:line="360" w:lineRule="auto"/>
        <w:tabs>
          <w:tab w:val="left" w:pos="552" w:leader="none"/>
        </w:tabs>
        <w:rPr>
          <w:rFonts w:hAnsi="宋体"/>
          <w:color w:val="auto"/>
          <w:sz w:val="24"/>
          <w:szCs w:val="24"/>
          <w:highlight w:val="none"/>
        </w:rPr>
      </w:pPr>
      <w:r>
        <w:rPr>
          <w:rFonts w:hAnsi="宋体"/>
          <w:color w:val="auto"/>
          <w:sz w:val="24"/>
          <w:szCs w:val="24"/>
          <w:highlight w:val="none"/>
        </w:rPr>
        <w:t xml:space="preserve">（2）甲方每次付款时，乙方需</w:t>
      </w:r>
      <w:r>
        <w:rPr>
          <w:rFonts w:hint="eastAsia" w:hAnsi="宋体"/>
          <w:color w:val="auto"/>
          <w:sz w:val="24"/>
          <w:szCs w:val="24"/>
          <w:highlight w:val="none"/>
        </w:rPr>
        <w:t xml:space="preserve">提供经专家评审通过后的最终版调查报告（含附件）、符合业主要求的项目工作量清单及</w:t>
      </w:r>
      <w:r>
        <w:rPr>
          <w:rFonts w:hAnsi="宋体"/>
          <w:color w:val="auto"/>
          <w:sz w:val="24"/>
          <w:szCs w:val="24"/>
          <w:highlight w:val="none"/>
        </w:rPr>
        <w:t xml:space="preserve">等额票据</w:t>
      </w:r>
      <w:r>
        <w:rPr>
          <w:rFonts w:hint="eastAsia" w:hAnsi="宋体"/>
          <w:color w:val="auto"/>
          <w:sz w:val="24"/>
          <w:szCs w:val="24"/>
          <w:highlight w:val="none"/>
        </w:rPr>
        <w:t xml:space="preserve">等</w:t>
      </w:r>
      <w:r>
        <w:rPr>
          <w:rFonts w:hAnsi="宋体"/>
          <w:color w:val="auto"/>
          <w:sz w:val="24"/>
          <w:szCs w:val="24"/>
          <w:highlight w:val="none"/>
        </w:rPr>
        <w:t xml:space="preserve">。</w:t>
      </w:r>
      <w:r/>
    </w:p>
    <w:p>
      <w:pPr>
        <w:pStyle w:val="1135"/>
        <w:spacing w:after="0" w:line="360" w:lineRule="auto"/>
        <w:rPr>
          <w:rFonts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3</w:t>
      </w:r>
      <w:r>
        <w:rPr>
          <w:rFonts w:hint="eastAsia" w:hAnsi="宋体"/>
          <w:color w:val="auto"/>
          <w:sz w:val="24"/>
          <w:szCs w:val="24"/>
          <w:highlight w:val="none"/>
          <w:lang w:eastAsia="zh-CN"/>
        </w:rPr>
        <w:t xml:space="preserve">）</w:t>
      </w:r>
      <w:r>
        <w:rPr>
          <w:rFonts w:hAnsi="宋体"/>
          <w:color w:val="auto"/>
          <w:sz w:val="24"/>
          <w:szCs w:val="24"/>
          <w:highlight w:val="none"/>
        </w:rPr>
        <w:t xml:space="preserve">付款方式：银行汇票或转帐支票、网银汇款。</w:t>
      </w:r>
      <w:r/>
    </w:p>
    <w:p>
      <w:pPr>
        <w:jc w:val="both"/>
        <w:keepLines w:val="0"/>
        <w:keepNext w:val="0"/>
        <w:pageBreakBefore w:val="0"/>
        <w:spacing w:line="360" w:lineRule="auto"/>
        <w:widowControl/>
        <w:rPr>
          <w:rFonts w:hint="eastAsia" w:ascii="宋体" w:hAnsi="宋体" w:eastAsia="宋体" w:cs="宋体"/>
          <w:b/>
          <w:color w:val="auto"/>
          <w:sz w:val="24"/>
          <w:szCs w:val="24"/>
          <w:highlight w:val="none"/>
        </w:rPr>
        <w:sectPr>
          <w:footerReference w:type="default" r:id="rId12"/>
          <w:footerReference w:type="first" r:id="rId13"/>
          <w:footnotePr/>
          <w:endnotePr/>
          <w:type w:val="nextPage"/>
          <w:pgSz w:w="11906" w:h="16838" w:orient="portrait"/>
          <w:pgMar w:top="1191" w:right="1191" w:bottom="1191" w:left="1191" w:header="851" w:footer="992" w:gutter="0"/>
          <w:pgNumType w:start="1"/>
          <w:cols w:num="1" w:sep="0" w:space="720" w:equalWidth="1"/>
          <w:docGrid w:linePitch="360"/>
          <w:titlePg/>
        </w:sectPr>
      </w:pPr>
      <w:r>
        <w:rPr>
          <w:rFonts w:hint="eastAsia" w:cs="宋体"/>
          <w:b/>
          <w:bCs w:val="0"/>
          <w:color w:val="auto"/>
          <w:sz w:val="24"/>
          <w:szCs w:val="24"/>
          <w:highlight w:val="none"/>
          <w:lang w:val="en-US" w:eastAsia="zh-CN"/>
        </w:rPr>
        <w:t xml:space="preserve">五</w:t>
      </w:r>
      <w:r>
        <w:rPr>
          <w:rFonts w:hint="eastAsia" w:cs="宋体"/>
          <w:b/>
          <w:bCs w:val="0"/>
          <w:color w:val="auto"/>
          <w:sz w:val="24"/>
          <w:szCs w:val="24"/>
          <w:highlight w:val="none"/>
        </w:rPr>
        <w:t xml:space="preserve">、凡涉及采购文件的补充说明和修改，均以苏州政府采购网发布的文件为准。</w:t>
      </w:r>
      <w:r/>
    </w:p>
    <w:p>
      <w:pPr>
        <w:spacing w:line="360" w:lineRule="auto"/>
        <w:rPr>
          <w:rFonts w:ascii="宋体"/>
          <w:b/>
          <w:color w:val="auto"/>
          <w:sz w:val="44"/>
          <w:szCs w:val="44"/>
          <w:highlight w:val="none"/>
        </w:rPr>
      </w:pPr>
      <w:r>
        <w:rPr>
          <w:rFonts w:ascii="宋体"/>
          <w:b/>
          <w:color w:val="auto"/>
          <w:sz w:val="44"/>
          <w:szCs w:val="44"/>
          <w:highlight w:val="none"/>
        </w:rPr>
      </w:r>
      <w:r/>
    </w:p>
    <w:p>
      <w:pPr>
        <w:jc w:val="center"/>
        <w:spacing w:line="360" w:lineRule="auto"/>
        <w:rPr>
          <w:rFonts w:ascii="宋体"/>
          <w:b/>
          <w:color w:val="auto"/>
          <w:sz w:val="44"/>
          <w:szCs w:val="44"/>
          <w:highlight w:val="none"/>
        </w:rPr>
      </w:pPr>
      <w:r>
        <w:rPr>
          <w:rFonts w:hint="eastAsia" w:ascii="宋体"/>
          <w:b/>
          <w:color w:val="auto"/>
          <w:sz w:val="44"/>
          <w:szCs w:val="44"/>
          <w:highlight w:val="none"/>
        </w:rPr>
        <w:t xml:space="preserve">第四部分 投标文件格式</w:t>
      </w:r>
      <w:r/>
    </w:p>
    <w:p>
      <w:pPr>
        <w:jc w:val="center"/>
        <w:spacing w:line="380" w:lineRule="exact"/>
        <w:rPr>
          <w:rFonts w:eastAsia="黑体"/>
          <w:b/>
          <w:color w:val="auto"/>
          <w:sz w:val="32"/>
          <w:highlight w:val="none"/>
        </w:rPr>
      </w:pPr>
      <w:r>
        <w:rPr>
          <w:rFonts w:eastAsia="黑体"/>
          <w:b/>
          <w:color w:val="auto"/>
          <w:sz w:val="32"/>
          <w:highlight w:val="none"/>
        </w:rPr>
      </w:r>
      <w:r/>
    </w:p>
    <w:p>
      <w:pPr>
        <w:jc w:val="left"/>
        <w:spacing w:line="360" w:lineRule="auto"/>
        <w:rPr>
          <w:rFonts w:ascii="宋体" w:hAnsi="宋体"/>
          <w:b/>
          <w:color w:val="auto"/>
          <w:sz w:val="24"/>
          <w:highlight w:val="none"/>
        </w:rPr>
      </w:pPr>
      <w:r>
        <w:rPr>
          <w:rFonts w:ascii="宋体" w:hAnsi="宋体"/>
          <w:b/>
          <w:color w:val="auto"/>
          <w:sz w:val="24"/>
          <w:highlight w:val="none"/>
        </w:rPr>
      </w:r>
      <w:r/>
    </w:p>
    <w:p>
      <w:pPr>
        <w:rPr>
          <w:color w:val="auto"/>
          <w:highlight w:val="none"/>
        </w:rPr>
      </w:pPr>
      <w:r>
        <w:rPr>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bookmarkEnd w:id="9"/>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rPr>
          <w:rFonts w:hint="eastAsia" w:ascii="黑体" w:hAnsi="宋体" w:eastAsia="黑体"/>
          <w:color w:val="auto"/>
          <w:sz w:val="36"/>
          <w:highlight w:val="none"/>
        </w:rPr>
        <w:t xml:space="preserve">【正(副)本】</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rPr>
          <w:rFonts w:hint="eastAsia" w:ascii="宋体" w:hAnsi="宋体" w:eastAsia="宋体"/>
          <w:b/>
          <w:color w:val="auto"/>
          <w:sz w:val="32"/>
          <w:szCs w:val="32"/>
          <w:highlight w:val="none"/>
          <w:lang w:eastAsia="zh-CN"/>
        </w:rPr>
      </w:pPr>
      <w:r>
        <w:rPr>
          <w:rFonts w:hint="eastAsia"/>
          <w:b/>
          <w:color w:val="auto"/>
          <w:sz w:val="36"/>
          <w:szCs w:val="36"/>
          <w:highlight w:val="none"/>
        </w:rPr>
        <w:t xml:space="preserve">采购单位：</w:t>
      </w:r>
      <w:r>
        <w:rPr>
          <w:rFonts w:hint="eastAsia" w:ascii="宋体" w:hAnsi="宋体"/>
          <w:b/>
          <w:color w:val="auto"/>
          <w:sz w:val="32"/>
          <w:szCs w:val="32"/>
          <w:highlight w:val="none"/>
          <w:lang w:eastAsia="zh-CN"/>
        </w:rPr>
        <w:t xml:space="preserve">太仓市城厢镇人民政府</w:t>
      </w:r>
      <w:r/>
    </w:p>
    <w:p>
      <w:pPr>
        <w:spacing w:line="360" w:lineRule="auto"/>
        <w:rPr>
          <w:rFonts w:hint="eastAsia" w:ascii="宋体" w:hAnsi="宋体" w:eastAsia="宋体" w:cs="宋体"/>
          <w:b/>
          <w:bCs/>
          <w:color w:val="auto"/>
          <w:sz w:val="36"/>
          <w:szCs w:val="36"/>
          <w:highlight w:val="none"/>
          <w:shd w:val="clear" w:color="auto" w:fill="ffffff"/>
          <w:lang w:eastAsia="zh-CN" w:bidi="ar"/>
        </w:rPr>
      </w:pPr>
      <w:r>
        <w:rPr>
          <w:b/>
          <w:color w:val="auto"/>
          <w:sz w:val="36"/>
          <w:szCs w:val="36"/>
          <w:highlight w:val="none"/>
        </w:rPr>
        <w:t xml:space="preserve">项目名称：</w:t>
      </w:r>
      <w:r>
        <w:rPr>
          <w:rFonts w:hint="eastAsia" w:ascii="宋体" w:hAnsi="宋体"/>
          <w:b/>
          <w:color w:val="auto"/>
          <w:sz w:val="32"/>
          <w:szCs w:val="32"/>
          <w:highlight w:val="none"/>
          <w:lang w:eastAsia="zh-CN"/>
        </w:rPr>
        <w:t xml:space="preserve">上市前土壤污染检测项目</w:t>
      </w:r>
      <w:r/>
    </w:p>
    <w:p>
      <w:pPr>
        <w:keepLines w:val="0"/>
        <w:keepNext w:val="0"/>
        <w:pageBreakBefore w:val="0"/>
        <w:spacing w:line="360" w:lineRule="auto"/>
        <w:widowControl w:val="off"/>
        <w:rPr>
          <w:rFonts w:ascii="宋体" w:hAnsi="宋体" w:cs="宋体"/>
          <w:color w:val="auto"/>
          <w:sz w:val="24"/>
          <w:szCs w:val="24"/>
          <w:highlight w:val="none"/>
        </w:rPr>
      </w:pPr>
      <w:r>
        <w:rPr>
          <w:rFonts w:hint="eastAsia"/>
          <w:b/>
          <w:color w:val="auto"/>
          <w:sz w:val="36"/>
          <w:szCs w:val="36"/>
          <w:highlight w:val="none"/>
        </w:rPr>
        <w:t xml:space="preserve">项目编号：</w:t>
      </w:r>
      <w:r>
        <w:rPr>
          <w:rFonts w:hint="eastAsia" w:cs="Times New Roman"/>
          <w:b/>
          <w:color w:val="auto"/>
          <w:sz w:val="36"/>
          <w:szCs w:val="36"/>
          <w:highlight w:val="none"/>
          <w:lang w:eastAsia="zh-CN"/>
        </w:rPr>
        <w:t xml:space="preserve">JSZC-320585-JSQY-G2024-0008</w:t>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color w:val="auto"/>
          <w:sz w:val="36"/>
          <w:szCs w:val="36"/>
          <w:highlight w:val="none"/>
        </w:rPr>
      </w:pPr>
      <w:r>
        <w:rPr>
          <w:color w:val="auto"/>
          <w:sz w:val="36"/>
          <w:szCs w:val="36"/>
          <w:highlight w:val="none"/>
        </w:rPr>
      </w:r>
      <w:r/>
    </w:p>
    <w:p>
      <w:pPr>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rPr>
          <w:rFonts w:ascii="宋体" w:hAnsi="宋体"/>
          <w:b/>
          <w:color w:val="auto"/>
          <w:sz w:val="32"/>
          <w:szCs w:val="32"/>
          <w:highlight w:val="none"/>
        </w:rPr>
      </w:pPr>
      <w:r>
        <w:rPr>
          <w:b/>
          <w:color w:val="auto"/>
          <w:sz w:val="36"/>
          <w:szCs w:val="36"/>
          <w:highlight w:val="none"/>
        </w:rPr>
        <w:br w:type="page" w:clear="all"/>
      </w:r>
      <w:bookmarkStart w:id="14" w:name="_Toc467507054"/>
      <w:r/>
      <w:bookmarkStart w:id="15" w:name="_Toc430265233"/>
      <w:r/>
      <w:bookmarkStart w:id="16" w:name="_Toc322442932"/>
      <w:r/>
      <w:bookmarkStart w:id="17" w:name="_Toc405288080"/>
      <w:r/>
      <w:bookmarkStart w:id="18" w:name="_Toc467507044"/>
      <w:r>
        <w:rPr>
          <w:rFonts w:hint="eastAsia" w:ascii="宋体" w:hAnsi="宋体"/>
          <w:b/>
          <w:color w:val="auto"/>
          <w:sz w:val="32"/>
          <w:szCs w:val="32"/>
          <w:highlight w:val="none"/>
        </w:rPr>
        <w:t xml:space="preserve">1、法定代表人授权委托书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江苏启越工程管理有限公司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color w:val="auto"/>
          <w:sz w:val="24"/>
          <w:highlight w:val="none"/>
          <w:lang w:val="en-US" w:eastAsia="zh-CN"/>
        </w:rPr>
        <w:t xml:space="preserve">____________</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2、开标一览表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开标一览表</w:t>
      </w:r>
      <w:r/>
    </w:p>
    <w:p>
      <w:pPr>
        <w:pStyle w:val="1146"/>
        <w:ind w:firstLine="560"/>
        <w:rPr>
          <w:color w:val="auto"/>
          <w:highlight w:val="none"/>
        </w:rPr>
      </w:pPr>
      <w:r>
        <w:rPr>
          <w:color w:val="auto"/>
          <w:highlight w:val="none"/>
        </w:rPr>
      </w:r>
      <w:r/>
    </w:p>
    <w:p>
      <w:pPr>
        <w:pStyle w:val="1144"/>
        <w:spacing w:line="360" w:lineRule="auto"/>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项目名称：  上市前土壤污染检测项目                                  </w:t>
      </w:r>
      <w:r/>
    </w:p>
    <w:p>
      <w:pPr>
        <w:ind w:firstLine="480"/>
        <w:keepLines w:val="0"/>
        <w:keepNext w:val="0"/>
        <w:pageBreakBefore w:val="0"/>
        <w:spacing w:line="360" w:lineRule="auto"/>
        <w:widowControl w:val="off"/>
        <w:rPr>
          <w:rFonts w:hint="default" w:eastAsia="宋体"/>
          <w:b w:val="0"/>
          <w:bCs/>
          <w:color w:val="auto"/>
          <w:sz w:val="24"/>
          <w:szCs w:val="24"/>
          <w:highlight w:val="none"/>
          <w:lang w:val="en-US" w:eastAsia="zh-CN"/>
        </w:rPr>
      </w:pPr>
      <w:r>
        <w:rPr>
          <w:rFonts w:hint="eastAsia"/>
          <w:b w:val="0"/>
          <w:bCs/>
          <w:color w:val="auto"/>
          <w:sz w:val="24"/>
          <w:szCs w:val="24"/>
          <w:highlight w:val="none"/>
          <w:lang w:val="en-US" w:eastAsia="zh-CN"/>
        </w:rPr>
        <w:t xml:space="preserve">项目编号：</w:t>
      </w:r>
      <w:r>
        <w:rPr>
          <w:rFonts w:hint="eastAsia" w:ascii="宋体" w:hAnsi="宋体"/>
          <w:b w:val="0"/>
          <w:bCs/>
          <w:color w:val="auto"/>
          <w:sz w:val="24"/>
          <w:szCs w:val="24"/>
          <w:highlight w:val="none"/>
          <w:lang w:eastAsia="zh-CN"/>
        </w:rPr>
        <w:t xml:space="preserve">JSZC-320585-JSQY-G2024-0008</w:t>
      </w:r>
      <w:r/>
    </w:p>
    <w:tbl>
      <w:tblPr>
        <w:tblStyle w:val="1122"/>
        <w:tblW w:w="8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1815"/>
        <w:gridCol w:w="2766"/>
        <w:gridCol w:w="1215"/>
      </w:tblGrid>
      <w:tr>
        <w:trPr>
          <w:jc w:val="center"/>
          <w:trHeight w:val="771"/>
        </w:trPr>
        <w:tc>
          <w:tcPr>
            <w:tcW w:w="2571"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15"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报</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2766" w:type="dxa"/>
            <w:vAlign w:val="center"/>
            <w:textDirection w:val="lrTb"/>
            <w:noWrap w:val="false"/>
          </w:tcPr>
          <w:p>
            <w:pPr>
              <w:ind w:left="0" w:right="0"/>
              <w:jc w:val="center"/>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p>
        </w:tc>
        <w:tc>
          <w:tcPr>
            <w:tcW w:w="1215"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1011"/>
        </w:trPr>
        <w:tc>
          <w:tcPr>
            <w:tcW w:w="2571" w:type="dxa"/>
            <w:vAlign w:val="center"/>
            <w:textDirection w:val="lrTb"/>
            <w:noWrap w:val="false"/>
          </w:tcPr>
          <w:p>
            <w:pPr>
              <w:pStyle w:val="1126"/>
              <w:ind w:left="0" w:right="0"/>
              <w:jc w:val="center"/>
              <w:pageBreakBefore w:val="0"/>
              <w:spacing w:beforeAutospacing="0" w:afterAutospacing="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上市前土壤污染检测项目</w:t>
            </w:r>
            <w:r/>
          </w:p>
        </w:tc>
        <w:tc>
          <w:tcPr>
            <w:tcW w:w="1815" w:type="dxa"/>
            <w:vAlign w:val="center"/>
            <w:textDirection w:val="lrTb"/>
            <w:noWrap w:val="false"/>
          </w:tcPr>
          <w:p>
            <w:pPr>
              <w:pStyle w:val="1126"/>
              <w:ind w:left="0" w:right="0"/>
              <w:jc w:val="center"/>
              <w:pageBreakBefore w:val="0"/>
              <w:spacing w:beforeAutospacing="0" w:afterAutospacing="0"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tc>
        <w:tc>
          <w:tcPr>
            <w:tcW w:w="2766" w:type="dxa"/>
            <w:vAlign w:val="center"/>
            <w:textDirection w:val="lrTb"/>
            <w:noWrap w:val="false"/>
          </w:tcPr>
          <w:p>
            <w:pPr>
              <w:ind w:firstLine="1024"/>
              <w:keepLines w:val="0"/>
              <w:keepNext w:val="0"/>
              <w:pageBreakBefore w:val="0"/>
              <w:spacing w:line="360" w:lineRule="auto"/>
              <w:shd w:val="clear" w:color="auto" w:fill="ffffff"/>
              <w:widowControl/>
              <w:rPr>
                <w:rFonts w:hint="eastAsia" w:ascii="宋体" w:hAnsi="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r>
            <w:r/>
          </w:p>
          <w:p>
            <w:pPr>
              <w:pStyle w:val="1126"/>
              <w:ind w:left="0" w:right="0"/>
              <w:jc w:val="center"/>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年</w:t>
            </w:r>
            <w:r/>
          </w:p>
        </w:tc>
        <w:tc>
          <w:tcPr>
            <w:tcW w:w="1215" w:type="dxa"/>
            <w:vAlign w:val="center"/>
            <w:textDirection w:val="lrTb"/>
            <w:noWrap w:val="false"/>
          </w:tcPr>
          <w:p>
            <w:pPr>
              <w:pStyle w:val="1126"/>
              <w:ind w:left="0" w:right="0"/>
              <w:jc w:val="center"/>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1127"/>
        <w:spacing w:line="360" w:lineRule="auto"/>
        <w:rPr>
          <w:rFonts w:hint="eastAsia"/>
          <w:color w:val="auto"/>
          <w:sz w:val="24"/>
          <w:szCs w:val="24"/>
          <w:highlight w:val="none"/>
        </w:rPr>
      </w:pPr>
      <w:r>
        <w:rPr>
          <w:rFonts w:hint="eastAsia"/>
          <w:color w:val="auto"/>
          <w:sz w:val="24"/>
          <w:szCs w:val="24"/>
          <w:highlight w:val="none"/>
        </w:rPr>
      </w:r>
      <w:r/>
    </w:p>
    <w:p>
      <w:pPr>
        <w:pStyle w:val="1127"/>
        <w:spacing w:line="360" w:lineRule="auto"/>
        <w:rPr>
          <w:rFonts w:hint="eastAsia"/>
          <w:color w:val="auto"/>
          <w:sz w:val="24"/>
          <w:szCs w:val="24"/>
          <w:highlight w:val="none"/>
        </w:rPr>
      </w:pPr>
      <w:r>
        <w:rPr>
          <w:rFonts w:hint="eastAsia"/>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（盖章）</w:t>
      </w:r>
      <w:r/>
    </w:p>
    <w:p>
      <w:pPr>
        <w:ind w:firstLine="480"/>
        <w:jc w:val="left"/>
        <w:spacing w:line="360" w:lineRule="auto"/>
        <w:rPr>
          <w:rFonts w:hint="eastAsia" w:ascii="宋体" w:hAnsi="宋体" w:cs="宋体"/>
          <w:color w:val="auto"/>
          <w:sz w:val="24"/>
          <w:szCs w:val="24"/>
          <w:highlight w:val="none"/>
        </w:rPr>
      </w:pPr>
      <w:r>
        <w:rPr>
          <w:rFonts w:hint="eastAsia" w:cs="宋体"/>
          <w:color w:val="auto"/>
          <w:sz w:val="24"/>
          <w:szCs w:val="24"/>
          <w:highlight w:val="none"/>
          <w:lang w:eastAsia="zh-CN"/>
        </w:rPr>
        <w:t xml:space="preserve">法定代表人(负责人）</w:t>
      </w:r>
      <w:r>
        <w:rPr>
          <w:rFonts w:hint="eastAsia" w:ascii="宋体" w:hAnsi="宋体" w:cs="宋体"/>
          <w:color w:val="auto"/>
          <w:sz w:val="24"/>
          <w:szCs w:val="24"/>
          <w:highlight w:val="none"/>
        </w:rPr>
        <w:t xml:space="preserve">或代理人（签字或盖章）：</w:t>
      </w:r>
      <w:r/>
    </w:p>
    <w:p>
      <w:pPr>
        <w:ind w:firstLine="480"/>
        <w:jc w:val="left"/>
        <w:spacing w:line="360" w:lineRule="auto"/>
        <w:rPr>
          <w:color w:val="auto"/>
          <w:sz w:val="24"/>
          <w:szCs w:val="24"/>
          <w:highlight w:val="none"/>
        </w:rPr>
      </w:pPr>
      <w:r>
        <w:rPr>
          <w:rFonts w:hint="eastAsia" w:ascii="宋体" w:hAnsi="宋体" w:cs="宋体"/>
          <w:color w:val="auto"/>
          <w:sz w:val="24"/>
          <w:szCs w:val="24"/>
          <w:highlight w:val="none"/>
        </w:rPr>
        <w:t xml:space="preserve">日期：    年    月    日</w:t>
      </w:r>
      <w:r/>
    </w:p>
    <w:p>
      <w:pPr>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、投标报价分项明细表</w:t>
      </w:r>
      <w:r/>
    </w:p>
    <w:p>
      <w:pPr>
        <w:ind w:firstLine="3012"/>
        <w:rPr>
          <w:rFonts w:hint="eastAsia" w:ascii="宋体" w:hAnsi="宋体"/>
          <w:b/>
          <w:sz w:val="30"/>
          <w:szCs w:val="30"/>
        </w:rPr>
      </w:pPr>
      <w:r>
        <w:rPr>
          <w:rFonts w:hint="eastAsia" w:ascii="宋体" w:hAnsi="宋体"/>
          <w:b/>
          <w:sz w:val="30"/>
          <w:szCs w:val="30"/>
        </w:rPr>
      </w:r>
      <w:r/>
    </w:p>
    <w:p>
      <w:pPr>
        <w:ind w:firstLine="4216"/>
        <w:rPr>
          <w:rFonts w:ascii="宋体" w:hAnsi="宋体"/>
          <w:b/>
          <w:sz w:val="30"/>
          <w:szCs w:val="30"/>
        </w:rPr>
      </w:pPr>
      <w:r>
        <w:rPr>
          <w:rFonts w:hint="eastAsia" w:ascii="宋体" w:hAnsi="宋体"/>
          <w:b/>
          <w:sz w:val="30"/>
          <w:szCs w:val="30"/>
        </w:rPr>
        <w:t xml:space="preserve">投标报价</w:t>
      </w:r>
      <w:r>
        <w:rPr>
          <w:rFonts w:hint="eastAsia" w:ascii="宋体" w:hAnsi="宋体"/>
          <w:b/>
          <w:sz w:val="30"/>
          <w:szCs w:val="30"/>
          <w:lang w:val="en-US" w:eastAsia="zh-CN"/>
        </w:rPr>
        <w:t xml:space="preserve">分项</w:t>
      </w:r>
      <w:r>
        <w:rPr>
          <w:rFonts w:hint="eastAsia" w:ascii="宋体" w:hAnsi="宋体"/>
          <w:b/>
          <w:sz w:val="30"/>
          <w:szCs w:val="30"/>
        </w:rPr>
        <w:t xml:space="preserve">明细表</w:t>
      </w:r>
      <w:r/>
    </w:p>
    <w:p>
      <w:pPr>
        <w:ind w:firstLine="3012"/>
        <w:rPr>
          <w:rFonts w:ascii="宋体" w:hAnsi="宋体"/>
          <w:b/>
          <w:sz w:val="30"/>
          <w:szCs w:val="30"/>
        </w:rPr>
      </w:pPr>
      <w:r>
        <w:rPr>
          <w:rFonts w:ascii="宋体" w:hAnsi="宋体"/>
          <w:b/>
          <w:sz w:val="30"/>
          <w:szCs w:val="30"/>
        </w:rPr>
      </w:r>
      <w:r/>
    </w:p>
    <w:tbl>
      <w:tblPr>
        <w:tblStyle w:val="1122"/>
        <w:tblW w:w="890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2179"/>
        <w:gridCol w:w="1106"/>
        <w:gridCol w:w="1252"/>
        <w:gridCol w:w="1058"/>
        <w:gridCol w:w="1724"/>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szCs w:val="24"/>
              </w:rPr>
            </w:pPr>
            <w:r>
              <w:rPr>
                <w:rFonts w:hAnsi="宋体"/>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rPr>
                <w:bCs/>
                <w:sz w:val="24"/>
                <w:szCs w:val="24"/>
              </w:rPr>
            </w:pPr>
            <w:r>
              <w:rPr>
                <w:rFonts w:hAnsi="宋体"/>
                <w:bCs/>
                <w:sz w:val="24"/>
                <w:szCs w:val="24"/>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rPr>
                <w:bCs/>
                <w:sz w:val="24"/>
                <w:szCs w:val="24"/>
              </w:rPr>
            </w:pPr>
            <w:r>
              <w:rPr>
                <w:rFonts w:hAnsi="宋体"/>
                <w:bCs/>
                <w:sz w:val="24"/>
                <w:szCs w:val="24"/>
              </w:rPr>
              <w:t xml:space="preserve">数量</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szCs w:val="24"/>
              </w:rPr>
            </w:pPr>
            <w:r>
              <w:rPr>
                <w:rFonts w:hAnsi="宋体"/>
                <w:bCs/>
                <w:sz w:val="24"/>
                <w:szCs w:val="24"/>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rPr>
                <w:bCs/>
                <w:sz w:val="24"/>
                <w:szCs w:val="24"/>
              </w:rPr>
            </w:pPr>
            <w:r>
              <w:rPr>
                <w:rFonts w:hAnsi="宋体"/>
                <w:bCs/>
                <w:sz w:val="24"/>
                <w:szCs w:val="24"/>
              </w:rPr>
              <w:t xml:space="preserve">单价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bCs/>
                <w:sz w:val="24"/>
                <w:szCs w:val="24"/>
              </w:rPr>
            </w:pPr>
            <w:r>
              <w:rPr>
                <w:rFonts w:hAnsi="宋体"/>
                <w:bCs/>
                <w:sz w:val="24"/>
                <w:szCs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szCs w:val="24"/>
              </w:rPr>
            </w:pPr>
            <w:r>
              <w:rPr>
                <w:rFonts w:hAnsi="宋体"/>
                <w:bCs/>
                <w:sz w:val="24"/>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380" w:lineRule="exact"/>
              <w:rPr>
                <w:bCs/>
                <w:sz w:val="24"/>
                <w:szCs w:val="24"/>
              </w:rPr>
            </w:pPr>
            <w:r>
              <w:rPr>
                <w:rFonts w:hint="eastAsia"/>
                <w:bCs/>
                <w:sz w:val="24"/>
                <w:szCs w:val="24"/>
              </w:rPr>
              <w:t xml:space="preserve">1</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ind w:right="-199"/>
              <w:jc w:val="center"/>
              <w:spacing w:line="380" w:lineRule="exact"/>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80" w:lineRule="exact"/>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380" w:lineRule="exact"/>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line="380" w:lineRule="exact"/>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jc w:val="center"/>
              <w:spacing w:line="380" w:lineRule="exact"/>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380" w:lineRule="exact"/>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szCs w:val="24"/>
              </w:rPr>
            </w:pPr>
            <w:r>
              <w:rPr>
                <w:rFonts w:hint="eastAsia"/>
                <w:bCs/>
                <w:sz w:val="24"/>
                <w:szCs w:val="24"/>
              </w:rPr>
              <w:t xml:space="preserve">2</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szCs w:val="24"/>
              </w:rPr>
            </w:pPr>
            <w:r>
              <w:rPr>
                <w:rFonts w:hint="eastAsia"/>
                <w:bCs/>
                <w:sz w:val="24"/>
                <w:szCs w:val="24"/>
              </w:rPr>
              <w:t xml:space="preserve">3</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szCs w:val="24"/>
              </w:rPr>
            </w:pPr>
            <w:r>
              <w:rPr>
                <w:rFonts w:hint="eastAsia"/>
                <w:bCs/>
                <w:sz w:val="24"/>
                <w:szCs w:val="24"/>
              </w:rPr>
              <w:t xml:space="preserve">4</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szCs w:val="24"/>
              </w:rPr>
            </w:pPr>
            <w:r>
              <w:rPr>
                <w:rFonts w:hint="eastAsia"/>
                <w:bCs/>
                <w:sz w:val="24"/>
                <w:szCs w:val="24"/>
              </w:rPr>
              <w:t xml:space="preserve">...</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rPr>
                <w:bCs/>
                <w:sz w:val="24"/>
                <w:szCs w:val="24"/>
              </w:rPr>
            </w:pPr>
            <w:r>
              <w:rPr>
                <w:rFonts w:hint="eastAsia"/>
                <w:bCs/>
                <w:sz w:val="24"/>
                <w:szCs w:val="24"/>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jc w:val="center"/>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szCs w:val="24"/>
              </w:rPr>
            </w:pPr>
            <w:r>
              <w:rPr>
                <w:bCs/>
                <w:sz w:val="24"/>
                <w:szCs w:val="24"/>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4" w:type="dxa"/>
            <w:vAlign w:val="center"/>
            <w:textDirection w:val="lrTb"/>
            <w:noWrap w:val="false"/>
          </w:tcPr>
          <w:p>
            <w:pPr>
              <w:jc w:val="center"/>
              <w:rPr>
                <w:bCs/>
                <w:sz w:val="24"/>
                <w:szCs w:val="24"/>
              </w:rPr>
            </w:pPr>
            <w:r>
              <w:rPr>
                <w:bCs/>
                <w:sz w:val="24"/>
                <w:szCs w:val="24"/>
              </w:rPr>
              <w:t xml:space="preserve">投标总报价</w:t>
            </w:r>
            <w:r/>
          </w:p>
        </w:tc>
        <w:tc>
          <w:tcPr>
            <w:gridSpan w:val="5"/>
            <w:tcBorders>
              <w:top w:val="single" w:color="auto" w:sz="6" w:space="0"/>
              <w:left w:val="single" w:color="auto" w:sz="6" w:space="0"/>
              <w:bottom w:val="single" w:color="auto" w:sz="6" w:space="0"/>
              <w:right w:val="single" w:color="auto" w:sz="4" w:space="0"/>
            </w:tcBorders>
            <w:tcW w:w="6021" w:type="dxa"/>
            <w:vAlign w:val="center"/>
            <w:textDirection w:val="lrTb"/>
            <w:noWrap w:val="false"/>
          </w:tcPr>
          <w:p>
            <w:pPr>
              <w:jc w:val="center"/>
              <w:rPr>
                <w:bCs/>
                <w:sz w:val="24"/>
                <w:szCs w:val="24"/>
              </w:rPr>
            </w:pPr>
            <w:r>
              <w:rPr>
                <w:bCs/>
                <w:sz w:val="24"/>
                <w:szCs w:val="24"/>
              </w:rPr>
              <w:t xml:space="preserve">大写</w:t>
            </w:r>
            <w:r>
              <w:rPr>
                <w:rFonts w:hint="eastAsia"/>
                <w:bCs/>
                <w:sz w:val="24"/>
                <w:szCs w:val="24"/>
              </w:rPr>
              <w:t xml:space="preserve">：        </w:t>
            </w:r>
            <w:r>
              <w:rPr>
                <w:bCs/>
                <w:sz w:val="24"/>
                <w:szCs w:val="24"/>
              </w:rPr>
              <w:t xml:space="preserve">元</w:t>
            </w:r>
            <w:r>
              <w:rPr>
                <w:rFonts w:hint="eastAsia"/>
                <w:bCs/>
                <w:sz w:val="24"/>
                <w:szCs w:val="24"/>
              </w:rPr>
              <w:t xml:space="preserve">；            小写：    元</w:t>
            </w:r>
            <w:r/>
          </w:p>
        </w:tc>
      </w:tr>
    </w:tbl>
    <w:p>
      <w:pPr>
        <w:ind w:firstLine="3012"/>
        <w:rPr>
          <w:rFonts w:ascii="宋体" w:hAnsi="宋体"/>
          <w:b/>
          <w:sz w:val="30"/>
          <w:szCs w:val="30"/>
        </w:rPr>
      </w:pPr>
      <w:r>
        <w:rPr>
          <w:rFonts w:ascii="宋体" w:hAnsi="宋体"/>
          <w:b/>
          <w:sz w:val="30"/>
          <w:szCs w:val="30"/>
        </w:rPr>
      </w:r>
      <w:r/>
    </w:p>
    <w:p>
      <w:pPr>
        <w:spacing w:line="500" w:lineRule="exact"/>
        <w:rPr>
          <w:rFonts w:ascii="宋体" w:hAnsi="宋体"/>
          <w:b/>
          <w:bCs/>
          <w:sz w:val="32"/>
          <w:szCs w:val="32"/>
        </w:rPr>
      </w:pPr>
      <w:r>
        <w:rPr>
          <w:rFonts w:hint="eastAsia" w:ascii="宋体" w:hAnsi="宋体"/>
          <w:sz w:val="24"/>
          <w:szCs w:val="24"/>
        </w:rPr>
        <w:t xml:space="preserve">注：本表报价的合计金额应与开标一览表报价一致</w:t>
      </w:r>
      <w:r/>
    </w:p>
    <w:p>
      <w:pPr>
        <w:jc w:val="left"/>
        <w:spacing w:line="500" w:lineRule="exact"/>
        <w:rPr>
          <w:rFonts w:ascii="宋体" w:hAnsi="宋体"/>
          <w:sz w:val="24"/>
        </w:rPr>
      </w:pPr>
      <w:r>
        <w:rPr>
          <w:rFonts w:hint="eastAsia" w:ascii="宋体" w:hAnsi="宋体"/>
          <w:sz w:val="24"/>
        </w:rPr>
        <w:t xml:space="preserve">投标单位：（公章）</w:t>
      </w:r>
      <w:r/>
    </w:p>
    <w:p>
      <w:pPr>
        <w:jc w:val="left"/>
        <w:spacing w:line="500" w:lineRule="exact"/>
        <w:rPr>
          <w:rFonts w:ascii="宋体" w:hAnsi="宋体"/>
          <w:sz w:val="24"/>
        </w:rPr>
      </w:pPr>
      <w:r>
        <w:rPr>
          <w:rFonts w:hint="eastAsia" w:ascii="宋体" w:hAnsi="宋体"/>
          <w:sz w:val="24"/>
        </w:rPr>
        <w:t xml:space="preserve">法定代表人或委托代理人（签字或盖章）： </w:t>
      </w:r>
      <w:r/>
    </w:p>
    <w:p>
      <w:pPr>
        <w:rPr>
          <w:rFonts w:ascii="宋体" w:hAnsi="宋体"/>
          <w:b/>
          <w:bCs/>
          <w:sz w:val="24"/>
          <w:szCs w:val="24"/>
        </w:rPr>
      </w:pPr>
      <w:r>
        <w:rPr>
          <w:rFonts w:hint="eastAsia" w:ascii="宋体" w:hAnsi="宋体"/>
          <w:sz w:val="24"/>
        </w:rPr>
        <w:t xml:space="preserve">日期：      年     月     日</w:t>
      </w:r>
      <w:r/>
    </w:p>
    <w:p>
      <w:pPr>
        <w:ind w:firstLine="1506"/>
        <w:rPr>
          <w:rFonts w:ascii="宋体" w:hAnsi="宋体"/>
          <w:b/>
          <w:sz w:val="30"/>
          <w:szCs w:val="30"/>
        </w:rPr>
      </w:pPr>
      <w:r>
        <w:rPr>
          <w:rFonts w:ascii="宋体" w:hAnsi="宋体"/>
          <w:b/>
          <w:sz w:val="30"/>
          <w:szCs w:val="30"/>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360" w:lineRule="auto"/>
        <w:rPr>
          <w:rFonts w:ascii="宋体" w:hAnsi="宋体"/>
          <w:b/>
          <w:color w:val="auto"/>
          <w:sz w:val="28"/>
          <w:szCs w:val="28"/>
          <w:highlight w:val="none"/>
        </w:rPr>
      </w:pPr>
      <w:r>
        <w:rPr>
          <w:rFonts w:hint="eastAsia" w:ascii="宋体" w:hAnsi="宋体"/>
          <w:b/>
          <w:color w:val="auto"/>
          <w:sz w:val="32"/>
          <w:szCs w:val="32"/>
          <w:highlight w:val="none"/>
          <w:lang w:val="en-US" w:eastAsia="zh-CN"/>
        </w:rPr>
        <w:t xml:space="preserve">4</w:t>
      </w:r>
      <w:r>
        <w:rPr>
          <w:rFonts w:hint="eastAsia" w:ascii="宋体" w:hAnsi="宋体"/>
          <w:b/>
          <w:color w:val="auto"/>
          <w:sz w:val="32"/>
          <w:szCs w:val="32"/>
          <w:highlight w:val="none"/>
        </w:rPr>
        <w:t xml:space="preserve">、</w:t>
      </w:r>
      <w:r>
        <w:rPr>
          <w:rFonts w:hint="eastAsia" w:ascii="宋体" w:hAnsi="宋体"/>
          <w:b/>
          <w:color w:val="auto"/>
          <w:sz w:val="28"/>
          <w:szCs w:val="28"/>
          <w:highlight w:val="none"/>
        </w:rPr>
        <w:t xml:space="preserve">关于资格文件的声明函</w:t>
      </w:r>
      <w:r/>
    </w:p>
    <w:p>
      <w:pPr>
        <w:pStyle w:val="1125"/>
        <w:ind w:left="1260"/>
        <w:rPr>
          <w:rFonts w:ascii="宋体" w:hAnsi="宋体"/>
          <w:color w:val="auto"/>
          <w:sz w:val="30"/>
          <w:szCs w:val="30"/>
          <w:highlight w:val="none"/>
        </w:rPr>
      </w:pPr>
      <w:r>
        <w:rPr>
          <w:rFonts w:ascii="宋体" w:hAnsi="宋体"/>
          <w:color w:val="auto"/>
          <w:sz w:val="30"/>
          <w:szCs w:val="30"/>
          <w:highlight w:val="none"/>
        </w:rPr>
      </w:r>
      <w:r/>
    </w:p>
    <w:p>
      <w:pPr>
        <w:pStyle w:val="1125"/>
        <w:ind w:left="1260"/>
        <w:rPr>
          <w:rFonts w:ascii="宋体" w:hAnsi="宋体"/>
          <w:color w:val="auto"/>
          <w:sz w:val="30"/>
          <w:szCs w:val="30"/>
          <w:highlight w:val="none"/>
        </w:rPr>
      </w:pPr>
      <w:r>
        <w:rPr>
          <w:rFonts w:ascii="宋体" w:hAnsi="宋体"/>
          <w:color w:val="auto"/>
          <w:sz w:val="30"/>
          <w:szCs w:val="30"/>
          <w:highlight w:val="none"/>
        </w:rPr>
      </w:r>
      <w:r/>
    </w:p>
    <w:p>
      <w:pPr>
        <w:pStyle w:val="1125"/>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1125"/>
        <w:ind w:left="1260"/>
        <w:jc w:val="center"/>
        <w:rPr>
          <w:rFonts w:ascii="宋体" w:hAnsi="宋体"/>
          <w:color w:val="auto"/>
          <w:sz w:val="24"/>
          <w:szCs w:val="24"/>
          <w:highlight w:val="none"/>
        </w:rPr>
      </w:pPr>
      <w:r>
        <w:rPr>
          <w:rFonts w:ascii="宋体" w:hAnsi="宋体"/>
          <w:color w:val="auto"/>
          <w:sz w:val="24"/>
          <w:szCs w:val="24"/>
          <w:highlight w:val="none"/>
        </w:rPr>
      </w:r>
      <w:r/>
    </w:p>
    <w:p>
      <w:pPr>
        <w:pStyle w:val="1125"/>
        <w:ind w:firstLine="0"/>
        <w:spacing w:line="50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江苏启越工程管理有限公司</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25"/>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hint="eastAsia" w:ascii="宋体" w:hAnsi="宋体"/>
          <w:color w:val="auto"/>
          <w:sz w:val="24"/>
          <w:szCs w:val="24"/>
          <w:highlight w:val="none"/>
          <w:lang w:val="en-US" w:eastAsia="zh-CN"/>
        </w:rPr>
        <w:t xml:space="preserve">___________</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125"/>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25"/>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25"/>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1125"/>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1144"/>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1144"/>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1144"/>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1144"/>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1144"/>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1144"/>
        <w:ind w:firstLine="420"/>
        <w:rPr>
          <w:color w:val="auto"/>
          <w:highlight w:val="none"/>
        </w:rPr>
      </w:pPr>
      <w:r>
        <w:rPr>
          <w:color w:val="auto"/>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5</w:t>
      </w:r>
      <w:r>
        <w:rPr>
          <w:rFonts w:hint="eastAsia" w:ascii="宋体" w:hAnsi="宋体"/>
          <w:b/>
          <w:color w:val="auto"/>
          <w:sz w:val="32"/>
          <w:szCs w:val="32"/>
          <w:highlight w:val="none"/>
        </w:rPr>
        <w:t xml:space="preserve">、投标承诺函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rPr>
        <w:t xml:space="preserve">江苏启越工程管理有限公司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cs="宋体"/>
          <w:color w:val="auto"/>
          <w:sz w:val="24"/>
          <w:szCs w:val="24"/>
          <w:highlight w:val="none"/>
          <w:lang w:eastAsia="zh-CN"/>
        </w:rPr>
        <w:t xml:space="preserve">上市前土壤污染检测项目</w:t>
      </w:r>
      <w:r>
        <w:rPr>
          <w:rFonts w:hint="eastAsia" w:ascii="宋体" w:hAnsi="宋体"/>
          <w:color w:val="auto"/>
          <w:sz w:val="24"/>
          <w:highlight w:val="none"/>
        </w:rPr>
        <w:t xml:space="preserve">招标文件（项目编号：</w:t>
      </w:r>
      <w:r>
        <w:rPr>
          <w:rFonts w:hint="eastAsia" w:ascii="宋体" w:hAnsi="宋体"/>
          <w:color w:val="auto"/>
          <w:sz w:val="24"/>
          <w:highlight w:val="none"/>
          <w:lang w:val="en-US" w:eastAsia="zh-CN"/>
        </w:rPr>
        <w:t xml:space="preserve">____________</w:t>
      </w:r>
      <w:r>
        <w:rPr>
          <w:rFonts w:hint="eastAsia" w:ascii="宋体" w:hAnsi="宋体"/>
          <w:color w:val="auto"/>
          <w:sz w:val="24"/>
          <w:highlight w:val="none"/>
        </w:rPr>
        <w:t xml:space="preserve">），经仔细阅读和研究，我们决定参加投标。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、我们愿意按照招标文件的一切要求，提供包括完成该项目全部内容的设备、材料及人工、机械、保险、劳保、各种税费以及质保期间的一切费用。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ind w:right="-21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6</w:t>
      </w:r>
      <w:r>
        <w:rPr>
          <w:rFonts w:hint="eastAsia" w:ascii="宋体" w:hAnsi="宋体"/>
          <w:b/>
          <w:color w:val="auto"/>
          <w:sz w:val="32"/>
          <w:szCs w:val="32"/>
          <w:highlight w:val="none"/>
        </w:rPr>
        <w:t xml:space="preserve">、参加政府采购活动前三年内，在经营活动中没有重大违法记录声明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致：江苏启越工程管理有限公司：</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供应商名称（单位公章）：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pStyle w:val="1125"/>
        <w:ind w:firstLine="0"/>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125"/>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25"/>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lang w:val="en-US" w:eastAsia="zh-CN"/>
        </w:rPr>
        <w:t xml:space="preserve">7</w:t>
      </w:r>
      <w:r>
        <w:rPr>
          <w:rFonts w:hint="eastAsia" w:ascii="宋体" w:hAnsi="宋体"/>
          <w:b/>
          <w:color w:val="auto"/>
          <w:sz w:val="32"/>
          <w:szCs w:val="32"/>
          <w:highlight w:val="none"/>
        </w:rPr>
        <w:t xml:space="preserve">、投标单位情况表</w:t>
      </w:r>
      <w:r/>
    </w:p>
    <w:p>
      <w:pPr>
        <w:pStyle w:val="1125"/>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1125"/>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1122"/>
        <w:tblW w:w="0" w:type="auto"/>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Height w:val="366"/>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1845"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030"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1845"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030"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1845" w:type="dxa"/>
            <w:textDirection w:val="lrTb"/>
            <w:noWrap w:val="false"/>
          </w:tcPr>
          <w:p>
            <w:pPr>
              <w:pStyle w:val="1125"/>
              <w:ind w:firstLine="0"/>
              <w:rPr>
                <w:rFonts w:ascii="宋体" w:hAnsi="宋体"/>
                <w:color w:val="auto"/>
                <w:sz w:val="24"/>
                <w:szCs w:val="24"/>
                <w:highlight w:val="none"/>
              </w:rPr>
            </w:pPr>
            <w:r>
              <w:rPr>
                <w:rFonts w:ascii="宋体" w:hAnsi="宋体"/>
                <w:color w:val="auto"/>
                <w:sz w:val="24"/>
                <w:szCs w:val="24"/>
                <w:highlight w:val="none"/>
              </w:rPr>
            </w:r>
            <w:r/>
          </w:p>
        </w:tc>
        <w:tc>
          <w:tcPr>
            <w:gridSpan w:val="2"/>
            <w:tcW w:w="3236"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138"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1845" w:type="dxa"/>
            <w:vAlign w:val="center"/>
            <w:textDirection w:val="lrTb"/>
            <w:noWrap w:val="false"/>
          </w:tcPr>
          <w:p>
            <w:pPr>
              <w:pStyle w:val="1125"/>
              <w:ind w:firstLine="120"/>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344"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030" w:type="dxa"/>
            <w:vAlign w:val="center"/>
            <w:textDirection w:val="lrTb"/>
            <w:noWrap w:val="false"/>
          </w:tcPr>
          <w:p>
            <w:pPr>
              <w:pStyle w:val="1125"/>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1845" w:type="dxa"/>
            <w:vAlign w:val="center"/>
            <w:textDirection w:val="lrTb"/>
            <w:noWrap w:val="false"/>
          </w:tcPr>
          <w:p>
            <w:pPr>
              <w:pStyle w:val="1125"/>
              <w:ind w:firstLine="960"/>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344"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030" w:type="dxa"/>
            <w:vAlign w:val="center"/>
            <w:textDirection w:val="lrTb"/>
            <w:noWrap w:val="false"/>
          </w:tcPr>
          <w:p>
            <w:pPr>
              <w:pStyle w:val="1125"/>
              <w:ind w:firstLine="0"/>
              <w:rPr>
                <w:rFonts w:ascii="宋体" w:hAnsi="宋体"/>
                <w:b/>
                <w:color w:val="auto"/>
                <w:sz w:val="24"/>
                <w:szCs w:val="24"/>
                <w:highlight w:val="none"/>
              </w:rPr>
            </w:pPr>
            <w:r>
              <w:rPr>
                <w:rFonts w:hint="eastAsia" w:ascii="宋体" w:hAnsi="宋体" w:cs="宋体"/>
                <w:b/>
                <w:color w:val="auto"/>
                <w:szCs w:val="21"/>
                <w:highlight w:val="none"/>
              </w:rPr>
              <w:t xml:space="preserve">2023年（或最新一年度）           万元</w:t>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1845" w:type="dxa"/>
            <w:textDirection w:val="lrTb"/>
            <w:noWrap w:val="false"/>
          </w:tcPr>
          <w:p>
            <w:pPr>
              <w:pStyle w:val="1125"/>
              <w:ind w:firstLine="0"/>
              <w:rPr>
                <w:rFonts w:ascii="宋体" w:hAnsi="宋体"/>
                <w:b/>
                <w:color w:val="auto"/>
                <w:sz w:val="24"/>
                <w:szCs w:val="24"/>
                <w:highlight w:val="none"/>
              </w:rPr>
            </w:pPr>
            <w:r>
              <w:rPr>
                <w:rFonts w:hint="eastAsia" w:ascii="宋体" w:hAnsi="宋体" w:cs="宋体"/>
                <w:b/>
                <w:color w:val="auto"/>
                <w:szCs w:val="21"/>
                <w:highlight w:val="none"/>
              </w:rPr>
              <w:t xml:space="preserve">2023年（或最新一年度）           万元</w:t>
            </w:r>
            <w:r/>
          </w:p>
        </w:tc>
        <w:tc>
          <w:tcPr>
            <w:tcW w:w="1344"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c>
          <w:tcPr>
            <w:gridSpan w:val="2"/>
            <w:tcW w:w="3030"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1845"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344"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030"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r>
      <w:tr>
        <w:trPr>
          <w:cantSplit/>
          <w:trHeight w:val="926"/>
        </w:trPr>
        <w:tc>
          <w:tcPr>
            <w:tcW w:w="2309"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4"/>
            <w:tcW w:w="6219" w:type="dxa"/>
            <w:textDirection w:val="lrTb"/>
            <w:noWrap w:val="false"/>
          </w:tcPr>
          <w:p>
            <w:pPr>
              <w:pStyle w:val="1125"/>
              <w:ind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668"/>
        </w:trPr>
        <w:tc>
          <w:tcPr>
            <w:tcW w:w="2309" w:type="dxa"/>
            <w:vAlign w:val="center"/>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近两年来完成或正在履行的重大合同情况</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年内在经营过程中受到何种奖励或处分（包括情况和结果）</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年内有无因售假、售劣或是其他原因被消费者投诉或起诉的情况及说明（包括解决方式和结果）</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309" w:type="dxa"/>
            <w:textDirection w:val="lrTb"/>
            <w:noWrap w:val="false"/>
          </w:tcPr>
          <w:p>
            <w:pPr>
              <w:pStyle w:val="1125"/>
              <w:ind w:firstLine="0"/>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219" w:type="dxa"/>
            <w:textDirection w:val="lrTb"/>
            <w:noWrap w:val="false"/>
          </w:tcPr>
          <w:p>
            <w:pPr>
              <w:pStyle w:val="1125"/>
              <w:ind w:left="1260" w:firstLine="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highlight w:val="none"/>
        </w:rPr>
      </w:pPr>
      <w:r>
        <w:rPr>
          <w:rFonts w:hint="eastAsia" w:ascii="宋体" w:hAnsi="宋体"/>
          <w:b/>
          <w:color w:val="auto"/>
          <w:sz w:val="32"/>
          <w:szCs w:val="32"/>
          <w:highlight w:val="none"/>
        </w:rPr>
        <w:br w:type="page" w:clear="all"/>
      </w:r>
      <w:r/>
    </w:p>
    <w:p>
      <w:pPr>
        <w:spacing w:line="360" w:lineRule="auto"/>
        <w:rPr>
          <w:rFonts w:hint="eastAsia" w:ascii="宋体" w:hAnsi="宋体" w:eastAsia="宋体" w:cs="宋体"/>
          <w:b/>
          <w:bCs/>
          <w:color w:val="auto"/>
          <w:sz w:val="21"/>
          <w:szCs w:val="21"/>
          <w:highlight w:val="none"/>
          <w:lang w:val="zh-CN"/>
        </w:rPr>
      </w:pPr>
      <w:r>
        <w:rPr>
          <w:rFonts w:hint="eastAsia" w:ascii="宋体" w:hAnsi="宋体"/>
          <w:b/>
          <w:color w:val="auto"/>
          <w:sz w:val="32"/>
          <w:szCs w:val="32"/>
          <w:highlight w:val="none"/>
          <w:lang w:val="en-US" w:eastAsia="zh-CN"/>
        </w:rPr>
        <w:t xml:space="preserve">8</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hint="eastAsia" w:asciiTheme="majorEastAsia" w:hAnsiTheme="majorEastAsia" w:eastAsiaTheme="majorEastAsia" w:cstheme="majorEastAsia"/>
          <w:b/>
          <w:color w:val="auto"/>
          <w:sz w:val="24"/>
          <w:szCs w:val="24"/>
          <w:highlight w:val="none"/>
          <w:lang w:val="zh-CN"/>
        </w:rPr>
      </w:pPr>
      <w:r>
        <w:rPr>
          <w:rFonts w:hint="eastAsia" w:ascii="宋体" w:hAnsi="宋体" w:cs="宋体"/>
          <w:b/>
          <w:color w:val="auto"/>
          <w:sz w:val="21"/>
          <w:szCs w:val="21"/>
          <w:highlight w:val="none"/>
        </w:rPr>
        <w:t xml:space="preserve">                              </w:t>
      </w:r>
      <w:r/>
    </w:p>
    <w:p>
      <w:pPr>
        <w:jc w:val="center"/>
        <w:rPr>
          <w:rFonts w:ascii="宋体" w:hAnsi="宋体"/>
          <w:color w:val="auto"/>
          <w:sz w:val="28"/>
          <w:szCs w:val="28"/>
          <w:highlight w:val="none"/>
        </w:rPr>
      </w:pPr>
      <w:r>
        <w:rPr>
          <w:rFonts w:ascii="宋体" w:hAnsi="宋体"/>
          <w:color w:val="auto"/>
          <w:sz w:val="28"/>
          <w:szCs w:val="28"/>
          <w:highlight w:val="none"/>
        </w:rPr>
        <w:t xml:space="preserve">中小企业声明函（服务）</w:t>
      </w:r>
      <w:r/>
    </w:p>
    <w:p>
      <w:pPr>
        <w:pStyle w:val="1140"/>
        <w:rPr>
          <w:color w:val="auto"/>
          <w:highlight w:val="none"/>
        </w:rPr>
      </w:pPr>
      <w:r>
        <w:rPr>
          <w:color w:val="auto"/>
          <w:highlight w:val="none"/>
        </w:rPr>
      </w:r>
      <w:r/>
    </w:p>
    <w:p>
      <w:pPr>
        <w:ind w:firstLine="480"/>
        <w:spacing w:line="360" w:lineRule="auto"/>
        <w:rPr>
          <w:rFonts w:hint="eastAsia" w:ascii="宋体" w:hAnsi="宋体" w:cs="宋体"/>
          <w:color w:val="auto"/>
          <w:sz w:val="24"/>
          <w:szCs w:val="24"/>
          <w:highlight w:val="none"/>
        </w:rPr>
      </w:pPr>
      <w:r>
        <w:rPr>
          <w:rFonts w:ascii="宋体" w:hAnsi="宋体"/>
          <w:b w:val="0"/>
          <w:bCs w:val="0"/>
          <w:i w:val="0"/>
          <w:iCs w:val="0"/>
          <w:color w:val="auto"/>
          <w:sz w:val="24"/>
          <w:highlight w:val="none"/>
        </w:rPr>
        <w:t xml:space="preserve">本公司郑重声明，根据《政府采购促进中小企业发展管理办法》（财库</w:t>
      </w:r>
      <w:r>
        <w:rPr>
          <w:rFonts w:hint="eastAsia" w:ascii="宋体" w:hAnsi="宋体"/>
          <w:b w:val="0"/>
          <w:bCs w:val="0"/>
          <w:i w:val="0"/>
          <w:iCs w:val="0"/>
          <w:color w:val="auto"/>
          <w:sz w:val="24"/>
          <w:highlight w:val="none"/>
        </w:rPr>
        <w:t xml:space="preserve">﹝</w:t>
      </w:r>
      <w:r>
        <w:rPr>
          <w:rFonts w:ascii="宋体" w:hAnsi="宋体"/>
          <w:b w:val="0"/>
          <w:bCs w:val="0"/>
          <w:i w:val="0"/>
          <w:iCs w:val="0"/>
          <w:color w:val="auto"/>
          <w:sz w:val="24"/>
          <w:highlight w:val="none"/>
        </w:rPr>
        <w:t xml:space="preserve">2020</w:t>
      </w:r>
      <w:r>
        <w:rPr>
          <w:rFonts w:hint="eastAsia" w:ascii="宋体" w:hAnsi="宋体"/>
          <w:b w:val="0"/>
          <w:bCs w:val="0"/>
          <w:i w:val="0"/>
          <w:iCs w:val="0"/>
          <w:color w:val="auto"/>
          <w:sz w:val="24"/>
          <w:highlight w:val="none"/>
        </w:rPr>
        <w:t xml:space="preserve">﹞</w:t>
      </w:r>
      <w:r>
        <w:rPr>
          <w:rFonts w:ascii="宋体" w:hAnsi="宋体"/>
          <w:b w:val="0"/>
          <w:bCs w:val="0"/>
          <w:i w:val="0"/>
          <w:iCs w:val="0"/>
          <w:color w:val="auto"/>
          <w:sz w:val="24"/>
          <w:highlight w:val="none"/>
        </w:rPr>
        <w:t xml:space="preserve">46号）的规定，</w:t>
      </w:r>
      <w:r>
        <w:rPr>
          <w:rFonts w:hint="eastAsia" w:ascii="宋体" w:hAnsi="宋体" w:cs="宋体"/>
          <w:color w:val="auto"/>
          <w:sz w:val="24"/>
          <w:szCs w:val="24"/>
          <w:highlight w:val="none"/>
        </w:rPr>
        <w:t xml:space="preserve">本公司（联合体）参加</w:t>
      </w:r>
      <w:r>
        <w:rPr>
          <w:rFonts w:hint="eastAsia" w:ascii="宋体" w:hAnsi="宋体" w:cs="宋体"/>
          <w:i w:val="0"/>
          <w:iCs/>
          <w:color w:val="auto"/>
          <w:sz w:val="24"/>
          <w:szCs w:val="24"/>
          <w:highlight w:val="none"/>
          <w:u w:val="single"/>
        </w:rPr>
        <w:t xml:space="preserve">太仓市城厢镇人民政府</w:t>
      </w:r>
      <w:r>
        <w:rPr>
          <w:rFonts w:hint="eastAsia" w:ascii="宋体" w:hAnsi="宋体" w:cs="宋体"/>
          <w:i w:val="0"/>
          <w:iCs/>
          <w:color w:val="auto"/>
          <w:sz w:val="24"/>
          <w:szCs w:val="24"/>
          <w:highlight w:val="none"/>
        </w:rPr>
        <w:t xml:space="preserve">的</w:t>
      </w:r>
      <w:r>
        <w:rPr>
          <w:rFonts w:hint="eastAsia" w:ascii="宋体" w:hAnsi="宋体" w:cs="宋体"/>
          <w:i w:val="0"/>
          <w:iCs/>
          <w:color w:val="auto"/>
          <w:sz w:val="24"/>
          <w:szCs w:val="24"/>
          <w:highlight w:val="none"/>
          <w:u w:val="single"/>
          <w:lang w:eastAsia="zh-CN"/>
        </w:rPr>
        <w:t xml:space="preserve">上市前土壤污染检测项目</w:t>
      </w:r>
      <w:r>
        <w:rPr>
          <w:rFonts w:hint="eastAsia" w:ascii="宋体" w:hAnsi="宋体" w:cs="宋体"/>
          <w:i w:val="0"/>
          <w:iCs/>
          <w:color w:val="auto"/>
          <w:sz w:val="24"/>
          <w:szCs w:val="24"/>
          <w:highlight w:val="none"/>
        </w:rPr>
        <w:t xml:space="preserve">采</w:t>
      </w:r>
      <w:r>
        <w:rPr>
          <w:rFonts w:hint="eastAsia" w:ascii="宋体" w:hAnsi="宋体" w:cs="宋体"/>
          <w:color w:val="auto"/>
          <w:sz w:val="24"/>
          <w:szCs w:val="24"/>
          <w:highlight w:val="none"/>
        </w:rPr>
        <w:t xml:space="preserve">购活动，服务全部由符合政策要求的中小企业承接。相关企业的具体情况如下：</w:t>
      </w:r>
      <w:r/>
    </w:p>
    <w:p>
      <w:pPr>
        <w:ind w:firstLine="480"/>
        <w:spacing w:line="360" w:lineRule="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1、</w:t>
      </w:r>
      <w:r>
        <w:rPr>
          <w:rFonts w:hint="eastAsia" w:ascii="宋体" w:hAnsi="宋体" w:cs="宋体"/>
          <w:color w:val="auto"/>
          <w:sz w:val="24"/>
          <w:szCs w:val="24"/>
          <w:highlight w:val="none"/>
          <w:u w:val="single"/>
          <w:lang w:eastAsia="zh-CN"/>
        </w:rPr>
        <w:t xml:space="preserve">上市前土壤污染检测项目</w:t>
      </w:r>
      <w:r>
        <w:rPr>
          <w:rFonts w:hint="eastAsia" w:ascii="宋体" w:hAnsi="宋体" w:cs="宋体"/>
          <w:i w:val="0"/>
          <w:iCs w:val="0"/>
          <w:color w:val="auto"/>
          <w:sz w:val="24"/>
          <w:szCs w:val="24"/>
          <w:highlight w:val="none"/>
        </w:rPr>
        <w:t xml:space="preserve">属于</w:t>
      </w:r>
      <w:r>
        <w:rPr>
          <w:rFonts w:hint="eastAsia" w:ascii="宋体" w:hAnsi="宋体"/>
          <w:i w:val="0"/>
          <w:iCs w:val="0"/>
          <w:color w:val="auto"/>
          <w:sz w:val="24"/>
          <w:szCs w:val="24"/>
          <w:highlight w:val="none"/>
          <w:u w:val="single"/>
        </w:rPr>
        <w:t xml:space="preserve">其他未列明</w:t>
      </w:r>
      <w:r>
        <w:rPr>
          <w:rFonts w:hint="eastAsia" w:ascii="宋体" w:hAnsi="宋体" w:cs="宋体"/>
          <w:i w:val="0"/>
          <w:iCs w:val="0"/>
          <w:color w:val="auto"/>
          <w:sz w:val="24"/>
          <w:szCs w:val="24"/>
          <w:highlight w:val="none"/>
        </w:rPr>
        <w:t xml:space="preserve">行业；承接企业为</w:t>
      </w:r>
      <w:r>
        <w:rPr>
          <w:rFonts w:hint="eastAsia" w:ascii="宋体" w:hAnsi="宋体" w:cs="宋体"/>
          <w:i w:val="0"/>
          <w:iCs w:val="0"/>
          <w:color w:val="auto"/>
          <w:sz w:val="24"/>
          <w:szCs w:val="24"/>
          <w:highlight w:val="none"/>
          <w:u w:val="single"/>
        </w:rPr>
        <w:t xml:space="preserve">（企业名称）</w:t>
      </w:r>
      <w:r>
        <w:rPr>
          <w:rFonts w:hint="eastAsia" w:ascii="宋体" w:hAnsi="宋体" w:cs="宋体"/>
          <w:i w:val="0"/>
          <w:iCs w:val="0"/>
          <w:color w:val="auto"/>
          <w:sz w:val="24"/>
          <w:szCs w:val="24"/>
          <w:highlight w:val="none"/>
        </w:rPr>
        <w:t xml:space="preserve">，从业人员</w:t>
      </w:r>
      <w:r>
        <w:rPr>
          <w:rFonts w:hint="eastAsia" w:ascii="宋体" w:hAnsi="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rPr>
        <w:tab/>
      </w:r>
      <w:r>
        <w:rPr>
          <w:rFonts w:hint="eastAsia" w:ascii="宋体" w:hAnsi="宋体" w:cs="宋体"/>
          <w:i w:val="0"/>
          <w:iCs w:val="0"/>
          <w:color w:val="auto"/>
          <w:sz w:val="24"/>
          <w:szCs w:val="24"/>
          <w:highlight w:val="none"/>
        </w:rPr>
        <w:t xml:space="preserve">人，营业收入为</w:t>
      </w:r>
      <w:r>
        <w:rPr>
          <w:rFonts w:hint="eastAsia" w:ascii="宋体" w:hAnsi="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rPr>
        <w:tab/>
      </w:r>
      <w:r>
        <w:rPr>
          <w:rFonts w:hint="eastAsia" w:ascii="宋体" w:hAnsi="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rPr>
        <w:t xml:space="preserve">万元，资产总额为</w:t>
      </w:r>
      <w:r>
        <w:rPr>
          <w:rFonts w:hint="eastAsia" w:ascii="宋体" w:hAnsi="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rPr>
        <w:tab/>
      </w:r>
      <w:r>
        <w:rPr>
          <w:rFonts w:hint="eastAsia" w:ascii="宋体" w:hAnsi="宋体" w:cs="宋体"/>
          <w:i w:val="0"/>
          <w:iCs w:val="0"/>
          <w:color w:val="auto"/>
          <w:sz w:val="24"/>
          <w:szCs w:val="24"/>
          <w:highlight w:val="none"/>
        </w:rPr>
        <w:t xml:space="preserve">万元，属于</w:t>
      </w:r>
      <w:r>
        <w:rPr>
          <w:rFonts w:hint="eastAsia" w:ascii="宋体" w:hAnsi="宋体" w:cs="宋体"/>
          <w:i w:val="0"/>
          <w:iCs w:val="0"/>
          <w:color w:val="auto"/>
          <w:sz w:val="24"/>
          <w:szCs w:val="24"/>
          <w:highlight w:val="none"/>
          <w:u w:val="single"/>
        </w:rPr>
        <w:t xml:space="preserve">（中型企业、小型企业、微型企业）</w:t>
      </w:r>
      <w:r>
        <w:rPr>
          <w:rFonts w:hint="eastAsia" w:ascii="宋体" w:hAnsi="宋体" w:cs="宋体"/>
          <w:i w:val="0"/>
          <w:iCs w:val="0"/>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right="1120" w:firstLine="480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left="0" w:right="0" w:firstLine="442"/>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b/>
          <w:color w:val="auto"/>
          <w:sz w:val="24"/>
          <w:highlight w:val="none"/>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2、投标人提供的中小企业声明函必须包含本项目所有服务及其服务承接企业，并按照声明函格式填写完整、明确，否则视为未按规定提供声明函，投标无效。</w:t>
      </w:r>
      <w:r/>
    </w:p>
    <w:p>
      <w:pPr>
        <w:ind w:left="0" w:right="0" w:firstLine="48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3、中标、成交供应商享受规定的中小企业扶持政策的，《中小企业声明函》应当随中标、成交结果同时公告，接受社会监督。</w:t>
      </w:r>
      <w:r/>
    </w:p>
    <w:p>
      <w:pPr>
        <w:pStyle w:val="1137"/>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1137"/>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1137"/>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1137"/>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1137"/>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1137"/>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lang w:val="en-US" w:eastAsia="zh-CN"/>
        </w:rPr>
        <w:t xml:space="preserve">9</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2560"/>
        <w:jc w:val="left"/>
        <w:spacing w:line="480" w:lineRule="atLeast"/>
        <w:widowControl/>
        <w:rPr>
          <w:rFonts w:ascii="宋体" w:hAnsi="宋体"/>
          <w:color w:val="auto"/>
          <w:sz w:val="32"/>
          <w:szCs w:val="32"/>
          <w:highlight w:val="none"/>
        </w:rPr>
      </w:pPr>
      <w:r>
        <w:rPr>
          <w:rFonts w:ascii="宋体" w:hAnsi="宋体"/>
          <w:color w:val="auto"/>
          <w:sz w:val="32"/>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lang w:eastAsia="zh-CN"/>
        </w:rPr>
        <w:t xml:space="preserve">太仓市城厢镇人民政府</w:t>
      </w:r>
      <w:r>
        <w:rPr>
          <w:rFonts w:ascii="宋体" w:hAnsi="宋体" w:cs="宋体"/>
          <w:color w:val="auto"/>
          <w:sz w:val="24"/>
          <w:szCs w:val="24"/>
          <w:highlight w:val="none"/>
        </w:rPr>
        <w:t xml:space="preserve">单位的</w:t>
      </w:r>
      <w:r>
        <w:rPr>
          <w:rFonts w:hint="eastAsia" w:ascii="宋体" w:hAnsi="宋体" w:cs="宋体"/>
          <w:color w:val="auto"/>
          <w:sz w:val="24"/>
          <w:szCs w:val="24"/>
          <w:highlight w:val="none"/>
          <w:u w:val="single"/>
          <w:lang w:eastAsia="zh-CN"/>
        </w:rPr>
        <w:t xml:space="preserve">上市前土壤污染检测项目</w:t>
      </w:r>
      <w:r>
        <w:rPr>
          <w:rFonts w:ascii="宋体" w:hAnsi="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jc w:val="left"/>
        <w:spacing w:line="560" w:lineRule="exact"/>
        <w:rPr>
          <w:rFonts w:ascii="宋体" w:hAnsi="宋体"/>
          <w:b/>
          <w:color w:val="auto"/>
          <w:sz w:val="24"/>
          <w:highlight w:val="none"/>
        </w:rPr>
      </w:pPr>
      <w:r>
        <w:rPr>
          <w:rFonts w:ascii="宋体" w:hAnsi="宋体"/>
          <w:b/>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144"/>
        <w:ind w:firstLine="420"/>
        <w:rPr>
          <w:color w:val="auto"/>
          <w:highlight w:val="none"/>
        </w:rPr>
      </w:pPr>
      <w:r>
        <w:rPr>
          <w:color w:val="auto"/>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113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exact"/>
        <w:rPr>
          <w:rFonts w:ascii="宋体" w:hAnsi="宋体"/>
          <w:b/>
          <w:color w:val="auto"/>
          <w:sz w:val="32"/>
          <w:szCs w:val="32"/>
          <w:highlight w:val="none"/>
        </w:rPr>
      </w:pPr>
      <w:r>
        <w:rPr>
          <w:rFonts w:ascii="宋体" w:hAnsi="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widowControl/>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10</w:t>
      </w:r>
      <w:r>
        <w:rPr>
          <w:rFonts w:hint="eastAsia" w:ascii="Arial" w:hAnsi="Arial" w:cs="Arial"/>
          <w:b/>
          <w:color w:val="auto"/>
          <w:sz w:val="32"/>
          <w:szCs w:val="32"/>
          <w:highlight w:val="none"/>
        </w:rPr>
        <w:t xml:space="preserve">、合格供应商资格要求承诺函</w:t>
      </w:r>
      <w:r/>
    </w:p>
    <w:p>
      <w:pPr>
        <w:widowControl/>
        <w:rPr>
          <w:rFonts w:ascii="Arial" w:hAnsi="Arial" w:cs="Arial"/>
          <w:bCs/>
          <w:color w:val="auto"/>
          <w:sz w:val="36"/>
          <w:szCs w:val="36"/>
          <w:highlight w:val="none"/>
        </w:rPr>
      </w:pPr>
      <w:r>
        <w:rPr>
          <w:rFonts w:ascii="Arial" w:hAnsi="Arial" w:cs="Arial"/>
          <w:bCs/>
          <w:color w:val="auto"/>
          <w:sz w:val="36"/>
          <w:szCs w:val="36"/>
          <w:highlight w:val="none"/>
        </w:rPr>
      </w:r>
      <w:r/>
    </w:p>
    <w:p>
      <w:pPr>
        <w:jc w:val="center"/>
        <w:widowControl/>
        <w:rPr>
          <w:rFonts w:ascii="Arial" w:hAnsi="Arial" w:cs="Arial"/>
          <w:bCs/>
          <w:color w:val="auto"/>
          <w:sz w:val="36"/>
          <w:szCs w:val="36"/>
          <w:highlight w:val="none"/>
        </w:rPr>
      </w:pPr>
      <w:r>
        <w:rPr>
          <w:rFonts w:hint="eastAsia" w:ascii="Arial" w:hAnsi="Arial" w:cs="Arial"/>
          <w:bCs/>
          <w:color w:val="auto"/>
          <w:sz w:val="36"/>
          <w:szCs w:val="36"/>
          <w:highlight w:val="none"/>
        </w:rPr>
        <w:t xml:space="preserve">合格供应商资格要求承诺函</w:t>
      </w:r>
      <w:r/>
    </w:p>
    <w:tbl>
      <w:tblPr>
        <w:tblStyle w:val="1122"/>
        <w:tblpPr w:horzAnchor="text" w:tblpXSpec="center" w:vertAnchor="text" w:tblpY="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4877"/>
        <w:gridCol w:w="3662"/>
      </w:tblGrid>
      <w:tr>
        <w:trPr>
          <w:jc w:val="center"/>
          <w:trHeight w:val="567"/>
        </w:trPr>
        <w:tc>
          <w:tcPr>
            <w:tcW w:w="1072" w:type="dxa"/>
            <w:vAlign w:val="center"/>
            <w:textDirection w:val="lrTb"/>
            <w:noWrap w:val="false"/>
          </w:tcPr>
          <w:p>
            <w:pPr>
              <w:pStyle w:val="112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877" w:type="dxa"/>
            <w:vAlign w:val="center"/>
            <w:textDirection w:val="lrTb"/>
            <w:noWrap w:val="false"/>
          </w:tcPr>
          <w:p>
            <w:pPr>
              <w:pStyle w:val="1125"/>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承诺事项</w:t>
            </w:r>
            <w:r/>
          </w:p>
        </w:tc>
        <w:tc>
          <w:tcPr>
            <w:tcW w:w="3662" w:type="dxa"/>
            <w:vAlign w:val="center"/>
            <w:textDirection w:val="lrTb"/>
            <w:noWrap w:val="false"/>
          </w:tcPr>
          <w:p>
            <w:pPr>
              <w:pStyle w:val="1125"/>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承诺内容（填：“实质性响应”或</w:t>
            </w:r>
            <w:r>
              <w:rPr>
                <w:rFonts w:ascii="宋体" w:hAnsi="宋体" w:cs="宋体"/>
                <w:color w:val="auto"/>
                <w:sz w:val="24"/>
                <w:highlight w:val="none"/>
              </w:rPr>
              <w:t xml:space="preserve"> </w:t>
            </w:r>
            <w:r>
              <w:rPr>
                <w:rFonts w:hint="eastAsia" w:ascii="宋体" w:hAnsi="宋体" w:cs="宋体"/>
                <w:color w:val="auto"/>
                <w:sz w:val="24"/>
                <w:highlight w:val="none"/>
              </w:rPr>
              <w:t xml:space="preserve">“未实质性响应”）</w:t>
            </w:r>
            <w:r/>
          </w:p>
        </w:tc>
      </w:tr>
      <w:tr>
        <w:trPr>
          <w:jc w:val="center"/>
          <w:trHeight w:val="567"/>
        </w:trPr>
        <w:tc>
          <w:tcPr>
            <w:gridSpan w:val="3"/>
            <w:tcW w:w="9611" w:type="dxa"/>
            <w:vAlign w:val="center"/>
            <w:textDirection w:val="lrTb"/>
            <w:noWrap w:val="false"/>
          </w:tcPr>
          <w:p>
            <w:pPr>
              <w:pStyle w:val="1125"/>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（一）合格供应商的一般条件</w:t>
            </w:r>
            <w:r/>
          </w:p>
        </w:tc>
      </w:tr>
      <w:tr>
        <w:trPr>
          <w:jc w:val="center"/>
          <w:trHeight w:val="567"/>
        </w:trPr>
        <w:tc>
          <w:tcPr>
            <w:tcW w:w="107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t xml:space="preserve">1</w:t>
            </w:r>
            <w:r/>
          </w:p>
        </w:tc>
        <w:tc>
          <w:tcPr>
            <w:tcW w:w="487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66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107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t xml:space="preserve">2</w:t>
            </w:r>
            <w:r/>
          </w:p>
        </w:tc>
        <w:tc>
          <w:tcPr>
            <w:tcW w:w="487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66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107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t xml:space="preserve">3</w:t>
            </w:r>
            <w:r/>
          </w:p>
        </w:tc>
        <w:tc>
          <w:tcPr>
            <w:tcW w:w="487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66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107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t xml:space="preserve">4</w:t>
            </w:r>
            <w:r/>
          </w:p>
        </w:tc>
        <w:tc>
          <w:tcPr>
            <w:tcW w:w="487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66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107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t xml:space="preserve">5</w:t>
            </w:r>
            <w:r/>
          </w:p>
        </w:tc>
        <w:tc>
          <w:tcPr>
            <w:tcW w:w="487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66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107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t xml:space="preserve">6</w:t>
            </w:r>
            <w:r/>
          </w:p>
        </w:tc>
        <w:tc>
          <w:tcPr>
            <w:tcW w:w="487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3662" w:type="dxa"/>
            <w:vAlign w:val="center"/>
            <w:textDirection w:val="lrTb"/>
            <w:noWrap w:val="false"/>
          </w:tcPr>
          <w:p>
            <w:pPr>
              <w:pStyle w:val="1125"/>
              <w:jc w:val="center"/>
              <w:spacing w:line="360" w:lineRule="auto"/>
              <w:rPr>
                <w:rFonts w:ascii="宋体" w:hAnsi="宋体" w:cs="宋体"/>
                <w:color w:val="auto"/>
                <w:highlight w:val="none"/>
              </w:rPr>
            </w:pPr>
            <w:r>
              <w:rPr>
                <w:rFonts w:ascii="宋体" w:hAnsi="宋体" w:cs="宋体"/>
                <w:color w:val="auto"/>
                <w:highlight w:val="none"/>
              </w:rPr>
            </w:r>
            <w:r/>
          </w:p>
        </w:tc>
      </w:tr>
    </w:tbl>
    <w:p>
      <w:pPr>
        <w:pStyle w:val="1149"/>
        <w:ind w:firstLine="480"/>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注：供应商未按照本表规定提供，则其响应文件视为无效。供应商未按采购文件要求填写承诺事项或承诺内容任意一项填写“未实质性响应”，则其响应文件将被拒绝。</w:t>
      </w:r>
      <w:r/>
    </w:p>
    <w:p>
      <w:pPr>
        <w:pStyle w:val="1149"/>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    投标人（单位盖章）： </w:t>
      </w:r>
      <w:r/>
    </w:p>
    <w:p>
      <w:pPr>
        <w:pStyle w:val="1149"/>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    法定代表人或代理人（签字或盖章）：</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日期：     年     月     日</w:t>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48"/>
        <w:spacing w:line="360" w:lineRule="auto"/>
        <w:rPr>
          <w:rFonts w:hAnsi="宋体" w:eastAsia="宋体"/>
          <w:b/>
          <w:color w:val="auto"/>
          <w:sz w:val="32"/>
          <w:szCs w:val="32"/>
          <w:highlight w:val="none"/>
        </w:rPr>
      </w:pPr>
      <w:r>
        <w:rPr>
          <w:rFonts w:hint="eastAsia" w:hAnsi="宋体" w:eastAsia="宋体"/>
          <w:b/>
          <w:color w:val="auto"/>
          <w:sz w:val="32"/>
          <w:szCs w:val="32"/>
          <w:highlight w:val="none"/>
        </w:rPr>
        <w:t xml:space="preserve">1</w:t>
      </w:r>
      <w:r>
        <w:rPr>
          <w:rFonts w:hint="eastAsia" w:hAnsi="宋体" w:eastAsia="宋体"/>
          <w:b/>
          <w:color w:val="auto"/>
          <w:sz w:val="32"/>
          <w:szCs w:val="32"/>
          <w:highlight w:val="none"/>
          <w:lang w:val="en-US" w:eastAsia="zh-CN"/>
        </w:rPr>
        <w:t xml:space="preserve">1</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11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内容</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1843"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ascii="宋体" w:hAnsi="宋体"/>
          <w:color w:val="auto"/>
          <w:sz w:val="24"/>
          <w:highlight w:val="none"/>
        </w:rPr>
      </w:pPr>
      <w:r>
        <w:rPr>
          <w:rFonts w:hint="eastAsia" w:hAnsi="宋体"/>
          <w:color w:val="auto"/>
          <w:sz w:val="24"/>
          <w:szCs w:val="24"/>
          <w:highlight w:val="none"/>
        </w:rPr>
        <w:t xml:space="preserve">日期：   年   月   日</w:t>
      </w:r>
      <w:r/>
    </w:p>
    <w:p>
      <w:pPr>
        <w:pStyle w:val="1125"/>
        <w:ind w:firstLine="0"/>
        <w:spacing w:line="360" w:lineRule="auto"/>
        <w:rPr>
          <w:rFonts w:ascii="宋体" w:hAnsi="宋体"/>
          <w:b/>
          <w:color w:val="auto"/>
          <w:szCs w:val="21"/>
          <w:highlight w:val="none"/>
        </w:rPr>
      </w:pPr>
      <w:r>
        <w:rPr>
          <w:rFonts w:hAnsi="宋体"/>
          <w:b/>
          <w:bCs/>
          <w:color w:val="auto"/>
          <w:sz w:val="32"/>
          <w:szCs w:val="32"/>
          <w:highlight w:val="none"/>
        </w:rPr>
        <w:br w:type="page" w:clear="all"/>
      </w:r>
      <w:r/>
    </w:p>
    <w:p>
      <w:pPr>
        <w:pStyle w:val="1128"/>
        <w:spacing w:line="360" w:lineRule="auto"/>
        <w:rPr>
          <w:rFonts w:hAnsi="宋体"/>
          <w:b/>
          <w:bCs/>
          <w:color w:val="auto"/>
          <w:sz w:val="24"/>
          <w:szCs w:val="24"/>
          <w:highlight w:val="none"/>
        </w:rPr>
      </w:pPr>
      <w:r>
        <w:rPr>
          <w:rFonts w:hint="eastAsia" w:hAnsi="宋体"/>
          <w:b/>
          <w:bCs/>
          <w:color w:val="auto"/>
          <w:sz w:val="32"/>
          <w:szCs w:val="32"/>
          <w:highlight w:val="none"/>
        </w:rPr>
        <w:t xml:space="preserve">1</w:t>
      </w:r>
      <w:r>
        <w:rPr>
          <w:rFonts w:hint="eastAsia" w:hAnsi="宋体"/>
          <w:b/>
          <w:bCs/>
          <w:color w:val="auto"/>
          <w:sz w:val="32"/>
          <w:szCs w:val="32"/>
          <w:highlight w:val="none"/>
          <w:lang w:val="en-US" w:eastAsia="zh-CN"/>
        </w:rPr>
        <w:t xml:space="preserve">2</w:t>
      </w:r>
      <w:r>
        <w:rPr>
          <w:rFonts w:hint="eastAsia" w:hAnsi="宋体"/>
          <w:b/>
          <w:bCs/>
          <w:color w:val="auto"/>
          <w:sz w:val="32"/>
          <w:szCs w:val="32"/>
          <w:highlight w:val="none"/>
        </w:rPr>
        <w:t xml:space="preserve">、商务偏离表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商务条款偏离表</w:t>
      </w:r>
      <w:r/>
    </w:p>
    <w:p>
      <w:pPr>
        <w:ind w:firstLine="480"/>
        <w:keepLines w:val="0"/>
        <w:keepNext w:val="0"/>
        <w:pageBreakBefore w:val="0"/>
        <w:spacing w:line="360" w:lineRule="auto"/>
        <w:widowControl w:val="off"/>
        <w:rPr>
          <w:rFonts w:hint="default" w:hAnsi="宋体" w:eastAsia="宋体" w:cs="宋体"/>
          <w:b/>
          <w:color w:val="auto"/>
          <w:sz w:val="30"/>
          <w:szCs w:val="30"/>
          <w:highlight w:val="none"/>
          <w:lang w:val="en-US" w:eastAsia="zh-CN"/>
        </w:rPr>
      </w:pPr>
      <w:r>
        <w:rPr>
          <w:rFonts w:hint="eastAsia" w:ascii="宋体" w:hAnsi="宋体" w:cs="宋体"/>
          <w:color w:val="auto"/>
          <w:sz w:val="24"/>
          <w:szCs w:val="24"/>
          <w:highlight w:val="none"/>
        </w:rPr>
        <w:t xml:space="preserve">采购编号：</w:t>
      </w:r>
      <w:r>
        <w:rPr>
          <w:rFonts w:hint="eastAsia" w:ascii="宋体" w:hAnsi="宋体"/>
          <w:b w:val="0"/>
          <w:bCs/>
          <w:color w:val="auto"/>
          <w:sz w:val="24"/>
          <w:szCs w:val="24"/>
          <w:highlight w:val="none"/>
          <w:lang w:eastAsia="zh-CN"/>
        </w:rPr>
        <w:t xml:space="preserve">JSZC-320585-JSQY-G2024-0008</w:t>
      </w:r>
      <w:r/>
    </w:p>
    <w:tbl>
      <w:tblPr>
        <w:tblStyle w:val="1122"/>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560"/>
        <w:gridCol w:w="2430"/>
        <w:gridCol w:w="1350"/>
        <w:gridCol w:w="1425"/>
        <w:gridCol w:w="1110"/>
      </w:tblGrid>
      <w:tr>
        <w:trPr>
          <w:jc w:val="center"/>
        </w:trPr>
        <w:tc>
          <w:tcPr>
            <w:tcW w:w="897"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序号</w:t>
            </w:r>
            <w:r/>
          </w:p>
        </w:tc>
        <w:tc>
          <w:tcPr>
            <w:tcW w:w="156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商务内容</w:t>
            </w:r>
            <w:r/>
          </w:p>
        </w:tc>
        <w:tc>
          <w:tcPr>
            <w:tcW w:w="243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招标要求</w:t>
            </w:r>
            <w:r/>
          </w:p>
        </w:tc>
        <w:tc>
          <w:tcPr>
            <w:tcW w:w="135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投标要求</w:t>
            </w:r>
            <w:r/>
          </w:p>
        </w:tc>
        <w:tc>
          <w:tcPr>
            <w:tcW w:w="1425"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偏离/响应</w:t>
            </w:r>
            <w:r/>
          </w:p>
        </w:tc>
        <w:tc>
          <w:tcPr>
            <w:tcW w:w="111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说明</w:t>
            </w:r>
            <w:r/>
          </w:p>
        </w:tc>
      </w:tr>
      <w:tr>
        <w:trPr>
          <w:jc w:val="center"/>
        </w:trPr>
        <w:tc>
          <w:tcPr>
            <w:tcW w:w="897" w:type="dxa"/>
            <w:vAlign w:val="center"/>
            <w:textDirection w:val="lrTb"/>
            <w:noWrap w:val="false"/>
          </w:tcPr>
          <w:p>
            <w:pPr>
              <w:jc w:val="center"/>
              <w:spacing w:before="240" w:after="24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56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报价</w:t>
            </w:r>
            <w:r/>
          </w:p>
        </w:tc>
        <w:tc>
          <w:tcPr>
            <w:tcW w:w="243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ascii="宋体" w:hAnsi="宋体" w:eastAsia="宋体" w:cs="Times New Roman"/>
                <w:b w:val="0"/>
                <w:bCs/>
                <w:color w:val="auto"/>
                <w:sz w:val="24"/>
                <w:szCs w:val="24"/>
                <w:highlight w:val="none"/>
              </w:rPr>
              <w:t xml:space="preserve">本次招标投标报价不高于采购预算</w:t>
            </w:r>
            <w:r>
              <w:rPr>
                <w:rFonts w:hint="eastAsia" w:ascii="宋体" w:hAnsi="宋体" w:eastAsia="宋体" w:cs="宋体"/>
                <w:b w:val="0"/>
                <w:bCs/>
                <w:color w:val="auto"/>
                <w:sz w:val="24"/>
                <w:szCs w:val="24"/>
                <w:highlight w:val="none"/>
                <w:lang w:eastAsia="zh-CN"/>
              </w:rPr>
              <w:t xml:space="preserve">的</w:t>
            </w:r>
            <w:r>
              <w:rPr>
                <w:rFonts w:ascii="宋体" w:hAnsi="宋体" w:eastAsia="宋体" w:cs="Times New Roman"/>
                <w:b w:val="0"/>
                <w:bCs/>
                <w:color w:val="auto"/>
                <w:sz w:val="24"/>
                <w:szCs w:val="24"/>
                <w:highlight w:val="none"/>
              </w:rPr>
              <w:t xml:space="preserve">为有效投标报价。超采购预算的投标报价为无效投标报价</w:t>
            </w:r>
            <w:r>
              <w:rPr>
                <w:rFonts w:hint="eastAsia" w:hAnsi="宋体" w:eastAsia="宋体" w:cs="Times New Roman"/>
                <w:b w:val="0"/>
                <w:bCs/>
                <w:color w:val="auto"/>
                <w:sz w:val="24"/>
                <w:szCs w:val="24"/>
                <w:highlight w:val="none"/>
                <w:lang w:eastAsia="zh-CN"/>
              </w:rPr>
              <w:t xml:space="preserve">。</w:t>
            </w:r>
            <w:r/>
          </w:p>
        </w:tc>
        <w:tc>
          <w:tcPr>
            <w:tcW w:w="135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425"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11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457"/>
        </w:trPr>
        <w:tc>
          <w:tcPr>
            <w:tcW w:w="897" w:type="dxa"/>
            <w:vAlign w:val="center"/>
            <w:textDirection w:val="lrTb"/>
            <w:noWrap w:val="false"/>
          </w:tcPr>
          <w:p>
            <w:pPr>
              <w:jc w:val="center"/>
              <w:spacing w:before="240" w:after="24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56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合同履行期限</w:t>
            </w:r>
            <w:r>
              <w:rPr>
                <w:rFonts w:hint="eastAsia" w:ascii="宋体" w:hAnsi="宋体" w:cs="宋体"/>
                <w:bCs/>
                <w:color w:val="auto"/>
                <w:sz w:val="24"/>
                <w:szCs w:val="24"/>
                <w:highlight w:val="none"/>
              </w:rPr>
              <w:t xml:space="preserve">期限</w:t>
            </w:r>
            <w:r/>
          </w:p>
        </w:tc>
        <w:tc>
          <w:tcPr>
            <w:tcW w:w="2430" w:type="dxa"/>
            <w:vAlign w:val="center"/>
            <w:textDirection w:val="lrTb"/>
            <w:noWrap w:val="false"/>
          </w:tcPr>
          <w:p>
            <w:pPr>
              <w:ind w:firstLine="480"/>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1年</w:t>
            </w:r>
            <w:r/>
          </w:p>
        </w:tc>
        <w:tc>
          <w:tcPr>
            <w:tcW w:w="135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425"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11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Pr>
        <w:tc>
          <w:tcPr>
            <w:tcW w:w="897" w:type="dxa"/>
            <w:vAlign w:val="center"/>
            <w:textDirection w:val="lrTb"/>
            <w:noWrap w:val="false"/>
          </w:tcPr>
          <w:p>
            <w:pPr>
              <w:jc w:val="center"/>
              <w:spacing w:before="240" w:after="24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56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付款方式</w:t>
            </w:r>
            <w:r/>
          </w:p>
        </w:tc>
        <w:tc>
          <w:tcPr>
            <w:tcW w:w="2430" w:type="dxa"/>
            <w:vAlign w:val="center"/>
            <w:textDirection w:val="lrTb"/>
            <w:noWrap w:val="false"/>
          </w:tcPr>
          <w:p>
            <w:pPr>
              <w:spacing w:line="360" w:lineRule="auto"/>
              <w:tabs>
                <w:tab w:val="center" w:pos="5131" w:leader="none"/>
              </w:tabs>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甲方根据甲乙双方确认的工程量清单</w:t>
            </w:r>
            <w:r>
              <w:rPr>
                <w:rFonts w:hint="eastAsia" w:hAnsi="宋体"/>
                <w:color w:val="auto"/>
                <w:sz w:val="24"/>
                <w:szCs w:val="24"/>
                <w:highlight w:val="none"/>
                <w:lang w:val="en-US" w:eastAsia="zh-CN"/>
              </w:rPr>
              <w:t xml:space="preserve">一次性</w:t>
            </w:r>
            <w:r>
              <w:rPr>
                <w:rFonts w:hint="eastAsia" w:hAnsi="宋体"/>
                <w:color w:val="auto"/>
                <w:sz w:val="24"/>
                <w:szCs w:val="24"/>
                <w:highlight w:val="none"/>
              </w:rPr>
              <w:t xml:space="preserve">支付实际工程款。结算依据为调查报告需通过专家评审并完成市生态环境局和市资规局备案</w:t>
            </w:r>
            <w:r>
              <w:rPr>
                <w:rFonts w:hAnsi="宋体"/>
                <w:color w:val="auto"/>
                <w:sz w:val="24"/>
                <w:szCs w:val="24"/>
                <w:highlight w:val="none"/>
              </w:rPr>
              <w:t xml:space="preserve">。</w:t>
            </w:r>
            <w:r/>
          </w:p>
          <w:p>
            <w:pPr>
              <w:spacing w:line="360" w:lineRule="auto"/>
              <w:tabs>
                <w:tab w:val="left" w:pos="552" w:leader="none"/>
              </w:tabs>
              <w:rPr>
                <w:rFonts w:hAnsi="宋体"/>
                <w:color w:val="auto"/>
                <w:sz w:val="24"/>
                <w:szCs w:val="24"/>
                <w:highlight w:val="none"/>
              </w:rPr>
            </w:pPr>
            <w:r>
              <w:rPr>
                <w:rFonts w:hAnsi="宋体"/>
                <w:color w:val="auto"/>
                <w:sz w:val="24"/>
                <w:szCs w:val="24"/>
                <w:highlight w:val="none"/>
              </w:rPr>
              <w:t xml:space="preserve">（2）甲方每次付款时，乙方需</w:t>
            </w:r>
            <w:r>
              <w:rPr>
                <w:rFonts w:hint="eastAsia" w:hAnsi="宋体"/>
                <w:color w:val="auto"/>
                <w:sz w:val="24"/>
                <w:szCs w:val="24"/>
                <w:highlight w:val="none"/>
              </w:rPr>
              <w:t xml:space="preserve">提供经专家评审通过后的最终版调查报告（含附件）、符合业主要求的项目工作量清单及</w:t>
            </w:r>
            <w:r>
              <w:rPr>
                <w:rFonts w:hAnsi="宋体"/>
                <w:color w:val="auto"/>
                <w:sz w:val="24"/>
                <w:szCs w:val="24"/>
                <w:highlight w:val="none"/>
              </w:rPr>
              <w:t xml:space="preserve">等额票据</w:t>
            </w:r>
            <w:r>
              <w:rPr>
                <w:rFonts w:hint="eastAsia" w:hAnsi="宋体"/>
                <w:color w:val="auto"/>
                <w:sz w:val="24"/>
                <w:szCs w:val="24"/>
                <w:highlight w:val="none"/>
              </w:rPr>
              <w:t xml:space="preserve">等</w:t>
            </w:r>
            <w:r>
              <w:rPr>
                <w:rFonts w:hAnsi="宋体"/>
                <w:color w:val="auto"/>
                <w:sz w:val="24"/>
                <w:szCs w:val="24"/>
                <w:highlight w:val="none"/>
              </w:rPr>
              <w:t xml:space="preserve">。</w:t>
            </w:r>
            <w:r/>
          </w:p>
          <w:p>
            <w:pPr>
              <w:pStyle w:val="1135"/>
              <w:ind w:left="0" w:firstLine="0"/>
              <w:spacing w:after="0" w:line="360" w:lineRule="auto"/>
              <w:rPr>
                <w:rFonts w:ascii="宋体" w:hAnsi="宋体" w:eastAsia="宋体" w:cs="宋体"/>
                <w:bCs/>
                <w:color w:val="auto"/>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3</w:t>
            </w:r>
            <w:r>
              <w:rPr>
                <w:rFonts w:hint="eastAsia" w:hAnsi="宋体"/>
                <w:color w:val="auto"/>
                <w:sz w:val="24"/>
                <w:szCs w:val="24"/>
                <w:highlight w:val="none"/>
                <w:lang w:eastAsia="zh-CN"/>
              </w:rPr>
              <w:t xml:space="preserve">）</w:t>
            </w:r>
            <w:r>
              <w:rPr>
                <w:rFonts w:hAnsi="宋体"/>
                <w:color w:val="auto"/>
                <w:sz w:val="24"/>
                <w:szCs w:val="24"/>
                <w:highlight w:val="none"/>
              </w:rPr>
              <w:t xml:space="preserve">付款方式：银行汇票或转帐支票、网银汇款。</w:t>
            </w:r>
            <w:r/>
          </w:p>
        </w:tc>
        <w:tc>
          <w:tcPr>
            <w:tcW w:w="1350" w:type="dxa"/>
            <w:vAlign w:val="center"/>
            <w:textDirection w:val="lrTb"/>
            <w:noWrap w:val="false"/>
          </w:tcPr>
          <w:p>
            <w:pPr>
              <w:pStyle w:val="1154"/>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425"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110" w:type="dxa"/>
            <w:vAlign w:val="center"/>
            <w:textDirection w:val="lrTb"/>
            <w:noWrap w:val="false"/>
          </w:tcPr>
          <w:p>
            <w:pPr>
              <w:pStyle w:val="1154"/>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32"/>
        </w:trPr>
        <w:tc>
          <w:tcPr>
            <w:tcW w:w="897" w:type="dxa"/>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56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2430" w:type="dxa"/>
            <w:vAlign w:val="center"/>
            <w:textDirection w:val="lrTb"/>
            <w:noWrap w:val="false"/>
          </w:tcPr>
          <w:p>
            <w:pPr>
              <w:pStyle w:val="1154"/>
              <w:jc w:val="center"/>
              <w:spacing w:line="40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详见招标文件要求。</w:t>
            </w:r>
            <w:r/>
          </w:p>
        </w:tc>
        <w:tc>
          <w:tcPr>
            <w:tcW w:w="1350"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425"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110"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r>
      <w:tr>
        <w:trPr>
          <w:jc w:val="center"/>
          <w:trHeight w:val="436"/>
        </w:trPr>
        <w:tc>
          <w:tcPr>
            <w:tcW w:w="897" w:type="dxa"/>
            <w:vAlign w:val="center"/>
            <w:textDirection w:val="lrTb"/>
            <w:noWrap w:val="false"/>
          </w:tcPr>
          <w:p>
            <w:pPr>
              <w:jc w:val="center"/>
              <w:spacing w:before="240" w:after="240"/>
              <w:rPr>
                <w:rFonts w:ascii="宋体" w:hAnsi="宋体" w:cs="宋体"/>
                <w:b/>
                <w:color w:val="auto"/>
                <w:sz w:val="24"/>
                <w:szCs w:val="24"/>
                <w:highlight w:val="none"/>
              </w:rPr>
            </w:pPr>
            <w:r>
              <w:rPr>
                <w:rFonts w:hint="eastAsia" w:hAnsi="宋体" w:cs="宋体"/>
                <w:b/>
                <w:color w:val="auto"/>
                <w:sz w:val="24"/>
                <w:szCs w:val="24"/>
                <w:highlight w:val="none"/>
              </w:rPr>
              <w:t xml:space="preserve">...</w:t>
            </w:r>
            <w:r/>
          </w:p>
        </w:tc>
        <w:tc>
          <w:tcPr>
            <w:tcW w:w="1560"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p>
        </w:tc>
        <w:tc>
          <w:tcPr>
            <w:tcW w:w="2430"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w:t>
            </w:r>
            <w:r/>
          </w:p>
        </w:tc>
        <w:tc>
          <w:tcPr>
            <w:tcW w:w="1350"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425"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110" w:type="dxa"/>
            <w:vAlign w:val="center"/>
            <w:textDirection w:val="lrTb"/>
            <w:noWrap w:val="false"/>
          </w:tcPr>
          <w:p>
            <w:pPr>
              <w:pStyle w:val="1154"/>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r>
    </w:tbl>
    <w:p>
      <w:pPr>
        <w:ind w:firstLine="420"/>
        <w:rPr>
          <w:rFonts w:ascii="宋体" w:hAnsi="宋体" w:cs="宋体"/>
          <w:color w:val="auto"/>
          <w:sz w:val="24"/>
          <w:szCs w:val="24"/>
          <w:highlight w:val="none"/>
        </w:rPr>
      </w:pPr>
      <w:r>
        <w:rPr>
          <w:rFonts w:ascii="宋体" w:hAnsi="宋体" w:cs="宋体"/>
          <w:color w:val="auto"/>
          <w:sz w:val="24"/>
          <w:szCs w:val="24"/>
          <w:highlight w:val="none"/>
        </w:rPr>
      </w:r>
      <w:r/>
    </w:p>
    <w:p>
      <w:pPr>
        <w:ind w:firstLine="9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日期：年月日</w:t>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5"/>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1122"/>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项目时间</w:t>
            </w:r>
            <w:r/>
          </w:p>
        </w:tc>
        <w:tc>
          <w:tcPr>
            <w:tcW w:w="1347"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项目类型</w:t>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1144"/>
        <w:ind w:firstLine="420"/>
        <w:rPr>
          <w:color w:val="auto"/>
          <w:highlight w:val="none"/>
        </w:rPr>
      </w:pPr>
      <w:r>
        <w:rPr>
          <w:color w:val="auto"/>
          <w:highlight w:val="none"/>
        </w:rPr>
      </w:r>
      <w:r/>
    </w:p>
    <w:p>
      <w:pPr>
        <w:pStyle w:val="1140"/>
        <w:ind w:firstLine="643"/>
        <w:rPr>
          <w:rFonts w:hAnsi="宋体"/>
          <w:b/>
          <w:color w:val="auto"/>
          <w:sz w:val="32"/>
          <w:szCs w:val="32"/>
          <w:highlight w:val="none"/>
        </w:rPr>
      </w:pPr>
      <w:r>
        <w:rPr>
          <w:rFonts w:hAnsi="宋体"/>
          <w:b/>
          <w:color w:val="auto"/>
          <w:sz w:val="32"/>
          <w:szCs w:val="32"/>
          <w:highlight w:val="none"/>
        </w:rPr>
      </w:r>
      <w:r/>
    </w:p>
    <w:p>
      <w:pPr>
        <w:pStyle w:val="1140"/>
        <w:ind w:firstLine="0"/>
        <w:rPr>
          <w:rFonts w:hAnsi="宋体"/>
          <w:b/>
          <w:color w:val="auto"/>
          <w:sz w:val="32"/>
          <w:szCs w:val="32"/>
          <w:highlight w:val="none"/>
        </w:rPr>
      </w:pPr>
      <w:r>
        <w:rPr>
          <w:rFonts w:hAnsi="宋体"/>
          <w:b/>
          <w:color w:val="auto"/>
          <w:sz w:val="32"/>
          <w:szCs w:val="32"/>
          <w:highlight w:val="none"/>
        </w:rPr>
      </w:r>
      <w:r/>
    </w:p>
    <w:p>
      <w:pPr>
        <w:pStyle w:val="1140"/>
        <w:ind w:firstLine="0"/>
        <w:rPr>
          <w:rFonts w:hAnsi="宋体"/>
          <w:b/>
          <w:color w:val="auto"/>
          <w:sz w:val="32"/>
          <w:szCs w:val="32"/>
          <w:highlight w:val="none"/>
        </w:rPr>
      </w:pPr>
      <w:r>
        <w:rPr>
          <w:rFonts w:hAnsi="宋体"/>
          <w:b/>
          <w:color w:val="auto"/>
          <w:sz w:val="32"/>
          <w:szCs w:val="32"/>
          <w:highlight w:val="none"/>
        </w:rPr>
      </w:r>
      <w:r/>
    </w:p>
    <w:p>
      <w:pPr>
        <w:pStyle w:val="1140"/>
        <w:ind w:firstLine="0"/>
        <w:rPr>
          <w:rFonts w:hAnsi="宋体"/>
          <w:b/>
          <w:color w:val="auto"/>
          <w:sz w:val="32"/>
          <w:szCs w:val="32"/>
          <w:highlight w:val="none"/>
        </w:rPr>
      </w:pPr>
      <w:r>
        <w:rPr>
          <w:rFonts w:hAnsi="宋体"/>
          <w:b/>
          <w:color w:val="auto"/>
          <w:sz w:val="32"/>
          <w:szCs w:val="32"/>
          <w:highlight w:val="none"/>
        </w:rPr>
      </w:r>
      <w:r/>
    </w:p>
    <w:p>
      <w:pPr>
        <w:pStyle w:val="1140"/>
        <w:ind w:firstLine="0"/>
        <w:rPr>
          <w:rFonts w:hAnsi="宋体"/>
          <w:b/>
          <w:color w:val="auto"/>
          <w:sz w:val="32"/>
          <w:szCs w:val="32"/>
          <w:highlight w:val="none"/>
        </w:rPr>
      </w:pPr>
      <w:r>
        <w:rPr>
          <w:rFonts w:hAnsi="宋体"/>
          <w:b/>
          <w:color w:val="auto"/>
          <w:sz w:val="32"/>
          <w:szCs w:val="32"/>
          <w:highlight w:val="none"/>
        </w:rPr>
      </w:r>
      <w:r/>
    </w:p>
    <w:p>
      <w:pPr>
        <w:pStyle w:val="1140"/>
        <w:ind w:firstLine="0"/>
        <w:rPr>
          <w:rFonts w:hAnsi="宋体"/>
          <w:b/>
          <w:color w:val="auto"/>
          <w:sz w:val="32"/>
          <w:szCs w:val="32"/>
          <w:highlight w:val="none"/>
        </w:rPr>
      </w:pPr>
      <w:r>
        <w:rPr>
          <w:rFonts w:hAnsi="宋体"/>
          <w:b/>
          <w:color w:val="auto"/>
          <w:sz w:val="32"/>
          <w:szCs w:val="32"/>
          <w:highlight w:val="none"/>
        </w:rPr>
      </w:r>
      <w:r/>
    </w:p>
    <w:p>
      <w:pPr>
        <w:pStyle w:val="1140"/>
        <w:ind w:firstLine="0"/>
        <w:rPr>
          <w:rFonts w:hAnsi="宋体"/>
          <w:b/>
          <w:color w:val="auto"/>
          <w:sz w:val="32"/>
          <w:szCs w:val="32"/>
          <w:highlight w:val="none"/>
        </w:rPr>
      </w:pPr>
      <w:r>
        <w:rPr>
          <w:rFonts w:hAnsi="宋体"/>
          <w:b/>
          <w:color w:val="auto"/>
          <w:sz w:val="32"/>
          <w:szCs w:val="32"/>
          <w:highlight w:val="none"/>
        </w:rPr>
      </w:r>
      <w:r/>
    </w:p>
    <w:p>
      <w:pPr>
        <w:pStyle w:val="1140"/>
        <w:ind w:firstLine="643"/>
        <w:rPr>
          <w:rFonts w:hAnsi="宋体"/>
          <w:b/>
          <w:color w:val="auto"/>
          <w:sz w:val="32"/>
          <w:szCs w:val="32"/>
          <w:highlight w:val="none"/>
        </w:rPr>
      </w:pPr>
      <w:r>
        <w:rPr>
          <w:rFonts w:hAnsi="宋体"/>
          <w:b/>
          <w:color w:val="auto"/>
          <w:sz w:val="32"/>
          <w:szCs w:val="32"/>
          <w:highlight w:val="none"/>
        </w:rPr>
      </w:r>
      <w:r/>
    </w:p>
    <w:p>
      <w:pPr>
        <w:pStyle w:val="1140"/>
        <w:ind w:firstLine="643"/>
        <w:rPr>
          <w:rFonts w:hAnsi="宋体"/>
          <w:b/>
          <w:color w:val="auto"/>
          <w:sz w:val="32"/>
          <w:szCs w:val="32"/>
          <w:highlight w:val="none"/>
        </w:rPr>
      </w:pPr>
      <w:r>
        <w:rPr>
          <w:rFonts w:hAnsi="宋体"/>
          <w:b/>
          <w:color w:val="auto"/>
          <w:sz w:val="32"/>
          <w:szCs w:val="32"/>
          <w:highlight w:val="none"/>
        </w:rPr>
      </w:r>
      <w:r/>
    </w:p>
    <w:p>
      <w:pPr>
        <w:pStyle w:val="1128"/>
        <w:spacing w:line="360" w:lineRule="auto"/>
        <w:rPr>
          <w:rFonts w:hAnsi="宋体"/>
          <w:b/>
          <w:bCs/>
          <w:color w:val="auto"/>
          <w:sz w:val="32"/>
          <w:szCs w:val="32"/>
          <w:highlight w:val="none"/>
        </w:rPr>
      </w:pPr>
      <w:r>
        <w:rPr>
          <w:rFonts w:hAnsi="宋体"/>
          <w:b/>
          <w:bCs/>
          <w:color w:val="auto"/>
          <w:sz w:val="32"/>
          <w:szCs w:val="32"/>
          <w:highlight w:val="none"/>
        </w:rPr>
      </w:r>
      <w:r/>
    </w:p>
    <w:p>
      <w:pPr>
        <w:pStyle w:val="1125"/>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4</w:t>
      </w:r>
      <w:r>
        <w:rPr>
          <w:rFonts w:hint="eastAsia" w:ascii="宋体" w:hAnsi="宋体"/>
          <w:b/>
          <w:color w:val="auto"/>
          <w:sz w:val="32"/>
          <w:szCs w:val="32"/>
          <w:highlight w:val="none"/>
        </w:rPr>
        <w:t xml:space="preserve">、拟投入本项目的专业技术（服务）人员情况一览表</w:t>
      </w:r>
      <w:r/>
    </w:p>
    <w:p>
      <w:pPr>
        <w:ind w:firstLine="1968"/>
        <w:spacing w:before="120" w:after="120"/>
        <w:rPr>
          <w:rFonts w:ascii="宋体" w:hAnsi="宋体"/>
          <w:b/>
          <w:color w:val="auto"/>
          <w:sz w:val="28"/>
          <w:szCs w:val="28"/>
          <w:highlight w:val="none"/>
        </w:rPr>
        <w:outlineLvl w:val="1"/>
      </w:pPr>
      <w:r>
        <w:rPr>
          <w:rFonts w:hint="eastAsia" w:ascii="宋体" w:hAnsi="宋体"/>
          <w:b/>
          <w:color w:val="auto"/>
          <w:sz w:val="28"/>
          <w:szCs w:val="28"/>
          <w:highlight w:val="none"/>
        </w:rPr>
        <w:t xml:space="preserve">拟投入本项目的专业技术（服务）人员情况一览表</w:t>
      </w:r>
      <w:r/>
    </w:p>
    <w:tbl>
      <w:tblPr>
        <w:tblStyle w:val="1122"/>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157"/>
        <w:gridCol w:w="1308"/>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157"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308"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rPr>
                <w:rFonts w:ascii="宋体" w:hAnsi="宋体" w:cs="宋体"/>
                <w:b/>
                <w:color w:val="auto"/>
                <w:sz w:val="24"/>
                <w:highlight w:val="none"/>
              </w:rPr>
            </w:pPr>
            <w:r>
              <w:rPr>
                <w:rFonts w:hint="eastAsia" w:ascii="宋体" w:hAnsi="宋体" w:cs="宋体"/>
                <w:b/>
                <w:color w:val="auto"/>
                <w:sz w:val="24"/>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ascii="宋体" w:hAnsi="宋体"/>
                <w:b/>
                <w:color w:val="auto"/>
                <w:sz w:val="24"/>
                <w:highlight w:val="none"/>
              </w:rPr>
            </w:pPr>
            <w:r>
              <w:rPr>
                <w:rFonts w:hint="eastAsia" w:ascii="宋体" w:hAnsi="宋体"/>
                <w:b/>
                <w:color w:val="auto"/>
                <w:sz w:val="24"/>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157" w:type="dxa"/>
            <w:textDirection w:val="lrTb"/>
            <w:noWrap w:val="false"/>
          </w:tcPr>
          <w:p>
            <w:pPr>
              <w:ind w:firstLine="24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157"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157"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2"/>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2"/>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1128"/>
        <w:ind w:right="1200" w:firstLine="3360"/>
        <w:jc w:val="left"/>
        <w:spacing w:line="360" w:lineRule="auto"/>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1128"/>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1123"/>
        <w:rPr>
          <w:rFonts w:ascii="宋体" w:hAnsi="宋体"/>
          <w:b/>
          <w:color w:val="auto"/>
          <w:sz w:val="32"/>
          <w:szCs w:val="32"/>
          <w:highlight w:val="none"/>
        </w:rPr>
      </w:pPr>
      <w:r>
        <w:rPr>
          <w:rFonts w:ascii="宋体" w:hAnsi="宋体"/>
          <w:b/>
          <w:color w:val="auto"/>
          <w:sz w:val="32"/>
          <w:szCs w:val="32"/>
          <w:highlight w:val="none"/>
        </w:rPr>
      </w:r>
      <w:r/>
    </w:p>
    <w:p>
      <w:pPr>
        <w:pStyle w:val="1123"/>
        <w:rPr>
          <w:rFonts w:ascii="宋体" w:hAnsi="宋体"/>
          <w:b/>
          <w:color w:val="auto"/>
          <w:sz w:val="32"/>
          <w:szCs w:val="32"/>
          <w:highlight w:val="none"/>
        </w:rPr>
      </w:pPr>
      <w:r>
        <w:rPr>
          <w:rFonts w:ascii="宋体" w:hAnsi="宋体"/>
          <w:b/>
          <w:color w:val="auto"/>
          <w:sz w:val="32"/>
          <w:szCs w:val="32"/>
          <w:highlight w:val="none"/>
        </w:rPr>
      </w:r>
      <w:r/>
    </w:p>
    <w:p>
      <w:pPr>
        <w:pStyle w:val="1123"/>
        <w:rPr>
          <w:rFonts w:ascii="宋体" w:hAnsi="宋体"/>
          <w:b/>
          <w:color w:val="auto"/>
          <w:sz w:val="32"/>
          <w:szCs w:val="32"/>
          <w:highlight w:val="none"/>
        </w:rPr>
      </w:pPr>
      <w:r>
        <w:rPr>
          <w:rFonts w:ascii="宋体" w:hAnsi="宋体"/>
          <w:b/>
          <w:color w:val="auto"/>
          <w:sz w:val="32"/>
          <w:szCs w:val="32"/>
          <w:highlight w:val="none"/>
        </w:rPr>
      </w:r>
      <w:r/>
    </w:p>
    <w:p>
      <w:pPr>
        <w:pStyle w:val="1123"/>
        <w:rPr>
          <w:rFonts w:ascii="宋体" w:hAnsi="宋体"/>
          <w:b/>
          <w:color w:val="auto"/>
          <w:sz w:val="32"/>
          <w:szCs w:val="32"/>
          <w:highlight w:val="none"/>
        </w:rPr>
      </w:pPr>
      <w:r>
        <w:rPr>
          <w:rFonts w:ascii="宋体" w:hAnsi="宋体"/>
          <w:b/>
          <w:color w:val="auto"/>
          <w:sz w:val="32"/>
          <w:szCs w:val="32"/>
          <w:highlight w:val="none"/>
        </w:rPr>
      </w:r>
      <w:r/>
    </w:p>
    <w:p>
      <w:pPr>
        <w:pStyle w:val="1123"/>
        <w:rPr>
          <w:rFonts w:ascii="宋体" w:hAnsi="宋体"/>
          <w:b/>
          <w:color w:val="auto"/>
          <w:sz w:val="32"/>
          <w:szCs w:val="32"/>
          <w:highlight w:val="none"/>
        </w:rPr>
      </w:pPr>
      <w:r>
        <w:rPr>
          <w:rFonts w:ascii="宋体" w:hAnsi="宋体"/>
          <w:b/>
          <w:color w:val="auto"/>
          <w:sz w:val="32"/>
          <w:szCs w:val="32"/>
          <w:highlight w:val="none"/>
        </w:rPr>
      </w:r>
      <w:r/>
    </w:p>
    <w:p>
      <w:pPr>
        <w:pStyle w:val="1128"/>
        <w:spacing w:line="360" w:lineRule="auto"/>
        <w:rPr>
          <w:rFonts w:hAnsi="宋体"/>
          <w:b/>
          <w:bCs/>
          <w:color w:val="auto"/>
          <w:sz w:val="32"/>
          <w:szCs w:val="32"/>
          <w:highlight w:val="none"/>
        </w:rPr>
      </w:pPr>
      <w:r>
        <w:rPr>
          <w:rFonts w:hAnsi="宋体"/>
          <w:b/>
          <w:bCs/>
          <w:color w:val="auto"/>
          <w:sz w:val="32"/>
          <w:szCs w:val="32"/>
          <w:highlight w:val="none"/>
        </w:rPr>
      </w:r>
      <w:r/>
    </w:p>
    <w:p>
      <w:pPr>
        <w:pStyle w:val="1128"/>
        <w:spacing w:line="360" w:lineRule="auto"/>
        <w:rPr>
          <w:rFonts w:hAnsi="宋体"/>
          <w:b/>
          <w:bCs/>
          <w:color w:val="auto"/>
          <w:sz w:val="32"/>
          <w:szCs w:val="32"/>
          <w:highlight w:val="none"/>
        </w:rPr>
      </w:pPr>
      <w:r>
        <w:rPr>
          <w:rFonts w:hAnsi="宋体"/>
          <w:b/>
          <w:bCs/>
          <w:color w:val="auto"/>
          <w:sz w:val="32"/>
          <w:szCs w:val="32"/>
          <w:highlight w:val="none"/>
        </w:rPr>
      </w:r>
      <w:r/>
    </w:p>
    <w:p>
      <w:pPr>
        <w:pStyle w:val="1128"/>
        <w:spacing w:line="360" w:lineRule="auto"/>
        <w:rPr>
          <w:rFonts w:hAnsi="宋体"/>
          <w:b/>
          <w:bCs/>
          <w:color w:val="auto"/>
          <w:sz w:val="32"/>
          <w:szCs w:val="32"/>
          <w:highlight w:val="none"/>
        </w:rPr>
      </w:pPr>
      <w:r>
        <w:rPr>
          <w:rFonts w:hAnsi="宋体"/>
          <w:b/>
          <w:bCs/>
          <w:color w:val="auto"/>
          <w:sz w:val="32"/>
          <w:szCs w:val="32"/>
          <w:highlight w:val="none"/>
        </w:rPr>
      </w:r>
      <w:r/>
    </w:p>
    <w:p>
      <w:pPr>
        <w:pStyle w:val="1125"/>
        <w:ind w:firstLine="0"/>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b/>
          <w:bCs/>
          <w:color w:val="auto"/>
          <w:sz w:val="32"/>
          <w:szCs w:val="32"/>
          <w:highlight w:val="none"/>
        </w:rPr>
      </w:pPr>
      <w:r>
        <w:rPr>
          <w:b/>
          <w:bCs/>
          <w:color w:val="auto"/>
          <w:sz w:val="32"/>
          <w:szCs w:val="32"/>
          <w:highlight w:val="none"/>
        </w:rPr>
        <w:t xml:space="preserve">1</w:t>
      </w:r>
      <w:r>
        <w:rPr>
          <w:rFonts w:hint="eastAsia"/>
          <w:b/>
          <w:bCs/>
          <w:color w:val="auto"/>
          <w:sz w:val="32"/>
          <w:szCs w:val="32"/>
          <w:highlight w:val="none"/>
          <w:lang w:val="en-US" w:eastAsia="zh-CN"/>
        </w:rPr>
        <w:t xml:space="preserve">5</w:t>
      </w:r>
      <w:r>
        <w:rPr>
          <w:rFonts w:hint="eastAsia"/>
          <w:b/>
          <w:bCs/>
          <w:color w:val="auto"/>
          <w:sz w:val="32"/>
          <w:szCs w:val="32"/>
          <w:highlight w:val="none"/>
        </w:rPr>
        <w:t xml:space="preserve">、拟投入本项目的设备情况一览表</w:t>
      </w:r>
      <w:r/>
    </w:p>
    <w:p>
      <w:pPr>
        <w:pStyle w:val="1143"/>
        <w:ind w:firstLine="0"/>
        <w:spacing w:line="360" w:lineRule="auto"/>
        <w:rPr>
          <w:color w:val="auto"/>
          <w:sz w:val="21"/>
          <w:szCs w:val="21"/>
          <w:highlight w:val="none"/>
          <w:lang w:val="en-US"/>
        </w:rPr>
      </w:pPr>
      <w:r>
        <w:rPr>
          <w:color w:val="auto"/>
          <w:sz w:val="21"/>
          <w:szCs w:val="21"/>
          <w:highlight w:val="none"/>
          <w:lang w:val="en-US"/>
        </w:rPr>
      </w:r>
      <w:r/>
    </w:p>
    <w:p>
      <w:pPr>
        <w:jc w:val="center"/>
        <w:spacing w:line="360" w:lineRule="auto"/>
        <w:rPr>
          <w:color w:val="auto"/>
          <w:sz w:val="24"/>
          <w:szCs w:val="24"/>
          <w:highlight w:val="none"/>
        </w:rPr>
      </w:pPr>
      <w:r>
        <w:rPr>
          <w:rFonts w:hint="eastAsia"/>
          <w:color w:val="auto"/>
          <w:sz w:val="24"/>
          <w:szCs w:val="24"/>
          <w:highlight w:val="none"/>
        </w:rPr>
        <w:t xml:space="preserve">拟投入本项目的设备情况一览表</w:t>
      </w:r>
      <w:r/>
    </w:p>
    <w:tbl>
      <w:tblPr>
        <w:tblStyle w:val="11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1134"/>
        <w:gridCol w:w="1134"/>
        <w:gridCol w:w="1276"/>
        <w:gridCol w:w="1276"/>
        <w:gridCol w:w="992"/>
        <w:gridCol w:w="1418"/>
      </w:tblGrid>
      <w:tr>
        <w:trPr/>
        <w:tc>
          <w:tcPr>
            <w:tcW w:w="817"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序号</w:t>
            </w:r>
            <w:r/>
          </w:p>
        </w:tc>
        <w:tc>
          <w:tcPr>
            <w:tcW w:w="1134"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名称</w:t>
            </w:r>
            <w:r/>
          </w:p>
        </w:tc>
        <w:tc>
          <w:tcPr>
            <w:tcW w:w="1134"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数量</w:t>
            </w:r>
            <w:r/>
          </w:p>
        </w:tc>
        <w:tc>
          <w:tcPr>
            <w:tcW w:w="1134"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功能</w:t>
            </w:r>
            <w:r/>
          </w:p>
        </w:tc>
        <w:tc>
          <w:tcPr>
            <w:tcW w:w="1276"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购买时间</w:t>
            </w:r>
            <w:r/>
          </w:p>
        </w:tc>
        <w:tc>
          <w:tcPr>
            <w:tcW w:w="1276"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权属情况</w:t>
            </w:r>
            <w:r/>
          </w:p>
        </w:tc>
        <w:tc>
          <w:tcPr>
            <w:tcW w:w="992"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w:t>
            </w:r>
            <w:r/>
          </w:p>
        </w:tc>
        <w:tc>
          <w:tcPr>
            <w:tcW w:w="1418" w:type="dxa"/>
            <w:vAlign w:val="top"/>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备注</w:t>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W w:w="817"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134"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76"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92"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18" w:type="dxa"/>
            <w:vAlign w:val="top"/>
            <w:textDirection w:val="lrTb"/>
            <w:noWrap w:val="false"/>
          </w:tcPr>
          <w:p>
            <w:pPr>
              <w:jc w:val="center"/>
              <w:spacing w:line="360" w:lineRule="auto"/>
              <w:rPr>
                <w:color w:val="auto"/>
                <w:sz w:val="24"/>
                <w:szCs w:val="24"/>
                <w:highlight w:val="none"/>
              </w:rPr>
            </w:pPr>
            <w:r>
              <w:rPr>
                <w:color w:val="auto"/>
                <w:sz w:val="24"/>
                <w:szCs w:val="24"/>
                <w:highlight w:val="none"/>
              </w:rPr>
            </w:r>
            <w:r/>
          </w:p>
        </w:tc>
      </w:tr>
    </w:tbl>
    <w:p>
      <w:pPr>
        <w:spacing w:line="360" w:lineRule="auto"/>
        <w:rPr>
          <w:b/>
          <w:bCs/>
          <w:color w:val="auto"/>
          <w:sz w:val="24"/>
          <w:szCs w:val="24"/>
          <w:highlight w:val="none"/>
        </w:rPr>
      </w:pPr>
      <w:r>
        <w:rPr>
          <w:b/>
          <w:bCs/>
          <w:color w:val="auto"/>
          <w:sz w:val="24"/>
          <w:szCs w:val="24"/>
          <w:highlight w:val="none"/>
        </w:rPr>
      </w:r>
      <w:r/>
    </w:p>
    <w:p>
      <w:pPr>
        <w:pStyle w:val="1143"/>
        <w:ind w:firstLine="0"/>
        <w:spacing w:line="360" w:lineRule="auto"/>
        <w:rPr>
          <w:color w:val="auto"/>
          <w:sz w:val="24"/>
          <w:szCs w:val="24"/>
          <w:highlight w:val="none"/>
          <w:lang w:val="en-US"/>
        </w:rPr>
      </w:pPr>
      <w:r>
        <w:rPr>
          <w:color w:val="auto"/>
          <w:sz w:val="24"/>
          <w:szCs w:val="24"/>
          <w:highlight w:val="none"/>
          <w:lang w:val="en-US"/>
        </w:rPr>
      </w:r>
      <w:r/>
    </w:p>
    <w:p>
      <w:pPr>
        <w:pStyle w:val="1143"/>
        <w:ind w:firstLine="0"/>
        <w:spacing w:line="360" w:lineRule="auto"/>
        <w:rPr>
          <w:color w:val="auto"/>
          <w:sz w:val="24"/>
          <w:szCs w:val="24"/>
          <w:highlight w:val="none"/>
          <w:lang w:val="en-US"/>
        </w:rPr>
      </w:pPr>
      <w:r>
        <w:rPr>
          <w:color w:val="auto"/>
          <w:sz w:val="24"/>
          <w:szCs w:val="24"/>
          <w:highlight w:val="none"/>
          <w:lang w:val="en-US"/>
        </w:rPr>
      </w:r>
      <w:r/>
    </w:p>
    <w:p>
      <w:pPr>
        <w:spacing w:line="360" w:lineRule="auto"/>
        <w:rPr>
          <w:color w:val="auto"/>
          <w:sz w:val="24"/>
          <w:szCs w:val="24"/>
          <w:highlight w:val="none"/>
        </w:rPr>
      </w:pPr>
      <w:r>
        <w:rPr>
          <w:rFonts w:hint="eastAsia"/>
          <w:color w:val="auto"/>
          <w:sz w:val="24"/>
          <w:szCs w:val="24"/>
          <w:highlight w:val="none"/>
        </w:rPr>
        <w:t xml:space="preserve">投标单位（单位盖章）：</w:t>
      </w:r>
      <w:r>
        <w:rPr>
          <w:color w:val="auto"/>
          <w:sz w:val="24"/>
          <w:szCs w:val="24"/>
          <w:highlight w:val="none"/>
        </w:rPr>
        <w:t xml:space="preserve"> </w:t>
      </w:r>
      <w:r/>
    </w:p>
    <w:p>
      <w:pPr>
        <w:spacing w:line="360" w:lineRule="auto"/>
        <w:rPr>
          <w:color w:val="auto"/>
          <w:sz w:val="24"/>
          <w:szCs w:val="24"/>
          <w:highlight w:val="none"/>
        </w:rPr>
      </w:pPr>
      <w:r>
        <w:rPr>
          <w:rFonts w:hint="eastAsia"/>
          <w:color w:val="auto"/>
          <w:sz w:val="24"/>
          <w:szCs w:val="24"/>
          <w:highlight w:val="none"/>
        </w:rPr>
        <w:t xml:space="preserve">法定代表人或代理人（签字或盖章）</w:t>
      </w:r>
      <w:r/>
    </w:p>
    <w:p>
      <w:pPr>
        <w:spacing w:line="360" w:lineRule="auto"/>
        <w:rPr>
          <w:color w:val="auto"/>
          <w:sz w:val="24"/>
          <w:szCs w:val="24"/>
          <w:highlight w:val="none"/>
        </w:rPr>
      </w:pPr>
      <w:r>
        <w:rPr>
          <w:color w:val="auto"/>
          <w:sz w:val="24"/>
          <w:szCs w:val="24"/>
          <w:highlight w:val="none"/>
        </w:rPr>
        <w:t xml:space="preserve">日期：    年    月    日</w:t>
      </w:r>
      <w:r/>
    </w:p>
    <w:p>
      <w:pPr>
        <w:pStyle w:val="1143"/>
        <w:ind w:firstLine="0"/>
        <w:spacing w:line="360" w:lineRule="auto"/>
        <w:rPr>
          <w:color w:val="auto"/>
          <w:sz w:val="21"/>
          <w:szCs w:val="21"/>
          <w:highlight w:val="none"/>
          <w:lang w:val="en-US"/>
        </w:rPr>
      </w:pPr>
      <w:r>
        <w:rPr>
          <w:color w:val="auto"/>
          <w:sz w:val="21"/>
          <w:szCs w:val="21"/>
          <w:highlight w:val="none"/>
          <w:lang w:val="en-US"/>
        </w:rPr>
      </w:r>
      <w:r/>
    </w:p>
    <w:p>
      <w:pPr>
        <w:pStyle w:val="1143"/>
        <w:ind w:firstLine="0"/>
        <w:spacing w:line="360" w:lineRule="auto"/>
        <w:rPr>
          <w:color w:val="auto"/>
          <w:sz w:val="21"/>
          <w:szCs w:val="21"/>
          <w:highlight w:val="none"/>
          <w:lang w:val="en-US"/>
        </w:rPr>
      </w:pPr>
      <w:r>
        <w:rPr>
          <w:color w:val="auto"/>
          <w:sz w:val="21"/>
          <w:szCs w:val="21"/>
          <w:highlight w:val="none"/>
          <w:lang w:val="en-US"/>
        </w:rPr>
      </w:r>
      <w:r/>
    </w:p>
    <w:p>
      <w:pPr>
        <w:pStyle w:val="1143"/>
        <w:ind w:firstLine="0"/>
        <w:spacing w:line="360" w:lineRule="auto"/>
        <w:rPr>
          <w:color w:val="auto"/>
          <w:sz w:val="21"/>
          <w:szCs w:val="21"/>
          <w:highlight w:val="none"/>
          <w:lang w:val="en-US"/>
        </w:rPr>
      </w:pPr>
      <w:r>
        <w:rPr>
          <w:color w:val="auto"/>
          <w:sz w:val="21"/>
          <w:szCs w:val="21"/>
          <w:highlight w:val="none"/>
          <w:lang w:val="en-US"/>
        </w:rPr>
      </w:r>
      <w:r/>
    </w:p>
    <w:p>
      <w:pPr>
        <w:pStyle w:val="1143"/>
        <w:ind w:firstLine="0"/>
        <w:spacing w:line="360" w:lineRule="auto"/>
        <w:rPr>
          <w:color w:val="auto"/>
          <w:sz w:val="21"/>
          <w:szCs w:val="21"/>
          <w:highlight w:val="none"/>
          <w:lang w:val="en-US"/>
        </w:rPr>
      </w:pPr>
      <w:r>
        <w:rPr>
          <w:color w:val="auto"/>
          <w:sz w:val="21"/>
          <w:szCs w:val="21"/>
          <w:highlight w:val="none"/>
          <w:lang w:val="en-US"/>
        </w:rPr>
      </w:r>
      <w:r/>
    </w:p>
    <w:p>
      <w:pPr>
        <w:pStyle w:val="1143"/>
        <w:ind w:firstLine="0"/>
        <w:spacing w:line="360" w:lineRule="auto"/>
        <w:rPr>
          <w:rFonts w:hint="eastAsia"/>
          <w:color w:val="auto"/>
          <w:sz w:val="21"/>
          <w:szCs w:val="21"/>
          <w:highlight w:val="none"/>
          <w:lang w:val="en-US"/>
        </w:rPr>
      </w:pPr>
      <w:r>
        <w:rPr>
          <w:rFonts w:hint="eastAsia"/>
          <w:color w:val="auto"/>
          <w:sz w:val="21"/>
          <w:szCs w:val="21"/>
          <w:highlight w:val="none"/>
          <w:lang w:val="en-US"/>
        </w:rPr>
      </w:r>
      <w:r/>
    </w:p>
    <w:p>
      <w:pPr>
        <w:pStyle w:val="1128"/>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28"/>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28"/>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28"/>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28"/>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28"/>
        <w:spacing w:line="360" w:lineRule="auto"/>
        <w:rPr>
          <w:rFonts w:hAnsi="宋体"/>
          <w:b/>
          <w:bCs/>
          <w:color w:val="auto"/>
          <w:sz w:val="32"/>
          <w:szCs w:val="32"/>
          <w:highlight w:val="none"/>
        </w:rPr>
      </w:pPr>
      <w:r>
        <w:rPr>
          <w:rFonts w:hint="eastAsia" w:hAnsi="宋体"/>
          <w:b/>
          <w:bCs/>
          <w:color w:val="auto"/>
          <w:sz w:val="32"/>
          <w:szCs w:val="32"/>
          <w:highlight w:val="none"/>
        </w:rPr>
        <w:t xml:space="preserve">1</w:t>
      </w:r>
      <w:r>
        <w:rPr>
          <w:rFonts w:hint="eastAsia" w:hAnsi="宋体"/>
          <w:b/>
          <w:bCs/>
          <w:color w:val="auto"/>
          <w:sz w:val="32"/>
          <w:szCs w:val="32"/>
          <w:highlight w:val="none"/>
          <w:lang w:val="en-US" w:eastAsia="zh-CN"/>
        </w:rPr>
        <w:t xml:space="preserve">6</w:t>
      </w:r>
      <w:r>
        <w:rPr>
          <w:rFonts w:hint="eastAsia" w:hAnsi="宋体"/>
          <w:b/>
          <w:bCs/>
          <w:color w:val="auto"/>
          <w:sz w:val="32"/>
          <w:szCs w:val="32"/>
          <w:highlight w:val="none"/>
        </w:rPr>
        <w:t xml:space="preserve">、技术方案、服务方案（技术方案及服务方案的内容编排等由响应人自定）</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相关方案</w:t>
      </w:r>
      <w:r/>
    </w:p>
    <w:tbl>
      <w:tblPr>
        <w:tblStyle w:val="1122"/>
        <w:tblpPr w:horzAnchor="margin" w:tblpXSpec="center" w:vertAnchor="text" w:tblpY="1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5"/>
      </w:tblGrid>
      <w:tr>
        <w:trPr>
          <w:trHeight w:val="1676"/>
        </w:trPr>
        <w:tc>
          <w:tcPr>
            <w:tcW w:w="8635" w:type="dxa"/>
            <w:textDirection w:val="lrTb"/>
            <w:noWrap w:val="false"/>
          </w:tcPr>
          <w:p>
            <w:pPr>
              <w:spacing w:line="48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提示：</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1、投标人应针对本次招标项目特点编写公司拟采取的相关方案，包括技术方案及服务方案、项目实施方案及进度方案、项目质量保证措施及承诺、项目售后服务方案等。</w:t>
            </w:r>
            <w:r/>
          </w:p>
          <w:p>
            <w:pPr>
              <w:spacing w:line="360" w:lineRule="auto"/>
              <w:rPr>
                <w:rFonts w:ascii="宋体" w:hAnsi="宋体" w:cs="宋体"/>
                <w:color w:val="auto"/>
                <w:szCs w:val="21"/>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、投标人可根据自身情况编写，本页不够可另加页附后。</w:t>
            </w:r>
            <w:r/>
          </w:p>
        </w:tc>
      </w:tr>
      <w:tr>
        <w:trPr>
          <w:trHeight w:val="6798"/>
        </w:trPr>
        <w:tc>
          <w:tcPr>
            <w:tcW w:w="8635" w:type="dxa"/>
            <w:textDirection w:val="lrTb"/>
            <w:noWrap w:val="false"/>
          </w:tcPr>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5684" w:leader="none"/>
              </w:tabs>
              <w:rPr>
                <w:rFonts w:ascii="宋体" w:cs="宋体"/>
                <w:color w:val="auto"/>
                <w:szCs w:val="21"/>
                <w:highlight w:val="none"/>
              </w:rPr>
            </w:pPr>
            <w:r>
              <w:rPr>
                <w:rFonts w:ascii="宋体" w:cs="宋体"/>
                <w:color w:val="auto"/>
                <w:szCs w:val="21"/>
                <w:highlight w:val="none"/>
              </w:rPr>
            </w:r>
            <w:r/>
          </w:p>
          <w:p>
            <w:pPr>
              <w:ind w:firstLine="21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投标人（公章）：</w:t>
            </w:r>
            <w:r/>
          </w:p>
          <w:p>
            <w:pPr>
              <w:ind w:firstLine="21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法定代表人或被委托人：（签字或盖章）</w:t>
            </w:r>
            <w:r/>
          </w:p>
          <w:p>
            <w:pPr>
              <w:ind w:firstLine="21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日期：</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年</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月</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firstLine="210"/>
              <w:jc w:val="left"/>
              <w:spacing w:line="360" w:lineRule="auto"/>
              <w:tabs>
                <w:tab w:val="left" w:pos="1320" w:leader="none"/>
              </w:tabs>
              <w:rPr>
                <w:rFonts w:ascii="宋体" w:cs="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p>
        </w:tc>
      </w:tr>
    </w:tbl>
    <w:p>
      <w:pPr>
        <w:rPr>
          <w:rFonts w:ascii="宋体" w:hAnsi="宋体" w:cs="Arial"/>
          <w:color w:val="auto"/>
          <w:sz w:val="24"/>
          <w:szCs w:val="21"/>
          <w:highlight w:val="none"/>
        </w:rPr>
      </w:pPr>
      <w:r>
        <w:rPr>
          <w:rFonts w:ascii="宋体" w:hAnsi="宋体" w:cs="Arial"/>
          <w:color w:val="auto"/>
          <w:sz w:val="24"/>
          <w:szCs w:val="21"/>
          <w:highlight w:val="none"/>
        </w:rPr>
      </w:r>
      <w:r/>
    </w:p>
    <w:p>
      <w:pPr>
        <w:rPr>
          <w:rFonts w:ascii="宋体" w:hAnsi="宋体"/>
          <w:color w:val="auto"/>
          <w:sz w:val="24"/>
          <w:highlight w:val="none"/>
        </w:rPr>
        <w:sectPr>
          <w:footerReference w:type="default" r:id="rId14"/>
          <w:footnotePr/>
          <w:endnotePr/>
          <w:type w:val="nextPage"/>
          <w:pgSz w:w="11906" w:h="16838" w:orient="portrait"/>
          <w:pgMar w:top="1134" w:right="1134" w:bottom="1134" w:left="1134" w:header="851" w:footer="567" w:gutter="0"/>
          <w:cols w:num="1" w:sep="0" w:space="720" w:equalWidth="1"/>
          <w:docGrid w:linePitch="360"/>
        </w:sectPr>
      </w:pPr>
      <w:r>
        <w:rPr>
          <w:rFonts w:ascii="宋体" w:hAnsi="宋体"/>
          <w:color w:val="auto"/>
          <w:sz w:val="24"/>
          <w:highlight w:val="none"/>
        </w:rPr>
      </w:r>
      <w:bookmarkEnd w:id="14"/>
      <w:r/>
      <w:bookmarkEnd w:id="15"/>
      <w:r/>
      <w:bookmarkEnd w:id="16"/>
      <w:r/>
      <w:bookmarkEnd w:id="17"/>
      <w:r/>
      <w:bookmarkEnd w:id="18"/>
      <w:r/>
      <w:r/>
    </w:p>
    <w:p>
      <w:pPr>
        <w:widowControl/>
        <w:rPr>
          <w:rFonts w:hAnsi="宋体"/>
          <w:b/>
          <w:color w:val="auto"/>
          <w:sz w:val="44"/>
          <w:szCs w:val="44"/>
          <w:highlight w:val="none"/>
        </w:rPr>
      </w:pPr>
      <w:r>
        <w:rPr>
          <w:rFonts w:hAnsi="宋体"/>
          <w:b/>
          <w:color w:val="auto"/>
          <w:sz w:val="44"/>
          <w:szCs w:val="44"/>
          <w:highlight w:val="none"/>
        </w:rPr>
      </w:r>
      <w:r/>
    </w:p>
    <w:p>
      <w:pPr>
        <w:jc w:val="center"/>
        <w:widowControl/>
        <w:rPr>
          <w:rFonts w:hAnsi="宋体"/>
          <w:b/>
          <w:color w:val="auto"/>
          <w:sz w:val="44"/>
          <w:szCs w:val="44"/>
          <w:highlight w:val="none"/>
        </w:rPr>
      </w:pPr>
      <w:r>
        <w:rPr>
          <w:rFonts w:hint="eastAsia" w:hAnsi="宋体"/>
          <w:b/>
          <w:color w:val="auto"/>
          <w:sz w:val="44"/>
          <w:szCs w:val="44"/>
          <w:highlight w:val="none"/>
        </w:rPr>
        <w:t xml:space="preserve">第五部分评标方法与评标标准</w:t>
      </w:r>
      <w:r/>
    </w:p>
    <w:p>
      <w:pPr>
        <w:spacing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评标方法</w:t>
      </w:r>
      <w:r>
        <w:rPr>
          <w:rFonts w:hint="eastAsia" w:ascii="宋体" w:hAnsi="宋体"/>
          <w:b/>
          <w:color w:val="auto"/>
          <w:sz w:val="24"/>
          <w:szCs w:val="24"/>
          <w:highlight w:val="none"/>
          <w:lang w:eastAsia="zh-CN"/>
        </w:rPr>
        <w:t xml:space="preserve">：</w:t>
      </w:r>
      <w:r/>
    </w:p>
    <w:p>
      <w:pPr>
        <w:ind w:left="0" w:right="0" w:firstLine="48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一、本次招标评标采用为综合评分法，即在满足招标文件实质性要求前提下，按照招标文件中规定的评分标准和各项因素进行综合评审，以评标总得分最高的投标人作为中标候选人。</w:t>
      </w:r>
      <w:r/>
    </w:p>
    <w:p>
      <w:pPr>
        <w:ind w:left="0" w:right="0" w:firstLine="48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二</w:t>
      </w:r>
      <w:r>
        <w:rPr>
          <w:rFonts w:ascii="宋体" w:hAnsi="宋体" w:eastAsia="宋体" w:cs="宋体"/>
          <w:color w:val="auto"/>
          <w:sz w:val="24"/>
          <w:highlight w:val="none"/>
        </w:rPr>
        <w:t xml:space="preserve">、评标委员会各成员独立对每个进入打分程序的有效投标人的标书以打分的形式进行评审和评价（计算结果均四舍五入保留两位小数）。</w:t>
      </w:r>
      <w:r/>
    </w:p>
    <w:p>
      <w:pPr>
        <w:ind w:left="0" w:right="0" w:firstLine="48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三</w:t>
      </w:r>
      <w:r>
        <w:rPr>
          <w:rFonts w:ascii="宋体" w:hAnsi="宋体" w:eastAsia="宋体" w:cs="宋体"/>
          <w:color w:val="auto"/>
          <w:sz w:val="24"/>
          <w:highlight w:val="none"/>
        </w:rPr>
        <w:t xml:space="preserve">、如出现评标总得分最高的投标人有两个或两个以上的，以投标报价较低者优先作为中标候选人，如果投标报价也相同的，则由评标委员会组织以抽签方式确定中标候选人。</w:t>
      </w:r>
      <w:r/>
    </w:p>
    <w:p>
      <w:pPr>
        <w:ind w:left="0" w:right="0" w:firstLine="48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四</w:t>
      </w:r>
      <w:r>
        <w:rPr>
          <w:rFonts w:ascii="宋体" w:hAnsi="宋体" w:eastAsia="宋体" w:cs="宋体"/>
          <w:color w:val="auto"/>
          <w:sz w:val="24"/>
          <w:highlight w:val="none"/>
        </w:rPr>
        <w:t xml:space="preserve">、中小企业相关政策：</w:t>
      </w:r>
      <w:r/>
    </w:p>
    <w:p>
      <w:pPr>
        <w:ind w:left="0" w:right="0" w:firstLine="48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left="0" w:right="0" w:firstLine="482"/>
        <w:jc w:val="both"/>
        <w:spacing w:before="0" w:after="0" w:line="460" w:lineRule="atLeast"/>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专门面向中小企业采购的项目，不再执行价格评审优惠的扶持政策。</w:t>
      </w:r>
      <w:r/>
    </w:p>
    <w:p>
      <w:pPr>
        <w:pStyle w:val="1144"/>
        <w:ind w:left="0" w:firstLine="0"/>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评分标准</w:t>
      </w:r>
      <w:r>
        <w:rPr>
          <w:rFonts w:hint="eastAsia" w:ascii="宋体" w:hAnsi="宋体" w:cs="宋体"/>
          <w:b/>
          <w:color w:val="auto"/>
          <w:sz w:val="24"/>
          <w:szCs w:val="24"/>
          <w:highlight w:val="none"/>
          <w:lang w:eastAsia="zh-CN"/>
        </w:rPr>
        <w:t xml:space="preserve">：</w:t>
      </w:r>
      <w:r/>
    </w:p>
    <w:p>
      <w:pPr>
        <w:ind w:firstLine="602"/>
        <w:spacing w:before="156" w:after="156" w:line="500" w:lineRule="exact"/>
        <w:rPr>
          <w:rFonts w:hAnsi="宋体"/>
          <w:b/>
          <w:color w:val="auto"/>
          <w:sz w:val="24"/>
          <w:szCs w:val="24"/>
          <w:highlight w:val="none"/>
        </w:rPr>
      </w:pPr>
      <w:r>
        <w:rPr>
          <w:rFonts w:hint="eastAsia" w:hAnsi="宋体"/>
          <w:b/>
          <w:color w:val="auto"/>
          <w:sz w:val="24"/>
          <w:szCs w:val="24"/>
          <w:highlight w:val="none"/>
        </w:rPr>
        <w:t xml:space="preserve">(一)价格基准分：（满分10分、价格权值10%）</w:t>
      </w:r>
      <w:r/>
    </w:p>
    <w:p>
      <w:pPr>
        <w:ind w:firstLine="600"/>
        <w:spacing w:after="156" w:line="500" w:lineRule="exact"/>
        <w:rPr>
          <w:rFonts w:hAnsi="宋体"/>
          <w:color w:val="auto"/>
          <w:sz w:val="24"/>
          <w:szCs w:val="24"/>
          <w:highlight w:val="none"/>
        </w:rPr>
      </w:pPr>
      <w:r>
        <w:rPr>
          <w:rFonts w:hint="eastAsia" w:hAnsi="宋体"/>
          <w:color w:val="auto"/>
          <w:sz w:val="24"/>
          <w:szCs w:val="24"/>
          <w:highlight w:val="none"/>
        </w:rPr>
        <w:t xml:space="preserve">第一步：投标报价低于或等于财政预算价格的，为有效投标报价。超财政预算的投标报价为无效投标报价。无效投标报价的投标文件不进行评审，也不得标。</w:t>
      </w:r>
      <w:r/>
    </w:p>
    <w:p>
      <w:pPr>
        <w:ind w:firstLine="600"/>
        <w:spacing w:after="156" w:line="500" w:lineRule="exact"/>
        <w:rPr>
          <w:rFonts w:hAnsi="宋体"/>
          <w:color w:val="auto"/>
          <w:sz w:val="24"/>
          <w:szCs w:val="24"/>
          <w:highlight w:val="none"/>
        </w:rPr>
      </w:pPr>
      <w:r>
        <w:rPr>
          <w:rFonts w:hint="eastAsia" w:hAnsi="宋体"/>
          <w:color w:val="auto"/>
          <w:sz w:val="24"/>
          <w:szCs w:val="24"/>
          <w:highlight w:val="none"/>
        </w:rPr>
        <w:t xml:space="preserve">第二步：本项目在所有有效投标报价中满足招标文件要求，且投标价格最低的投标报价为评标基准价，其价格分为10分，其他投标人的价格分按照下列公式计算（计算结果四舍五入保留两位小数），投标报价得分＝（评标基准价/投标报价）×10％×100。</w:t>
      </w:r>
      <w:r/>
    </w:p>
    <w:p>
      <w:pPr>
        <w:ind w:firstLine="482"/>
        <w:spacing w:after="156" w:line="360" w:lineRule="auto"/>
        <w:rPr>
          <w:rFonts w:hint="eastAsia"/>
          <w:b/>
          <w:bCs/>
          <w:color w:val="auto"/>
          <w:sz w:val="24"/>
          <w:szCs w:val="24"/>
          <w:highlight w:val="none"/>
        </w:rPr>
      </w:pPr>
      <w:r>
        <w:rPr>
          <w:rFonts w:hint="eastAsia"/>
          <w:b/>
          <w:bCs/>
          <w:color w:val="auto"/>
          <w:sz w:val="24"/>
          <w:szCs w:val="24"/>
          <w:highlight w:val="none"/>
        </w:rPr>
      </w:r>
      <w:r/>
    </w:p>
    <w:p>
      <w:pPr>
        <w:spacing w:after="156" w:line="360" w:lineRule="auto"/>
        <w:rPr>
          <w:rFonts w:hint="eastAsia"/>
          <w:b/>
          <w:bCs/>
          <w:color w:val="auto"/>
          <w:sz w:val="24"/>
          <w:szCs w:val="24"/>
          <w:highlight w:val="none"/>
        </w:rPr>
      </w:pPr>
      <w:r>
        <w:rPr>
          <w:rFonts w:hint="eastAsia"/>
          <w:b/>
          <w:bCs/>
          <w:color w:val="auto"/>
          <w:sz w:val="24"/>
          <w:szCs w:val="24"/>
          <w:highlight w:val="none"/>
        </w:rPr>
      </w:r>
      <w:r/>
    </w:p>
    <w:p>
      <w:pPr>
        <w:spacing w:after="156" w:line="360" w:lineRule="auto"/>
        <w:rPr>
          <w:rFonts w:hint="eastAsia" w:eastAsia="宋体"/>
          <w:b/>
          <w:bCs/>
          <w:color w:val="auto"/>
          <w:sz w:val="24"/>
          <w:szCs w:val="24"/>
          <w:highlight w:val="none"/>
          <w:lang w:eastAsia="zh-CN"/>
        </w:rPr>
      </w:pPr>
      <w:r>
        <w:rPr>
          <w:rFonts w:hint="eastAsia"/>
          <w:b/>
          <w:bCs/>
          <w:color w:val="auto"/>
          <w:sz w:val="24"/>
          <w:szCs w:val="24"/>
          <w:highlight w:val="none"/>
        </w:rPr>
        <w:t xml:space="preserve">（二）商务及实施方案</w:t>
      </w:r>
      <w:r>
        <w:rPr>
          <w:rFonts w:hint="eastAsia"/>
          <w:b/>
          <w:bCs/>
          <w:color w:val="auto"/>
          <w:sz w:val="24"/>
          <w:szCs w:val="24"/>
          <w:highlight w:val="none"/>
          <w:lang w:eastAsia="zh-CN"/>
        </w:rPr>
        <w:t xml:space="preserve">：</w:t>
      </w:r>
      <w:r/>
    </w:p>
    <w:tbl>
      <w:tblPr>
        <w:tblStyle w:val="1122"/>
        <w:tblW w:w="9356" w:type="dxa"/>
        <w:tblInd w:w="91" w:type="dxa"/>
        <w:tblLayout w:type="autofit"/>
        <w:tblCellMar>
          <w:left w:w="108" w:type="dxa"/>
          <w:top w:w="0" w:type="dxa"/>
          <w:right w:w="108" w:type="dxa"/>
          <w:bottom w:w="0" w:type="dxa"/>
        </w:tblCellMar>
        <w:tblLook w:val="04A0" w:firstRow="1" w:lastRow="0" w:firstColumn="1" w:lastColumn="0" w:noHBand="0" w:noVBand="1"/>
      </w:tblPr>
      <w:tblGrid>
        <w:gridCol w:w="825"/>
        <w:gridCol w:w="1344"/>
        <w:gridCol w:w="618"/>
        <w:gridCol w:w="6569"/>
      </w:tblGrid>
      <w:tr>
        <w:trPr>
          <w:trHeight w:val="573"/>
        </w:trPr>
        <w:tc>
          <w:tcPr>
            <w:gridSpan w:val="2"/>
            <w:shd w:val="clear" w:color="auto" w:fill="auto"/>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jc w:val="center"/>
              <w:widowControl/>
              <w:rPr>
                <w:rFonts w:hAnsi="宋体"/>
                <w:b/>
                <w:bCs/>
                <w:color w:val="auto"/>
                <w:sz w:val="24"/>
                <w:szCs w:val="24"/>
                <w:highlight w:val="none"/>
              </w:rPr>
            </w:pPr>
            <w:r>
              <w:rPr>
                <w:rFonts w:hint="eastAsia" w:hAnsi="宋体"/>
                <w:b/>
                <w:bCs/>
                <w:color w:val="auto"/>
                <w:sz w:val="24"/>
                <w:szCs w:val="24"/>
                <w:highlight w:val="none"/>
              </w:rPr>
              <w:t xml:space="preserve">评审标准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hint="eastAsia" w:hAnsi="宋体" w:eastAsia="宋体"/>
                <w:color w:val="auto"/>
                <w:sz w:val="24"/>
                <w:szCs w:val="24"/>
                <w:highlight w:val="none"/>
                <w:lang w:eastAsia="zh-CN"/>
              </w:rPr>
            </w:pPr>
            <w:r>
              <w:rPr>
                <w:rFonts w:hint="eastAsia" w:hAnsi="宋体"/>
                <w:color w:val="auto"/>
                <w:sz w:val="24"/>
                <w:szCs w:val="24"/>
                <w:highlight w:val="none"/>
              </w:rPr>
              <w:t xml:space="preserve">企业</w:t>
            </w:r>
            <w:r>
              <w:rPr>
                <w:rFonts w:hint="eastAsia" w:hAnsi="宋体"/>
                <w:color w:val="auto"/>
                <w:sz w:val="24"/>
                <w:szCs w:val="24"/>
                <w:highlight w:val="none"/>
                <w:lang w:val="en-US" w:eastAsia="zh-CN"/>
              </w:rPr>
              <w:t xml:space="preserve">情况</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widowControl/>
              <w:rPr>
                <w:rFonts w:hAnsi="宋体"/>
                <w:color w:val="auto"/>
                <w:sz w:val="24"/>
                <w:szCs w:val="24"/>
                <w:highlight w:val="none"/>
              </w:rPr>
            </w:pPr>
            <w:r>
              <w:rPr>
                <w:rFonts w:hint="eastAsia" w:hAnsi="宋体"/>
                <w:color w:val="auto"/>
                <w:sz w:val="24"/>
                <w:szCs w:val="24"/>
                <w:highlight w:val="none"/>
                <w:lang w:val="en-US" w:eastAsia="zh-CN"/>
              </w:rPr>
              <w:t xml:space="preserve">类似</w:t>
            </w:r>
            <w:r>
              <w:rPr>
                <w:rFonts w:hint="eastAsia" w:hAnsi="宋体"/>
                <w:color w:val="auto"/>
                <w:sz w:val="24"/>
                <w:szCs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widowControl/>
              <w:rPr>
                <w:rFonts w:hint="eastAsia" w:hAnsi="宋体"/>
                <w:color w:val="auto"/>
                <w:sz w:val="24"/>
                <w:szCs w:val="24"/>
                <w:highlight w:val="none"/>
              </w:rPr>
            </w:pPr>
            <w:r>
              <w:rPr>
                <w:rFonts w:hint="eastAsia" w:hAnsi="宋体"/>
                <w:color w:val="auto"/>
                <w:sz w:val="24"/>
                <w:szCs w:val="24"/>
                <w:highlight w:val="none"/>
              </w:rPr>
              <w:t xml:space="preserve">供应商自20</w:t>
            </w:r>
            <w:r>
              <w:rPr>
                <w:rFonts w:hAnsi="宋体"/>
                <w:color w:val="auto"/>
                <w:sz w:val="24"/>
                <w:szCs w:val="24"/>
                <w:highlight w:val="none"/>
              </w:rPr>
              <w:t xml:space="preserve">2</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年1月1日以来做过土壤污染状况调查项目业</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绩，每有一个得</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分，最高得</w:t>
            </w:r>
            <w:r>
              <w:rPr>
                <w:rFonts w:hint="eastAsia" w:hAnsi="宋体"/>
                <w:color w:val="auto"/>
                <w:sz w:val="24"/>
                <w:szCs w:val="24"/>
                <w:highlight w:val="none"/>
                <w:lang w:val="en-US" w:eastAsia="zh-CN"/>
              </w:rPr>
              <w:t xml:space="preserve">10</w:t>
            </w:r>
            <w:r>
              <w:rPr>
                <w:rFonts w:hint="eastAsia" w:hAnsi="宋体"/>
                <w:color w:val="auto"/>
                <w:sz w:val="24"/>
                <w:szCs w:val="24"/>
                <w:highlight w:val="none"/>
              </w:rPr>
              <w:t xml:space="preserve">分； 业绩须提供合同原件</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扫描件，且业绩合同中主要内容、标的、金额等清晰可见，</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否则该业绩不得分。</w:t>
            </w:r>
            <w:r/>
          </w:p>
          <w:p>
            <w:pPr>
              <w:pStyle w:val="1143"/>
              <w:rPr>
                <w:color w:val="auto"/>
                <w:highlight w:val="none"/>
              </w:rPr>
            </w:pPr>
            <w:r>
              <w:rPr>
                <w:color w:val="auto"/>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widowControl/>
              <w:rPr>
                <w:rFonts w:hAnsi="宋体"/>
                <w:color w:val="auto"/>
                <w:sz w:val="24"/>
                <w:szCs w:val="24"/>
                <w:highlight w:val="none"/>
              </w:rPr>
            </w:pPr>
            <w:r>
              <w:rPr>
                <w:rFonts w:hint="eastAsia" w:ascii="宋体" w:hAnsi="宋体" w:cs="宋体"/>
                <w:b w:val="0"/>
                <w:bCs w:val="0"/>
                <w:color w:val="auto"/>
                <w:sz w:val="24"/>
                <w:szCs w:val="24"/>
                <w:highlight w:val="none"/>
                <w:lang w:val="en-US" w:eastAsia="zh-CN"/>
              </w:rPr>
              <w:t xml:space="preserve">供应商实力比较</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eastAsia" w:hAnsi="宋体" w:eastAsia="宋体"/>
                <w:color w:val="auto"/>
                <w:sz w:val="24"/>
                <w:szCs w:val="24"/>
                <w:highlight w:val="none"/>
                <w:lang w:eastAsia="zh-CN"/>
              </w:rPr>
            </w:pPr>
            <w:r>
              <w:rPr>
                <w:rFonts w:hint="eastAsia" w:hAnsi="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pStyle w:val="1143"/>
              <w:ind w:left="0" w:firstLine="0"/>
              <w:rPr>
                <w:color w:val="auto"/>
                <w:highlight w:val="none"/>
              </w:rPr>
            </w:pPr>
            <w:r>
              <w:rPr>
                <w:rFonts w:hint="eastAsia" w:ascii="宋体" w:hAnsi="宋体" w:cs="宋体"/>
                <w:color w:val="auto"/>
                <w:sz w:val="24"/>
                <w:szCs w:val="24"/>
                <w:highlight w:val="none"/>
                <w:lang w:val="en-US" w:eastAsia="zh-CN"/>
              </w:rPr>
              <w:t xml:space="preserve">投标单位具有</w:t>
            </w:r>
            <w:r>
              <w:rPr>
                <w:rFonts w:hint="eastAsia" w:ascii="宋体" w:hAnsi="宋体" w:eastAsia="宋体" w:cs="宋体"/>
                <w:color w:val="auto"/>
                <w:sz w:val="24"/>
                <w:szCs w:val="24"/>
                <w:highlight w:val="none"/>
              </w:rPr>
              <w:t xml:space="preserve">有效期内的环境管理体系认证、职业健康安全管理体系认证、质量管理体系认证各得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投标文件中必须提供证书</w:t>
            </w:r>
            <w:r>
              <w:rPr>
                <w:rFonts w:hint="eastAsia" w:ascii="宋体" w:hAnsi="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widowControl/>
              <w:rPr>
                <w:rFonts w:hAnsi="宋体"/>
                <w:color w:val="auto"/>
                <w:sz w:val="24"/>
                <w:szCs w:val="24"/>
                <w:highlight w:val="none"/>
              </w:rPr>
            </w:pPr>
            <w:r>
              <w:rPr>
                <w:rFonts w:hint="eastAsia" w:hAnsi="宋体"/>
                <w:color w:val="auto"/>
                <w:sz w:val="24"/>
                <w:szCs w:val="24"/>
                <w:highlight w:val="none"/>
              </w:rPr>
              <w:t xml:space="preserve">项目拟投入人员</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Ansi="宋体"/>
                <w:color w:val="auto"/>
                <w:sz w:val="24"/>
                <w:szCs w:val="24"/>
                <w:highlight w:val="none"/>
              </w:rPr>
            </w:pPr>
            <w:r>
              <w:rPr>
                <w:rFonts w:hint="eastAsia" w:hAnsi="宋体"/>
                <w:color w:val="auto"/>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numPr>
                <w:ilvl w:val="0"/>
                <w:numId w:val="3"/>
              </w:numPr>
              <w:widowControl/>
              <w:rPr>
                <w:color w:val="auto"/>
                <w:sz w:val="24"/>
                <w:szCs w:val="24"/>
                <w:highlight w:val="none"/>
              </w:rPr>
            </w:pPr>
            <w:r>
              <w:rPr>
                <w:rFonts w:hint="eastAsia"/>
                <w:color w:val="auto"/>
                <w:sz w:val="24"/>
                <w:szCs w:val="24"/>
                <w:highlight w:val="none"/>
              </w:rPr>
              <w:t xml:space="preserve">拟派项目负责人具有耕地质量建设或土壤学</w:t>
            </w:r>
            <w:r>
              <w:rPr>
                <w:rFonts w:hint="eastAsia"/>
                <w:color w:val="auto"/>
                <w:sz w:val="24"/>
                <w:szCs w:val="24"/>
                <w:highlight w:val="none"/>
                <w:lang w:val="en-US" w:eastAsia="zh-CN"/>
              </w:rPr>
              <w:t xml:space="preserve">相关专业</w:t>
            </w:r>
            <w:r>
              <w:rPr>
                <w:rFonts w:hint="eastAsia"/>
                <w:color w:val="auto"/>
                <w:sz w:val="24"/>
                <w:szCs w:val="24"/>
                <w:highlight w:val="none"/>
              </w:rPr>
              <w:t xml:space="preserve">高</w:t>
            </w:r>
            <w:r/>
          </w:p>
          <w:p>
            <w:pPr>
              <w:numPr>
                <w:ilvl w:val="0"/>
                <w:numId w:val="0"/>
              </w:numPr>
              <w:widowControl/>
              <w:rPr>
                <w:rFonts w:hint="eastAsia"/>
                <w:color w:val="auto"/>
                <w:sz w:val="24"/>
                <w:szCs w:val="24"/>
                <w:highlight w:val="none"/>
              </w:rPr>
            </w:pPr>
            <w:r>
              <w:rPr>
                <w:rFonts w:hint="eastAsia"/>
                <w:color w:val="auto"/>
                <w:sz w:val="24"/>
                <w:szCs w:val="24"/>
                <w:highlight w:val="none"/>
              </w:rPr>
            </w:r>
            <w:r/>
          </w:p>
          <w:p>
            <w:pPr>
              <w:pStyle w:val="1144"/>
              <w:ind w:firstLine="0"/>
              <w:rPr>
                <w:rFonts w:hint="eastAsia"/>
                <w:color w:val="auto"/>
                <w:sz w:val="24"/>
                <w:szCs w:val="24"/>
                <w:highlight w:val="none"/>
              </w:rPr>
            </w:pPr>
            <w:r>
              <w:rPr>
                <w:rFonts w:hint="eastAsia"/>
                <w:color w:val="auto"/>
                <w:sz w:val="24"/>
                <w:szCs w:val="24"/>
                <w:highlight w:val="none"/>
              </w:rPr>
              <w:t xml:space="preserve">级及以上职称得6分。</w:t>
            </w:r>
            <w:r/>
          </w:p>
          <w:p>
            <w:pPr>
              <w:pStyle w:val="1143"/>
              <w:ind w:left="0" w:firstLine="0"/>
              <w:rPr>
                <w:color w:val="auto"/>
                <w:highlight w:val="none"/>
              </w:rPr>
            </w:pPr>
            <w:r>
              <w:rPr>
                <w:color w:val="auto"/>
                <w:highlight w:val="none"/>
              </w:rPr>
            </w:r>
            <w:r/>
          </w:p>
          <w:p>
            <w:pPr>
              <w:numPr>
                <w:ilvl w:val="0"/>
                <w:numId w:val="3"/>
              </w:numPr>
              <w:widowControl/>
              <w:rPr>
                <w:color w:val="auto"/>
                <w:sz w:val="24"/>
                <w:szCs w:val="24"/>
                <w:highlight w:val="none"/>
              </w:rPr>
            </w:pPr>
            <w:r>
              <w:rPr>
                <w:rFonts w:hint="eastAsia"/>
                <w:color w:val="auto"/>
                <w:sz w:val="24"/>
                <w:szCs w:val="24"/>
                <w:highlight w:val="none"/>
              </w:rPr>
              <w:t xml:space="preserve">项目组成员（项目负责人除外），每配备1名具有土壤学</w:t>
            </w:r>
            <w:r/>
          </w:p>
          <w:p>
            <w:pPr>
              <w:numPr>
                <w:ilvl w:val="0"/>
                <w:numId w:val="0"/>
              </w:numPr>
              <w:widowControl/>
              <w:rPr>
                <w:rFonts w:hint="eastAsia"/>
                <w:color w:val="auto"/>
                <w:sz w:val="24"/>
                <w:szCs w:val="24"/>
                <w:highlight w:val="none"/>
              </w:rPr>
            </w:pPr>
            <w:r>
              <w:rPr>
                <w:rFonts w:hint="eastAsia"/>
                <w:color w:val="auto"/>
                <w:sz w:val="24"/>
                <w:szCs w:val="24"/>
                <w:highlight w:val="none"/>
              </w:rPr>
            </w:r>
            <w:r/>
          </w:p>
          <w:p>
            <w:pPr>
              <w:numPr>
                <w:ilvl w:val="0"/>
                <w:numId w:val="0"/>
              </w:numPr>
              <w:widowControl/>
              <w:rPr>
                <w:rFonts w:hint="eastAsia"/>
                <w:color w:val="auto"/>
                <w:sz w:val="24"/>
                <w:szCs w:val="24"/>
                <w:highlight w:val="none"/>
              </w:rPr>
            </w:pPr>
            <w:r>
              <w:rPr>
                <w:rFonts w:hint="eastAsia"/>
                <w:color w:val="auto"/>
                <w:sz w:val="24"/>
                <w:szCs w:val="24"/>
                <w:highlight w:val="none"/>
              </w:rPr>
              <w:t xml:space="preserve">或环境工程高级及以上职称的得2分</w:t>
            </w:r>
            <w:r>
              <w:rPr>
                <w:rFonts w:hint="eastAsia"/>
                <w:color w:val="auto"/>
                <w:sz w:val="24"/>
                <w:szCs w:val="24"/>
                <w:highlight w:val="none"/>
                <w:lang w:eastAsia="zh-CN"/>
              </w:rPr>
              <w:t xml:space="preserve">；</w:t>
            </w:r>
            <w:r>
              <w:rPr>
                <w:rFonts w:hint="eastAsia"/>
                <w:color w:val="auto"/>
                <w:sz w:val="24"/>
                <w:szCs w:val="24"/>
                <w:highlight w:val="none"/>
              </w:rPr>
              <w:t xml:space="preserve">每配备1名具有土壤</w:t>
            </w:r>
            <w:r/>
          </w:p>
          <w:p>
            <w:pPr>
              <w:numPr>
                <w:ilvl w:val="0"/>
                <w:numId w:val="0"/>
              </w:numPr>
              <w:widowControl/>
              <w:rPr>
                <w:rFonts w:hint="eastAsia"/>
                <w:color w:val="auto"/>
                <w:sz w:val="24"/>
                <w:szCs w:val="24"/>
                <w:highlight w:val="none"/>
              </w:rPr>
            </w:pPr>
            <w:r>
              <w:rPr>
                <w:rFonts w:hint="eastAsia"/>
                <w:color w:val="auto"/>
                <w:sz w:val="24"/>
                <w:szCs w:val="24"/>
                <w:highlight w:val="none"/>
              </w:rPr>
            </w:r>
            <w:r/>
          </w:p>
          <w:p>
            <w:pPr>
              <w:numPr>
                <w:ilvl w:val="0"/>
                <w:numId w:val="0"/>
              </w:numPr>
              <w:widowControl/>
              <w:rPr>
                <w:color w:val="auto"/>
                <w:sz w:val="24"/>
                <w:szCs w:val="24"/>
                <w:highlight w:val="none"/>
              </w:rPr>
            </w:pPr>
            <w:r>
              <w:rPr>
                <w:rFonts w:hint="eastAsia"/>
                <w:color w:val="auto"/>
                <w:sz w:val="24"/>
                <w:szCs w:val="24"/>
                <w:highlight w:val="none"/>
              </w:rPr>
              <w:t xml:space="preserve">学或环境工程专业中级职称人员的得1分</w:t>
            </w:r>
            <w:r>
              <w:rPr>
                <w:rFonts w:hint="eastAsia"/>
                <w:color w:val="auto"/>
                <w:sz w:val="24"/>
                <w:szCs w:val="24"/>
                <w:highlight w:val="none"/>
                <w:lang w:eastAsia="zh-CN"/>
              </w:rPr>
              <w:t xml:space="preserve">；</w:t>
            </w:r>
            <w:r>
              <w:rPr>
                <w:rFonts w:hint="eastAsia"/>
                <w:color w:val="auto"/>
                <w:sz w:val="24"/>
                <w:szCs w:val="24"/>
                <w:highlight w:val="none"/>
              </w:rPr>
              <w:t xml:space="preserve">最高得14分。</w:t>
            </w:r>
            <w:r/>
          </w:p>
          <w:p>
            <w:pPr>
              <w:pStyle w:val="1144"/>
              <w:ind w:firstLine="0"/>
              <w:rPr>
                <w:rFonts w:hint="eastAsia" w:hAnsi="宋体" w:cs="宋体"/>
                <w:color w:val="auto"/>
                <w:sz w:val="24"/>
                <w:szCs w:val="24"/>
                <w:highlight w:val="none"/>
              </w:rPr>
            </w:pPr>
            <w:r>
              <w:rPr>
                <w:rFonts w:hint="eastAsia" w:hAnsi="宋体" w:cs="宋体"/>
                <w:color w:val="auto"/>
                <w:sz w:val="24"/>
                <w:szCs w:val="24"/>
                <w:highlight w:val="none"/>
              </w:rPr>
            </w:r>
            <w:r/>
          </w:p>
          <w:p>
            <w:pPr>
              <w:pStyle w:val="1144"/>
              <w:ind w:firstLine="0"/>
              <w:rPr>
                <w:rFonts w:hint="eastAsia" w:hAnsi="宋体" w:cs="宋体"/>
                <w:color w:val="auto"/>
                <w:sz w:val="24"/>
                <w:szCs w:val="24"/>
                <w:highlight w:val="none"/>
              </w:rPr>
            </w:pPr>
            <w:r>
              <w:rPr>
                <w:rFonts w:hint="eastAsia" w:hAnsi="宋体" w:cs="宋体"/>
                <w:color w:val="auto"/>
                <w:sz w:val="24"/>
                <w:szCs w:val="24"/>
                <w:highlight w:val="none"/>
              </w:rPr>
              <w:t xml:space="preserve">注：同1人具有多个职称证书的，仅按最高职称计算，不重复</w:t>
            </w:r>
            <w:r/>
          </w:p>
          <w:p>
            <w:pPr>
              <w:pStyle w:val="1144"/>
              <w:ind w:firstLine="0"/>
              <w:rPr>
                <w:rFonts w:hint="eastAsia" w:hAnsi="宋体" w:cs="宋体"/>
                <w:color w:val="auto"/>
                <w:sz w:val="24"/>
                <w:szCs w:val="24"/>
                <w:highlight w:val="none"/>
              </w:rPr>
            </w:pPr>
            <w:r>
              <w:rPr>
                <w:rFonts w:hint="eastAsia" w:hAnsi="宋体" w:cs="宋体"/>
                <w:color w:val="auto"/>
                <w:sz w:val="24"/>
                <w:szCs w:val="24"/>
                <w:highlight w:val="none"/>
              </w:rPr>
            </w:r>
            <w:r/>
          </w:p>
          <w:p>
            <w:pPr>
              <w:pStyle w:val="1144"/>
              <w:ind w:firstLine="0"/>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rPr>
              <w:t xml:space="preserve">计分。须提供相关职称证书原件扫描件</w:t>
            </w:r>
            <w:r>
              <w:rPr>
                <w:rFonts w:hint="eastAsia"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投标</w:t>
            </w:r>
            <w:r>
              <w:rPr>
                <w:rFonts w:hint="eastAsia" w:hAnsi="宋体" w:cs="宋体"/>
                <w:color w:val="auto"/>
                <w:sz w:val="24"/>
                <w:szCs w:val="24"/>
                <w:highlight w:val="none"/>
                <w:lang w:val="en-US" w:eastAsia="zh-CN"/>
              </w:rPr>
              <w:t xml:space="preserve">单位为其</w:t>
            </w:r>
            <w:r>
              <w:rPr>
                <w:rFonts w:hint="eastAsia" w:ascii="宋体" w:hAnsi="宋体" w:eastAsia="宋体" w:cs="宋体"/>
                <w:color w:val="auto"/>
                <w:sz w:val="24"/>
                <w:szCs w:val="24"/>
                <w:highlight w:val="none"/>
                <w:lang w:val="en-US" w:eastAsia="zh-CN"/>
              </w:rPr>
              <w:t xml:space="preserve">缴纳</w:t>
            </w:r>
            <w:r/>
          </w:p>
          <w:p>
            <w:pPr>
              <w:pStyle w:val="1144"/>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44"/>
              <w:ind w:firstLine="0"/>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近三个月</w:t>
            </w:r>
            <w:r>
              <w:rPr>
                <w:rFonts w:hint="eastAsia" w:ascii="宋体" w:hAnsi="宋体"/>
                <w:b w:val="0"/>
                <w:bCs w:val="0"/>
                <w:i w:val="0"/>
                <w:iCs w:val="0"/>
                <w:color w:val="auto"/>
                <w:sz w:val="24"/>
                <w:szCs w:val="24"/>
                <w:highlight w:val="none"/>
                <w:lang w:eastAsia="zh-CN"/>
              </w:rPr>
              <w:t xml:space="preserve">（</w:t>
            </w:r>
            <w:r>
              <w:rPr>
                <w:rFonts w:hint="eastAsia" w:ascii="宋体" w:hAnsi="宋体"/>
                <w:b w:val="0"/>
                <w:bCs w:val="0"/>
                <w:i w:val="0"/>
                <w:iCs w:val="0"/>
                <w:color w:val="auto"/>
                <w:sz w:val="24"/>
                <w:szCs w:val="24"/>
                <w:highlight w:val="none"/>
                <w:lang w:val="en-US" w:eastAsia="zh-CN"/>
              </w:rPr>
              <w:t xml:space="preserve">2024年2月、2024年3月、2024年4月份</w:t>
            </w:r>
            <w:r>
              <w:rPr>
                <w:rFonts w:hint="eastAsia" w:ascii="宋体" w:hAnsi="宋体"/>
                <w:b w:val="0"/>
                <w:bCs w:val="0"/>
                <w:i w:val="0"/>
                <w:i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社保凭</w:t>
            </w:r>
            <w:r/>
          </w:p>
          <w:p>
            <w:pPr>
              <w:pStyle w:val="1144"/>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44"/>
              <w:ind w:firstLine="0"/>
              <w:rPr>
                <w:rFonts w:hint="eastAsia"/>
                <w:color w:val="auto"/>
                <w:sz w:val="24"/>
                <w:szCs w:val="24"/>
                <w:highlight w:val="none"/>
              </w:rPr>
            </w:pPr>
            <w:r>
              <w:rPr>
                <w:rFonts w:hint="eastAsia" w:ascii="宋体" w:hAnsi="宋体" w:eastAsia="宋体" w:cs="宋体"/>
                <w:color w:val="auto"/>
                <w:sz w:val="24"/>
                <w:szCs w:val="24"/>
                <w:highlight w:val="none"/>
                <w:lang w:val="en-US" w:eastAsia="zh-CN"/>
              </w:rPr>
              <w:t xml:space="preserve">证</w:t>
            </w:r>
            <w:r>
              <w:rPr>
                <w:rFonts w:hint="eastAsia" w:hAnsi="宋体" w:cs="宋体"/>
                <w:color w:val="auto"/>
                <w:sz w:val="24"/>
                <w:szCs w:val="24"/>
                <w:highlight w:val="none"/>
                <w:lang w:eastAsia="zh-CN"/>
              </w:rPr>
              <w:t xml:space="preserve">，</w:t>
            </w:r>
            <w:r>
              <w:rPr>
                <w:rFonts w:hint="eastAsia"/>
                <w:color w:val="auto"/>
                <w:sz w:val="24"/>
                <w:szCs w:val="24"/>
                <w:highlight w:val="none"/>
              </w:rPr>
              <w:t xml:space="preserve">否则不得分。</w:t>
            </w:r>
            <w:r/>
          </w:p>
          <w:p>
            <w:pPr>
              <w:rPr>
                <w:color w:val="auto"/>
                <w:highlight w:val="none"/>
              </w:rPr>
            </w:pPr>
            <w:r>
              <w:rPr>
                <w:color w:val="auto"/>
                <w:highlight w:val="none"/>
              </w:rPr>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widowControl/>
              <w:rPr>
                <w:rFonts w:hint="eastAsia" w:hAnsi="宋体"/>
                <w:color w:val="auto"/>
                <w:sz w:val="24"/>
                <w:szCs w:val="24"/>
                <w:highlight w:val="none"/>
              </w:rPr>
            </w:pPr>
            <w:r>
              <w:rPr>
                <w:rFonts w:hint="eastAsia" w:ascii="宋体" w:hAnsi="宋体" w:cs="宋体"/>
                <w:b w:val="0"/>
                <w:bCs w:val="0"/>
                <w:color w:val="auto"/>
                <w:sz w:val="24"/>
                <w:szCs w:val="24"/>
                <w:highlight w:val="none"/>
                <w:lang w:val="en-US" w:eastAsia="zh-CN"/>
              </w:rPr>
              <w:t xml:space="preserve">针对本项目</w:t>
            </w:r>
            <w:r>
              <w:rPr>
                <w:rFonts w:hint="eastAsia" w:ascii="宋体" w:hAnsi="宋体" w:cs="宋体"/>
                <w:b w:val="0"/>
                <w:bCs w:val="0"/>
                <w:color w:val="auto"/>
                <w:sz w:val="24"/>
                <w:szCs w:val="24"/>
                <w:highlight w:val="none"/>
                <w:lang w:val="zh-TW" w:eastAsia="zh-TW"/>
              </w:rPr>
              <w:t xml:space="preserve">设备配置</w:t>
            </w:r>
            <w:r>
              <w:rPr>
                <w:rFonts w:hint="eastAsia" w:ascii="宋体" w:hAnsi="宋体" w:cs="宋体"/>
                <w:b w:val="0"/>
                <w:bCs w:val="0"/>
                <w:color w:val="auto"/>
                <w:sz w:val="24"/>
                <w:szCs w:val="24"/>
                <w:highlight w:val="none"/>
                <w:lang w:val="en-US" w:eastAsia="zh-CN"/>
              </w:rPr>
              <w:t xml:space="preserve">情况</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hAnsi="宋体"/>
                <w:color w:val="auto"/>
                <w:sz w:val="24"/>
                <w:szCs w:val="24"/>
                <w:highlight w:val="none"/>
                <w:lang w:val="en-US" w:eastAsia="zh-CN"/>
              </w:rPr>
            </w:pPr>
            <w:r>
              <w:rPr>
                <w:rFonts w:hint="eastAsia" w:hAnsi="宋体"/>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pStyle w:val="1143"/>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1）具有GP 或者类似土壤钻机设备的得3分</w:t>
            </w:r>
            <w:r>
              <w:rPr>
                <w:rFonts w:hint="eastAsia" w:ascii="宋体" w:hAnsi="宋体" w:cs="宋体"/>
                <w:color w:val="auto"/>
                <w:sz w:val="24"/>
                <w:szCs w:val="24"/>
                <w:highlight w:val="none"/>
                <w:lang w:eastAsia="zh-CN"/>
              </w:rPr>
              <w:t xml:space="preserve">；</w:t>
            </w:r>
            <w:r/>
          </w:p>
          <w:p>
            <w:pPr>
              <w:pStyle w:val="1143"/>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2）具有X射线荧光光谱仪（XRF）现场快速检测设备的得1分；</w:t>
            </w:r>
            <w:r/>
          </w:p>
          <w:p>
            <w:pPr>
              <w:pStyle w:val="1143"/>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3）具有光离子化检测仪（PID）现场快速检测设备的得1分；</w:t>
            </w:r>
            <w:r/>
          </w:p>
          <w:p>
            <w:pPr>
              <w:pStyle w:val="1143"/>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4）具有航拍无人飞机的，每有一台得1分，最高不超过</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1143"/>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5）具备机动车辆的，每有一辆得1分，最高不超过</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注：投标人需提供上述设备的购置合同或者设备租赁协议，</w:t>
            </w:r>
            <w:r/>
          </w:p>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并附证明合同真实履行的设备购置发票或者设备租赁发票，</w:t>
            </w:r>
            <w:r/>
          </w:p>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发票中购货（租赁）单位应为投标人，否则不得分。</w:t>
            </w:r>
            <w:r/>
          </w:p>
          <w:p>
            <w:pPr>
              <w:pStyle w:val="1143"/>
              <w:rPr>
                <w:rFonts w:hint="eastAsia"/>
                <w:color w:val="auto"/>
                <w:highlight w:val="none"/>
              </w:rPr>
            </w:pPr>
            <w:r>
              <w:rPr>
                <w:rFonts w:hint="eastAsia"/>
                <w:color w:val="auto"/>
                <w:highlight w:val="none"/>
              </w:rPr>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hAnsi="宋体"/>
                <w:color w:val="auto"/>
                <w:sz w:val="24"/>
                <w:szCs w:val="24"/>
                <w:highlight w:val="none"/>
              </w:rPr>
            </w:pPr>
            <w:r>
              <w:rPr>
                <w:rFonts w:hint="eastAsia" w:hAnsi="宋体"/>
                <w:color w:val="auto"/>
                <w:sz w:val="24"/>
                <w:szCs w:val="24"/>
                <w:highlight w:val="none"/>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widowControl/>
              <w:rPr>
                <w:rFonts w:hAnsi="宋体"/>
                <w:color w:val="auto"/>
                <w:sz w:val="24"/>
                <w:szCs w:val="24"/>
                <w:highlight w:val="none"/>
              </w:rPr>
            </w:pPr>
            <w:r>
              <w:rPr>
                <w:rFonts w:hint="eastAsia" w:hAnsi="宋体"/>
                <w:color w:val="auto"/>
                <w:sz w:val="24"/>
                <w:szCs w:val="24"/>
                <w:highlight w:val="none"/>
              </w:rPr>
              <w:t xml:space="preserve">调查服务方案</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pStyle w:val="1143"/>
              <w:ind w:left="0" w:firstLine="0"/>
              <w:rPr>
                <w:color w:val="auto"/>
                <w:highlight w:val="none"/>
              </w:rPr>
            </w:pPr>
            <w:r>
              <w:rPr>
                <w:rFonts w:hint="eastAsia" w:hAnsi="宋体"/>
                <w:color w:val="auto"/>
                <w:sz w:val="24"/>
                <w:szCs w:val="24"/>
                <w:highlight w:val="none"/>
              </w:rPr>
              <w:t xml:space="preserve">评标委会根据供应商提供的场地环境质量初步调查实施方案，从其可行性、规范性、二次污染防治操作性、完整性及重点把握程度进行评分：对方案可行性、规范性、二次污染防治操作性、完整性及重点描述完整准确到位可行的得23分；对方案可行性、规范性、二次污染防治操作性、完整性及重点描述满足基本要求的得16分；对方案可行性、规范性、二次污染防治操作性、完整性及重点仅满足部分要求的得9分；没有内容不得分。</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widowControl/>
              <w:rPr>
                <w:rFonts w:hAnsi="宋体"/>
                <w:color w:val="auto"/>
                <w:sz w:val="24"/>
                <w:szCs w:val="24"/>
                <w:highlight w:val="none"/>
              </w:rPr>
            </w:pPr>
            <w:r>
              <w:rPr>
                <w:rFonts w:hint="eastAsia" w:hAnsi="宋体"/>
                <w:color w:val="auto"/>
                <w:sz w:val="24"/>
                <w:szCs w:val="24"/>
                <w:highlight w:val="none"/>
              </w:rPr>
              <w:t xml:space="preserve">质量控制、进度安排及服务保障措施</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69" w:type="dxa"/>
            <w:vAlign w:val="center"/>
            <w:textDirection w:val="lrTb"/>
            <w:noWrap w:val="false"/>
          </w:tcPr>
          <w:p>
            <w:pPr>
              <w:widowControl/>
              <w:rPr>
                <w:rFonts w:hint="eastAsia" w:hAnsi="宋体"/>
                <w:color w:val="auto"/>
                <w:sz w:val="24"/>
                <w:szCs w:val="24"/>
                <w:highlight w:val="none"/>
              </w:rPr>
            </w:pPr>
            <w:r>
              <w:rPr>
                <w:rFonts w:hint="eastAsia" w:hAnsi="宋体"/>
                <w:color w:val="auto"/>
                <w:sz w:val="24"/>
                <w:szCs w:val="24"/>
                <w:highlight w:val="none"/>
              </w:rPr>
              <w:t xml:space="preserve">根据投标人对本采购项目制定的质量控制、进度安排及服务</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保障措施的合理性和有效性等方面进行综合评审（包括采样、</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监测和报告编制等方面</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质量控制、进度安排及服务保障</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措施完整且操作性强得1</w:t>
            </w:r>
            <w:r>
              <w:rPr>
                <w:rFonts w:hint="eastAsia" w:hAnsi="宋体"/>
                <w:color w:val="auto"/>
                <w:sz w:val="24"/>
                <w:szCs w:val="24"/>
                <w:highlight w:val="none"/>
                <w:lang w:val="en-US" w:eastAsia="zh-CN"/>
              </w:rPr>
              <w:t xml:space="preserve">7</w:t>
            </w:r>
            <w:r>
              <w:rPr>
                <w:rFonts w:hint="eastAsia" w:hAnsi="宋体"/>
                <w:color w:val="auto"/>
                <w:sz w:val="24"/>
                <w:szCs w:val="24"/>
                <w:highlight w:val="none"/>
              </w:rPr>
              <w:t xml:space="preserve">分；质量控制、进度安排及服务保</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障措施满足基本要求的得</w:t>
            </w:r>
            <w:r>
              <w:rPr>
                <w:rFonts w:hint="eastAsia" w:hAnsi="宋体"/>
                <w:color w:val="auto"/>
                <w:sz w:val="24"/>
                <w:szCs w:val="24"/>
                <w:highlight w:val="none"/>
                <w:lang w:val="en-US" w:eastAsia="zh-CN"/>
              </w:rPr>
              <w:t xml:space="preserve">12</w:t>
            </w:r>
            <w:r>
              <w:rPr>
                <w:rFonts w:hint="eastAsia" w:hAnsi="宋体"/>
                <w:color w:val="auto"/>
                <w:sz w:val="24"/>
                <w:szCs w:val="24"/>
                <w:highlight w:val="none"/>
              </w:rPr>
              <w:t xml:space="preserve">分；质量控制、进度安排及服务</w:t>
            </w:r>
            <w:r/>
          </w:p>
          <w:p>
            <w:pPr>
              <w:widowControl/>
              <w:rPr>
                <w:rFonts w:hint="eastAsia" w:hAnsi="宋体"/>
                <w:color w:val="auto"/>
                <w:sz w:val="24"/>
                <w:szCs w:val="24"/>
                <w:highlight w:val="none"/>
              </w:rPr>
            </w:pPr>
            <w:r>
              <w:rPr>
                <w:rFonts w:hint="eastAsia" w:hAnsi="宋体"/>
                <w:color w:val="auto"/>
                <w:sz w:val="24"/>
                <w:szCs w:val="24"/>
                <w:highlight w:val="none"/>
              </w:rPr>
            </w:r>
            <w:r/>
          </w:p>
          <w:p>
            <w:pPr>
              <w:widowControl/>
              <w:rPr>
                <w:rFonts w:hint="eastAsia" w:hAnsi="宋体"/>
                <w:color w:val="auto"/>
                <w:sz w:val="24"/>
                <w:szCs w:val="24"/>
                <w:highlight w:val="none"/>
              </w:rPr>
            </w:pPr>
            <w:r>
              <w:rPr>
                <w:rFonts w:hint="eastAsia" w:hAnsi="宋体"/>
                <w:color w:val="auto"/>
                <w:sz w:val="24"/>
                <w:szCs w:val="24"/>
                <w:highlight w:val="none"/>
              </w:rPr>
              <w:t xml:space="preserve">保障措施仅满足部分要求的得</w:t>
            </w:r>
            <w:r>
              <w:rPr>
                <w:rFonts w:hint="eastAsia" w:hAnsi="宋体"/>
                <w:color w:val="auto"/>
                <w:sz w:val="24"/>
                <w:szCs w:val="24"/>
                <w:highlight w:val="none"/>
                <w:lang w:val="en-US" w:eastAsia="zh-CN"/>
              </w:rPr>
              <w:t xml:space="preserve">7</w:t>
            </w:r>
            <w:r>
              <w:rPr>
                <w:rFonts w:hint="eastAsia" w:hAnsi="宋体"/>
                <w:color w:val="auto"/>
                <w:sz w:val="24"/>
                <w:szCs w:val="24"/>
                <w:highlight w:val="none"/>
              </w:rPr>
              <w:t xml:space="preserve">分；没有内容不得分。</w:t>
            </w:r>
            <w:r/>
          </w:p>
          <w:p>
            <w:pPr>
              <w:pStyle w:val="1143"/>
              <w:rPr>
                <w:color w:val="auto"/>
                <w:highlight w:val="none"/>
              </w:rPr>
            </w:pPr>
            <w:r>
              <w:rPr>
                <w:color w:val="auto"/>
                <w:highlight w:val="none"/>
              </w:rPr>
            </w:r>
            <w:r/>
          </w:p>
        </w:tc>
      </w:tr>
    </w:tbl>
    <w:p>
      <w:pPr>
        <w:spacing w:after="156" w:line="360" w:lineRule="auto"/>
        <w:rPr>
          <w:rFonts w:hAnsi="宋体"/>
          <w:b/>
          <w:color w:val="auto"/>
          <w:sz w:val="24"/>
          <w:szCs w:val="24"/>
          <w:highlight w:val="none"/>
        </w:rPr>
      </w:pPr>
      <w:r>
        <w:rPr>
          <w:rFonts w:hint="eastAsia" w:hAnsi="宋体"/>
          <w:b/>
          <w:color w:val="auto"/>
          <w:sz w:val="24"/>
          <w:szCs w:val="24"/>
          <w:highlight w:val="none"/>
        </w:rPr>
        <w:t xml:space="preserve">注：</w:t>
      </w:r>
      <w:r/>
    </w:p>
    <w:p>
      <w:pPr>
        <w:ind w:firstLine="424"/>
        <w:spacing w:after="156" w:line="360" w:lineRule="auto"/>
        <w:rPr>
          <w:rFonts w:hAnsi="宋体"/>
          <w:color w:val="auto"/>
          <w:sz w:val="24"/>
          <w:szCs w:val="24"/>
          <w:highlight w:val="none"/>
        </w:rPr>
      </w:pPr>
      <w:r>
        <w:rPr>
          <w:rFonts w:hint="eastAsia" w:hAnsi="宋体"/>
          <w:color w:val="auto"/>
          <w:sz w:val="24"/>
          <w:szCs w:val="24"/>
          <w:highlight w:val="none"/>
        </w:rPr>
        <w:t xml:space="preserve">1、以上评分标准中评分的每一条，各投标单位均应提供相关的资料并作出相应的对比供评分评判。</w:t>
      </w:r>
      <w:r/>
    </w:p>
    <w:p>
      <w:pPr>
        <w:ind w:firstLine="424"/>
        <w:spacing w:after="156" w:line="360" w:lineRule="auto"/>
        <w:rPr>
          <w:rFonts w:hAnsi="宋体"/>
          <w:color w:val="auto"/>
          <w:sz w:val="24"/>
          <w:szCs w:val="24"/>
          <w:highlight w:val="none"/>
        </w:rPr>
      </w:pPr>
      <w:r>
        <w:rPr>
          <w:rFonts w:hint="eastAsia" w:hAnsi="宋体"/>
          <w:color w:val="auto"/>
          <w:sz w:val="24"/>
          <w:szCs w:val="24"/>
          <w:highlight w:val="none"/>
        </w:rPr>
        <w:t xml:space="preserve">2、投标报价超过最高限价的，投标单位不得进入评标程序。</w:t>
      </w:r>
      <w:r/>
    </w:p>
    <w:p>
      <w:pPr>
        <w:ind w:firstLine="424"/>
        <w:spacing w:after="156" w:line="360" w:lineRule="auto"/>
        <w:rPr>
          <w:rFonts w:hAnsi="宋体"/>
          <w:color w:val="auto"/>
          <w:sz w:val="24"/>
          <w:szCs w:val="24"/>
          <w:highlight w:val="none"/>
        </w:rPr>
      </w:pPr>
      <w:r>
        <w:rPr>
          <w:rFonts w:hint="eastAsia" w:hAnsi="宋体"/>
          <w:color w:val="auto"/>
          <w:sz w:val="24"/>
          <w:szCs w:val="24"/>
          <w:highlight w:val="none"/>
        </w:rPr>
        <w:t xml:space="preserve">3、投标文件中如出现前后不一致时,评委有权请投标人澄清说明,澄清说明事项涉及评分时,评委有权酌情扣分。</w:t>
      </w:r>
      <w:r/>
    </w:p>
    <w:p>
      <w:pPr>
        <w:jc w:val="both"/>
        <w:spacing w:line="360" w:lineRule="auto"/>
        <w:widowControl w:val="off"/>
        <w:rPr>
          <w:rStyle w:val="116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43"/>
        <w:rPr>
          <w:rFonts w:hint="eastAsia"/>
          <w:color w:val="auto"/>
          <w:highlight w:val="none"/>
        </w:rPr>
      </w:pPr>
      <w:r>
        <w:rPr>
          <w:rFonts w:hint="eastAsia"/>
          <w:color w:val="auto"/>
          <w:highlight w:val="none"/>
        </w:rPr>
      </w:r>
      <w:r/>
    </w:p>
    <w:p>
      <w:pPr>
        <w:jc w:val="center"/>
        <w:spacing w:line="360" w:lineRule="auto"/>
        <w:widowControl w:val="off"/>
        <w:rPr>
          <w:rStyle w:val="116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50"/>
        <w:ind w:firstLine="0"/>
        <w:rPr>
          <w:rFonts w:ascii="宋体" w:hAnsi="宋体"/>
          <w:color w:val="auto"/>
          <w:highlight w:val="none"/>
        </w:rPr>
      </w:pPr>
      <w:r>
        <w:rPr>
          <w:rFonts w:hint="eastAsia" w:hAnsi="宋体"/>
          <w:color w:val="auto"/>
          <w:highlight w:val="none"/>
        </w:rPr>
        <w:t xml:space="preserve">第六部分 </w:t>
      </w:r>
      <w:r>
        <w:rPr>
          <w:rFonts w:hint="eastAsia" w:ascii="宋体" w:hAnsi="宋体"/>
          <w:color w:val="auto"/>
          <w:highlight w:val="none"/>
        </w:rPr>
        <w:t xml:space="preserve">合同一般条款</w:t>
      </w:r>
      <w:r/>
    </w:p>
    <w:p>
      <w:pPr>
        <w:pStyle w:val="1150"/>
        <w:ind w:firstLine="0"/>
        <w:rPr>
          <w:rFonts w:ascii="宋体" w:hAnsi="宋体"/>
          <w:color w:val="auto"/>
          <w:highlight w:val="none"/>
        </w:rPr>
      </w:pPr>
      <w:r>
        <w:rPr>
          <w:rFonts w:ascii="宋体" w:hAnsi="宋体"/>
          <w:color w:val="auto"/>
          <w:highlight w:val="none"/>
        </w:rPr>
      </w:r>
      <w:bookmarkEnd w:id="10"/>
      <w:r/>
      <w:bookmarkEnd w:id="11"/>
      <w:r/>
      <w:bookmarkEnd w:id="12"/>
      <w:r/>
      <w:bookmarkEnd w:id="13"/>
      <w:r/>
      <w:r/>
    </w:p>
    <w:p>
      <w:pPr>
        <w:spacing w:line="440" w:lineRule="exact"/>
        <w:rPr>
          <w:rFonts w:ascii="宋体" w:hAnsi="宋体"/>
          <w:b/>
          <w:color w:val="auto"/>
          <w:sz w:val="24"/>
          <w:highlight w:val="none"/>
        </w:rPr>
      </w:pPr>
      <w:r>
        <w:rPr>
          <w:rFonts w:ascii="宋体" w:hAnsi="宋体"/>
          <w:b/>
          <w:color w:val="auto"/>
          <w:sz w:val="24"/>
          <w:highlight w:val="none"/>
        </w:rPr>
        <w:t xml:space="preserve">一、合同文件</w:t>
      </w:r>
      <w:r/>
    </w:p>
    <w:p>
      <w:pPr>
        <w:spacing w:line="440" w:lineRule="exact"/>
        <w:rPr>
          <w:rFonts w:ascii="宋体" w:hAnsi="宋体"/>
          <w:b/>
          <w:color w:val="auto"/>
          <w:sz w:val="24"/>
          <w:highlight w:val="none"/>
        </w:rPr>
      </w:pPr>
      <w:r>
        <w:rPr>
          <w:rFonts w:ascii="宋体" w:hAnsi="宋体"/>
          <w:b/>
          <w:color w:val="auto"/>
          <w:sz w:val="24"/>
          <w:highlight w:val="none"/>
        </w:rPr>
        <w:t xml:space="preserve">1. 合同文件适用法律</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适用于合同文件的法律是中华人民共和国现行法律、法规及甲方所在地的地方性法规。</w:t>
      </w:r>
      <w:r/>
    </w:p>
    <w:p>
      <w:pPr>
        <w:spacing w:line="440" w:lineRule="exact"/>
        <w:rPr>
          <w:rFonts w:ascii="宋体" w:hAnsi="宋体"/>
          <w:b/>
          <w:color w:val="auto"/>
          <w:sz w:val="24"/>
          <w:highlight w:val="none"/>
        </w:rPr>
      </w:pPr>
      <w:r>
        <w:rPr>
          <w:rFonts w:ascii="宋体" w:hAnsi="宋体"/>
          <w:b/>
          <w:color w:val="auto"/>
          <w:sz w:val="24"/>
          <w:highlight w:val="none"/>
        </w:rPr>
        <w:t xml:space="preserve">2. 合同文件组成和解释顺序</w:t>
      </w:r>
      <w:r/>
    </w:p>
    <w:p>
      <w:pPr>
        <w:spacing w:line="440" w:lineRule="exact"/>
        <w:rPr>
          <w:rFonts w:ascii="宋体" w:hAnsi="宋体"/>
          <w:color w:val="auto"/>
          <w:sz w:val="24"/>
          <w:highlight w:val="none"/>
        </w:rPr>
      </w:pPr>
      <w:r>
        <w:rPr>
          <w:rFonts w:ascii="宋体" w:hAnsi="宋体"/>
          <w:color w:val="auto"/>
          <w:sz w:val="24"/>
          <w:highlight w:val="none"/>
        </w:rPr>
        <w:t xml:space="preserve">2.1合同文件的组成和解释顺序如下：</w:t>
      </w:r>
      <w:r/>
    </w:p>
    <w:p>
      <w:pPr>
        <w:spacing w:line="440" w:lineRule="exact"/>
        <w:rPr>
          <w:rFonts w:ascii="宋体" w:hAnsi="宋体"/>
          <w:color w:val="auto"/>
          <w:sz w:val="24"/>
          <w:highlight w:val="none"/>
        </w:rPr>
      </w:pPr>
      <w:r>
        <w:rPr>
          <w:rFonts w:ascii="宋体" w:hAnsi="宋体"/>
          <w:color w:val="auto"/>
          <w:sz w:val="24"/>
          <w:highlight w:val="none"/>
        </w:rPr>
        <w:t xml:space="preserve">2.1.1合同的特殊性条款</w:t>
      </w:r>
      <w:r/>
    </w:p>
    <w:p>
      <w:pPr>
        <w:spacing w:line="440" w:lineRule="exact"/>
        <w:rPr>
          <w:rFonts w:ascii="宋体" w:hAnsi="宋体"/>
          <w:color w:val="auto"/>
          <w:sz w:val="24"/>
          <w:highlight w:val="none"/>
        </w:rPr>
      </w:pPr>
      <w:r>
        <w:rPr>
          <w:rFonts w:ascii="宋体" w:hAnsi="宋体"/>
          <w:color w:val="auto"/>
          <w:sz w:val="24"/>
          <w:highlight w:val="none"/>
        </w:rPr>
        <w:t xml:space="preserve">2.1.2合同的一般性条款</w:t>
      </w:r>
      <w:r/>
    </w:p>
    <w:p>
      <w:pPr>
        <w:spacing w:line="440" w:lineRule="exact"/>
        <w:rPr>
          <w:rFonts w:ascii="宋体" w:hAnsi="宋体"/>
          <w:color w:val="auto"/>
          <w:sz w:val="24"/>
          <w:highlight w:val="none"/>
        </w:rPr>
      </w:pPr>
      <w:r>
        <w:rPr>
          <w:rFonts w:ascii="宋体" w:hAnsi="宋体"/>
          <w:color w:val="auto"/>
          <w:sz w:val="24"/>
          <w:highlight w:val="none"/>
        </w:rPr>
        <w:t xml:space="preserve">2.1.3 </w:t>
      </w:r>
      <w:r>
        <w:rPr>
          <w:rFonts w:hint="eastAsia" w:ascii="宋体" w:hAnsi="宋体"/>
          <w:color w:val="auto"/>
          <w:sz w:val="24"/>
          <w:highlight w:val="none"/>
        </w:rPr>
        <w:t xml:space="preserve">双方</w:t>
      </w:r>
      <w:r>
        <w:rPr>
          <w:rFonts w:ascii="宋体" w:hAnsi="宋体"/>
          <w:color w:val="auto"/>
          <w:sz w:val="24"/>
          <w:highlight w:val="none"/>
        </w:rPr>
        <w:t xml:space="preserve">洽商、变更等明确双方权利义务的纪要、协议</w:t>
      </w:r>
      <w:r/>
    </w:p>
    <w:p>
      <w:pPr>
        <w:spacing w:line="440" w:lineRule="exact"/>
        <w:rPr>
          <w:rFonts w:ascii="宋体" w:hAnsi="宋体"/>
          <w:color w:val="auto"/>
          <w:sz w:val="24"/>
          <w:highlight w:val="none"/>
        </w:rPr>
      </w:pPr>
      <w:r>
        <w:rPr>
          <w:rFonts w:ascii="宋体" w:hAnsi="宋体"/>
          <w:color w:val="auto"/>
          <w:sz w:val="24"/>
          <w:highlight w:val="none"/>
        </w:rPr>
        <w:t xml:space="preserve">2.1.4 中标通知书、投标书和招标文件</w:t>
      </w:r>
      <w:r/>
    </w:p>
    <w:p>
      <w:pPr>
        <w:spacing w:line="440" w:lineRule="exact"/>
        <w:rPr>
          <w:rFonts w:ascii="宋体" w:hAnsi="宋体"/>
          <w:color w:val="auto"/>
          <w:sz w:val="24"/>
          <w:highlight w:val="none"/>
        </w:rPr>
      </w:pPr>
      <w:r>
        <w:rPr>
          <w:rFonts w:ascii="宋体" w:hAnsi="宋体"/>
          <w:color w:val="auto"/>
          <w:sz w:val="24"/>
          <w:highlight w:val="none"/>
        </w:rPr>
        <w:t xml:space="preserve">2.2 合同的特殊性条款的效力优于合同的一般性条款的效力</w:t>
      </w:r>
      <w:r/>
    </w:p>
    <w:p>
      <w:pPr>
        <w:spacing w:line="440" w:lineRule="exact"/>
        <w:rPr>
          <w:rFonts w:ascii="宋体" w:hAnsi="宋体"/>
          <w:b/>
          <w:color w:val="auto"/>
          <w:sz w:val="24"/>
          <w:highlight w:val="none"/>
        </w:rPr>
      </w:pPr>
      <w:r>
        <w:rPr>
          <w:rFonts w:ascii="宋体" w:hAnsi="宋体"/>
          <w:b/>
          <w:color w:val="auto"/>
          <w:sz w:val="24"/>
          <w:highlight w:val="none"/>
        </w:rPr>
        <w:t xml:space="preserve">3. 合同文件使用文字</w:t>
      </w:r>
      <w:r/>
    </w:p>
    <w:p>
      <w:pPr>
        <w:spacing w:line="440" w:lineRule="exact"/>
        <w:rPr>
          <w:rFonts w:ascii="宋体" w:hAnsi="宋体"/>
          <w:color w:val="auto"/>
          <w:sz w:val="24"/>
          <w:highlight w:val="none"/>
        </w:rPr>
      </w:pPr>
      <w:r>
        <w:rPr>
          <w:rFonts w:ascii="宋体" w:hAnsi="宋体"/>
          <w:color w:val="auto"/>
          <w:sz w:val="24"/>
          <w:highlight w:val="none"/>
        </w:rPr>
        <w:t xml:space="preserve">3.1 合同文件使用中文书写、解释和说明</w:t>
      </w:r>
      <w:r/>
    </w:p>
    <w:p>
      <w:pPr>
        <w:spacing w:line="440" w:lineRule="exact"/>
        <w:rPr>
          <w:rFonts w:ascii="宋体" w:hAnsi="宋体"/>
          <w:color w:val="auto"/>
          <w:sz w:val="24"/>
          <w:highlight w:val="none"/>
        </w:rPr>
      </w:pPr>
      <w:r>
        <w:rPr>
          <w:rFonts w:ascii="宋体" w:hAnsi="宋体"/>
          <w:color w:val="auto"/>
          <w:sz w:val="24"/>
          <w:highlight w:val="none"/>
        </w:rPr>
        <w:t xml:space="preserve">3.2 合同文件使用特殊性条款约定的国家标准和规范；国家没有相应标准、规范时，可使用特殊性条款约定的行业或甲方所在地地方的标准、规范。</w:t>
      </w:r>
      <w:r/>
    </w:p>
    <w:p>
      <w:pPr>
        <w:spacing w:line="440" w:lineRule="exact"/>
        <w:rPr>
          <w:rFonts w:ascii="宋体" w:hAnsi="宋体"/>
          <w:b/>
          <w:color w:val="auto"/>
          <w:sz w:val="24"/>
          <w:highlight w:val="none"/>
        </w:rPr>
      </w:pPr>
      <w:r>
        <w:rPr>
          <w:rFonts w:ascii="宋体" w:hAnsi="宋体"/>
          <w:b/>
          <w:color w:val="auto"/>
          <w:sz w:val="24"/>
          <w:highlight w:val="none"/>
        </w:rPr>
        <w:t xml:space="preserve">二、标的物的一般条款</w:t>
      </w:r>
      <w:r/>
    </w:p>
    <w:p>
      <w:pPr>
        <w:spacing w:line="440" w:lineRule="exact"/>
        <w:rPr>
          <w:rFonts w:ascii="宋体" w:hAnsi="宋体"/>
          <w:b/>
          <w:color w:val="auto"/>
          <w:sz w:val="24"/>
          <w:highlight w:val="none"/>
        </w:rPr>
      </w:pPr>
      <w:r>
        <w:rPr>
          <w:rFonts w:ascii="宋体" w:hAnsi="宋体"/>
          <w:b/>
          <w:color w:val="auto"/>
          <w:sz w:val="24"/>
          <w:highlight w:val="none"/>
        </w:rPr>
        <w:t xml:space="preserve">4.  完整物权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对于出卖的标的物，乙方应当拥有完整物权，并且乙方负有保证第三人不得向甲方主张任何权利（包括知识产权）的义务。</w:t>
      </w:r>
      <w:r/>
    </w:p>
    <w:p>
      <w:pPr>
        <w:spacing w:line="440" w:lineRule="exact"/>
        <w:rPr>
          <w:rFonts w:ascii="宋体" w:hAnsi="宋体"/>
          <w:b/>
          <w:color w:val="auto"/>
          <w:sz w:val="24"/>
          <w:highlight w:val="none"/>
        </w:rPr>
      </w:pPr>
      <w:r>
        <w:rPr>
          <w:rFonts w:ascii="宋体" w:hAnsi="宋体"/>
          <w:b/>
          <w:color w:val="auto"/>
          <w:sz w:val="24"/>
          <w:highlight w:val="none"/>
        </w:rPr>
        <w:t xml:space="preserve">5.  质量保证</w:t>
      </w:r>
      <w:r/>
    </w:p>
    <w:p>
      <w:pPr>
        <w:spacing w:line="440" w:lineRule="exact"/>
        <w:rPr>
          <w:rFonts w:ascii="宋体" w:hAnsi="宋体"/>
          <w:color w:val="auto"/>
          <w:sz w:val="24"/>
          <w:highlight w:val="none"/>
        </w:rPr>
      </w:pPr>
      <w:r>
        <w:rPr>
          <w:rFonts w:ascii="宋体" w:hAnsi="宋体"/>
          <w:color w:val="auto"/>
          <w:sz w:val="24"/>
          <w:highlight w:val="none"/>
        </w:rPr>
        <w:t xml:space="preserve">5.1  在乙方承诺的质量保证期限内，乙方应对由于设计、工艺等缺陷及伴随服务而造成的任何不足或故障负责。</w:t>
      </w:r>
      <w:r/>
    </w:p>
    <w:p>
      <w:pPr>
        <w:spacing w:line="440" w:lineRule="exact"/>
        <w:rPr>
          <w:rFonts w:ascii="宋体" w:hAnsi="宋体"/>
          <w:color w:val="auto"/>
          <w:sz w:val="24"/>
          <w:highlight w:val="none"/>
        </w:rPr>
      </w:pPr>
      <w:r>
        <w:rPr>
          <w:rFonts w:ascii="宋体" w:hAnsi="宋体"/>
          <w:color w:val="auto"/>
          <w:sz w:val="24"/>
          <w:highlight w:val="none"/>
        </w:rPr>
        <w:t xml:space="preserve">5.2  根据甲方按检验标准自己检验的结果或当地技监部门的检验结果，如果标的物的数量或规格与合同不符或证实标的物是有缺陷的，包括潜在缺陷或使用不符合要求的材料等，甲方应尽快以书面形式通知乙方并提出索赔。</w:t>
      </w:r>
      <w:r/>
    </w:p>
    <w:p>
      <w:pPr>
        <w:spacing w:line="440" w:lineRule="exact"/>
        <w:rPr>
          <w:rFonts w:ascii="宋体" w:hAnsi="宋体"/>
          <w:color w:val="auto"/>
          <w:sz w:val="24"/>
          <w:highlight w:val="none"/>
        </w:rPr>
      </w:pPr>
      <w:r>
        <w:rPr>
          <w:rFonts w:ascii="宋体" w:hAnsi="宋体"/>
          <w:color w:val="auto"/>
          <w:sz w:val="24"/>
          <w:highlight w:val="none"/>
        </w:rPr>
        <w:t xml:space="preserve">5.3  除合同特殊条款规定外，合同条款中标的物的免费服务期均自标的物通过最终验收之日起计算。</w:t>
      </w:r>
      <w:r>
        <w:rPr>
          <w:rFonts w:hint="eastAsia" w:ascii="宋体" w:hAnsi="宋体"/>
          <w:color w:val="auto"/>
          <w:sz w:val="24"/>
          <w:highlight w:val="none"/>
        </w:rPr>
        <w:t xml:space="preserve">具体以招标文件中规定的质量保证期为准或中标单位承诺更高于招标要求的质量保证期为准。</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6</w:t>
      </w:r>
      <w:r>
        <w:rPr>
          <w:rFonts w:ascii="宋体" w:hAnsi="宋体"/>
          <w:b/>
          <w:color w:val="auto"/>
          <w:sz w:val="24"/>
          <w:highlight w:val="none"/>
        </w:rPr>
        <w:t xml:space="preserve">. 包装</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7</w:t>
      </w:r>
      <w:r>
        <w:rPr>
          <w:rFonts w:ascii="宋体" w:hAnsi="宋体"/>
          <w:b/>
          <w:color w:val="auto"/>
          <w:sz w:val="24"/>
          <w:highlight w:val="none"/>
        </w:rPr>
        <w:t xml:space="preserve">.  伴随服务</w:t>
      </w:r>
      <w:r/>
    </w:p>
    <w:p>
      <w:pPr>
        <w:spacing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乙方除应履行按期按量交付合格标的物的义务之外，还应提供下列服务。</w:t>
      </w:r>
      <w:r/>
    </w:p>
    <w:p>
      <w:pPr>
        <w:spacing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.1.1 标的物的现场启动、调试、监督；</w:t>
      </w:r>
      <w:r/>
    </w:p>
    <w:p>
      <w:pPr>
        <w:spacing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.1.2 在合同规定的期限内对所提供标的物实行运行监督、</w:t>
      </w:r>
      <w:r>
        <w:rPr>
          <w:rFonts w:hint="eastAsia" w:ascii="宋体" w:hAnsi="宋体"/>
          <w:color w:val="auto"/>
          <w:sz w:val="24"/>
          <w:highlight w:val="none"/>
        </w:rPr>
        <w:t xml:space="preserve">提供</w:t>
      </w:r>
      <w:r>
        <w:rPr>
          <w:rFonts w:ascii="宋体" w:hAnsi="宋体"/>
          <w:color w:val="auto"/>
          <w:sz w:val="24"/>
          <w:highlight w:val="none"/>
        </w:rPr>
        <w:t xml:space="preserve">服务的前提条件是该服务并不能免除乙方在</w:t>
      </w:r>
      <w:r>
        <w:rPr>
          <w:rFonts w:hint="eastAsia" w:ascii="宋体" w:hAnsi="宋体"/>
          <w:color w:val="auto"/>
          <w:sz w:val="24"/>
          <w:highlight w:val="none"/>
        </w:rPr>
        <w:t xml:space="preserve">服务</w:t>
      </w:r>
      <w:r>
        <w:rPr>
          <w:rFonts w:ascii="宋体" w:hAnsi="宋体"/>
          <w:color w:val="auto"/>
          <w:sz w:val="24"/>
          <w:highlight w:val="none"/>
        </w:rPr>
        <w:t xml:space="preserve">期内所承担的义务；</w:t>
      </w:r>
      <w:r/>
    </w:p>
    <w:p>
      <w:pPr>
        <w:spacing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.1.3 对甲方技术人员的技术指导或培训。</w:t>
      </w:r>
      <w:r/>
    </w:p>
    <w:p>
      <w:pPr>
        <w:spacing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.2  除合同另有规定之外，伴随服务的费用均已含在合同价款中，甲方不再另行进行支付。</w:t>
      </w:r>
      <w:r/>
    </w:p>
    <w:p>
      <w:pPr>
        <w:spacing w:line="440" w:lineRule="exact"/>
        <w:rPr>
          <w:rFonts w:ascii="宋体" w:hAnsi="宋体"/>
          <w:b/>
          <w:color w:val="auto"/>
          <w:sz w:val="24"/>
          <w:highlight w:val="none"/>
        </w:rPr>
      </w:pPr>
      <w:r>
        <w:rPr>
          <w:rFonts w:ascii="宋体" w:hAnsi="宋体"/>
          <w:b/>
          <w:color w:val="auto"/>
          <w:sz w:val="24"/>
          <w:highlight w:val="none"/>
        </w:rPr>
        <w:t xml:space="preserve">三、标的物的交付、检验和验收</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  标的物的交付</w:t>
      </w:r>
      <w:r/>
    </w:p>
    <w:p>
      <w:pPr>
        <w:spacing w:line="440" w:lineRule="exact"/>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标的物的所有权自标的物交付时转移。</w:t>
      </w:r>
      <w:r/>
    </w:p>
    <w:p>
      <w:pPr>
        <w:spacing w:line="440" w:lineRule="exact"/>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.2  乙方应当按照约定的期限和</w:t>
      </w:r>
      <w:r>
        <w:rPr>
          <w:rFonts w:hint="eastAsia" w:ascii="宋体" w:hAnsi="宋体"/>
          <w:color w:val="auto"/>
          <w:sz w:val="24"/>
          <w:highlight w:val="none"/>
        </w:rPr>
        <w:t xml:space="preserve">甲方指定</w:t>
      </w:r>
      <w:r>
        <w:rPr>
          <w:rFonts w:ascii="宋体" w:hAnsi="宋体"/>
          <w:color w:val="auto"/>
          <w:sz w:val="24"/>
          <w:highlight w:val="none"/>
        </w:rPr>
        <w:t xml:space="preserve">的地点交付标的物。</w:t>
      </w:r>
      <w:r/>
    </w:p>
    <w:p>
      <w:pPr>
        <w:spacing w:line="440" w:lineRule="exact"/>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.3  乙方应当按照约定或者交易习惯向甲方交付提取标的物单证以外的有关单证和资料。</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  检验和验收</w:t>
      </w:r>
      <w:r/>
    </w:p>
    <w:p>
      <w:pPr>
        <w:spacing w:line="44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  在</w:t>
      </w:r>
      <w:r>
        <w:rPr>
          <w:rFonts w:hint="eastAsia" w:ascii="宋体" w:hAnsi="宋体"/>
          <w:color w:val="auto"/>
          <w:sz w:val="24"/>
          <w:highlight w:val="none"/>
        </w:rPr>
        <w:t xml:space="preserve">提供服务</w:t>
      </w:r>
      <w:r>
        <w:rPr>
          <w:rFonts w:ascii="宋体" w:hAnsi="宋体"/>
          <w:color w:val="auto"/>
          <w:sz w:val="24"/>
          <w:highlight w:val="none"/>
        </w:rPr>
        <w:t xml:space="preserve">前，乙方应对标的物的规格、性能、数量等进行详细而全面的检验，并出具一份合格检验证明，合格检验证明作为甲方验收的依据，但不能作为有关标的物规格、数量或性能的最终检验结果。</w:t>
      </w:r>
      <w:r/>
    </w:p>
    <w:p>
      <w:pPr>
        <w:spacing w:line="44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.2  甲方根据合同规定的内容和验收标准进行验收，同时比较乙方出具的检验证明，经检验无误后出具验收合格证明，该证明作为最终付款所需文件的组成部分。</w:t>
      </w:r>
      <w:r/>
    </w:p>
    <w:p>
      <w:pPr>
        <w:spacing w:line="44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.3  验收期限自标的物交付之日起</w:t>
      </w:r>
      <w:r>
        <w:rPr>
          <w:rFonts w:hint="eastAsia" w:ascii="宋体" w:hAnsi="宋体"/>
          <w:color w:val="auto"/>
          <w:sz w:val="24"/>
          <w:highlight w:val="none"/>
        </w:rPr>
        <w:t xml:space="preserve">十个工作日</w:t>
      </w:r>
      <w:r>
        <w:rPr>
          <w:rFonts w:ascii="宋体" w:hAnsi="宋体"/>
          <w:color w:val="auto"/>
          <w:sz w:val="24"/>
          <w:highlight w:val="none"/>
        </w:rPr>
        <w:t xml:space="preserve">内。特殊情况需延长的，双方应在合同的特殊条款中约定。</w:t>
      </w:r>
      <w:r/>
    </w:p>
    <w:p>
      <w:pPr>
        <w:spacing w:line="44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.4  如双方对验收结果有分歧，则以太仓市技术质量监督局或以约定的法定检测机构的检验结果为准，检验费用由有过失的一方支付。</w:t>
      </w:r>
      <w:r/>
    </w:p>
    <w:p>
      <w:pPr>
        <w:spacing w:line="440" w:lineRule="exact"/>
        <w:rPr>
          <w:rFonts w:ascii="宋体" w:hAnsi="宋体"/>
          <w:b/>
          <w:color w:val="auto"/>
          <w:sz w:val="24"/>
          <w:highlight w:val="none"/>
        </w:rPr>
      </w:pPr>
      <w:r>
        <w:rPr>
          <w:rFonts w:ascii="宋体" w:hAnsi="宋体"/>
          <w:b/>
          <w:color w:val="auto"/>
          <w:sz w:val="24"/>
          <w:highlight w:val="none"/>
        </w:rPr>
        <w:t xml:space="preserve">四、对标的物提出异议的时间和办法</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10</w:t>
      </w:r>
      <w:r>
        <w:rPr>
          <w:rFonts w:ascii="宋体" w:hAnsi="宋体"/>
          <w:b/>
          <w:color w:val="auto"/>
          <w:sz w:val="24"/>
          <w:highlight w:val="none"/>
        </w:rPr>
        <w:t xml:space="preserve">.  对标的物提出异议的时间和办法</w:t>
      </w:r>
      <w:r/>
    </w:p>
    <w:p>
      <w:pPr>
        <w:spacing w:line="440" w:lineRule="exact"/>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.1  甲方在验收过程中，应当于双方约定的检验期间内将标的物的数量不符合约定的情形及处理方式以书面形式通知乙方。</w:t>
      </w:r>
      <w:r/>
    </w:p>
    <w:p>
      <w:pPr>
        <w:spacing w:line="440" w:lineRule="exact"/>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.2  如甲方在验收期满后既不出具验收合格证明又未提出书面异议的</w:t>
      </w:r>
      <w:r>
        <w:rPr>
          <w:rFonts w:hint="eastAsia" w:ascii="宋体" w:hAnsi="宋体"/>
          <w:color w:val="auto"/>
          <w:sz w:val="24"/>
          <w:highlight w:val="none"/>
        </w:rPr>
        <w:t xml:space="preserve">，并不</w:t>
      </w:r>
      <w:r>
        <w:rPr>
          <w:rFonts w:ascii="宋体" w:hAnsi="宋体"/>
          <w:color w:val="auto"/>
          <w:sz w:val="24"/>
          <w:highlight w:val="none"/>
        </w:rPr>
        <w:t xml:space="preserve">视为乙方所交标的物符合合同规定</w:t>
      </w:r>
      <w:r>
        <w:rPr>
          <w:rFonts w:hint="eastAsia" w:ascii="宋体" w:hAnsi="宋体"/>
          <w:color w:val="auto"/>
          <w:sz w:val="24"/>
          <w:highlight w:val="none"/>
        </w:rPr>
        <w:t xml:space="preserve">，乙方应书面催告甲方进行验收</w:t>
      </w:r>
      <w:r>
        <w:rPr>
          <w:rFonts w:ascii="宋体" w:hAnsi="宋体"/>
          <w:color w:val="auto"/>
          <w:sz w:val="24"/>
          <w:highlight w:val="none"/>
        </w:rPr>
        <w:t xml:space="preserve">。</w:t>
      </w:r>
      <w:r/>
    </w:p>
    <w:p>
      <w:pPr>
        <w:spacing w:line="440" w:lineRule="exact"/>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.3  乙方应在收到甲方书面异议后七天内负责处理问题，否则将视为默认甲方提出的异议和处理意见。</w:t>
      </w:r>
      <w:r/>
    </w:p>
    <w:p>
      <w:pPr>
        <w:spacing w:line="440" w:lineRule="exact"/>
        <w:rPr>
          <w:rFonts w:ascii="宋体" w:hAnsi="宋体"/>
          <w:b/>
          <w:color w:val="auto"/>
          <w:sz w:val="24"/>
          <w:highlight w:val="none"/>
        </w:rPr>
      </w:pPr>
      <w:r>
        <w:rPr>
          <w:rFonts w:ascii="宋体" w:hAnsi="宋体"/>
          <w:b/>
          <w:color w:val="auto"/>
          <w:sz w:val="24"/>
          <w:highlight w:val="none"/>
        </w:rPr>
        <w:t xml:space="preserve">五、合同价款和支付</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1</w:t>
      </w:r>
      <w:r>
        <w:rPr>
          <w:rFonts w:ascii="宋体" w:hAnsi="宋体"/>
          <w:b/>
          <w:color w:val="auto"/>
          <w:sz w:val="24"/>
          <w:highlight w:val="none"/>
        </w:rPr>
        <w:t xml:space="preserve">.  合同价款和支付</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.1 本合同的结算货币为人民币，单位元。</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 乙方应按照双方签订的合同规定</w:t>
      </w:r>
      <w:r>
        <w:rPr>
          <w:rFonts w:hint="eastAsia" w:ascii="宋体" w:hAnsi="宋体"/>
          <w:color w:val="auto"/>
          <w:sz w:val="24"/>
          <w:highlight w:val="none"/>
        </w:rPr>
        <w:t xml:space="preserve">提供服务</w:t>
      </w:r>
      <w:r>
        <w:rPr>
          <w:rFonts w:ascii="宋体" w:hAnsi="宋体"/>
          <w:color w:val="auto"/>
          <w:sz w:val="24"/>
          <w:highlight w:val="none"/>
        </w:rPr>
        <w:t xml:space="preserve">并在合同特殊条款规定的期限内持下列单据结算货款。</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.2.1 合格的销售发票；</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.2.2 甲方盖章签收后的回单和验收合格证明。</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.3 甲方应按合同特殊条款规定的期限和方式付款。</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.4 根据现行税法对甲方征收的与本合同有关的一切税费均由甲方承担；根据现行税法对乙方征收的与本合同有关的一切税费均由乙方承担。</w:t>
      </w:r>
      <w:r/>
    </w:p>
    <w:p>
      <w:pPr>
        <w:spacing w:line="440" w:lineRule="exact"/>
        <w:rPr>
          <w:rFonts w:ascii="宋体" w:hAnsi="宋体"/>
          <w:b/>
          <w:color w:val="auto"/>
          <w:sz w:val="24"/>
          <w:highlight w:val="none"/>
        </w:rPr>
      </w:pPr>
      <w:r>
        <w:rPr>
          <w:rFonts w:ascii="宋体" w:hAnsi="宋体"/>
          <w:b/>
          <w:color w:val="auto"/>
          <w:sz w:val="24"/>
          <w:highlight w:val="none"/>
        </w:rPr>
        <w:t xml:space="preserve">六、违约责任</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  违约责任</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合同一方不履行合同义务或者履行合同义务不符合约定的，应当承担继续履行、采取补救措施或者赔偿损失等违约责任。</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  甲方违约责任</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 甲方逾期付款的应按照逾期付款金额的每天万分之四支付逾期付款违约金。</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  甲方违反合同规定，拒绝接收乙方交付的合格标的物，应当承担乙方由此造成的损失。</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  乙方违约责任</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.1  乙方不能</w:t>
      </w:r>
      <w:r>
        <w:rPr>
          <w:rFonts w:hint="eastAsia" w:ascii="宋体" w:hAnsi="宋体"/>
          <w:color w:val="auto"/>
          <w:sz w:val="24"/>
          <w:highlight w:val="none"/>
        </w:rPr>
        <w:t xml:space="preserve">按时完成服务</w:t>
      </w:r>
      <w:r>
        <w:rPr>
          <w:rFonts w:ascii="宋体" w:hAnsi="宋体"/>
          <w:color w:val="auto"/>
          <w:sz w:val="24"/>
          <w:highlight w:val="none"/>
        </w:rPr>
        <w:t xml:space="preserve">或</w:t>
      </w:r>
      <w:r>
        <w:rPr>
          <w:rFonts w:hint="eastAsia" w:ascii="宋体" w:hAnsi="宋体"/>
          <w:color w:val="auto"/>
          <w:sz w:val="24"/>
          <w:highlight w:val="none"/>
        </w:rPr>
        <w:t xml:space="preserve">提供服务</w:t>
      </w:r>
      <w:r>
        <w:rPr>
          <w:rFonts w:ascii="宋体" w:hAnsi="宋体"/>
          <w:color w:val="auto"/>
          <w:sz w:val="24"/>
          <w:highlight w:val="none"/>
        </w:rPr>
        <w:t xml:space="preserve">不合格从而影响甲方按期正常使用的，甲方有权解除合同，乙方向甲方偿付合同总价款</w:t>
      </w:r>
      <w:r>
        <w:rPr>
          <w:rFonts w:hint="eastAsia" w:ascii="宋体" w:hAnsi="宋体"/>
          <w:color w:val="auto"/>
          <w:sz w:val="24"/>
          <w:highlight w:val="none"/>
        </w:rPr>
        <w:t xml:space="preserve">5</w:t>
      </w:r>
      <w:r>
        <w:rPr>
          <w:rFonts w:ascii="宋体" w:hAnsi="宋体"/>
          <w:color w:val="auto"/>
          <w:sz w:val="24"/>
          <w:highlight w:val="none"/>
        </w:rPr>
        <w:t xml:space="preserve"> %的违约金，违约金不足以补偿损失的甲方有权要求乙方补足。</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.2  乙方逾期不能</w:t>
      </w:r>
      <w:r>
        <w:rPr>
          <w:rFonts w:hint="eastAsia" w:ascii="宋体" w:hAnsi="宋体"/>
          <w:color w:val="auto"/>
          <w:sz w:val="24"/>
          <w:highlight w:val="none"/>
        </w:rPr>
        <w:t xml:space="preserve">按时完成服务</w:t>
      </w:r>
      <w:r>
        <w:rPr>
          <w:rFonts w:ascii="宋体" w:hAnsi="宋体"/>
          <w:color w:val="auto"/>
          <w:sz w:val="24"/>
          <w:highlight w:val="none"/>
        </w:rPr>
        <w:t xml:space="preserve">的，应在</w:t>
      </w:r>
      <w:r>
        <w:rPr>
          <w:rFonts w:hint="eastAsia" w:ascii="宋体" w:hAnsi="宋体"/>
          <w:color w:val="auto"/>
          <w:sz w:val="24"/>
          <w:highlight w:val="none"/>
        </w:rPr>
        <w:t xml:space="preserve">提供服务</w:t>
      </w:r>
      <w:r>
        <w:rPr>
          <w:rFonts w:ascii="宋体" w:hAnsi="宋体"/>
          <w:color w:val="auto"/>
          <w:sz w:val="24"/>
          <w:highlight w:val="none"/>
        </w:rPr>
        <w:t xml:space="preserve">前与甲方协商，甲方仍需求的，乙方应立即</w:t>
      </w:r>
      <w:r>
        <w:rPr>
          <w:rFonts w:hint="eastAsia" w:ascii="宋体" w:hAnsi="宋体"/>
          <w:color w:val="auto"/>
          <w:sz w:val="24"/>
          <w:highlight w:val="none"/>
        </w:rPr>
        <w:t xml:space="preserve">提供服务</w:t>
      </w:r>
      <w:r>
        <w:rPr>
          <w:rFonts w:ascii="宋体" w:hAnsi="宋体"/>
          <w:color w:val="auto"/>
          <w:sz w:val="24"/>
          <w:highlight w:val="none"/>
        </w:rPr>
        <w:t xml:space="preserve">并应按照逾期</w:t>
      </w:r>
      <w:r>
        <w:rPr>
          <w:rFonts w:hint="eastAsia" w:ascii="宋体" w:hAnsi="宋体"/>
          <w:color w:val="auto"/>
          <w:sz w:val="24"/>
          <w:highlight w:val="none"/>
        </w:rPr>
        <w:t xml:space="preserve">提供服务</w:t>
      </w:r>
      <w:r>
        <w:rPr>
          <w:rFonts w:ascii="宋体" w:hAnsi="宋体"/>
          <w:color w:val="auto"/>
          <w:sz w:val="24"/>
          <w:highlight w:val="none"/>
        </w:rPr>
        <w:t xml:space="preserve">部分款</w:t>
      </w:r>
      <w:r>
        <w:rPr>
          <w:rFonts w:hint="eastAsia" w:ascii="宋体" w:hAnsi="宋体"/>
          <w:color w:val="auto"/>
          <w:sz w:val="24"/>
          <w:highlight w:val="none"/>
        </w:rPr>
        <w:t xml:space="preserve">项</w:t>
      </w:r>
      <w:r>
        <w:rPr>
          <w:rFonts w:ascii="宋体" w:hAnsi="宋体"/>
          <w:color w:val="auto"/>
          <w:sz w:val="24"/>
          <w:highlight w:val="none"/>
        </w:rPr>
        <w:t xml:space="preserve">每天万分之四支付逾期</w:t>
      </w:r>
      <w:r>
        <w:rPr>
          <w:rFonts w:hint="eastAsia" w:ascii="宋体" w:hAnsi="宋体"/>
          <w:color w:val="auto"/>
          <w:sz w:val="24"/>
          <w:highlight w:val="none"/>
        </w:rPr>
        <w:t xml:space="preserve">服务</w:t>
      </w:r>
      <w:r>
        <w:rPr>
          <w:rFonts w:ascii="宋体" w:hAnsi="宋体"/>
          <w:color w:val="auto"/>
          <w:sz w:val="24"/>
          <w:highlight w:val="none"/>
        </w:rPr>
        <w:t xml:space="preserve">违约金，同时承担甲方因此遭致的损失费用。</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5</w:t>
      </w:r>
      <w:r>
        <w:rPr>
          <w:rFonts w:ascii="宋体" w:hAnsi="宋体"/>
          <w:b/>
          <w:color w:val="auto"/>
          <w:sz w:val="24"/>
          <w:highlight w:val="none"/>
        </w:rPr>
        <w:t xml:space="preserve">.  不可抗力</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5</w:t>
      </w:r>
      <w:r>
        <w:rPr>
          <w:rFonts w:ascii="宋体" w:hAnsi="宋体"/>
          <w:color w:val="auto"/>
          <w:sz w:val="24"/>
          <w:highlight w:val="none"/>
        </w:rPr>
        <w:t xml:space="preserve">.1  因不可抗力不能履行合同的，根据不可抗力的影响，部分或者全部免除责任。但合同一方迟延履行后发生不可抗力的，不能免除责任。</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5</w:t>
      </w:r>
      <w:r>
        <w:rPr>
          <w:rFonts w:ascii="宋体" w:hAnsi="宋体"/>
          <w:color w:val="auto"/>
          <w:sz w:val="24"/>
          <w:highlight w:val="none"/>
        </w:rPr>
        <w:t xml:space="preserve">.2  合同一方因不可抗力不能履行合同的，应当及时通知对方，以减轻可能给对方造成的损失，并应当在合理期限内提供证明。</w:t>
      </w:r>
      <w:r/>
    </w:p>
    <w:p>
      <w:pPr>
        <w:spacing w:line="440" w:lineRule="exact"/>
        <w:rPr>
          <w:rFonts w:ascii="宋体" w:hAnsi="宋体"/>
          <w:b/>
          <w:color w:val="auto"/>
          <w:sz w:val="24"/>
          <w:highlight w:val="none"/>
        </w:rPr>
      </w:pPr>
      <w:r>
        <w:rPr>
          <w:rFonts w:ascii="宋体" w:hAnsi="宋体"/>
          <w:b/>
          <w:color w:val="auto"/>
          <w:sz w:val="24"/>
          <w:highlight w:val="none"/>
        </w:rPr>
        <w:t xml:space="preserve">七、索赔</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6  </w:t>
      </w:r>
      <w:r>
        <w:rPr>
          <w:rFonts w:ascii="宋体" w:hAnsi="宋体"/>
          <w:b/>
          <w:color w:val="auto"/>
          <w:sz w:val="24"/>
          <w:highlight w:val="none"/>
        </w:rPr>
        <w:t xml:space="preserve">索赔：</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6</w:t>
      </w:r>
      <w:r>
        <w:rPr>
          <w:rFonts w:ascii="宋体" w:hAnsi="宋体"/>
          <w:color w:val="auto"/>
          <w:sz w:val="24"/>
          <w:highlight w:val="none"/>
        </w:rPr>
        <w:t xml:space="preserve">.1如在</w:t>
      </w:r>
      <w:r>
        <w:rPr>
          <w:rFonts w:hint="eastAsia" w:ascii="宋体" w:hAnsi="宋体"/>
          <w:color w:val="auto"/>
          <w:sz w:val="24"/>
          <w:highlight w:val="none"/>
        </w:rPr>
        <w:t xml:space="preserve">提供服务</w:t>
      </w:r>
      <w:r>
        <w:rPr>
          <w:rFonts w:ascii="宋体" w:hAnsi="宋体"/>
          <w:color w:val="auto"/>
          <w:sz w:val="24"/>
          <w:highlight w:val="none"/>
        </w:rPr>
        <w:t xml:space="preserve">使用过程中，甲方发现</w:t>
      </w:r>
      <w:r>
        <w:rPr>
          <w:rFonts w:hint="eastAsia" w:ascii="宋体" w:hAnsi="宋体"/>
          <w:color w:val="auto"/>
          <w:sz w:val="24"/>
          <w:highlight w:val="none"/>
        </w:rPr>
        <w:t xml:space="preserve">提供的服务</w:t>
      </w:r>
      <w:r>
        <w:rPr>
          <w:rFonts w:ascii="宋体" w:hAnsi="宋体"/>
          <w:color w:val="auto"/>
          <w:sz w:val="24"/>
          <w:highlight w:val="none"/>
        </w:rPr>
        <w:t xml:space="preserve">与合同内容有不符或者根据甲方按国家标准或行业标准自己检验的结果或当地技监部门的检验结果，或者在</w:t>
      </w:r>
      <w:r>
        <w:rPr>
          <w:rFonts w:hint="eastAsia" w:ascii="宋体" w:hAnsi="宋体"/>
          <w:color w:val="auto"/>
          <w:sz w:val="24"/>
          <w:highlight w:val="none"/>
        </w:rPr>
        <w:t xml:space="preserve">服务</w:t>
      </w:r>
      <w:r>
        <w:rPr>
          <w:rFonts w:ascii="宋体" w:hAnsi="宋体"/>
          <w:color w:val="auto"/>
          <w:sz w:val="24"/>
          <w:highlight w:val="none"/>
        </w:rPr>
        <w:t xml:space="preserve">内容</w:t>
      </w:r>
      <w:r>
        <w:rPr>
          <w:rFonts w:hint="eastAsia" w:ascii="宋体" w:hAnsi="宋体"/>
          <w:color w:val="auto"/>
          <w:sz w:val="24"/>
          <w:highlight w:val="none"/>
        </w:rPr>
        <w:t xml:space="preserve">、</w:t>
      </w:r>
      <w:r>
        <w:rPr>
          <w:rFonts w:ascii="宋体" w:hAnsi="宋体"/>
          <w:color w:val="auto"/>
          <w:sz w:val="24"/>
          <w:highlight w:val="none"/>
        </w:rPr>
        <w:t xml:space="preserve">规格与合同不符或证实</w:t>
      </w:r>
      <w:r>
        <w:rPr>
          <w:rFonts w:hint="eastAsia" w:ascii="宋体" w:hAnsi="宋体"/>
          <w:color w:val="auto"/>
          <w:sz w:val="24"/>
          <w:highlight w:val="none"/>
        </w:rPr>
        <w:t xml:space="preserve">服务</w:t>
      </w:r>
      <w:r>
        <w:rPr>
          <w:rFonts w:ascii="宋体" w:hAnsi="宋体"/>
          <w:color w:val="auto"/>
          <w:sz w:val="24"/>
          <w:highlight w:val="none"/>
        </w:rPr>
        <w:t xml:space="preserve">是有缺陷的，包括潜在缺陷等时，有权向乙方提出索赔，乙方在收到甲方索赔通知后2-5天内应免费</w:t>
      </w:r>
      <w:r>
        <w:rPr>
          <w:rFonts w:hint="eastAsia" w:ascii="宋体" w:hAnsi="宋体"/>
          <w:color w:val="auto"/>
          <w:sz w:val="24"/>
          <w:highlight w:val="none"/>
        </w:rPr>
        <w:t xml:space="preserve">服务</w:t>
      </w:r>
      <w:r>
        <w:rPr>
          <w:rFonts w:ascii="宋体" w:hAnsi="宋体"/>
          <w:color w:val="auto"/>
          <w:sz w:val="24"/>
          <w:highlight w:val="none"/>
        </w:rPr>
        <w:t xml:space="preserve">或弥补相应的缺陷。如果乙方在收到通知后5天内没有弥补缺陷，甲方可采取必要的补救措施，但风险和费用将由乙方承担，同时甲方对乙方行使的其它权利不受影响。</w:t>
      </w:r>
      <w:r>
        <w:rPr>
          <w:rFonts w:hint="eastAsia" w:ascii="宋体" w:hAnsi="宋体"/>
          <w:color w:val="auto"/>
          <w:sz w:val="24"/>
          <w:highlight w:val="none"/>
        </w:rPr>
        <w:t xml:space="preserve">甲方因补救措施所承担的应由乙方承担的费用，有权在甲方应支付给乙方的款项中直接扣除。</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6</w:t>
      </w:r>
      <w:r>
        <w:rPr>
          <w:rFonts w:ascii="宋体" w:hAnsi="宋体"/>
          <w:color w:val="auto"/>
          <w:sz w:val="24"/>
          <w:highlight w:val="none"/>
        </w:rPr>
        <w:t xml:space="preserve">.2索赔方式除上述规定之外，甲方还有权选择以下方式进行索赔：</w:t>
      </w:r>
      <w:r/>
    </w:p>
    <w:p>
      <w:pPr>
        <w:spacing w:line="440" w:lineRule="exact"/>
        <w:rPr>
          <w:rFonts w:ascii="宋体" w:hAnsi="宋体"/>
          <w:color w:val="auto"/>
          <w:sz w:val="24"/>
          <w:highlight w:val="none"/>
        </w:rPr>
      </w:pPr>
      <w:r>
        <w:rPr>
          <w:rFonts w:ascii="宋体" w:hAnsi="宋体"/>
          <w:color w:val="auto"/>
          <w:sz w:val="24"/>
          <w:highlight w:val="none"/>
        </w:rPr>
        <w:t xml:space="preserve">（1）乙方同意</w:t>
      </w:r>
      <w:r>
        <w:rPr>
          <w:rFonts w:hint="eastAsia" w:ascii="宋体" w:hAnsi="宋体"/>
          <w:color w:val="auto"/>
          <w:sz w:val="24"/>
          <w:highlight w:val="none"/>
        </w:rPr>
        <w:t xml:space="preserve">终止服务的</w:t>
      </w:r>
      <w:r>
        <w:rPr>
          <w:rFonts w:ascii="宋体" w:hAnsi="宋体"/>
          <w:color w:val="auto"/>
          <w:sz w:val="24"/>
          <w:highlight w:val="none"/>
        </w:rPr>
        <w:t xml:space="preserve">，并双倍返还定金及甲方已支付的合同款，并承担由此发生的一切损失和费用，包括甲方直接损失、利息、银行手续费、运费、保险费、仓储费、装卸费</w:t>
      </w:r>
      <w:r>
        <w:rPr>
          <w:rFonts w:hint="eastAsia" w:ascii="宋体" w:hAnsi="宋体"/>
          <w:color w:val="auto"/>
          <w:sz w:val="24"/>
          <w:highlight w:val="none"/>
        </w:rPr>
        <w:t xml:space="preserve">等</w:t>
      </w:r>
      <w:r>
        <w:rPr>
          <w:rFonts w:ascii="宋体" w:hAnsi="宋体"/>
          <w:color w:val="auto"/>
          <w:sz w:val="24"/>
          <w:highlight w:val="none"/>
        </w:rPr>
        <w:t xml:space="preserve">所需的其它必要费用。</w:t>
      </w:r>
      <w:r/>
    </w:p>
    <w:p>
      <w:pPr>
        <w:spacing w:line="440" w:lineRule="exact"/>
        <w:rPr>
          <w:rFonts w:ascii="宋体" w:hAnsi="宋体"/>
          <w:color w:val="auto"/>
          <w:sz w:val="24"/>
          <w:highlight w:val="none"/>
        </w:rPr>
      </w:pPr>
      <w:r>
        <w:rPr>
          <w:rFonts w:ascii="宋体" w:hAnsi="宋体"/>
          <w:color w:val="auto"/>
          <w:sz w:val="24"/>
          <w:highlight w:val="none"/>
        </w:rPr>
        <w:t xml:space="preserve">（2）根据甲方遭受损失的数额，经甲乙双方商定降低</w:t>
      </w:r>
      <w:r>
        <w:rPr>
          <w:rFonts w:hint="eastAsia" w:ascii="宋体" w:hAnsi="宋体"/>
          <w:color w:val="auto"/>
          <w:sz w:val="24"/>
          <w:highlight w:val="none"/>
        </w:rPr>
        <w:t xml:space="preserve">服务</w:t>
      </w:r>
      <w:r>
        <w:rPr>
          <w:rFonts w:ascii="宋体" w:hAnsi="宋体"/>
          <w:color w:val="auto"/>
          <w:sz w:val="24"/>
          <w:highlight w:val="none"/>
        </w:rPr>
        <w:t xml:space="preserve">的价格。</w:t>
      </w:r>
      <w:r/>
    </w:p>
    <w:p>
      <w:pPr>
        <w:spacing w:line="440" w:lineRule="exact"/>
        <w:rPr>
          <w:rFonts w:ascii="宋体" w:hAnsi="宋体"/>
          <w:color w:val="auto"/>
          <w:sz w:val="24"/>
          <w:highlight w:val="none"/>
        </w:rPr>
      </w:pPr>
      <w:r>
        <w:rPr>
          <w:rFonts w:ascii="宋体" w:hAnsi="宋体"/>
          <w:color w:val="auto"/>
          <w:sz w:val="24"/>
          <w:highlight w:val="none"/>
        </w:rPr>
        <w:t xml:space="preserve">（3）乙方应承担一切费用和风险并负担甲方所发生的一切直接费用。同时，乙方应按合同规定，相应延长</w:t>
      </w:r>
      <w:r>
        <w:rPr>
          <w:rFonts w:hint="eastAsia" w:ascii="宋体" w:hAnsi="宋体"/>
          <w:color w:val="auto"/>
          <w:sz w:val="24"/>
          <w:highlight w:val="none"/>
        </w:rPr>
        <w:t xml:space="preserve">服务</w:t>
      </w:r>
      <w:r>
        <w:rPr>
          <w:rFonts w:ascii="宋体" w:hAnsi="宋体"/>
          <w:color w:val="auto"/>
          <w:sz w:val="24"/>
          <w:highlight w:val="none"/>
        </w:rPr>
        <w:t xml:space="preserve">期。</w:t>
      </w:r>
      <w:r/>
    </w:p>
    <w:p>
      <w:pPr>
        <w:spacing w:line="440" w:lineRule="exact"/>
        <w:rPr>
          <w:rFonts w:ascii="宋体" w:hAnsi="宋体"/>
          <w:color w:val="auto"/>
          <w:sz w:val="24"/>
          <w:highlight w:val="none"/>
        </w:rPr>
      </w:pPr>
      <w:r>
        <w:rPr>
          <w:rFonts w:ascii="宋体" w:hAnsi="宋体"/>
          <w:color w:val="auto"/>
          <w:sz w:val="24"/>
          <w:highlight w:val="none"/>
        </w:rPr>
        <w:t xml:space="preserve">（4）从尚未支付的合同价款扣除乙方应承担的违约金、赔偿金以及各种费用因索赔而发生的合理费用，包括律师费用。如果这些金额不足以补偿索赔金额，甲方有权向乙方提出对不足部分的补偿。</w:t>
      </w:r>
      <w:r/>
    </w:p>
    <w:p>
      <w:pPr>
        <w:spacing w:line="440" w:lineRule="exact"/>
        <w:rPr>
          <w:rFonts w:ascii="宋体" w:hAnsi="宋体"/>
          <w:b/>
          <w:color w:val="auto"/>
          <w:sz w:val="24"/>
          <w:highlight w:val="none"/>
        </w:rPr>
      </w:pPr>
      <w:r>
        <w:rPr>
          <w:rFonts w:ascii="宋体" w:hAnsi="宋体"/>
          <w:b/>
          <w:color w:val="auto"/>
          <w:sz w:val="24"/>
          <w:highlight w:val="none"/>
        </w:rPr>
        <w:t xml:space="preserve">八、</w:t>
      </w:r>
      <w:r>
        <w:rPr>
          <w:rFonts w:hint="eastAsia" w:ascii="宋体" w:hAnsi="宋体"/>
          <w:b/>
          <w:color w:val="auto"/>
          <w:sz w:val="24"/>
          <w:highlight w:val="none"/>
        </w:rPr>
        <w:t xml:space="preserve">履约保证金</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17.  履约保证金</w:t>
      </w:r>
      <w:r/>
    </w:p>
    <w:p>
      <w:pPr>
        <w:spacing w:line="440" w:lineRule="exact"/>
        <w:rPr>
          <w:rFonts w:ascii="宋体" w:hAnsi="宋体"/>
          <w:color w:val="auto"/>
          <w:sz w:val="24"/>
          <w:highlight w:val="none"/>
        </w:rPr>
      </w:pPr>
      <w:r>
        <w:rPr>
          <w:rFonts w:hint="eastAsia" w:ascii="宋体" w:hAnsi="宋体"/>
          <w:color w:val="auto"/>
          <w:sz w:val="24"/>
          <w:highlight w:val="none"/>
        </w:rPr>
        <w:t xml:space="preserve">17.1 乙方应在本合同签订时，按采购文件的约定提供相应的履约保证金。</w:t>
      </w:r>
      <w:r/>
    </w:p>
    <w:p>
      <w:pPr>
        <w:spacing w:line="440" w:lineRule="exact"/>
        <w:rPr>
          <w:rFonts w:ascii="宋体" w:hAnsi="宋体"/>
          <w:color w:val="auto"/>
          <w:sz w:val="24"/>
          <w:highlight w:val="none"/>
        </w:rPr>
      </w:pPr>
      <w:r>
        <w:rPr>
          <w:rFonts w:hint="eastAsia" w:ascii="宋体" w:hAnsi="宋体"/>
          <w:color w:val="auto"/>
          <w:sz w:val="24"/>
          <w:highlight w:val="none"/>
        </w:rPr>
        <w:t xml:space="preserve">17.2 如果乙方未能履行合同规定的任何义务，甲方有权从履约保证金中取得补偿。</w:t>
      </w:r>
      <w:r/>
    </w:p>
    <w:p>
      <w:pPr>
        <w:spacing w:line="440" w:lineRule="exact"/>
        <w:rPr>
          <w:rFonts w:ascii="宋体" w:hAnsi="宋体"/>
          <w:color w:val="auto"/>
          <w:sz w:val="24"/>
          <w:highlight w:val="none"/>
        </w:rPr>
      </w:pPr>
      <w:r>
        <w:rPr>
          <w:rFonts w:hint="eastAsia" w:ascii="宋体" w:hAnsi="宋体"/>
          <w:color w:val="auto"/>
          <w:sz w:val="24"/>
          <w:highlight w:val="none"/>
        </w:rPr>
        <w:t xml:space="preserve">17.3 履约保证金（无息）将在乙方履行完合同义务后，5个工作日内退回。</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九、</w:t>
      </w:r>
      <w:r>
        <w:rPr>
          <w:rFonts w:ascii="宋体" w:hAnsi="宋体"/>
          <w:b/>
          <w:color w:val="auto"/>
          <w:sz w:val="24"/>
          <w:highlight w:val="none"/>
        </w:rPr>
        <w:t xml:space="preserve">合同的解除和转让</w:t>
      </w:r>
      <w:r/>
    </w:p>
    <w:p>
      <w:pPr>
        <w:spacing w:line="440" w:lineRule="exact"/>
        <w:rPr>
          <w:rFonts w:ascii="宋体" w:hAnsi="宋体"/>
          <w:b/>
          <w:color w:val="auto"/>
          <w:sz w:val="24"/>
          <w:highlight w:val="none"/>
        </w:rPr>
      </w:pPr>
      <w:r>
        <w:rPr>
          <w:rFonts w:ascii="宋体" w:hAnsi="宋体"/>
          <w:b/>
          <w:color w:val="auto"/>
          <w:sz w:val="24"/>
          <w:highlight w:val="none"/>
        </w:rPr>
        <w:t xml:space="preserve">18.  合同的解除</w:t>
      </w:r>
      <w:r/>
    </w:p>
    <w:p>
      <w:pPr>
        <w:spacing w:line="440" w:lineRule="exact"/>
        <w:rPr>
          <w:rFonts w:ascii="宋体" w:hAnsi="宋体"/>
          <w:color w:val="auto"/>
          <w:sz w:val="24"/>
          <w:highlight w:val="none"/>
        </w:rPr>
      </w:pPr>
      <w:r>
        <w:rPr>
          <w:rFonts w:ascii="宋体" w:hAnsi="宋体"/>
          <w:color w:val="auto"/>
          <w:sz w:val="24"/>
          <w:highlight w:val="none"/>
        </w:rPr>
        <w:t xml:space="preserve">18.1有下列情形之一，合同一方可以解除合同：</w:t>
      </w:r>
      <w:r/>
    </w:p>
    <w:p>
      <w:pPr>
        <w:spacing w:line="440" w:lineRule="exact"/>
        <w:rPr>
          <w:rFonts w:ascii="宋体" w:hAnsi="宋体"/>
          <w:color w:val="auto"/>
          <w:sz w:val="24"/>
          <w:highlight w:val="none"/>
        </w:rPr>
      </w:pPr>
      <w:r>
        <w:rPr>
          <w:rFonts w:ascii="宋体" w:hAnsi="宋体"/>
          <w:color w:val="auto"/>
          <w:sz w:val="24"/>
          <w:highlight w:val="none"/>
        </w:rPr>
        <w:t xml:space="preserve">18.1.1 因不可抗力致使不能实现合同目的，未受不可抗力影响的一方有权解除合同；</w:t>
      </w:r>
      <w:r/>
    </w:p>
    <w:p>
      <w:pPr>
        <w:spacing w:line="440" w:lineRule="exact"/>
        <w:rPr>
          <w:rFonts w:ascii="宋体" w:hAnsi="宋体"/>
          <w:color w:val="auto"/>
          <w:sz w:val="24"/>
          <w:highlight w:val="none"/>
        </w:rPr>
      </w:pPr>
      <w:r>
        <w:rPr>
          <w:rFonts w:ascii="宋体" w:hAnsi="宋体"/>
          <w:color w:val="auto"/>
          <w:sz w:val="24"/>
          <w:highlight w:val="none"/>
        </w:rPr>
        <w:t xml:space="preserve">18.1.2 因合同一方违约导致合同不能履行，另一方有权解除合同；</w:t>
      </w:r>
      <w:r/>
    </w:p>
    <w:p>
      <w:pPr>
        <w:spacing w:line="440" w:lineRule="exact"/>
        <w:rPr>
          <w:rFonts w:ascii="宋体" w:hAnsi="宋体"/>
          <w:color w:val="auto"/>
          <w:sz w:val="24"/>
          <w:highlight w:val="none"/>
        </w:rPr>
      </w:pPr>
      <w:r>
        <w:rPr>
          <w:rFonts w:ascii="宋体" w:hAnsi="宋体"/>
          <w:color w:val="auto"/>
          <w:sz w:val="24"/>
          <w:highlight w:val="none"/>
        </w:rPr>
        <w:t xml:space="preserve">18.2 有权解除合同的一方，应当在违约事实或不可抗力发生之后三十天内书面通知对方以主张解除合同，合同在书面通知到达对方时解除。</w:t>
      </w:r>
      <w:r/>
    </w:p>
    <w:p>
      <w:pPr>
        <w:spacing w:line="44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9</w:t>
      </w:r>
      <w:r>
        <w:rPr>
          <w:rFonts w:ascii="宋体" w:hAnsi="宋体"/>
          <w:b/>
          <w:color w:val="auto"/>
          <w:sz w:val="24"/>
          <w:highlight w:val="none"/>
        </w:rPr>
        <w:t xml:space="preserve">.  合同的转让</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.1本合同不得以任何形式转让，否则视为乙方违约，甲方可以单方解除本合同，由此造成甲方的损失由乙方承担赔偿（包括但不限于诉讼费、合理律师费等）。</w:t>
      </w:r>
      <w:r/>
    </w:p>
    <w:p>
      <w:pPr>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.2本合同未经甲方书面同意不得以任何形式的转让或分包，否则视为乙方违约，甲方可以单方解除本合同，由此造成甲方的损失由乙方承担赔偿（包括但不限于诉讼费、合理律师费等）。</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十</w:t>
      </w:r>
      <w:r>
        <w:rPr>
          <w:rFonts w:ascii="宋体" w:hAnsi="宋体"/>
          <w:b/>
          <w:color w:val="auto"/>
          <w:sz w:val="24"/>
          <w:highlight w:val="none"/>
        </w:rPr>
        <w:t xml:space="preserve">、合同的生效</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20</w:t>
      </w:r>
      <w:r>
        <w:rPr>
          <w:rFonts w:ascii="宋体" w:hAnsi="宋体"/>
          <w:b/>
          <w:color w:val="auto"/>
          <w:sz w:val="24"/>
          <w:highlight w:val="none"/>
        </w:rPr>
        <w:t xml:space="preserve">.  合同的生效</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本合同在双方签字盖章后即生效，同时还需至</w:t>
      </w:r>
      <w:r>
        <w:rPr>
          <w:rFonts w:hint="eastAsia" w:ascii="宋体" w:hAnsi="宋体"/>
          <w:color w:val="auto"/>
          <w:sz w:val="24"/>
          <w:highlight w:val="none"/>
        </w:rPr>
        <w:t xml:space="preserve">江苏启越工程管理有限公司</w:t>
      </w:r>
      <w:r>
        <w:rPr>
          <w:rFonts w:ascii="宋体" w:hAnsi="宋体"/>
          <w:color w:val="auto"/>
          <w:sz w:val="24"/>
          <w:highlight w:val="none"/>
        </w:rPr>
        <w:t xml:space="preserve">加盖备案章。</w:t>
      </w:r>
      <w:r/>
    </w:p>
    <w:p>
      <w:pPr>
        <w:spacing w:line="440" w:lineRule="exact"/>
        <w:rPr>
          <w:rFonts w:ascii="宋体" w:hAnsi="宋体"/>
          <w:b/>
          <w:color w:val="auto"/>
          <w:sz w:val="24"/>
          <w:highlight w:val="none"/>
        </w:rPr>
      </w:pPr>
      <w:r>
        <w:rPr>
          <w:rFonts w:ascii="宋体" w:hAnsi="宋体"/>
          <w:b/>
          <w:color w:val="auto"/>
          <w:sz w:val="24"/>
          <w:highlight w:val="none"/>
        </w:rPr>
        <w:t xml:space="preserve">十一、争议解决</w:t>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21</w:t>
      </w:r>
      <w:r>
        <w:rPr>
          <w:rFonts w:ascii="宋体" w:hAnsi="宋体"/>
          <w:b/>
          <w:color w:val="auto"/>
          <w:sz w:val="24"/>
          <w:highlight w:val="none"/>
        </w:rPr>
        <w:t xml:space="preserve">.  争议解决</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甲乙双方因合同发生争议，应在采购代理机构的主持下进行调解，协商不成，任何一方可以向甲方所在地人民法院起诉。</w:t>
      </w:r>
      <w:r/>
    </w:p>
    <w:p>
      <w:pPr>
        <w:spacing w:line="440" w:lineRule="exact"/>
        <w:rPr>
          <w:rFonts w:ascii="宋体" w:hAnsi="宋体"/>
          <w:b/>
          <w:color w:val="auto"/>
          <w:sz w:val="24"/>
          <w:highlight w:val="none"/>
        </w:rPr>
      </w:pPr>
      <w:r>
        <w:rPr>
          <w:rFonts w:ascii="宋体" w:hAnsi="宋体"/>
          <w:b/>
          <w:color w:val="auto"/>
          <w:sz w:val="24"/>
          <w:highlight w:val="none"/>
        </w:rPr>
        <w:t xml:space="preserve">十二、附则</w:t>
      </w:r>
      <w:r/>
    </w:p>
    <w:p>
      <w:pPr>
        <w:spacing w:line="440" w:lineRule="exact"/>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2</w:t>
      </w:r>
      <w:r>
        <w:rPr>
          <w:rFonts w:ascii="宋体" w:hAnsi="宋体"/>
          <w:b/>
          <w:color w:val="auto"/>
          <w:sz w:val="24"/>
          <w:highlight w:val="none"/>
        </w:rPr>
        <w:t xml:space="preserve">.  合同份数。</w:t>
      </w:r>
      <w:r/>
    </w:p>
    <w:p>
      <w:pPr>
        <w:ind w:firstLine="480"/>
        <w:spacing w:line="440" w:lineRule="exact"/>
        <w:rPr>
          <w:rFonts w:ascii="宋体" w:hAnsi="宋体"/>
          <w:b/>
          <w:color w:val="auto"/>
          <w:sz w:val="24"/>
          <w:highlight w:val="none"/>
        </w:rPr>
      </w:pPr>
      <w:r>
        <w:rPr>
          <w:rFonts w:ascii="宋体" w:hAnsi="宋体"/>
          <w:color w:val="auto"/>
          <w:sz w:val="24"/>
          <w:highlight w:val="none"/>
        </w:rPr>
        <w:t xml:space="preserve">本合同一式</w:t>
      </w:r>
      <w:r>
        <w:rPr>
          <w:rFonts w:hint="eastAsia" w:ascii="宋体" w:hAnsi="宋体"/>
          <w:color w:val="auto"/>
          <w:sz w:val="24"/>
          <w:highlight w:val="none"/>
        </w:rPr>
        <w:t xml:space="preserve">五</w:t>
      </w:r>
      <w:r>
        <w:rPr>
          <w:rFonts w:ascii="宋体" w:hAnsi="宋体"/>
          <w:color w:val="auto"/>
          <w:sz w:val="24"/>
          <w:highlight w:val="none"/>
        </w:rPr>
        <w:t xml:space="preserve">份，甲方</w:t>
      </w:r>
      <w:r>
        <w:rPr>
          <w:rFonts w:hint="eastAsia" w:ascii="宋体" w:hAnsi="宋体"/>
          <w:color w:val="auto"/>
          <w:sz w:val="24"/>
          <w:highlight w:val="none"/>
        </w:rPr>
        <w:t xml:space="preserve">二</w:t>
      </w:r>
      <w:r>
        <w:rPr>
          <w:rFonts w:ascii="宋体" w:hAnsi="宋体"/>
          <w:color w:val="auto"/>
          <w:sz w:val="24"/>
          <w:highlight w:val="none"/>
        </w:rPr>
        <w:t xml:space="preserve">份，乙方</w:t>
      </w:r>
      <w:r>
        <w:rPr>
          <w:rFonts w:hint="eastAsia" w:ascii="宋体" w:hAnsi="宋体"/>
          <w:color w:val="auto"/>
          <w:sz w:val="24"/>
          <w:highlight w:val="none"/>
        </w:rPr>
        <w:t xml:space="preserve">二</w:t>
      </w:r>
      <w:r>
        <w:rPr>
          <w:rFonts w:ascii="宋体" w:hAnsi="宋体"/>
          <w:color w:val="auto"/>
          <w:sz w:val="24"/>
          <w:highlight w:val="none"/>
        </w:rPr>
        <w:t xml:space="preserve">份，</w:t>
      </w:r>
      <w:r>
        <w:rPr>
          <w:rFonts w:hint="eastAsia" w:ascii="宋体" w:hAnsi="宋体"/>
          <w:color w:val="auto"/>
          <w:sz w:val="24"/>
          <w:highlight w:val="none"/>
        </w:rPr>
        <w:t xml:space="preserve">代理机构</w:t>
      </w:r>
      <w:r>
        <w:rPr>
          <w:rFonts w:ascii="宋体" w:hAnsi="宋体"/>
          <w:color w:val="auto"/>
          <w:sz w:val="24"/>
          <w:highlight w:val="none"/>
        </w:rPr>
        <w:t xml:space="preserve">一份。</w:t>
      </w:r>
      <w:r/>
    </w:p>
    <w:p>
      <w:pPr>
        <w:spacing w:line="440" w:lineRule="exact"/>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  未尽事宜</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本合同未尽事宜应按《中华人民共和国民法典》、《中华人民共和国产品质量法》、《中华人民共和国政府采购法》及其他有关政府采购的法律法规之规定解释。</w:t>
      </w:r>
      <w:r/>
    </w:p>
    <w:p>
      <w:pPr>
        <w:spacing w:line="440" w:lineRule="exact"/>
        <w:rPr>
          <w:rFonts w:ascii="宋体" w:hAnsi="宋体"/>
          <w:color w:val="auto"/>
          <w:sz w:val="24"/>
          <w:highlight w:val="none"/>
        </w:rPr>
      </w:pPr>
      <w:r>
        <w:rPr>
          <w:rFonts w:ascii="宋体" w:hAnsi="宋体"/>
          <w:color w:val="auto"/>
          <w:sz w:val="24"/>
          <w:highlight w:val="none"/>
        </w:rPr>
      </w:r>
      <w:r/>
    </w:p>
    <w:p>
      <w:pPr>
        <w:jc w:val="both"/>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合同主要条款</w:t>
      </w:r>
      <w:r/>
    </w:p>
    <w:p>
      <w:pPr>
        <w:pStyle w:val="1143"/>
        <w:rPr>
          <w:rFonts w:hint="eastAsia"/>
          <w:color w:val="auto"/>
          <w:highlight w:val="none"/>
        </w:rPr>
      </w:pPr>
      <w:r>
        <w:rPr>
          <w:rFonts w:hint="eastAsia"/>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甲方（采购单位）：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乙方（中标单位）：                 </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根据《中华人民共和国</w:t>
      </w:r>
      <w:r>
        <w:rPr>
          <w:rFonts w:hint="eastAsia" w:ascii="宋体" w:hAnsi="宋体" w:cs="宋体"/>
          <w:color w:val="auto"/>
          <w:sz w:val="24"/>
          <w:szCs w:val="24"/>
          <w:highlight w:val="none"/>
          <w:lang w:val="en-US" w:eastAsia="zh-CN"/>
        </w:rPr>
        <w:t xml:space="preserve">民法典</w:t>
      </w:r>
      <w:r>
        <w:rPr>
          <w:rFonts w:hint="eastAsia" w:ascii="宋体" w:hAnsi="宋体" w:cs="宋体"/>
          <w:color w:val="auto"/>
          <w:sz w:val="24"/>
          <w:szCs w:val="24"/>
          <w:highlight w:val="none"/>
        </w:rPr>
        <w:t xml:space="preserve">》等法律法规的规定，甲、乙双方按照</w:t>
      </w:r>
      <w:r>
        <w:rPr>
          <w:rFonts w:hint="eastAsia" w:ascii="宋体" w:hAnsi="宋体" w:cs="宋体"/>
          <w:color w:val="auto"/>
          <w:sz w:val="24"/>
          <w:szCs w:val="24"/>
          <w:highlight w:val="none"/>
          <w:lang w:val="en-US" w:eastAsia="zh-CN"/>
        </w:rPr>
        <w:t xml:space="preserve">江苏启越工程管理有限公司</w:t>
      </w:r>
      <w:r>
        <w:rPr>
          <w:rFonts w:hint="eastAsia" w:ascii="宋体" w:hAnsi="宋体" w:cs="宋体"/>
          <w:color w:val="auto"/>
          <w:sz w:val="24"/>
          <w:szCs w:val="24"/>
          <w:highlight w:val="none"/>
        </w:rPr>
        <w:t xml:space="preserve">的关于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）的招标结果，签订本合同。</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第一条 服务范围</w:t>
      </w:r>
      <w:r/>
    </w:p>
    <w:p>
      <w:pPr>
        <w:ind w:left="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甲方聘请乙方提供以下服务：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（1）服务内容：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（2）服务标准：按照采购文件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要求执行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lang w:val="en-US" w:eastAsia="zh-CN"/>
        </w:rPr>
        <w:t xml:space="preserve">合同履行期限</w:t>
      </w:r>
      <w:r>
        <w:rPr>
          <w:rFonts w:hint="eastAsia" w:ascii="宋体" w:hAnsi="宋体"/>
          <w:color w:val="auto"/>
          <w:sz w:val="24"/>
          <w:szCs w:val="24"/>
          <w:highlight w:val="none"/>
        </w:rPr>
        <w:t xml:space="preserve">：</w:t>
      </w:r>
      <w:r>
        <w:rPr>
          <w:rFonts w:hint="eastAsia" w:ascii="宋体" w:hAnsi="宋体" w:cs="宋体"/>
          <w:color w:val="auto"/>
          <w:sz w:val="24"/>
          <w:szCs w:val="24"/>
          <w:highlight w:val="none"/>
          <w:lang w:val="en-US" w:eastAsia="zh-CN"/>
        </w:rPr>
        <w:t xml:space="preserve">1年</w:t>
      </w:r>
      <w:r>
        <w:rPr>
          <w:rFonts w:hint="eastAsia" w:ascii="宋体" w:hAnsi="宋体" w:cs="宋体"/>
          <w:color w:val="auto"/>
          <w:sz w:val="24"/>
          <w:szCs w:val="24"/>
          <w:highlight w:val="none"/>
        </w:rPr>
        <w:t xml:space="preserve">。</w:t>
      </w:r>
      <w:r/>
    </w:p>
    <w:p>
      <w:pPr>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第二条 组成本合同的有关文件 </w:t>
      </w:r>
      <w:r>
        <w:rPr>
          <w:rFonts w:hint="eastAsia" w:ascii="宋体" w:hAnsi="宋体" w:cs="宋体"/>
          <w:color w:val="auto"/>
          <w:sz w:val="24"/>
          <w:szCs w:val="24"/>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4"/>
        </w:num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招标采购文件（编号：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numPr>
          <w:ilvl w:val="0"/>
          <w:numId w:val="4"/>
        </w:num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乙方提供的投标文件和投标报价表；           </w:t>
      </w:r>
      <w:r/>
    </w:p>
    <w:p>
      <w:pPr>
        <w:numPr>
          <w:ilvl w:val="0"/>
          <w:numId w:val="4"/>
        </w:num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乙方在</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过程中所作的其他承诺、声明、书面澄清等；</w:t>
      </w:r>
      <w:r/>
    </w:p>
    <w:p>
      <w:pPr>
        <w:numPr>
          <w:ilvl w:val="0"/>
          <w:numId w:val="4"/>
        </w:num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                               </w:t>
      </w:r>
      <w:r/>
    </w:p>
    <w:p>
      <w:pPr>
        <w:numPr>
          <w:ilvl w:val="0"/>
          <w:numId w:val="4"/>
        </w:num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甲乙双方商定的其他文件等。</w:t>
      </w:r>
      <w:r/>
    </w:p>
    <w:p>
      <w:pPr>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第三条 合同总价款 </w:t>
      </w:r>
      <w:r>
        <w:rPr>
          <w:rFonts w:hint="eastAsia" w:ascii="宋体" w:hAnsi="宋体" w:cs="宋体"/>
          <w:color w:val="auto"/>
          <w:sz w:val="24"/>
          <w:szCs w:val="24"/>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1、合同价格按此次成交价格执行，合同总金额为人民币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（大写）人民币，小写：（￥：           ）元整。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甲方不再支付其他费用</w:t>
      </w:r>
      <w:r>
        <w:rPr>
          <w:rFonts w:hint="eastAsia" w:ascii="宋体" w:hAnsi="宋体" w:cs="宋体"/>
          <w:color w:val="auto"/>
          <w:sz w:val="24"/>
          <w:szCs w:val="24"/>
          <w:highlight w:val="none"/>
        </w:rPr>
        <w:t xml:space="preserve">。</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第四条 合同款支付</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1、本合同项下所有款项均以人民币支付。</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2、本合同项下的采购资金由甲方自行支付，乙方向甲方开具发票。</w:t>
      </w:r>
      <w:r/>
    </w:p>
    <w:p>
      <w:pPr>
        <w:ind w:firstLine="480"/>
        <w:spacing w:line="440" w:lineRule="exact"/>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3、根据现行税法对乙方征收的与本合同有关的一切税费均由乙方承担。</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4、付款步骤、方式：</w:t>
      </w:r>
      <w:r/>
    </w:p>
    <w:p>
      <w:pPr>
        <w:ind w:firstLine="240"/>
        <w:spacing w:line="360" w:lineRule="auto"/>
        <w:tabs>
          <w:tab w:val="center" w:pos="5131" w:leader="none"/>
        </w:tabs>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甲方根据甲乙双方确认的工程量清单</w:t>
      </w:r>
      <w:r>
        <w:rPr>
          <w:rFonts w:hint="eastAsia" w:hAnsi="宋体"/>
          <w:color w:val="auto"/>
          <w:sz w:val="24"/>
          <w:szCs w:val="24"/>
          <w:highlight w:val="none"/>
          <w:lang w:val="en-US" w:eastAsia="zh-CN"/>
        </w:rPr>
        <w:t xml:space="preserve">一次性</w:t>
      </w:r>
      <w:r>
        <w:rPr>
          <w:rFonts w:hint="eastAsia" w:hAnsi="宋体"/>
          <w:color w:val="auto"/>
          <w:sz w:val="24"/>
          <w:szCs w:val="24"/>
          <w:highlight w:val="none"/>
        </w:rPr>
        <w:t xml:space="preserve">支付实际工程款。结算依据为调查报告需通过专家评审并完成市生态环境局和市资规局备案</w:t>
      </w:r>
      <w:r>
        <w:rPr>
          <w:rFonts w:hAnsi="宋体"/>
          <w:color w:val="auto"/>
          <w:sz w:val="24"/>
          <w:szCs w:val="24"/>
          <w:highlight w:val="none"/>
        </w:rPr>
        <w:t xml:space="preserve">。</w:t>
      </w:r>
      <w:r/>
    </w:p>
    <w:p>
      <w:pPr>
        <w:ind w:firstLine="240"/>
        <w:spacing w:line="360" w:lineRule="auto"/>
        <w:tabs>
          <w:tab w:val="left" w:pos="552" w:leader="none"/>
        </w:tabs>
        <w:rPr>
          <w:rFonts w:hAnsi="宋体"/>
          <w:color w:val="auto"/>
          <w:sz w:val="24"/>
          <w:szCs w:val="24"/>
          <w:highlight w:val="none"/>
        </w:rPr>
      </w:pPr>
      <w:r>
        <w:rPr>
          <w:rFonts w:hAnsi="宋体"/>
          <w:color w:val="auto"/>
          <w:sz w:val="24"/>
          <w:szCs w:val="24"/>
          <w:highlight w:val="none"/>
        </w:rPr>
        <w:t xml:space="preserve">（2）甲方每次付款时，乙方需</w:t>
      </w:r>
      <w:r>
        <w:rPr>
          <w:rFonts w:hint="eastAsia" w:hAnsi="宋体"/>
          <w:color w:val="auto"/>
          <w:sz w:val="24"/>
          <w:szCs w:val="24"/>
          <w:highlight w:val="none"/>
        </w:rPr>
        <w:t xml:space="preserve">提供经专家评审通过后的最终版调查报告（含附件）、符合业主要求的项目工作量清单及</w:t>
      </w:r>
      <w:r>
        <w:rPr>
          <w:rFonts w:hAnsi="宋体"/>
          <w:color w:val="auto"/>
          <w:sz w:val="24"/>
          <w:szCs w:val="24"/>
          <w:highlight w:val="none"/>
        </w:rPr>
        <w:t xml:space="preserve">等额票据</w:t>
      </w:r>
      <w:r>
        <w:rPr>
          <w:rFonts w:hint="eastAsia" w:hAnsi="宋体"/>
          <w:color w:val="auto"/>
          <w:sz w:val="24"/>
          <w:szCs w:val="24"/>
          <w:highlight w:val="none"/>
        </w:rPr>
        <w:t xml:space="preserve">等</w:t>
      </w:r>
      <w:r>
        <w:rPr>
          <w:rFonts w:hAnsi="宋体"/>
          <w:color w:val="auto"/>
          <w:sz w:val="24"/>
          <w:szCs w:val="24"/>
          <w:highlight w:val="none"/>
        </w:rPr>
        <w:t xml:space="preserve">。</w:t>
      </w:r>
      <w:r/>
    </w:p>
    <w:p>
      <w:pPr>
        <w:ind w:firstLine="240"/>
        <w:spacing w:line="440" w:lineRule="exact"/>
        <w:rPr>
          <w:rFonts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3</w:t>
      </w:r>
      <w:r>
        <w:rPr>
          <w:rFonts w:hint="eastAsia" w:hAnsi="宋体"/>
          <w:color w:val="auto"/>
          <w:sz w:val="24"/>
          <w:szCs w:val="24"/>
          <w:highlight w:val="none"/>
          <w:lang w:eastAsia="zh-CN"/>
        </w:rPr>
        <w:t xml:space="preserve">）</w:t>
      </w:r>
      <w:r>
        <w:rPr>
          <w:rFonts w:hAnsi="宋体"/>
          <w:color w:val="auto"/>
          <w:sz w:val="24"/>
          <w:szCs w:val="24"/>
          <w:highlight w:val="none"/>
        </w:rPr>
        <w:t xml:space="preserve">付款方式：银行汇票或转帐支票、网银汇款。</w:t>
      </w:r>
      <w:r/>
    </w:p>
    <w:p>
      <w:pPr>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第五条 甲、乙双方权利义务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1、甲方应当为保证项目服务的完成，给予乙方积极支持，为乙方提供项目实施的必要条件；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2、甲方应当按照本合同约定按时支付合同金额。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3、乙方提交的服务成果未经甲方书面许可，不得向任何第三方泄露。</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 乙方提供必要的技术培训，协助甲方完成其他需要中标单位配合的服务。</w:t>
      </w:r>
      <w:r/>
    </w:p>
    <w:p>
      <w:pPr>
        <w:ind w:firstLine="480"/>
        <w:spacing w:line="440" w:lineRule="exact"/>
        <w:tabs>
          <w:tab w:val="left" w:pos="540" w:leader="none"/>
        </w:tabs>
        <w:rPr>
          <w:rFonts w:ascii="宋体" w:hAnsi="宋体" w:cs="宋体"/>
          <w:b/>
          <w:color w:val="auto"/>
          <w:sz w:val="24"/>
          <w:szCs w:val="24"/>
          <w:highlight w:val="none"/>
        </w:rPr>
      </w:pPr>
      <w:r>
        <w:rPr>
          <w:rFonts w:hint="eastAsia" w:ascii="宋体" w:hAnsi="宋体" w:cs="宋体"/>
          <w:color w:val="auto"/>
          <w:sz w:val="24"/>
          <w:szCs w:val="24"/>
          <w:highlight w:val="none"/>
        </w:rPr>
        <w:t xml:space="preserve">5、乙方根据国家标准、行业标准和规范要求及标书规定的服务质量标准和有关要求，保质保量地完成服务工作。</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第六条 风险责任</w:t>
      </w:r>
      <w:r/>
    </w:p>
    <w:p>
      <w:pPr>
        <w:ind w:firstLine="480"/>
        <w:spacing w:line="440" w:lineRule="exact"/>
        <w:tabs>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根据甲乙双方协商确定。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第七条 合同的变更和终止</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1、本合同一经签订，甲乙双方不得擅自变更、中止或终止合同。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第八条 合同的转让</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1、乙方不得擅自部分或全部转让其应履行的合同义务。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2、乙方在履行合同过程中，不得将服务项目委托给第三方。</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第九条 不可抗力</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甲、乙方中任何一方，因不可抗力不能按时或完全履行合同的 ，应及时通知对方，并在5个工作日内提供相应证明。未履行完合同部分是否继续履行、如何履行等问题，可由双方初步协商，并向主管部门和采购管理部门报告。确定为不可抗力原因造成的损失，可以部分或全部免除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因合同一方迟延履行后发生不可抗力的，不能免除责任。</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第十条 争议的解决</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2、因履行本合同引起的或与本合同有关的争议，甲、乙双方应首先通过友好协商解决，如果协商不能解决争议，则采取以下第（ ）种方式解决争议：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lang w:val="en-US" w:eastAsia="zh-CN"/>
        </w:rPr>
        <w:t xml:space="preserve">太仓市</w:t>
      </w:r>
      <w:r>
        <w:rPr>
          <w:rFonts w:hint="eastAsia" w:ascii="宋体" w:hAnsi="宋体" w:cs="宋体"/>
          <w:color w:val="auto"/>
          <w:sz w:val="24"/>
          <w:szCs w:val="24"/>
          <w:highlight w:val="none"/>
        </w:rPr>
        <w:t xml:space="preserve">人民法院提起诉讼；</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（2）向甲方所在地仲裁委员会按其仲裁规则申请仲裁。</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如没有约定，默认采取第</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种方式解决争议。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3、在法院审理和仲裁期间，除有争议部分外，本合同其他部分应继续履行。</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第十一条 诚实信用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乙方应诚实信用，严格按照招标文件要求和投标承诺履行合同，不向甲方进行商业贿赂或者提供不正当利益。</w:t>
      </w:r>
      <w:r/>
    </w:p>
    <w:p>
      <w:pP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第十二条 合同生效及其他</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1、本合同自经甲乙双方授权代表签订并加盖公章或合同专用章后，自签订之日起生效。</w:t>
      </w:r>
      <w:r/>
    </w:p>
    <w:p>
      <w:pPr>
        <w:ind w:firstLine="480"/>
        <w:spacing w:line="440" w:lineRule="exact"/>
        <w:rPr>
          <w:rFonts w:ascii="宋体" w:hAnsi="宋体" w:cs="宋体"/>
          <w:dstrike/>
          <w:color w:val="auto"/>
          <w:sz w:val="24"/>
          <w:szCs w:val="24"/>
          <w:highlight w:val="none"/>
        </w:rPr>
      </w:pPr>
      <w:r>
        <w:rPr>
          <w:rFonts w:hint="eastAsia" w:ascii="宋体" w:hAnsi="宋体" w:cs="宋体"/>
          <w:color w:val="auto"/>
          <w:sz w:val="24"/>
          <w:szCs w:val="24"/>
          <w:highlight w:val="none"/>
        </w:rPr>
        <w:t xml:space="preserve">2、本合同一式伍份，甲乙双方各执贰份，招标代理机构执壹份存档。</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3、本合同应按照中华人民共和国的现行法律进行解释。</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甲方（盖章）                                 乙方（盖章）：</w:t>
      </w:r>
      <w:r/>
    </w:p>
    <w:p>
      <w:pPr>
        <w:rPr>
          <w:rFonts w:ascii="宋体" w:hAnsi="宋体"/>
          <w:color w:val="auto"/>
          <w:sz w:val="24"/>
          <w:szCs w:val="24"/>
          <w:highlight w:val="none"/>
        </w:rPr>
      </w:pPr>
      <w:r>
        <w:rPr>
          <w:rFonts w:hint="eastAsia" w:ascii="宋体" w:hAnsi="宋体"/>
          <w:color w:val="auto"/>
          <w:sz w:val="24"/>
          <w:szCs w:val="24"/>
          <w:highlight w:val="none"/>
        </w:rPr>
        <w:t xml:space="preserve">甲方代表：                                   乙方代表：</w:t>
      </w:r>
      <w:r/>
    </w:p>
    <w:p>
      <w:pPr>
        <w:rPr>
          <w:rFonts w:ascii="宋体" w:hAnsi="宋体"/>
          <w:color w:val="auto"/>
          <w:sz w:val="24"/>
          <w:szCs w:val="24"/>
          <w:highlight w:val="none"/>
        </w:rPr>
      </w:pPr>
      <w:r>
        <w:rPr>
          <w:rFonts w:hint="eastAsia" w:ascii="宋体" w:hAnsi="宋体"/>
          <w:color w:val="auto"/>
          <w:sz w:val="24"/>
          <w:szCs w:val="24"/>
          <w:highlight w:val="none"/>
        </w:rPr>
        <w:t xml:space="preserve">日期：    年   月   日                       日期：    年   月   日</w:t>
      </w:r>
      <w:r/>
    </w:p>
    <w:p>
      <w:pPr>
        <w:rPr>
          <w:rFonts w:ascii="宋体" w:hAnsi="宋体"/>
          <w:color w:val="auto"/>
          <w:sz w:val="24"/>
          <w:szCs w:val="24"/>
          <w:highlight w:val="none"/>
        </w:rPr>
      </w:pPr>
      <w:r>
        <w:rPr>
          <w:rFonts w:hint="eastAsia" w:ascii="宋体" w:hAnsi="宋体"/>
          <w:color w:val="auto"/>
          <w:sz w:val="24"/>
          <w:szCs w:val="24"/>
          <w:highlight w:val="none"/>
        </w:rPr>
        <w:t xml:space="preserve">                                       </w:t>
      </w:r>
      <w:r/>
    </w:p>
    <w:p>
      <w:pPr>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备案机构：  </w:t>
      </w:r>
      <w:r/>
    </w:p>
    <w:p>
      <w:pPr>
        <w:jc w:val="center"/>
        <w:spacing w:line="440" w:lineRule="exact"/>
        <w:rPr>
          <w:color w:val="auto"/>
          <w:sz w:val="24"/>
          <w:szCs w:val="24"/>
          <w:highlight w:val="none"/>
        </w:rPr>
      </w:pPr>
      <w:r>
        <w:rPr>
          <w:color w:val="auto"/>
          <w:sz w:val="24"/>
          <w:szCs w:val="24"/>
          <w:highlight w:val="none"/>
        </w:rPr>
      </w:r>
      <w:r/>
    </w:p>
    <w:p>
      <w:pPr>
        <w:jc w:val="both"/>
        <w:spacing w:line="440" w:lineRule="exact"/>
        <w:rPr>
          <w:rFonts w:ascii="宋体" w:hAnsi="宋体" w:cs="宋体"/>
          <w:color w:val="auto"/>
          <w:sz w:val="24"/>
          <w:szCs w:val="24"/>
          <w:highlight w:val="none"/>
        </w:rPr>
      </w:pPr>
      <w:r>
        <w:rPr>
          <w:rFonts w:hint="eastAsia"/>
          <w:color w:val="auto"/>
          <w:sz w:val="24"/>
          <w:szCs w:val="24"/>
          <w:highlight w:val="none"/>
        </w:rPr>
        <w:t xml:space="preserve">（全文完）</w:t>
      </w:r>
      <w:r/>
    </w:p>
    <w:p>
      <w:pPr>
        <w:ind w:firstLine="24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sectPr>
      <w:headerReference w:type="default" r:id="rId9"/>
      <w:footerReference w:type="default" r:id="rId15"/>
      <w:footerReference w:type="even" r:id="rId16"/>
      <w:footerReference w:type="first" r:id="rId17"/>
      <w:footnotePr/>
      <w:endnotePr/>
      <w:type w:val="nextPage"/>
      <w:pgSz w:w="11907" w:h="16840" w:orient="portrait"/>
      <w:pgMar w:top="1134" w:right="885" w:bottom="1134" w:left="1576"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黑体">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0655" cy="139700"/>
                      </a:xfrm>
                      <a:prstGeom prst="rect">
                        <a:avLst/>
                      </a:prstGeom>
                      <a:noFill/>
                      <a:ln>
                        <a:noFill/>
                      </a:ln>
                    </wps:spPr>
                    <wps:txbx>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89.1pt;mso-position-horizontal:absolute;mso-position-vertical-relative:page;margin-top:781.2pt;mso-position-vertical:absolute;width:12.6pt;height:11.0pt;mso-wrap-distance-left:9.0pt;mso-wrap-distance-top:0.0pt;mso-wrap-distance-right:9.0pt;mso-wrap-distance-bottom:0.0pt;visibility:visible;" filled="f" stroked="f">
              <v:textbox inset="0,0,0,0">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0655" cy="139700"/>
                      </a:xfrm>
                      <a:prstGeom prst="rect">
                        <a:avLst/>
                      </a:prstGeom>
                      <a:noFill/>
                      <a:ln>
                        <a:noFill/>
                      </a:ln>
                    </wps:spPr>
                    <wps:txbx>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wps:txbx>
                    <wps:bodyPr wrap="square" lIns="0" tIns="0" rIns="0" bIns="0" upright="1"/>
                  </wps:wsp>
                </a:graphicData>
              </a:graphic>
            </wp:anchor>
          </w:drawing>
        </mc:Choice>
        <mc:Fallback>
          <w:pict>
            <v:shape id="shape 2" o:spid="_x0000_s2" o:spt="202" type="#_x0000_t202" style="position:absolute;z-index:-251665408;o:allowoverlap:true;o:allowincell:true;mso-position-horizontal-relative:page;margin-left:289.1pt;mso-position-horizontal:absolute;mso-position-vertical-relative:page;margin-top:781.2pt;mso-position-vertical:absolute;width:12.6pt;height:11.0pt;mso-wrap-distance-left:9.0pt;mso-wrap-distance-top:0.0pt;mso-wrap-distance-right:9.0pt;mso-wrap-distance-bottom:0.0pt;visibility:visible;" filled="f" stroked="f">
              <v:textbox inset="0,0,0,0">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fldChar w:fldCharType="begin"/>
                    </w:r>
                    <w:r>
                      <w:instrText xml:space="preserve"> PAGE  \* MERGEFORMAT </w:instrText>
                    </w:r>
                    <w:r>
                      <w:fldChar w:fldCharType="separate"/>
                    </w:r>
                    <w:r>
                      <w:t xml:space="preserve">38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60655" cy="139700"/>
                      </a:xfrm>
                      <a:prstGeom prst="rect">
                        <a:avLst/>
                      </a:prstGeom>
                      <a:noFill/>
                      <a:ln>
                        <a:noFill/>
                      </a:ln>
                    </wps:spPr>
                    <wps:txbx>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page;margin-left:289.1pt;mso-position-horizontal:absolute;mso-position-vertical-relative:page;margin-top:781.2pt;mso-position-vertical:absolute;width:12.6pt;height:11.0pt;mso-wrap-distance-left:9.0pt;mso-wrap-distance-top:0.0pt;mso-wrap-distance-right:9.0pt;mso-wrap-distance-bottom:0.0pt;visibility:visible;" filled="f" stroked="f">
              <v:textbox inset="0,0,0,0">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0"/>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jc w:val="center"/>
                          </w:pPr>
                          <w:r/>
                          <w:r/>
                        </w:p>
                      </w:txbxContent>
                    </wps:txbx>
                    <wps:bodyPr wrap="none" lIns="0" tIns="0" rIns="0" bIns="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jc w:val="cente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rPr>
        <w:rStyle w:val="1142"/>
      </w:rPr>
      <w:framePr w:wrap="around" w:vAnchor="text" w:hAnchor="margin" w:xAlign="right" w:y="1"/>
    </w:pPr>
    <w:r>
      <w:fldChar w:fldCharType="begin"/>
    </w:r>
    <w:r>
      <w:rPr>
        <w:rStyle w:val="1142"/>
      </w:rPr>
      <w:instrText xml:space="preserve">PAGE  </w:instrText>
    </w:r>
    <w:r>
      <w:fldChar w:fldCharType="separate"/>
    </w:r>
    <w:r>
      <w:rPr>
        <w:rStyle w:val="1142"/>
      </w:rPr>
      <w:t xml:space="preserve">16</w:t>
    </w:r>
    <w:r>
      <w:fldChar w:fldCharType="end"/>
    </w:r>
    <w:r/>
  </w:p>
  <w:p>
    <w:pPr>
      <w:pStyle w:val="1130"/>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Fonts w:ascii="宋体" w:hAnsi="宋体"/>
        <w:color w:val="808080"/>
        <w:spacing w:val="6"/>
        <w:sz w:val="21"/>
      </w:rPr>
    </w:pPr>
    <w:r>
      <w:rPr>
        <w:rFonts w:hint="eastAsia" w:ascii="宋体" w:hAnsi="宋体"/>
        <w:bCs/>
        <w:color w:val="808080"/>
        <w:spacing w:val="6"/>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19"/>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8">
    <w:name w:val="Heading 1 Char"/>
    <w:basedOn w:val="1121"/>
    <w:link w:val="1119"/>
    <w:uiPriority w:val="9"/>
    <w:rPr>
      <w:rFonts w:ascii="Arial" w:hAnsi="Arial" w:eastAsia="Arial" w:cs="Arial"/>
      <w:sz w:val="40"/>
      <w:szCs w:val="40"/>
    </w:rPr>
  </w:style>
  <w:style w:type="character" w:styleId="949">
    <w:name w:val="Heading 2 Char"/>
    <w:basedOn w:val="1121"/>
    <w:link w:val="1120"/>
    <w:uiPriority w:val="9"/>
    <w:rPr>
      <w:rFonts w:ascii="Arial" w:hAnsi="Arial" w:eastAsia="Arial" w:cs="Arial"/>
      <w:sz w:val="34"/>
    </w:rPr>
  </w:style>
  <w:style w:type="paragraph" w:styleId="950">
    <w:name w:val="Heading 3"/>
    <w:basedOn w:val="1118"/>
    <w:next w:val="1118"/>
    <w:link w:val="951"/>
    <w:uiPriority w:val="9"/>
    <w:unhideWhenUsed/>
    <w:qFormat/>
    <w:pPr>
      <w:keepLines/>
      <w:keepNext/>
      <w:spacing w:before="320" w:after="200"/>
      <w:outlineLvl w:val="2"/>
    </w:pPr>
    <w:rPr>
      <w:rFonts w:ascii="Arial" w:hAnsi="Arial" w:eastAsia="Arial" w:cs="Arial"/>
      <w:sz w:val="30"/>
      <w:szCs w:val="30"/>
    </w:rPr>
  </w:style>
  <w:style w:type="character" w:styleId="951">
    <w:name w:val="Heading 3 Char"/>
    <w:basedOn w:val="1121"/>
    <w:link w:val="950"/>
    <w:uiPriority w:val="9"/>
    <w:rPr>
      <w:rFonts w:ascii="Arial" w:hAnsi="Arial" w:eastAsia="Arial" w:cs="Arial"/>
      <w:sz w:val="30"/>
      <w:szCs w:val="30"/>
    </w:rPr>
  </w:style>
  <w:style w:type="paragraph" w:styleId="952">
    <w:name w:val="Heading 4"/>
    <w:basedOn w:val="1118"/>
    <w:next w:val="1118"/>
    <w:link w:val="953"/>
    <w:uiPriority w:val="9"/>
    <w:unhideWhenUsed/>
    <w:qFormat/>
    <w:pPr>
      <w:keepLines/>
      <w:keepNext/>
      <w:spacing w:before="320" w:after="200"/>
      <w:outlineLvl w:val="3"/>
    </w:pPr>
    <w:rPr>
      <w:rFonts w:ascii="Arial" w:hAnsi="Arial" w:eastAsia="Arial" w:cs="Arial"/>
      <w:b/>
      <w:bCs/>
      <w:sz w:val="26"/>
      <w:szCs w:val="26"/>
    </w:rPr>
  </w:style>
  <w:style w:type="character" w:styleId="953">
    <w:name w:val="Heading 4 Char"/>
    <w:basedOn w:val="1121"/>
    <w:link w:val="952"/>
    <w:uiPriority w:val="9"/>
    <w:rPr>
      <w:rFonts w:ascii="Arial" w:hAnsi="Arial" w:eastAsia="Arial" w:cs="Arial"/>
      <w:b/>
      <w:bCs/>
      <w:sz w:val="26"/>
      <w:szCs w:val="26"/>
    </w:rPr>
  </w:style>
  <w:style w:type="paragraph" w:styleId="954">
    <w:name w:val="Heading 5"/>
    <w:basedOn w:val="1118"/>
    <w:next w:val="1118"/>
    <w:link w:val="955"/>
    <w:uiPriority w:val="9"/>
    <w:unhideWhenUsed/>
    <w:qFormat/>
    <w:pPr>
      <w:keepLines/>
      <w:keepNext/>
      <w:spacing w:before="320" w:after="200"/>
      <w:outlineLvl w:val="4"/>
    </w:pPr>
    <w:rPr>
      <w:rFonts w:ascii="Arial" w:hAnsi="Arial" w:eastAsia="Arial" w:cs="Arial"/>
      <w:b/>
      <w:bCs/>
      <w:sz w:val="24"/>
      <w:szCs w:val="24"/>
    </w:rPr>
  </w:style>
  <w:style w:type="character" w:styleId="955">
    <w:name w:val="Heading 5 Char"/>
    <w:basedOn w:val="1121"/>
    <w:link w:val="954"/>
    <w:uiPriority w:val="9"/>
    <w:rPr>
      <w:rFonts w:ascii="Arial" w:hAnsi="Arial" w:eastAsia="Arial" w:cs="Arial"/>
      <w:b/>
      <w:bCs/>
      <w:sz w:val="24"/>
      <w:szCs w:val="24"/>
    </w:rPr>
  </w:style>
  <w:style w:type="paragraph" w:styleId="956">
    <w:name w:val="Heading 6"/>
    <w:basedOn w:val="1118"/>
    <w:next w:val="1118"/>
    <w:link w:val="957"/>
    <w:uiPriority w:val="9"/>
    <w:unhideWhenUsed/>
    <w:qFormat/>
    <w:pPr>
      <w:keepLines/>
      <w:keepNext/>
      <w:spacing w:before="320" w:after="200"/>
      <w:outlineLvl w:val="5"/>
    </w:pPr>
    <w:rPr>
      <w:rFonts w:ascii="Arial" w:hAnsi="Arial" w:eastAsia="Arial" w:cs="Arial"/>
      <w:b/>
      <w:bCs/>
      <w:sz w:val="22"/>
      <w:szCs w:val="22"/>
    </w:rPr>
  </w:style>
  <w:style w:type="character" w:styleId="957">
    <w:name w:val="Heading 6 Char"/>
    <w:basedOn w:val="1121"/>
    <w:link w:val="956"/>
    <w:uiPriority w:val="9"/>
    <w:rPr>
      <w:rFonts w:ascii="Arial" w:hAnsi="Arial" w:eastAsia="Arial" w:cs="Arial"/>
      <w:b/>
      <w:bCs/>
      <w:sz w:val="22"/>
      <w:szCs w:val="22"/>
    </w:rPr>
  </w:style>
  <w:style w:type="paragraph" w:styleId="958">
    <w:name w:val="Heading 7"/>
    <w:basedOn w:val="1118"/>
    <w:next w:val="1118"/>
    <w:link w:val="959"/>
    <w:uiPriority w:val="9"/>
    <w:unhideWhenUsed/>
    <w:qFormat/>
    <w:pPr>
      <w:keepLines/>
      <w:keepNext/>
      <w:spacing w:before="320" w:after="200"/>
      <w:outlineLvl w:val="6"/>
    </w:pPr>
    <w:rPr>
      <w:rFonts w:ascii="Arial" w:hAnsi="Arial" w:eastAsia="Arial" w:cs="Arial"/>
      <w:b/>
      <w:bCs/>
      <w:i/>
      <w:iCs/>
      <w:sz w:val="22"/>
      <w:szCs w:val="22"/>
    </w:rPr>
  </w:style>
  <w:style w:type="character" w:styleId="959">
    <w:name w:val="Heading 7 Char"/>
    <w:basedOn w:val="1121"/>
    <w:link w:val="958"/>
    <w:uiPriority w:val="9"/>
    <w:rPr>
      <w:rFonts w:ascii="Arial" w:hAnsi="Arial" w:eastAsia="Arial" w:cs="Arial"/>
      <w:b/>
      <w:bCs/>
      <w:i/>
      <w:iCs/>
      <w:sz w:val="22"/>
      <w:szCs w:val="22"/>
    </w:rPr>
  </w:style>
  <w:style w:type="paragraph" w:styleId="960">
    <w:name w:val="Heading 8"/>
    <w:basedOn w:val="1118"/>
    <w:next w:val="1118"/>
    <w:link w:val="961"/>
    <w:uiPriority w:val="9"/>
    <w:unhideWhenUsed/>
    <w:qFormat/>
    <w:pPr>
      <w:keepLines/>
      <w:keepNext/>
      <w:spacing w:before="320" w:after="200"/>
      <w:outlineLvl w:val="7"/>
    </w:pPr>
    <w:rPr>
      <w:rFonts w:ascii="Arial" w:hAnsi="Arial" w:eastAsia="Arial" w:cs="Arial"/>
      <w:i/>
      <w:iCs/>
      <w:sz w:val="22"/>
      <w:szCs w:val="22"/>
    </w:rPr>
  </w:style>
  <w:style w:type="character" w:styleId="961">
    <w:name w:val="Heading 8 Char"/>
    <w:basedOn w:val="1121"/>
    <w:link w:val="960"/>
    <w:uiPriority w:val="9"/>
    <w:rPr>
      <w:rFonts w:ascii="Arial" w:hAnsi="Arial" w:eastAsia="Arial" w:cs="Arial"/>
      <w:i/>
      <w:iCs/>
      <w:sz w:val="22"/>
      <w:szCs w:val="22"/>
    </w:rPr>
  </w:style>
  <w:style w:type="paragraph" w:styleId="962">
    <w:name w:val="Heading 9"/>
    <w:basedOn w:val="1118"/>
    <w:next w:val="1118"/>
    <w:link w:val="963"/>
    <w:uiPriority w:val="9"/>
    <w:unhideWhenUsed/>
    <w:qFormat/>
    <w:pPr>
      <w:keepLines/>
      <w:keepNext/>
      <w:spacing w:before="320" w:after="200"/>
      <w:outlineLvl w:val="8"/>
    </w:pPr>
    <w:rPr>
      <w:rFonts w:ascii="Arial" w:hAnsi="Arial" w:eastAsia="Arial" w:cs="Arial"/>
      <w:i/>
      <w:iCs/>
      <w:sz w:val="21"/>
      <w:szCs w:val="21"/>
    </w:rPr>
  </w:style>
  <w:style w:type="character" w:styleId="963">
    <w:name w:val="Heading 9 Char"/>
    <w:basedOn w:val="1121"/>
    <w:link w:val="962"/>
    <w:uiPriority w:val="9"/>
    <w:rPr>
      <w:rFonts w:ascii="Arial" w:hAnsi="Arial" w:eastAsia="Arial" w:cs="Arial"/>
      <w:i/>
      <w:iCs/>
      <w:sz w:val="21"/>
      <w:szCs w:val="21"/>
    </w:rPr>
  </w:style>
  <w:style w:type="paragraph" w:styleId="964">
    <w:name w:val="No Spacing"/>
    <w:uiPriority w:val="1"/>
    <w:qFormat/>
    <w:pPr>
      <w:spacing w:before="0" w:after="0" w:line="240" w:lineRule="auto"/>
    </w:pPr>
  </w:style>
  <w:style w:type="character" w:styleId="965">
    <w:name w:val="Title Char"/>
    <w:basedOn w:val="1121"/>
    <w:link w:val="1138"/>
    <w:uiPriority w:val="10"/>
    <w:rPr>
      <w:sz w:val="48"/>
      <w:szCs w:val="48"/>
    </w:rPr>
  </w:style>
  <w:style w:type="paragraph" w:styleId="966">
    <w:name w:val="Subtitle"/>
    <w:basedOn w:val="1118"/>
    <w:next w:val="1118"/>
    <w:link w:val="967"/>
    <w:uiPriority w:val="11"/>
    <w:qFormat/>
    <w:pPr>
      <w:spacing w:before="200" w:after="200"/>
    </w:pPr>
    <w:rPr>
      <w:sz w:val="24"/>
      <w:szCs w:val="24"/>
    </w:rPr>
  </w:style>
  <w:style w:type="character" w:styleId="967">
    <w:name w:val="Subtitle Char"/>
    <w:basedOn w:val="1121"/>
    <w:link w:val="966"/>
    <w:uiPriority w:val="11"/>
    <w:rPr>
      <w:sz w:val="24"/>
      <w:szCs w:val="24"/>
    </w:rPr>
  </w:style>
  <w:style w:type="paragraph" w:styleId="968">
    <w:name w:val="Quote"/>
    <w:basedOn w:val="1118"/>
    <w:next w:val="1118"/>
    <w:link w:val="969"/>
    <w:uiPriority w:val="29"/>
    <w:qFormat/>
    <w:pPr>
      <w:ind w:left="720" w:right="720"/>
    </w:pPr>
    <w:rPr>
      <w:i/>
    </w:rPr>
  </w:style>
  <w:style w:type="character" w:styleId="969">
    <w:name w:val="Quote Char"/>
    <w:link w:val="968"/>
    <w:uiPriority w:val="29"/>
    <w:rPr>
      <w:i/>
    </w:rPr>
  </w:style>
  <w:style w:type="paragraph" w:styleId="970">
    <w:name w:val="Intense Quote"/>
    <w:basedOn w:val="1118"/>
    <w:next w:val="1118"/>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character" w:styleId="972">
    <w:name w:val="Header Char"/>
    <w:basedOn w:val="1121"/>
    <w:link w:val="1132"/>
    <w:uiPriority w:val="99"/>
  </w:style>
  <w:style w:type="character" w:styleId="973">
    <w:name w:val="Footer Char"/>
    <w:basedOn w:val="1121"/>
    <w:link w:val="1130"/>
    <w:uiPriority w:val="99"/>
  </w:style>
  <w:style w:type="paragraph" w:styleId="974">
    <w:name w:val="Caption"/>
    <w:basedOn w:val="1118"/>
    <w:next w:val="1118"/>
    <w:uiPriority w:val="35"/>
    <w:semiHidden/>
    <w:unhideWhenUsed/>
    <w:qFormat/>
    <w:pPr>
      <w:spacing w:line="276" w:lineRule="auto"/>
    </w:pPr>
    <w:rPr>
      <w:b/>
      <w:bCs/>
      <w:color w:val="4f81bd" w:themeColor="accent1"/>
      <w:sz w:val="18"/>
      <w:szCs w:val="18"/>
    </w:rPr>
  </w:style>
  <w:style w:type="character" w:styleId="975">
    <w:name w:val="Caption Char"/>
    <w:basedOn w:val="974"/>
    <w:link w:val="1130"/>
    <w:uiPriority w:val="99"/>
  </w:style>
  <w:style w:type="table" w:styleId="976">
    <w:name w:val="Table Grid"/>
    <w:basedOn w:val="112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name w:val="Table Grid Light"/>
    <w:basedOn w:val="11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8">
    <w:name w:val="Plain Table 1"/>
    <w:basedOn w:val="11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basedOn w:val="11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basedOn w:val="11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1 Light - Accent 1"/>
    <w:basedOn w:val="11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5">
    <w:name w:val="Grid Table 1 Light - Accent 2"/>
    <w:basedOn w:val="11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6">
    <w:name w:val="Grid Table 1 Light - Accent 3"/>
    <w:basedOn w:val="11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7">
    <w:name w:val="Grid Table 1 Light - Accent 4"/>
    <w:basedOn w:val="11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8">
    <w:name w:val="Grid Table 1 Light - Accent 5"/>
    <w:basedOn w:val="11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9">
    <w:name w:val="Grid Table 1 Light - Accent 6"/>
    <w:basedOn w:val="11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0">
    <w:name w:val="Grid Table 2"/>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1">
    <w:name w:val="Grid Table 2 - Accent 1"/>
    <w:basedOn w:val="11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2">
    <w:name w:val="Grid Table 2 - Accent 2"/>
    <w:basedOn w:val="11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2 - Accent 3"/>
    <w:basedOn w:val="11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2 - Accent 4"/>
    <w:basedOn w:val="11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2 - Accent 5"/>
    <w:basedOn w:val="11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6">
    <w:name w:val="Grid Table 2 - Accent 6"/>
    <w:basedOn w:val="11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7">
    <w:name w:val="Grid Table 3"/>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1"/>
    <w:basedOn w:val="11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2"/>
    <w:basedOn w:val="11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3"/>
    <w:basedOn w:val="11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4"/>
    <w:basedOn w:val="11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5"/>
    <w:basedOn w:val="11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6"/>
    <w:basedOn w:val="11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basedOn w:val="11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4 - Accent 1"/>
    <w:basedOn w:val="11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6">
    <w:name w:val="Grid Table 4 - Accent 2"/>
    <w:basedOn w:val="11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7">
    <w:name w:val="Grid Table 4 - Accent 3"/>
    <w:basedOn w:val="11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8">
    <w:name w:val="Grid Table 4 - Accent 4"/>
    <w:basedOn w:val="11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9">
    <w:name w:val="Grid Table 4 - Accent 5"/>
    <w:basedOn w:val="11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0">
    <w:name w:val="Grid Table 4 - Accent 6"/>
    <w:basedOn w:val="11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1">
    <w:name w:val="Grid Table 5 Dark"/>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5 Dark- Accent 1"/>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13">
    <w:name w:val="Grid Table 5 Dark - Accent 2"/>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14">
    <w:name w:val="Grid Table 5 Dark - Accent 3"/>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15">
    <w:name w:val="Grid Table 5 Dark- Accent 4"/>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16">
    <w:name w:val="Grid Table 5 Dark - Accent 5"/>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17">
    <w:name w:val="Grid Table 5 Dark - Accent 6"/>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18">
    <w:name w:val="Grid Table 6 Colorful"/>
    <w:basedOn w:val="11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9">
    <w:name w:val="Grid Table 6 Colorful - Accent 1"/>
    <w:basedOn w:val="11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20">
    <w:name w:val="Grid Table 6 Colorful - Accent 2"/>
    <w:basedOn w:val="11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21">
    <w:name w:val="Grid Table 6 Colorful - Accent 3"/>
    <w:basedOn w:val="11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22">
    <w:name w:val="Grid Table 6 Colorful - Accent 4"/>
    <w:basedOn w:val="11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23">
    <w:name w:val="Grid Table 6 Colorful - Accent 5"/>
    <w:basedOn w:val="11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24">
    <w:name w:val="Grid Table 6 Colorful - Accent 6"/>
    <w:basedOn w:val="11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25">
    <w:name w:val="Grid Table 7 Colorful"/>
    <w:basedOn w:val="11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6">
    <w:name w:val="Grid Table 7 Colorful - Accent 1"/>
    <w:basedOn w:val="11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7">
    <w:name w:val="Grid Table 7 Colorful - Accent 2"/>
    <w:basedOn w:val="11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8">
    <w:name w:val="Grid Table 7 Colorful - Accent 3"/>
    <w:basedOn w:val="11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9">
    <w:name w:val="Grid Table 7 Colorful - Accent 4"/>
    <w:basedOn w:val="11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0">
    <w:name w:val="Grid Table 7 Colorful - Accent 5"/>
    <w:basedOn w:val="11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1">
    <w:name w:val="Grid Table 7 Colorful - Accent 6"/>
    <w:basedOn w:val="11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2">
    <w:name w:val="List Table 1 Light"/>
    <w:basedOn w:val="11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1 Light - Accent 1"/>
    <w:basedOn w:val="112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4">
    <w:name w:val="List Table 1 Light - Accent 2"/>
    <w:basedOn w:val="11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5">
    <w:name w:val="List Table 1 Light - Accent 3"/>
    <w:basedOn w:val="11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6">
    <w:name w:val="List Table 1 Light - Accent 4"/>
    <w:basedOn w:val="11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7">
    <w:name w:val="List Table 1 Light - Accent 5"/>
    <w:basedOn w:val="112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8">
    <w:name w:val="List Table 1 Light - Accent 6"/>
    <w:basedOn w:val="11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9">
    <w:name w:val="List Table 2"/>
    <w:basedOn w:val="11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2 - Accent 1"/>
    <w:basedOn w:val="11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1">
    <w:name w:val="List Table 2 - Accent 2"/>
    <w:basedOn w:val="11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2">
    <w:name w:val="List Table 2 - Accent 3"/>
    <w:basedOn w:val="11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3">
    <w:name w:val="List Table 2 - Accent 4"/>
    <w:basedOn w:val="11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4">
    <w:name w:val="List Table 2 - Accent 5"/>
    <w:basedOn w:val="11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5">
    <w:name w:val="List Table 2 - Accent 6"/>
    <w:basedOn w:val="11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6">
    <w:name w:val="List Table 3"/>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3 - Accent 1"/>
    <w:basedOn w:val="11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48">
    <w:name w:val="List Table 3 - Accent 2"/>
    <w:basedOn w:val="11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49">
    <w:name w:val="List Table 3 - Accent 3"/>
    <w:basedOn w:val="11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50">
    <w:name w:val="List Table 3 - Accent 4"/>
    <w:basedOn w:val="11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51">
    <w:name w:val="List Table 3 - Accent 5"/>
    <w:basedOn w:val="11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52">
    <w:name w:val="List Table 3 - Accent 6"/>
    <w:basedOn w:val="11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53">
    <w:name w:val="List Table 4"/>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4 - Accent 1"/>
    <w:basedOn w:val="11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55">
    <w:name w:val="List Table 4 - Accent 2"/>
    <w:basedOn w:val="11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56">
    <w:name w:val="List Table 4 - Accent 3"/>
    <w:basedOn w:val="11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57">
    <w:name w:val="List Table 4 - Accent 4"/>
    <w:basedOn w:val="11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58">
    <w:name w:val="List Table 4 - Accent 5"/>
    <w:basedOn w:val="11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59">
    <w:name w:val="List Table 4 - Accent 6"/>
    <w:basedOn w:val="11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60">
    <w:name w:val="List Table 5 Dark"/>
    <w:basedOn w:val="11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1"/>
    <w:basedOn w:val="11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2"/>
    <w:basedOn w:val="11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3"/>
    <w:basedOn w:val="11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4"/>
    <w:basedOn w:val="11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5"/>
    <w:basedOn w:val="11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6"/>
    <w:basedOn w:val="11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basedOn w:val="11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6 Colorful - Accent 1"/>
    <w:basedOn w:val="11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69">
    <w:name w:val="List Table 6 Colorful - Accent 2"/>
    <w:basedOn w:val="11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70">
    <w:name w:val="List Table 6 Colorful - Accent 3"/>
    <w:basedOn w:val="11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71">
    <w:name w:val="List Table 6 Colorful - Accent 4"/>
    <w:basedOn w:val="11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72">
    <w:name w:val="List Table 6 Colorful - Accent 5"/>
    <w:basedOn w:val="11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73">
    <w:name w:val="List Table 6 Colorful - Accent 6"/>
    <w:basedOn w:val="11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74">
    <w:name w:val="List Table 7 Colorful"/>
    <w:basedOn w:val="11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5">
    <w:name w:val="List Table 7 Colorful - Accent 1"/>
    <w:basedOn w:val="11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76">
    <w:name w:val="List Table 7 Colorful - Accent 2"/>
    <w:basedOn w:val="11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77">
    <w:name w:val="List Table 7 Colorful - Accent 3"/>
    <w:basedOn w:val="11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78">
    <w:name w:val="List Table 7 Colorful - Accent 4"/>
    <w:basedOn w:val="11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79">
    <w:name w:val="List Table 7 Colorful - Accent 5"/>
    <w:basedOn w:val="11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80">
    <w:name w:val="List Table 7 Colorful - Accent 6"/>
    <w:basedOn w:val="11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81">
    <w:name w:val="Lined - Accent"/>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Lined - Accent 1"/>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83">
    <w:name w:val="Lined - Accent 2"/>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84">
    <w:name w:val="Lined - Accent 3"/>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85">
    <w:name w:val="Lined - Accent 4"/>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86">
    <w:name w:val="Lined - Accent 5"/>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87">
    <w:name w:val="Lined - Accent 6"/>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8">
    <w:name w:val="Bordered &amp; Lined - Accent"/>
    <w:basedOn w:val="11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Bordered &amp; Lined - Accent 1"/>
    <w:basedOn w:val="11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90">
    <w:name w:val="Bordered &amp; Lined - Accent 2"/>
    <w:basedOn w:val="11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91">
    <w:name w:val="Bordered &amp; Lined - Accent 3"/>
    <w:basedOn w:val="11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92">
    <w:name w:val="Bordered &amp; Lined - Accent 4"/>
    <w:basedOn w:val="11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93">
    <w:name w:val="Bordered &amp; Lined - Accent 5"/>
    <w:basedOn w:val="11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94">
    <w:name w:val="Bordered &amp; Lined - Accent 6"/>
    <w:basedOn w:val="11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95">
    <w:name w:val="Bordered"/>
    <w:basedOn w:val="11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6">
    <w:name w:val="Bordered - Accent 1"/>
    <w:basedOn w:val="11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7">
    <w:name w:val="Bordered - Accent 2"/>
    <w:basedOn w:val="11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8">
    <w:name w:val="Bordered - Accent 3"/>
    <w:basedOn w:val="11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9">
    <w:name w:val="Bordered - Accent 4"/>
    <w:basedOn w:val="11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0">
    <w:name w:val="Bordered - Accent 5"/>
    <w:basedOn w:val="11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1">
    <w:name w:val="Bordered - Accent 6"/>
    <w:basedOn w:val="11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2">
    <w:name w:val="Hyperlink"/>
    <w:uiPriority w:val="99"/>
    <w:unhideWhenUsed/>
    <w:rPr>
      <w:color w:val="0000ff" w:themeColor="hyperlink"/>
      <w:u w:val="single"/>
    </w:rPr>
  </w:style>
  <w:style w:type="paragraph" w:styleId="1103">
    <w:name w:val="footnote text"/>
    <w:basedOn w:val="1118"/>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basedOn w:val="1121"/>
    <w:uiPriority w:val="99"/>
    <w:unhideWhenUsed/>
    <w:rPr>
      <w:vertAlign w:val="superscript"/>
    </w:rPr>
  </w:style>
  <w:style w:type="paragraph" w:styleId="1106">
    <w:name w:val="endnote text"/>
    <w:basedOn w:val="1118"/>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basedOn w:val="1121"/>
    <w:uiPriority w:val="99"/>
    <w:semiHidden/>
    <w:unhideWhenUsed/>
    <w:rPr>
      <w:vertAlign w:val="superscript"/>
    </w:rPr>
  </w:style>
  <w:style w:type="paragraph" w:styleId="1109">
    <w:name w:val="toc 2"/>
    <w:basedOn w:val="1118"/>
    <w:next w:val="1118"/>
    <w:uiPriority w:val="39"/>
    <w:unhideWhenUsed/>
    <w:pPr>
      <w:ind w:left="283" w:right="0" w:firstLine="0"/>
      <w:spacing w:after="57"/>
    </w:pPr>
  </w:style>
  <w:style w:type="paragraph" w:styleId="1110">
    <w:name w:val="toc 3"/>
    <w:basedOn w:val="1118"/>
    <w:next w:val="1118"/>
    <w:uiPriority w:val="39"/>
    <w:unhideWhenUsed/>
    <w:pPr>
      <w:ind w:left="567" w:right="0" w:firstLine="0"/>
      <w:spacing w:after="57"/>
    </w:pPr>
  </w:style>
  <w:style w:type="paragraph" w:styleId="1111">
    <w:name w:val="toc 5"/>
    <w:basedOn w:val="1118"/>
    <w:next w:val="1118"/>
    <w:uiPriority w:val="39"/>
    <w:unhideWhenUsed/>
    <w:pPr>
      <w:ind w:left="1134" w:right="0" w:firstLine="0"/>
      <w:spacing w:after="57"/>
    </w:pPr>
  </w:style>
  <w:style w:type="paragraph" w:styleId="1112">
    <w:name w:val="toc 6"/>
    <w:basedOn w:val="1118"/>
    <w:next w:val="1118"/>
    <w:uiPriority w:val="39"/>
    <w:unhideWhenUsed/>
    <w:pPr>
      <w:ind w:left="1417" w:right="0" w:firstLine="0"/>
      <w:spacing w:after="57"/>
    </w:pPr>
  </w:style>
  <w:style w:type="paragraph" w:styleId="1113">
    <w:name w:val="toc 7"/>
    <w:basedOn w:val="1118"/>
    <w:next w:val="1118"/>
    <w:uiPriority w:val="39"/>
    <w:unhideWhenUsed/>
    <w:pPr>
      <w:ind w:left="1701" w:right="0" w:firstLine="0"/>
      <w:spacing w:after="57"/>
    </w:pPr>
  </w:style>
  <w:style w:type="paragraph" w:styleId="1114">
    <w:name w:val="toc 8"/>
    <w:basedOn w:val="1118"/>
    <w:next w:val="1118"/>
    <w:uiPriority w:val="39"/>
    <w:unhideWhenUsed/>
    <w:pPr>
      <w:ind w:left="1984" w:right="0" w:firstLine="0"/>
      <w:spacing w:after="57"/>
    </w:pPr>
  </w:style>
  <w:style w:type="paragraph" w:styleId="1115">
    <w:name w:val="toc 9"/>
    <w:basedOn w:val="1118"/>
    <w:next w:val="1118"/>
    <w:uiPriority w:val="39"/>
    <w:unhideWhenUsed/>
    <w:pPr>
      <w:ind w:left="2268" w:right="0" w:firstLine="0"/>
      <w:spacing w:after="57"/>
    </w:pPr>
  </w:style>
  <w:style w:type="paragraph" w:styleId="1116">
    <w:name w:val="TOC Heading"/>
    <w:uiPriority w:val="39"/>
    <w:unhideWhenUsed/>
  </w:style>
  <w:style w:type="paragraph" w:styleId="1117">
    <w:name w:val="table of figures"/>
    <w:basedOn w:val="1118"/>
    <w:next w:val="1118"/>
    <w:uiPriority w:val="99"/>
    <w:unhideWhenUsed/>
    <w:pPr>
      <w:spacing w:after="0" w:afterAutospacing="0"/>
    </w:pPr>
  </w:style>
  <w:style w:type="paragraph" w:styleId="1118" w:default="1">
    <w:name w:val="Normal"/>
    <w:next w:val="1123"/>
    <w:uiPriority w:val="0"/>
    <w:qFormat/>
    <w:pPr>
      <w:jc w:val="both"/>
      <w:widowControl w:val="off"/>
    </w:pPr>
    <w:rPr>
      <w:rFonts w:ascii="Times New Roman" w:hAnsi="Times New Roman" w:eastAsia="宋体" w:cs="Times New Roman"/>
      <w:sz w:val="21"/>
      <w:lang w:val="en-US" w:eastAsia="zh-CN" w:bidi="ar-SA"/>
    </w:rPr>
  </w:style>
  <w:style w:type="paragraph" w:styleId="1119">
    <w:name w:val="Heading 1"/>
    <w:basedOn w:val="1118"/>
    <w:next w:val="1118"/>
    <w:link w:val="1161"/>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120">
    <w:name w:val="Heading 2"/>
    <w:basedOn w:val="1118"/>
    <w:next w:val="1118"/>
    <w:uiPriority w:val="9"/>
    <w:qFormat/>
    <w:pPr>
      <w:jc w:val="center"/>
      <w:keepNext/>
      <w:outlineLvl w:val="1"/>
    </w:pPr>
    <w:rPr>
      <w:rFonts w:ascii="宋体" w:hAnsi="宋体"/>
      <w:b/>
      <w:bCs/>
      <w:sz w:val="28"/>
      <w:szCs w:val="28"/>
    </w:rPr>
  </w:style>
  <w:style w:type="character" w:styleId="1121" w:default="1">
    <w:name w:val="Default Paragraph Font"/>
    <w:uiPriority w:val="1"/>
    <w:semiHidden/>
    <w:unhideWhenUsed/>
    <w:qFormat/>
  </w:style>
  <w:style w:type="table" w:styleId="1122" w:default="1">
    <w:name w:val="Normal Table"/>
    <w:uiPriority w:val="99"/>
    <w:semiHidden/>
    <w:unhideWhenUsed/>
    <w:qFormat/>
    <w:tblPr>
      <w:tblCellMar>
        <w:left w:w="108" w:type="dxa"/>
        <w:top w:w="0" w:type="dxa"/>
        <w:right w:w="108" w:type="dxa"/>
        <w:bottom w:w="0" w:type="dxa"/>
      </w:tblCellMar>
    </w:tblPr>
  </w:style>
  <w:style w:type="paragraph" w:styleId="1123">
    <w:name w:val="Document Map"/>
    <w:basedOn w:val="1118"/>
    <w:uiPriority w:val="0"/>
    <w:qFormat/>
  </w:style>
  <w:style w:type="paragraph" w:styleId="1124">
    <w:name w:val="table of authorities"/>
    <w:basedOn w:val="1118"/>
    <w:next w:val="1118"/>
    <w:uiPriority w:val="0"/>
    <w:qFormat/>
    <w:pPr>
      <w:ind w:left="420"/>
      <w:jc w:val="both"/>
    </w:pPr>
    <w:rPr>
      <w:rFonts w:ascii="Calibri" w:hAnsi="Calibri" w:cs="Times New Roman"/>
      <w:sz w:val="21"/>
      <w:szCs w:val="24"/>
    </w:rPr>
  </w:style>
  <w:style w:type="paragraph" w:styleId="1125">
    <w:name w:val="Normal Indent"/>
    <w:basedOn w:val="1118"/>
    <w:uiPriority w:val="0"/>
    <w:qFormat/>
    <w:pPr>
      <w:ind w:firstLine="420"/>
    </w:pPr>
  </w:style>
  <w:style w:type="paragraph" w:styleId="1126">
    <w:name w:val="Body Text"/>
    <w:basedOn w:val="1118"/>
    <w:next w:val="1118"/>
    <w:uiPriority w:val="0"/>
    <w:qFormat/>
    <w:rPr>
      <w:rFonts w:ascii="楷体_GB2312" w:hAnsi="Arial" w:eastAsia="楷体_GB2312"/>
      <w:sz w:val="28"/>
    </w:rPr>
  </w:style>
  <w:style w:type="paragraph" w:styleId="1127">
    <w:name w:val="Body Text Indent"/>
    <w:basedOn w:val="1118"/>
    <w:uiPriority w:val="99"/>
    <w:qFormat/>
    <w:pPr>
      <w:ind w:firstLine="574"/>
      <w:spacing w:line="312" w:lineRule="atLeast"/>
    </w:pPr>
    <w:rPr>
      <w:rFonts w:ascii="宋体"/>
      <w:sz w:val="28"/>
    </w:rPr>
  </w:style>
  <w:style w:type="paragraph" w:styleId="1128">
    <w:name w:val="Plain Text"/>
    <w:basedOn w:val="1118"/>
    <w:uiPriority w:val="0"/>
    <w:qFormat/>
    <w:rPr>
      <w:rFonts w:ascii="宋体" w:hAnsi="Courier New"/>
    </w:rPr>
  </w:style>
  <w:style w:type="paragraph" w:styleId="1129">
    <w:name w:val="Body Text Indent 2"/>
    <w:basedOn w:val="1118"/>
    <w:uiPriority w:val="99"/>
    <w:qFormat/>
    <w:pPr>
      <w:ind w:left="1890" w:hanging="1409"/>
      <w:tabs>
        <w:tab w:val="left" w:pos="1785" w:leader="none"/>
        <w:tab w:val="left" w:pos="1887" w:leader="none"/>
        <w:tab w:val="left" w:pos="2112" w:leader="none"/>
        <w:tab w:val="left" w:pos="9000" w:leader="none"/>
      </w:tabs>
    </w:pPr>
    <w:rPr>
      <w:sz w:val="24"/>
    </w:rPr>
  </w:style>
  <w:style w:type="paragraph" w:styleId="1130">
    <w:name w:val="Footer"/>
    <w:basedOn w:val="1118"/>
    <w:uiPriority w:val="99"/>
    <w:qFormat/>
    <w:pPr>
      <w:jc w:val="left"/>
      <w:tabs>
        <w:tab w:val="center" w:pos="4153" w:leader="none"/>
        <w:tab w:val="right" w:pos="8306" w:leader="none"/>
      </w:tabs>
    </w:pPr>
    <w:rPr>
      <w:sz w:val="18"/>
    </w:rPr>
  </w:style>
  <w:style w:type="paragraph" w:styleId="1131">
    <w:name w:val="envelope return"/>
    <w:basedOn w:val="1118"/>
    <w:uiPriority w:val="99"/>
    <w:unhideWhenUsed/>
    <w:qFormat/>
    <w:rPr>
      <w:rFonts w:ascii="Cambria" w:hAnsi="Cambria"/>
    </w:rPr>
  </w:style>
  <w:style w:type="paragraph" w:styleId="1132">
    <w:name w:val="Header"/>
    <w:basedOn w:val="1118"/>
    <w:uiPriority w:val="99"/>
    <w:qFormat/>
    <w:pPr>
      <w:jc w:val="center"/>
      <w:tabs>
        <w:tab w:val="center" w:pos="4153" w:leader="none"/>
        <w:tab w:val="right" w:pos="8306" w:leader="none"/>
      </w:tabs>
      <w:pBdr>
        <w:bottom w:val="single" w:color="auto" w:sz="6" w:space="1"/>
      </w:pBdr>
    </w:pPr>
    <w:rPr>
      <w:sz w:val="18"/>
    </w:rPr>
  </w:style>
  <w:style w:type="paragraph" w:styleId="1133">
    <w:name w:val="toc 1"/>
    <w:basedOn w:val="1118"/>
    <w:next w:val="1118"/>
    <w:uiPriority w:val="0"/>
    <w:qFormat/>
    <w:rPr>
      <w:rFonts w:eastAsia="黑体"/>
      <w:b/>
      <w:sz w:val="24"/>
      <w:szCs w:val="24"/>
    </w:rPr>
  </w:style>
  <w:style w:type="paragraph" w:styleId="1134">
    <w:name w:val="toc 4"/>
    <w:basedOn w:val="1118"/>
    <w:next w:val="1118"/>
    <w:uiPriority w:val="39"/>
    <w:unhideWhenUsed/>
    <w:qFormat/>
    <w:pPr>
      <w:ind w:left="1260"/>
    </w:pPr>
  </w:style>
  <w:style w:type="paragraph" w:styleId="1135">
    <w:name w:val="Body Text Indent 3"/>
    <w:basedOn w:val="1118"/>
    <w:uiPriority w:val="99"/>
    <w:unhideWhenUsed/>
    <w:qFormat/>
    <w:pPr>
      <w:ind w:left="420"/>
      <w:spacing w:after="120"/>
    </w:pPr>
    <w:rPr>
      <w:rFonts w:cs="Times New Roman"/>
      <w:sz w:val="16"/>
      <w:szCs w:val="16"/>
    </w:rPr>
  </w:style>
  <w:style w:type="paragraph" w:styleId="1136">
    <w:name w:val="HTML Preformatted"/>
    <w:basedOn w:val="11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1137">
    <w:name w:val="Normal (Web)"/>
    <w:basedOn w:val="1118"/>
    <w:uiPriority w:val="99"/>
    <w:unhideWhenUsed/>
    <w:qFormat/>
    <w:pPr>
      <w:jc w:val="left"/>
      <w:spacing w:before="100" w:beforeAutospacing="1" w:after="100" w:afterAutospacing="1"/>
      <w:widowControl/>
    </w:pPr>
    <w:rPr>
      <w:rFonts w:ascii="宋体" w:hAnsi="宋体" w:eastAsia="楷体_GB2312" w:cs="宋体"/>
      <w:sz w:val="24"/>
    </w:rPr>
  </w:style>
  <w:style w:type="paragraph" w:styleId="1138">
    <w:name w:val="Title"/>
    <w:basedOn w:val="1118"/>
    <w:next w:val="1118"/>
    <w:uiPriority w:val="0"/>
    <w:qFormat/>
    <w:pPr>
      <w:jc w:val="center"/>
      <w:spacing w:before="240" w:after="60"/>
      <w:outlineLvl w:val="0"/>
    </w:pPr>
    <w:rPr>
      <w:rFonts w:ascii="Cambria" w:hAnsi="Cambria"/>
      <w:b/>
      <w:bCs/>
      <w:sz w:val="32"/>
      <w:szCs w:val="32"/>
    </w:rPr>
  </w:style>
  <w:style w:type="paragraph" w:styleId="1139">
    <w:name w:val="Body Text First Indent"/>
    <w:basedOn w:val="1126"/>
    <w:uiPriority w:val="0"/>
    <w:qFormat/>
    <w:pPr>
      <w:ind w:firstLine="420"/>
      <w:spacing w:after="120"/>
    </w:pPr>
    <w:rPr>
      <w:szCs w:val="24"/>
    </w:rPr>
  </w:style>
  <w:style w:type="paragraph" w:styleId="1140">
    <w:name w:val="Body Text First Indent 2"/>
    <w:basedOn w:val="1127"/>
    <w:uiPriority w:val="99"/>
    <w:qFormat/>
    <w:pPr>
      <w:ind w:firstLine="420"/>
    </w:pPr>
  </w:style>
  <w:style w:type="character" w:styleId="1141">
    <w:name w:val="Strong"/>
    <w:basedOn w:val="1121"/>
    <w:uiPriority w:val="0"/>
    <w:qFormat/>
    <w:rPr>
      <w:b/>
    </w:rPr>
  </w:style>
  <w:style w:type="character" w:styleId="1142">
    <w:name w:val="page number"/>
    <w:basedOn w:val="1121"/>
    <w:uiPriority w:val="99"/>
    <w:qFormat/>
  </w:style>
  <w:style w:type="paragraph" w:styleId="1143" w:customStyle="1">
    <w:name w:val="首行缩进"/>
    <w:basedOn w:val="1118"/>
    <w:uiPriority w:val="0"/>
    <w:qFormat/>
    <w:pPr>
      <w:ind w:firstLine="480"/>
    </w:pPr>
    <w:rPr>
      <w:szCs w:val="20"/>
      <w:lang w:val="zh-CN"/>
    </w:rPr>
  </w:style>
  <w:style w:type="paragraph" w:styleId="1144" w:customStyle="1">
    <w:name w:val="段"/>
    <w:next w:val="1118"/>
    <w:uiPriority w:val="0"/>
    <w:qFormat/>
    <w:pPr>
      <w:ind w:firstLine="200"/>
      <w:jc w:val="both"/>
    </w:pPr>
    <w:rPr>
      <w:rFonts w:ascii="宋体" w:hAnsi="Times New Roman" w:eastAsia="宋体" w:cs="Times New Roman"/>
      <w:sz w:val="21"/>
      <w:lang w:val="en-US" w:eastAsia="zh-CN" w:bidi="ar-SA"/>
    </w:rPr>
  </w:style>
  <w:style w:type="paragraph" w:styleId="1145" w:customStyle="1">
    <w:name w:val="目录 51"/>
    <w:next w:val="1118"/>
    <w:uiPriority w:val="0"/>
    <w:qFormat/>
    <w:pPr>
      <w:ind w:left="1275"/>
      <w:jc w:val="both"/>
    </w:pPr>
    <w:rPr>
      <w:rFonts w:ascii="Times New Roman" w:hAnsi="Times New Roman" w:eastAsia="宋体" w:cs="Times New Roman"/>
      <w:sz w:val="21"/>
      <w:lang w:val="en-US" w:eastAsia="zh-CN" w:bidi="ar-SA"/>
    </w:rPr>
  </w:style>
  <w:style w:type="paragraph" w:styleId="1146" w:customStyle="1">
    <w:name w:val="正文文本首行缩进 21"/>
    <w:basedOn w:val="1127"/>
    <w:uiPriority w:val="0"/>
    <w:qFormat/>
    <w:pPr>
      <w:ind w:firstLine="420"/>
    </w:pPr>
  </w:style>
  <w:style w:type="paragraph" w:styleId="1147" w:customStyle="1">
    <w:name w:val="纯文本1"/>
    <w:basedOn w:val="1118"/>
    <w:next w:val="1134"/>
    <w:uiPriority w:val="0"/>
    <w:qFormat/>
    <w:rPr>
      <w:rFonts w:ascii="宋体" w:hAnsi="Courier New" w:eastAsia="楷体_GB2312"/>
      <w:sz w:val="26"/>
    </w:rPr>
  </w:style>
  <w:style w:type="paragraph" w:styleId="1148" w:customStyle="1">
    <w:name w:val="纯文本2"/>
    <w:basedOn w:val="1118"/>
    <w:uiPriority w:val="0"/>
    <w:qFormat/>
    <w:rPr>
      <w:rFonts w:ascii="宋体" w:hAnsi="Courier New" w:eastAsia="楷体_GB2312"/>
      <w:sz w:val="26"/>
    </w:rPr>
  </w:style>
  <w:style w:type="paragraph" w:styleId="1149" w:customStyle="1">
    <w:name w:val="纯文本11"/>
    <w:basedOn w:val="1118"/>
    <w:uiPriority w:val="0"/>
    <w:qFormat/>
    <w:rPr>
      <w:rFonts w:ascii="宋体" w:hAnsi="Courier New" w:eastAsia="楷体_GB2312"/>
      <w:sz w:val="26"/>
    </w:rPr>
  </w:style>
  <w:style w:type="paragraph" w:styleId="1150" w:customStyle="1">
    <w:name w:val="01 章标"/>
    <w:basedOn w:val="1118"/>
    <w:uiPriority w:val="0"/>
    <w:qFormat/>
    <w:pPr>
      <w:ind w:firstLine="883"/>
      <w:jc w:val="center"/>
      <w:outlineLvl w:val="0"/>
    </w:pPr>
    <w:rPr>
      <w:b/>
      <w:sz w:val="44"/>
      <w:szCs w:val="44"/>
    </w:rPr>
  </w:style>
  <w:style w:type="paragraph" w:styleId="1151" w:customStyle="1">
    <w:name w:val="普通正文"/>
    <w:basedOn w:val="1118"/>
    <w:uiPriority w:val="0"/>
    <w:qFormat/>
    <w:pPr>
      <w:ind w:firstLine="480"/>
      <w:spacing w:before="120" w:after="120" w:line="360" w:lineRule="auto"/>
    </w:pPr>
    <w:rPr>
      <w:rFonts w:ascii="Arial" w:hAnsi="Arial"/>
    </w:rPr>
  </w:style>
  <w:style w:type="paragraph" w:styleId="1152" w:customStyle="1">
    <w:name w:val="Normal_0_3"/>
    <w:uiPriority w:val="0"/>
    <w:qFormat/>
    <w:rPr>
      <w:rFonts w:ascii="Times New Roman" w:hAnsi="Times New Roman" w:eastAsia="Times New Roman" w:cs="Times New Roman"/>
      <w:sz w:val="24"/>
      <w:szCs w:val="24"/>
      <w:lang w:val="en-US" w:eastAsia="zh-CN" w:bidi="ar-SA"/>
    </w:rPr>
  </w:style>
  <w:style w:type="paragraph" w:styleId="1153" w:customStyle="1">
    <w:name w:val="Normal_19"/>
    <w:uiPriority w:val="0"/>
    <w:qFormat/>
    <w:rPr>
      <w:rFonts w:ascii="Times New Roman" w:hAnsi="Times New Roman" w:eastAsia="Times New Roman" w:cs="Times New Roman"/>
      <w:sz w:val="24"/>
      <w:szCs w:val="24"/>
      <w:lang w:val="en-US" w:eastAsia="zh-CN" w:bidi="ar-SA"/>
    </w:rPr>
  </w:style>
  <w:style w:type="paragraph" w:styleId="1154" w:customStyle="1">
    <w:name w:val="纯文本21"/>
    <w:basedOn w:val="1118"/>
    <w:uiPriority w:val="0"/>
    <w:qFormat/>
    <w:rPr>
      <w:rFonts w:ascii="宋体" w:hAnsi="Courier New" w:eastAsia="楷体_GB2312"/>
      <w:sz w:val="26"/>
    </w:rPr>
  </w:style>
  <w:style w:type="paragraph" w:styleId="1155" w:customStyle="1">
    <w:name w:val="*正文"/>
    <w:basedOn w:val="1118"/>
    <w:uiPriority w:val="0"/>
    <w:qFormat/>
    <w:rPr>
      <w:rFonts w:ascii="宋体" w:hAnsi="宋体" w:eastAsiaTheme="minorEastAsia"/>
      <w:sz w:val="24"/>
      <w:szCs w:val="24"/>
      <w:lang w:val="zh-CN"/>
    </w:rPr>
  </w:style>
  <w:style w:type="paragraph" w:styleId="1156" w:customStyle="1">
    <w:name w:val="Other|1"/>
    <w:basedOn w:val="1118"/>
    <w:uiPriority w:val="0"/>
    <w:qFormat/>
    <w:pPr>
      <w:ind w:firstLine="400"/>
      <w:jc w:val="left"/>
      <w:spacing w:line="401" w:lineRule="auto"/>
    </w:pPr>
    <w:rPr>
      <w:rFonts w:cs="宋体"/>
      <w:sz w:val="18"/>
      <w:szCs w:val="18"/>
    </w:rPr>
  </w:style>
  <w:style w:type="paragraph" w:styleId="1157" w:customStyle="1">
    <w:name w:val="Table Paragraph"/>
    <w:basedOn w:val="1118"/>
    <w:uiPriority w:val="1"/>
    <w:qFormat/>
    <w:pPr>
      <w:jc w:val="left"/>
    </w:pPr>
    <w:rPr>
      <w:rFonts w:cs="宋体"/>
      <w:sz w:val="22"/>
      <w:szCs w:val="22"/>
      <w:lang w:val="zh-CN" w:bidi="zh-CN"/>
    </w:rPr>
  </w:style>
  <w:style w:type="paragraph" w:styleId="1158" w:customStyle="1">
    <w:name w:val="正文1"/>
    <w:basedOn w:val="1118"/>
    <w:next w:val="1118"/>
    <w:uiPriority w:val="0"/>
    <w:qFormat/>
    <w:pPr>
      <w:ind w:firstLine="540"/>
    </w:pPr>
    <w:rPr>
      <w:rFonts w:ascii="Times New Roman" w:hAnsi="Times New Roman"/>
      <w:szCs w:val="20"/>
    </w:rPr>
  </w:style>
  <w:style w:type="character" w:styleId="1159" w:customStyle="1">
    <w:name w:val="font01"/>
    <w:basedOn w:val="1121"/>
    <w:uiPriority w:val="0"/>
    <w:qFormat/>
    <w:rPr>
      <w:rFonts w:hint="eastAsia" w:ascii="宋体" w:hAnsi="宋体" w:eastAsia="宋体" w:cs="宋体"/>
      <w:color w:val="000000"/>
      <w:sz w:val="24"/>
      <w:szCs w:val="24"/>
      <w:u w:val="none"/>
    </w:rPr>
  </w:style>
  <w:style w:type="paragraph" w:styleId="1160" w:customStyle="1">
    <w:name w:val="List Paragraph"/>
    <w:basedOn w:val="1118"/>
    <w:uiPriority w:val="0"/>
    <w:qFormat/>
    <w:pPr>
      <w:ind w:firstLine="420"/>
      <w:jc w:val="both"/>
      <w:widowControl w:val="off"/>
    </w:pPr>
    <w:rPr>
      <w:rFonts w:ascii="Calibri" w:hAnsi="Calibri"/>
      <w:sz w:val="21"/>
      <w:szCs w:val="22"/>
    </w:rPr>
  </w:style>
  <w:style w:type="character" w:styleId="1161" w:customStyle="1">
    <w:name w:val="标题 1 Char"/>
    <w:link w:val="1119"/>
    <w:uiPriority w:val="0"/>
    <w:qFormat/>
    <w:rPr>
      <w:rFonts w:eastAsia="楷体_GB2312"/>
      <w:b/>
      <w:sz w:val="44"/>
      <w:szCs w:val="20"/>
    </w:rPr>
  </w:style>
  <w:style w:type="paragraph" w:styleId="1162" w:customStyle="1">
    <w:name w:val="表格"/>
    <w:basedOn w:val="1118"/>
    <w:uiPriority w:val="0"/>
    <w:qFormat/>
    <w:pPr>
      <w:jc w:val="center"/>
    </w:pPr>
    <w:rPr>
      <w:rFonts w:hAnsi="Courier New" w:cs="Times New Roman"/>
      <w:sz w:val="21"/>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徐艳</dc:creator>
  <cp:lastModifiedBy>徐艳</cp:lastModifiedBy>
  <cp:revision>6</cp:revision>
  <dcterms:created xsi:type="dcterms:W3CDTF">2023-04-13T00:33:00Z</dcterms:created>
  <dcterms:modified xsi:type="dcterms:W3CDTF">2024-04-30T06:35:13Z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B57D5C6E2A714F7B91717601C62A8FEE_13</vt:lpwstr>
  </property>
</Properties>
</file>