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jc w:val="center"/>
        <w:pageBreakBefore w:val="0"/>
        <w:spacing w:line="312" w:lineRule="auto"/>
        <w:widowControl w:val="off"/>
        <w:rPr>
          <w:rStyle w:val="1394"/>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110"/>
        <w:rPr>
          <w:rStyle w:val="1394"/>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84"/>
          <w:szCs w:val="84"/>
          <w:highlight w:val="none"/>
        </w:rPr>
        <w:t xml:space="preserve">竞争性磋商文件</w:t>
      </w:r>
      <w:r/>
    </w:p>
    <w:p>
      <w:pPr>
        <w:pStyle w:val="1109"/>
        <w:jc w:val="left"/>
        <w:pageBreakBefore w:val="0"/>
        <w:spacing w:line="312" w:lineRule="auto"/>
        <w:widowControl w:val="off"/>
        <w:rPr>
          <w:rStyle w:val="1394"/>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10"/>
        <w:pageBreakBefore w:val="0"/>
        <w:spacing w:line="312" w:lineRule="auto"/>
        <w:rPr>
          <w:rFonts w:hint="eastAsia"/>
          <w:color w:val="auto"/>
          <w:highlight w:val="none"/>
        </w:rPr>
      </w:pPr>
      <w:r>
        <w:rPr>
          <w:rFonts w:hint="eastAsia"/>
          <w:color w:val="auto"/>
          <w:highlight w:val="none"/>
        </w:rPr>
      </w:r>
      <w:r/>
    </w:p>
    <w:p>
      <w:pPr>
        <w:pStyle w:val="1110"/>
        <w:pageBreakBefore w:val="0"/>
        <w:spacing w:line="312" w:lineRule="auto"/>
        <w:rPr>
          <w:rFonts w:hint="eastAsia"/>
          <w:color w:val="auto"/>
          <w:highlight w:val="none"/>
        </w:rPr>
      </w:pPr>
      <w:r>
        <w:rPr>
          <w:rFonts w:hint="eastAsia"/>
          <w:color w:val="auto"/>
          <w:highlight w:val="none"/>
        </w:rPr>
      </w:r>
      <w:r/>
    </w:p>
    <w:p>
      <w:pPr>
        <w:pStyle w:val="1110"/>
        <w:pageBreakBefore w:val="0"/>
        <w:spacing w:line="312" w:lineRule="auto"/>
        <w:rPr>
          <w:rFonts w:hint="eastAsia"/>
          <w:color w:val="auto"/>
          <w:highlight w:val="none"/>
        </w:rPr>
      </w:pPr>
      <w:r>
        <w:rPr>
          <w:rFonts w:hint="eastAsia"/>
          <w:color w:val="auto"/>
          <w:highlight w:val="none"/>
        </w:rPr>
      </w:r>
      <w:r/>
    </w:p>
    <w:p>
      <w:pPr>
        <w:pStyle w:val="1110"/>
        <w:pageBreakBefore w:val="0"/>
        <w:spacing w:line="312" w:lineRule="auto"/>
        <w:rPr>
          <w:rStyle w:val="1394"/>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10"/>
        <w:pageBreakBefore w:val="0"/>
        <w:spacing w:line="312" w:lineRule="auto"/>
        <w:rPr>
          <w:rStyle w:val="1394"/>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09"/>
        <w:ind w:firstLine="63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left="840" w:firstLine="420"/>
        <w:jc w:val="left"/>
        <w:pageBreakBefore w:val="0"/>
        <w:spacing w:line="312" w:lineRule="auto"/>
        <w:widowControl w:val="off"/>
        <w:rPr>
          <w:rStyle w:val="1394"/>
          <w:rFonts w:hint="eastAsia" w:ascii="仿宋" w:hAnsi="仿宋" w:eastAsia="仿宋" w:cs="仿宋"/>
          <w:color w:val="auto"/>
          <w:sz w:val="28"/>
          <w:szCs w:val="28"/>
          <w:highlight w:val="none"/>
          <w:lang w:eastAsia="zh-CN"/>
        </w:rPr>
      </w:pPr>
      <w:r>
        <w:rPr>
          <w:rStyle w:val="1394"/>
          <w:rFonts w:hint="eastAsia" w:ascii="仿宋" w:hAnsi="仿宋" w:eastAsia="仿宋" w:cs="仿宋"/>
          <w:color w:val="auto"/>
          <w:sz w:val="28"/>
          <w:szCs w:val="28"/>
          <w:highlight w:val="none"/>
        </w:rPr>
        <w:t xml:space="preserve">项目名称：</w:t>
      </w:r>
      <w:r>
        <w:rPr>
          <w:rStyle w:val="1394"/>
          <w:rFonts w:hint="eastAsia" w:ascii="仿宋" w:hAnsi="仿宋" w:eastAsia="仿宋" w:cs="仿宋"/>
          <w:color w:val="auto"/>
          <w:sz w:val="28"/>
          <w:szCs w:val="28"/>
          <w:highlight w:val="none"/>
          <w:lang w:eastAsia="zh-CN"/>
        </w:rPr>
        <w:t xml:space="preserve">徐州市第十三中学运动场改造工程</w:t>
      </w:r>
      <w:r/>
    </w:p>
    <w:p>
      <w:pPr>
        <w:pStyle w:val="1109"/>
        <w:ind w:left="840" w:firstLine="420"/>
        <w:jc w:val="left"/>
        <w:pageBreakBefore w:val="0"/>
        <w:spacing w:line="312" w:lineRule="auto"/>
        <w:widowControl w:val="off"/>
        <w:rPr>
          <w:rStyle w:val="1394"/>
          <w:rFonts w:hint="eastAsia" w:ascii="仿宋" w:hAnsi="仿宋" w:eastAsia="仿宋" w:cs="仿宋"/>
          <w:color w:val="auto"/>
          <w:sz w:val="28"/>
          <w:szCs w:val="28"/>
          <w:highlight w:val="none"/>
          <w:lang w:eastAsia="zh-CN"/>
        </w:rPr>
      </w:pPr>
      <w:r>
        <w:rPr>
          <w:rStyle w:val="1394"/>
          <w:rFonts w:hint="eastAsia" w:ascii="仿宋" w:hAnsi="仿宋" w:eastAsia="仿宋" w:cs="仿宋"/>
          <w:color w:val="auto"/>
          <w:sz w:val="28"/>
          <w:szCs w:val="28"/>
          <w:highlight w:val="none"/>
        </w:rPr>
        <w:t xml:space="preserve">项目编号：</w:t>
      </w:r>
      <w:r>
        <w:rPr>
          <w:rStyle w:val="1394"/>
          <w:rFonts w:hint="eastAsia" w:ascii="仿宋" w:hAnsi="仿宋" w:eastAsia="仿宋" w:cs="仿宋"/>
          <w:color w:val="auto"/>
          <w:sz w:val="28"/>
          <w:szCs w:val="28"/>
          <w:highlight w:val="none"/>
          <w:lang w:eastAsia="zh-CN"/>
        </w:rPr>
        <w:t xml:space="preserve">JSZC-320300-JSKJ-C2025-0061</w:t>
      </w:r>
      <w:r/>
    </w:p>
    <w:p>
      <w:pPr>
        <w:pStyle w:val="1109"/>
        <w:ind w:left="840" w:firstLine="420"/>
        <w:jc w:val="left"/>
        <w:pageBreakBefore w:val="0"/>
        <w:spacing w:line="312" w:lineRule="auto"/>
        <w:widowControl w:val="off"/>
        <w:rPr>
          <w:rStyle w:val="1394"/>
          <w:rFonts w:hint="eastAsia" w:ascii="仿宋" w:hAnsi="仿宋" w:eastAsia="仿宋" w:cs="仿宋"/>
          <w:color w:val="auto"/>
          <w:sz w:val="28"/>
          <w:szCs w:val="28"/>
          <w:highlight w:val="none"/>
          <w:lang w:eastAsia="zh-CN"/>
        </w:rPr>
      </w:pPr>
      <w:r>
        <w:rPr>
          <w:rStyle w:val="1394"/>
          <w:rFonts w:hint="eastAsia" w:ascii="仿宋" w:hAnsi="仿宋" w:eastAsia="仿宋" w:cs="仿宋"/>
          <w:color w:val="auto"/>
          <w:sz w:val="28"/>
          <w:szCs w:val="28"/>
          <w:highlight w:val="none"/>
        </w:rPr>
        <w:t xml:space="preserve">采 购 人：</w:t>
      </w:r>
      <w:r>
        <w:rPr>
          <w:rStyle w:val="1394"/>
          <w:rFonts w:hint="eastAsia" w:ascii="仿宋" w:hAnsi="仿宋" w:eastAsia="仿宋" w:cs="仿宋"/>
          <w:color w:val="auto"/>
          <w:sz w:val="28"/>
          <w:szCs w:val="28"/>
          <w:highlight w:val="none"/>
          <w:lang w:eastAsia="zh-CN"/>
        </w:rPr>
        <w:t xml:space="preserve">徐州市第十三中学</w:t>
      </w:r>
      <w:r/>
    </w:p>
    <w:p>
      <w:pPr>
        <w:pStyle w:val="1109"/>
        <w:ind w:firstLine="96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firstLine="96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0"/>
        <w:pageBreakBefore w:val="0"/>
        <w:spacing w:line="312" w:lineRule="auto"/>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0"/>
        <w:pageBreakBefore w:val="0"/>
        <w:spacing w:line="312" w:lineRule="auto"/>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0"/>
        <w:pageBreakBefore w:val="0"/>
        <w:spacing w:line="312" w:lineRule="auto"/>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0"/>
        <w:pageBreakBefore w:val="0"/>
        <w:spacing w:line="312" w:lineRule="auto"/>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firstLine="96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mc:AlternateContent>
          <mc:Choice Requires="wpg">
            <w:drawing>
              <wp:inline xmlns:wp="http://schemas.openxmlformats.org/drawingml/2006/wordprocessingDrawing" distT="0" distB="0" distL="0" distR="0">
                <wp:extent cx="4776470" cy="685800"/>
                <wp:effectExtent l="0" t="0" r="508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30"/>
                        <a:stretch/>
                      </pic:blipFill>
                      <pic:spPr bwMode="auto">
                        <a:xfrm>
                          <a:off x="0" y="0"/>
                          <a:ext cx="477647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76.1pt;height:54.0pt;mso-wrap-distance-left:0.0pt;mso-wrap-distance-top:0.0pt;mso-wrap-distance-right:0.0pt;mso-wrap-distance-bottom:0.0pt;" stroked="f">
                <v:path textboxrect="0,0,0,0"/>
                <v:imagedata r:id="rId30" o:title=""/>
              </v:shape>
            </w:pict>
          </mc:Fallback>
        </mc:AlternateContent>
      </w:r>
      <w:r/>
    </w:p>
    <w:p>
      <w:pPr>
        <w:pStyle w:val="1110"/>
        <w:ind w:left="0" w:right="0" w:firstLine="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0"/>
        <w:ind w:left="0" w:right="0" w:firstLine="56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8"/>
          <w:szCs w:val="28"/>
          <w:highlight w:val="none"/>
        </w:rPr>
        <w:t xml:space="preserve">二〇二</w:t>
      </w:r>
      <w:r>
        <w:rPr>
          <w:rStyle w:val="1394"/>
          <w:rFonts w:hint="eastAsia" w:ascii="仿宋" w:hAnsi="仿宋" w:eastAsia="仿宋" w:cs="仿宋"/>
          <w:color w:val="auto"/>
          <w:sz w:val="28"/>
          <w:szCs w:val="28"/>
          <w:highlight w:val="none"/>
          <w:lang w:val="en-US" w:eastAsia="zh-CN"/>
        </w:rPr>
        <w:t xml:space="preserve">五</w:t>
      </w:r>
      <w:r>
        <w:rPr>
          <w:rStyle w:val="1394"/>
          <w:rFonts w:hint="eastAsia" w:ascii="仿宋" w:hAnsi="仿宋" w:eastAsia="仿宋" w:cs="仿宋"/>
          <w:color w:val="auto"/>
          <w:sz w:val="28"/>
          <w:szCs w:val="28"/>
          <w:highlight w:val="none"/>
        </w:rPr>
        <w:t xml:space="preserve">年</w:t>
      </w:r>
      <w:r>
        <w:rPr>
          <w:rStyle w:val="1394"/>
          <w:rFonts w:hint="eastAsia" w:ascii="仿宋" w:hAnsi="仿宋" w:eastAsia="仿宋" w:cs="仿宋"/>
          <w:color w:val="auto"/>
          <w:sz w:val="28"/>
          <w:szCs w:val="28"/>
          <w:highlight w:val="none"/>
          <w:lang w:val="en-US" w:eastAsia="zh-CN"/>
        </w:rPr>
        <w:t xml:space="preserve">十</w:t>
      </w:r>
      <w:r>
        <w:rPr>
          <w:rStyle w:val="1394"/>
          <w:rFonts w:hint="eastAsia" w:ascii="仿宋" w:hAnsi="仿宋" w:eastAsia="仿宋" w:cs="仿宋"/>
          <w:color w:val="auto"/>
          <w:sz w:val="28"/>
          <w:szCs w:val="28"/>
          <w:highlight w:val="none"/>
        </w:rPr>
        <w:t xml:space="preserve">月</w:t>
      </w:r>
      <w:r>
        <w:rPr>
          <w:rStyle w:val="1394"/>
          <w:rFonts w:hint="eastAsia" w:ascii="仿宋" w:hAnsi="仿宋" w:eastAsia="仿宋" w:cs="仿宋"/>
          <w:color w:val="auto"/>
          <w:sz w:val="24"/>
          <w:szCs w:val="24"/>
          <w:highlight w:val="none"/>
        </w:rPr>
        <w:t xml:space="preserve"> </w:t>
      </w:r>
      <w:r/>
    </w:p>
    <w:p>
      <w:pPr>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color w:val="auto"/>
          <w:sz w:val="24"/>
          <w:szCs w:val="24"/>
          <w:highlight w:val="none"/>
        </w:rPr>
      </w:sdtPr>
      <w:sdtContent>
        <w:p>
          <w:pPr>
            <w:jc w:val="cente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目录</w:t>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 \o "1-2" \h \u </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"_Toc4955"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第一章 项目说明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_Toc4955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"_Toc2478"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第二章 响应文件要求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_Toc2478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"_Toc11874"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第三章 磋商相关说明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_Toc11874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"_Toc13546"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第四章 确定成交供应商及合同签订等</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_Toc13546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"_Toc24666"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第五章 磋商文件的澄清或者修改</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_Toc24666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"_Toc2592"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第六章 询问和质疑</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_Toc2592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"_Toc3322"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第七章 评分细则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_Toc3322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"_Toc13974"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第八章 项目要求（采购需求）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_Toc13974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"_Toc19254"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第九章 响应文件相关格式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_Toc19254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"_Toc19266"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一、承诺书</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_Toc19266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"_Toc21194"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二、磋商报价表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_Toc21194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"_Toc19902"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三、</w:t>
          </w:r>
          <w:r>
            <w:rPr>
              <w:rFonts w:hint="eastAsia" w:ascii="仿宋" w:hAnsi="仿宋" w:eastAsia="仿宋" w:cs="仿宋"/>
              <w:color w:val="auto"/>
              <w:sz w:val="24"/>
              <w:szCs w:val="24"/>
              <w:highlight w:val="none"/>
              <w:lang w:val="en-US" w:eastAsia="zh-CN"/>
            </w:rPr>
            <w:t xml:space="preserve">分项报价表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_Toc19902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"_Toc19902"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、投标承诺书</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lang w:val="en-US" w:eastAsia="zh-CN"/>
            </w:rPr>
            <w:t xml:space="preserve">25</w:t>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"_Toc32621"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、偏离表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_Toc32621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"_Toc15659"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_Toc15659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"_Toc7229"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、中小企业声明函</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_Toc7229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"_Toc17432"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lang w:val="en-US" w:eastAsia="zh-CN"/>
            </w:rPr>
            <w:t xml:space="preserve">八</w:t>
          </w:r>
          <w:r>
            <w:rPr>
              <w:rFonts w:hint="eastAsia" w:ascii="仿宋" w:hAnsi="仿宋" w:eastAsia="仿宋" w:cs="仿宋"/>
              <w:bCs/>
              <w:color w:val="auto"/>
              <w:sz w:val="24"/>
              <w:szCs w:val="24"/>
              <w:highlight w:val="none"/>
            </w:rPr>
            <w:t xml:space="preserve">、残疾人福利性单位声明函</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_Toc17432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"_Toc4999"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、供应商参加政府采购活动前三年内在经营活动中没有重大违法记录的书面声明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_Toc4999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"_Toc19880"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、具备履行合同所必需的设备和专业技术能力的书面声明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_Toc19880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"_Toc2915"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十</w:t>
          </w:r>
          <w:r>
            <w:rPr>
              <w:rFonts w:hint="eastAsia" w:ascii="仿宋" w:hAnsi="仿宋" w:eastAsia="仿宋" w:cs="仿宋"/>
              <w:bCs/>
              <w:color w:val="auto"/>
              <w:sz w:val="24"/>
              <w:szCs w:val="24"/>
              <w:highlight w:val="none"/>
              <w:lang w:val="en-US" w:eastAsia="zh-CN"/>
            </w:rPr>
            <w:t xml:space="preserve">一</w:t>
          </w:r>
          <w:r>
            <w:rPr>
              <w:rFonts w:hint="eastAsia" w:ascii="仿宋" w:hAnsi="仿宋" w:eastAsia="仿宋" w:cs="仿宋"/>
              <w:bCs/>
              <w:color w:val="auto"/>
              <w:sz w:val="24"/>
              <w:szCs w:val="24"/>
              <w:highlight w:val="none"/>
            </w:rPr>
            <w:t xml:space="preserve">、响应文件编制要求提供的其他资料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_Toc2915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9"/>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"_Toc15915"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十</w:t>
          </w:r>
          <w:r>
            <w:rPr>
              <w:rFonts w:hint="eastAsia" w:ascii="仿宋" w:hAnsi="仿宋" w:eastAsia="仿宋" w:cs="仿宋"/>
              <w:bCs/>
              <w:color w:val="auto"/>
              <w:sz w:val="24"/>
              <w:szCs w:val="24"/>
              <w:highlight w:val="none"/>
              <w:lang w:val="en-US" w:eastAsia="zh-CN"/>
            </w:rPr>
            <w:t xml:space="preserve">二</w:t>
          </w:r>
          <w:r>
            <w:rPr>
              <w:rFonts w:hint="eastAsia" w:ascii="仿宋" w:hAnsi="仿宋" w:eastAsia="仿宋" w:cs="仿宋"/>
              <w:bCs/>
              <w:color w:val="auto"/>
              <w:sz w:val="24"/>
              <w:szCs w:val="24"/>
              <w:highlight w:val="none"/>
            </w:rPr>
            <w:t xml:space="preserve">、预付款保函支付条款模板</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_Toc15915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"_Toc12909" </w:instrText>
          </w:r>
          <w:r>
            <w:rPr>
              <w:rFonts w:hint="eastAsia" w:ascii="仿宋" w:hAnsi="仿宋" w:eastAsia="仿宋" w:cs="仿宋"/>
              <w:color w:val="auto"/>
              <w:sz w:val="24"/>
              <w:szCs w:val="24"/>
              <w:highlight w:val="none"/>
            </w:rPr>
            <w:fldChar w:fldCharType="separate"/>
          </w:r>
          <w:r>
            <w:rPr>
              <w:rFonts w:hint="eastAsia" w:ascii="仿宋" w:hAnsi="仿宋" w:eastAsia="仿宋" w:cs="仿宋"/>
              <w:bCs/>
              <w:color w:val="auto"/>
              <w:sz w:val="24"/>
              <w:szCs w:val="24"/>
              <w:highlight w:val="none"/>
            </w:rPr>
            <w:t xml:space="preserve">第十章 拟签订的合同文本</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_Toc12909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3"/>
            <w:pageBreakBefore w:val="0"/>
            <w:spacing w:after="0" w:line="312" w:lineRule="auto"/>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"_Toc3318"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第十一章 代理服务收费标准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_Toc3318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39</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488"/>
            <w:jc w:val="both"/>
            <w:keepLines w:val="0"/>
            <w:keepNext w:val="0"/>
            <w:pageBreakBefore w:val="0"/>
            <w:spacing w:line="312"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Cs/>
              <w:color w:val="auto"/>
              <w:sz w:val="24"/>
              <w:szCs w:val="24"/>
              <w:highlight w:val="none"/>
              <w:lang w:val="zh-CN"/>
            </w:rPr>
            <w:fldChar w:fldCharType="end"/>
          </w:r>
          <w:r/>
        </w:p>
      </w:sdtContent>
    </w:sdt>
    <w:p>
      <w:pPr>
        <w:pStyle w:val="1109"/>
        <w:ind w:firstLine="320"/>
        <w:jc w:val="center"/>
        <w:pageBreakBefore w:val="0"/>
        <w:spacing w:line="312" w:lineRule="auto"/>
        <w:widowControl w:val="off"/>
        <w:rPr>
          <w:rStyle w:val="1394"/>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09"/>
        <w:ind w:firstLine="320"/>
        <w:jc w:val="center"/>
        <w:pageBreakBefore w:val="0"/>
        <w:spacing w:line="312" w:lineRule="auto"/>
        <w:widowControl w:val="off"/>
        <w:rPr>
          <w:rStyle w:val="1394"/>
          <w:rFonts w:hint="eastAsia" w:ascii="仿宋" w:hAnsi="仿宋" w:eastAsia="仿宋" w:cs="仿宋"/>
          <w:b/>
          <w:color w:val="auto"/>
          <w:sz w:val="24"/>
          <w:szCs w:val="24"/>
          <w:highlight w:val="none"/>
        </w:rPr>
        <w:sectPr>
          <w:headerReference w:type="default" r:id="rId9"/>
          <w:headerReference w:type="first" r:id="rId10"/>
          <w:footerReference w:type="default" r:id="rId15"/>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b/>
          <w:color w:val="auto"/>
          <w:sz w:val="24"/>
          <w:szCs w:val="24"/>
          <w:highlight w:val="none"/>
        </w:rPr>
      </w:pPr>
      <w:r>
        <w:rPr>
          <w:rStyle w:val="1394"/>
          <w:rFonts w:hint="eastAsia" w:ascii="仿宋" w:hAnsi="仿宋" w:eastAsia="仿宋" w:cs="仿宋"/>
          <w:b/>
          <w:color w:val="auto"/>
          <w:sz w:val="24"/>
          <w:szCs w:val="24"/>
          <w:highlight w:val="none"/>
        </w:rPr>
        <w:t xml:space="preserve">竞争性磋商文件</w:t>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项目编号：</w:t>
      </w:r>
      <w:r>
        <w:rPr>
          <w:rStyle w:val="1394"/>
          <w:rFonts w:hint="eastAsia" w:ascii="仿宋" w:hAnsi="仿宋" w:eastAsia="仿宋" w:cs="仿宋"/>
          <w:color w:val="auto"/>
          <w:sz w:val="24"/>
          <w:szCs w:val="24"/>
          <w:highlight w:val="none"/>
          <w:lang w:eastAsia="zh-CN"/>
        </w:rPr>
        <w:t xml:space="preserve">JSZC-320300-JSKJ-C2025-0061</w:t>
      </w:r>
      <w:r>
        <w:rPr>
          <w:rStyle w:val="1394"/>
          <w:rFonts w:hint="eastAsia" w:ascii="仿宋" w:hAnsi="仿宋" w:eastAsia="仿宋" w:cs="仿宋"/>
          <w:color w:val="auto"/>
          <w:sz w:val="24"/>
          <w:szCs w:val="24"/>
          <w:highlight w:val="none"/>
        </w:rPr>
        <w:t xml:space="preserve"> </w:t>
      </w:r>
      <w:r/>
    </w:p>
    <w:p>
      <w:pPr>
        <w:pStyle w:val="1109"/>
        <w:jc w:val="left"/>
        <w:pageBreakBefore w:val="0"/>
        <w:spacing w:line="312"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1109"/>
        <w:ind w:firstLine="49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rPr>
        <w:t xml:space="preserve">江苏科建工程项目管理有限公司</w:t>
      </w:r>
      <w:r>
        <w:rPr>
          <w:rStyle w:val="1394"/>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u w:val="single"/>
          <w:lang w:eastAsia="zh-CN"/>
        </w:rPr>
        <w:t xml:space="preserve">徐州市第十三中学运动场改造工程</w:t>
      </w:r>
      <w:r>
        <w:rPr>
          <w:rStyle w:val="1394"/>
          <w:rFonts w:hint="eastAsia" w:ascii="仿宋" w:hAnsi="仿宋" w:eastAsia="仿宋" w:cs="仿宋"/>
          <w:color w:val="auto"/>
          <w:sz w:val="24"/>
          <w:szCs w:val="24"/>
          <w:highlight w:val="none"/>
        </w:rPr>
        <w:t xml:space="preserve">采取竞争性磋商采购方式进行采购。如贵单位有意与本公司合作，请按以下竞争性磋商文件（以下简称磋商文件）要求参加磋商。</w:t>
      </w:r>
      <w:r/>
    </w:p>
    <w:p>
      <w:pPr>
        <w:pStyle w:val="1363"/>
        <w:jc w:val="center"/>
        <w:keepLines w:val="0"/>
        <w:keepNext w:val="0"/>
        <w:pageBreakBefore w:val="0"/>
        <w:spacing w:line="312" w:lineRule="auto"/>
        <w:widowControl w:val="off"/>
        <w:rPr>
          <w:rStyle w:val="1394"/>
          <w:rFonts w:hint="eastAsia" w:ascii="仿宋" w:hAnsi="仿宋" w:eastAsia="仿宋" w:cs="仿宋"/>
          <w:color w:val="auto"/>
          <w:sz w:val="24"/>
          <w:szCs w:val="24"/>
          <w:highlight w:val="none"/>
        </w:rPr>
      </w:pPr>
      <w:r/>
      <w:bookmarkStart w:id="0" w:name="_Toc80122283"/>
      <w:r/>
      <w:bookmarkStart w:id="1" w:name="_Toc21952"/>
      <w:r/>
      <w:bookmarkStart w:id="2" w:name="_Toc4955"/>
      <w:r>
        <w:rPr>
          <w:rStyle w:val="1394"/>
          <w:rFonts w:hint="eastAsia" w:ascii="仿宋" w:hAnsi="仿宋" w:eastAsia="仿宋" w:cs="仿宋"/>
          <w:color w:val="auto"/>
          <w:sz w:val="24"/>
          <w:szCs w:val="24"/>
          <w:highlight w:val="none"/>
        </w:rPr>
        <w:t xml:space="preserve">第一章 项目说明</w:t>
      </w:r>
      <w:bookmarkEnd w:id="0"/>
      <w:r/>
      <w:bookmarkEnd w:id="1"/>
      <w:r/>
      <w:bookmarkEnd w:id="2"/>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一、项目概况</w:t>
      </w:r>
      <w:r/>
    </w:p>
    <w:p>
      <w:pPr>
        <w:pStyle w:val="1109"/>
        <w:ind w:firstLine="480"/>
        <w:jc w:val="left"/>
        <w:pageBreakBefore w:val="0"/>
        <w:spacing w:line="312"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r>
        <w:rPr>
          <w:rFonts w:hint="eastAsia" w:ascii="仿宋" w:hAnsi="仿宋" w:eastAsia="仿宋" w:cs="仿宋"/>
          <w:color w:val="auto"/>
          <w:sz w:val="24"/>
          <w:szCs w:val="24"/>
          <w:highlight w:val="none"/>
          <w:lang w:eastAsia="zh-CN"/>
        </w:rPr>
        <w:t xml:space="preserve">徐州市第十三中学</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394"/>
          <w:rFonts w:hint="eastAsia" w:ascii="仿宋" w:hAnsi="仿宋" w:eastAsia="仿宋" w:cs="仿宋"/>
          <w:color w:val="auto"/>
          <w:sz w:val="24"/>
          <w:szCs w:val="24"/>
          <w:highlight w:val="none"/>
          <w:lang w:eastAsia="zh-CN"/>
        </w:rPr>
        <w:t xml:space="preserve">徐州市第十三中学运动场改造工程</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394"/>
          <w:rFonts w:hint="eastAsia" w:ascii="仿宋" w:hAnsi="仿宋" w:eastAsia="仿宋" w:cs="仿宋"/>
          <w:color w:val="auto"/>
          <w:sz w:val="24"/>
          <w:szCs w:val="24"/>
          <w:highlight w:val="none"/>
          <w:lang w:eastAsia="zh-CN"/>
        </w:rPr>
        <w:t xml:space="preserve">JSZC-320300-JSKJ-C2025-0061</w:t>
      </w:r>
      <w:r/>
    </w:p>
    <w:p>
      <w:pPr>
        <w:pStyle w:val="1109"/>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4、采购预算（采购项目预算金额）：详见第八章《项目要求（采购需求）》。</w:t>
      </w:r>
      <w:r/>
    </w:p>
    <w:p>
      <w:pPr>
        <w:pStyle w:val="1109"/>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二、采购需求：详见第八章《项目要求（采购需求）》。</w:t>
      </w:r>
      <w:r/>
    </w:p>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三、采购方式：本项目采用竞争性磋商采购方式。</w:t>
      </w:r>
      <w:r/>
    </w:p>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采购人确定的采购项目属性：</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w:t>
      </w:r>
      <w:r/>
    </w:p>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、采购邀请：通过发布公告的方式邀请符合相应资格条件的供应商参与竞争性磋商采购活动。</w:t>
      </w:r>
      <w:r/>
    </w:p>
    <w:p>
      <w:pPr>
        <w:pStyle w:val="1109"/>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、合同草案条款：见《磋商文件》</w:t>
      </w:r>
      <w:r>
        <w:rPr>
          <w:rFonts w:hint="eastAsia" w:ascii="仿宋" w:hAnsi="仿宋" w:eastAsia="仿宋" w:cs="仿宋"/>
          <w:color w:val="auto"/>
          <w:sz w:val="24"/>
          <w:szCs w:val="24"/>
          <w:highlight w:val="none"/>
          <w:lang w:val="en-US" w:eastAsia="zh-CN"/>
        </w:rPr>
        <w:t xml:space="preserve">第十章</w:t>
      </w:r>
      <w:r>
        <w:rPr>
          <w:rFonts w:hint="eastAsia" w:ascii="仿宋" w:hAnsi="仿宋" w:eastAsia="仿宋" w:cs="仿宋"/>
          <w:color w:val="auto"/>
          <w:sz w:val="24"/>
          <w:szCs w:val="24"/>
          <w:highlight w:val="none"/>
        </w:rPr>
        <w:t xml:space="preserve">《拟签订的合同文本》。</w:t>
      </w:r>
      <w:r/>
    </w:p>
    <w:p>
      <w:pPr>
        <w:pStyle w:val="1109"/>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七</w:t>
      </w:r>
      <w:r>
        <w:rPr>
          <w:rFonts w:hint="eastAsia" w:ascii="仿宋" w:hAnsi="仿宋" w:eastAsia="仿宋" w:cs="仿宋"/>
          <w:bCs/>
          <w:color w:val="auto"/>
          <w:sz w:val="24"/>
          <w:szCs w:val="24"/>
          <w:highlight w:val="none"/>
        </w:rPr>
        <w:t xml:space="preserve">、供应商</w:t>
      </w:r>
      <w:r>
        <w:rPr>
          <w:rFonts w:hint="eastAsia" w:ascii="仿宋" w:hAnsi="仿宋" w:eastAsia="仿宋" w:cs="仿宋"/>
          <w:color w:val="auto"/>
          <w:sz w:val="24"/>
          <w:szCs w:val="24"/>
          <w:highlight w:val="none"/>
        </w:rPr>
        <w:t xml:space="preserve">资格条件</w:t>
      </w:r>
      <w:r/>
    </w:p>
    <w:p>
      <w:pPr>
        <w:pStyle w:val="1109"/>
        <w:ind w:left="42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详</w:t>
      </w:r>
      <w:r>
        <w:rPr>
          <w:rFonts w:hint="eastAsia" w:ascii="仿宋" w:hAnsi="仿宋" w:eastAsia="仿宋" w:cs="仿宋"/>
          <w:color w:val="auto"/>
          <w:sz w:val="24"/>
          <w:szCs w:val="24"/>
          <w:highlight w:val="none"/>
        </w:rPr>
        <w:t xml:space="preserve">见</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竞争性磋商公告（项目编号：</w:t>
      </w:r>
      <w:r>
        <w:rPr>
          <w:rStyle w:val="1394"/>
          <w:rFonts w:hint="eastAsia" w:ascii="仿宋" w:hAnsi="仿宋" w:eastAsia="仿宋" w:cs="仿宋"/>
          <w:color w:val="auto"/>
          <w:sz w:val="24"/>
          <w:szCs w:val="24"/>
          <w:highlight w:val="none"/>
          <w:lang w:eastAsia="zh-CN"/>
        </w:rPr>
        <w:t xml:space="preserve">JSZC-320300-JSKJ-C2025-0061</w:t>
      </w:r>
      <w:r>
        <w:rPr>
          <w:rFonts w:hint="eastAsia" w:ascii="仿宋" w:hAnsi="仿宋" w:eastAsia="仿宋" w:cs="仿宋"/>
          <w:color w:val="auto"/>
          <w:sz w:val="24"/>
          <w:szCs w:val="24"/>
          <w:highlight w:val="none"/>
        </w:rPr>
        <w:t xml:space="preserve">）。</w:t>
      </w:r>
      <w:r/>
    </w:p>
    <w:p>
      <w:pPr>
        <w:pStyle w:val="1109"/>
        <w:jc w:val="left"/>
        <w:pageBreakBefore w:val="0"/>
        <w:spacing w:line="312" w:lineRule="auto"/>
        <w:widowControl w:val="off"/>
        <w:rPr>
          <w:rStyle w:val="1394"/>
          <w:rFonts w:hint="eastAsia" w:ascii="仿宋" w:hAnsi="仿宋" w:eastAsia="仿宋" w:cs="仿宋"/>
          <w:b/>
          <w:bCs/>
          <w:color w:val="auto"/>
          <w:sz w:val="24"/>
          <w:szCs w:val="24"/>
          <w:highlight w:val="none"/>
        </w:rPr>
      </w:pPr>
      <w:r>
        <w:rPr>
          <w:rStyle w:val="1394"/>
          <w:rFonts w:hint="eastAsia" w:ascii="仿宋" w:hAnsi="仿宋" w:eastAsia="仿宋" w:cs="仿宋"/>
          <w:b/>
          <w:bCs/>
          <w:color w:val="auto"/>
          <w:sz w:val="24"/>
          <w:szCs w:val="24"/>
          <w:highlight w:val="none"/>
        </w:rPr>
        <w:t xml:space="preserve">说明：</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1、本项目不接受联合体参与采购活动。</w:t>
      </w:r>
      <w:r/>
    </w:p>
    <w:p>
      <w:pPr>
        <w:pStyle w:val="1109"/>
        <w:ind w:firstLine="48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2、单位负责人为同一人或者存在直接控股、管理关系的不同供应商，不得参加同一合同项下的政府采购活动。</w:t>
      </w:r>
      <w:r/>
    </w:p>
    <w:p>
      <w:pPr>
        <w:pStyle w:val="1109"/>
        <w:ind w:firstLine="48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3、为本采购项目提供整体设计、规范编制或者项目管理、审查等服务的供应商，不得再参加本采购项目的采购活动。</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4、查询及使用供应商信用记录：</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⑴由采购人查询信用信息。</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⑵查询渠道包括：</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①“信用中国”网（www.creditchina.gov.cn）；</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②中国政府采购网（www.ccgp.gov.cn）；</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③“</w:t>
      </w:r>
      <w:r>
        <w:rPr>
          <w:rStyle w:val="1394"/>
          <w:rFonts w:hint="eastAsia" w:ascii="仿宋" w:hAnsi="仿宋" w:eastAsia="仿宋" w:cs="仿宋"/>
          <w:color w:val="auto"/>
          <w:sz w:val="24"/>
          <w:szCs w:val="24"/>
          <w:highlight w:val="none"/>
          <w:lang w:val="en-US" w:eastAsia="zh-CN"/>
        </w:rPr>
        <w:t xml:space="preserve">信用</w:t>
      </w:r>
      <w:r>
        <w:rPr>
          <w:rStyle w:val="1394"/>
          <w:rFonts w:hint="eastAsia" w:ascii="仿宋" w:hAnsi="仿宋" w:eastAsia="仿宋" w:cs="仿宋"/>
          <w:color w:val="auto"/>
          <w:sz w:val="24"/>
          <w:szCs w:val="24"/>
          <w:highlight w:val="none"/>
        </w:rPr>
        <w:t xml:space="preserve">江苏”网（http://www.jscredit.gov.cn/）；</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lang w:val="en-US" w:eastAsia="zh-CN"/>
        </w:rPr>
        <w:t xml:space="preserve">④“信用中国（江苏徐州）”网（ http://</w:t>
      </w:r>
      <w:r>
        <w:rPr>
          <w:rStyle w:val="1394"/>
          <w:rFonts w:hint="eastAsia" w:ascii="仿宋" w:hAnsi="仿宋" w:eastAsia="仿宋" w:cs="仿宋"/>
          <w:color w:val="auto"/>
          <w:sz w:val="24"/>
          <w:szCs w:val="24"/>
          <w:highlight w:val="none"/>
          <w:lang w:val="en-US" w:eastAsia="zh-CN"/>
        </w:rPr>
        <w:fldChar w:fldCharType="begin"/>
      </w:r>
      <w:r>
        <w:rPr>
          <w:rStyle w:val="1394"/>
          <w:rFonts w:hint="eastAsia" w:ascii="仿宋" w:hAnsi="仿宋" w:eastAsia="仿宋" w:cs="仿宋"/>
          <w:color w:val="auto"/>
          <w:sz w:val="24"/>
          <w:szCs w:val="24"/>
          <w:highlight w:val="none"/>
          <w:lang w:val="en-US" w:eastAsia="zh-CN"/>
        </w:rPr>
        <w:instrText xml:space="preserve"> HYPERLINK "http://www.xuzhoucredit.gov.cn）。" </w:instrText>
      </w:r>
      <w:r>
        <w:rPr>
          <w:rStyle w:val="1394"/>
          <w:rFonts w:hint="eastAsia" w:ascii="仿宋" w:hAnsi="仿宋" w:eastAsia="仿宋" w:cs="仿宋"/>
          <w:color w:val="auto"/>
          <w:sz w:val="24"/>
          <w:szCs w:val="24"/>
          <w:highlight w:val="none"/>
          <w:lang w:val="en-US" w:eastAsia="zh-CN"/>
        </w:rPr>
        <w:fldChar w:fldCharType="separate"/>
      </w:r>
      <w:r>
        <w:rPr>
          <w:rStyle w:val="1394"/>
          <w:rFonts w:hint="eastAsia" w:ascii="仿宋" w:hAnsi="仿宋" w:eastAsia="仿宋" w:cs="仿宋"/>
          <w:color w:val="auto"/>
          <w:sz w:val="24"/>
          <w:szCs w:val="24"/>
          <w:highlight w:val="none"/>
          <w:lang w:val="en-US" w:eastAsia="zh-CN"/>
        </w:rPr>
        <w:t xml:space="preserve">www.xuzhoucredit.gov.cn）。</w:t>
      </w:r>
      <w:r>
        <w:rPr>
          <w:rStyle w:val="1394"/>
          <w:rFonts w:hint="eastAsia" w:ascii="仿宋" w:hAnsi="仿宋" w:eastAsia="仿宋" w:cs="仿宋"/>
          <w:color w:val="auto"/>
          <w:sz w:val="24"/>
          <w:szCs w:val="24"/>
          <w:highlight w:val="none"/>
          <w:lang w:val="en-US" w:eastAsia="zh-CN"/>
        </w:rPr>
        <w:fldChar w:fldCharType="end"/>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⑶截止时点（查询环节）：首次响应文件开启后资格审查结束前。</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⑸信用信息的使用规则：</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09"/>
        <w:jc w:val="left"/>
        <w:pageBreakBefore w:val="0"/>
        <w:spacing w:line="312" w:lineRule="auto"/>
        <w:widowControl w:val="off"/>
        <w:rPr>
          <w:rStyle w:val="1394"/>
          <w:rFonts w:hint="eastAsia" w:ascii="仿宋" w:hAnsi="仿宋" w:eastAsia="仿宋" w:cs="仿宋"/>
          <w:b/>
          <w:bCs/>
          <w:color w:val="auto"/>
          <w:sz w:val="24"/>
          <w:szCs w:val="24"/>
          <w:highlight w:val="none"/>
        </w:rPr>
      </w:pPr>
      <w:r>
        <w:rPr>
          <w:rStyle w:val="1394"/>
          <w:rFonts w:hint="eastAsia" w:ascii="仿宋" w:hAnsi="仿宋" w:eastAsia="仿宋" w:cs="仿宋"/>
          <w:b/>
          <w:bCs/>
          <w:color w:val="auto"/>
          <w:sz w:val="24"/>
          <w:szCs w:val="24"/>
          <w:highlight w:val="none"/>
        </w:rPr>
        <w:t xml:space="preserve">八、报价要求</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1、供应商报价为要约，采购人无承诺表示时视为未成交，采购人认为必要时可重新进行竞争性磋商采购或采取其它方式采购。</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2、按照《磋商报价表》要求填写首次报价。</w:t>
      </w:r>
      <w:r/>
    </w:p>
    <w:p>
      <w:pPr>
        <w:pStyle w:val="1109"/>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bookmarkStart w:id="3" w:name="_Toc80122284"/>
      <w:r>
        <w:rPr>
          <w:rStyle w:val="1394"/>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363"/>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pPr>
      <w:r/>
      <w:bookmarkStart w:id="4" w:name="_Toc53"/>
      <w:r/>
      <w:bookmarkStart w:id="5" w:name="_Toc2478"/>
      <w:r>
        <w:rPr>
          <w:rStyle w:val="1394"/>
          <w:rFonts w:hint="eastAsia" w:ascii="仿宋" w:hAnsi="仿宋" w:eastAsia="仿宋" w:cs="仿宋"/>
          <w:color w:val="auto"/>
          <w:sz w:val="24"/>
          <w:szCs w:val="24"/>
          <w:highlight w:val="none"/>
        </w:rPr>
        <w:t xml:space="preserve">第二章 响应文件要求</w:t>
      </w:r>
      <w:bookmarkEnd w:id="3"/>
      <w:r/>
      <w:bookmarkEnd w:id="4"/>
      <w:r/>
      <w:bookmarkEnd w:id="5"/>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394"/>
          <w:rFonts w:hint="eastAsia" w:ascii="仿宋" w:hAnsi="仿宋" w:eastAsia="仿宋" w:cs="仿宋"/>
          <w:color w:val="auto"/>
          <w:sz w:val="24"/>
          <w:szCs w:val="24"/>
          <w:highlight w:val="none"/>
        </w:rPr>
        <w:t xml:space="preserve">取：</w:t>
      </w:r>
      <w:r>
        <w:rPr>
          <w:rFonts w:hint="eastAsia" w:ascii="仿宋" w:hAnsi="仿宋" w:eastAsia="仿宋" w:cs="仿宋"/>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394"/>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月</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日</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月</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日 </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w:t>
      </w:r>
      <w:r>
        <w:rPr>
          <w:rFonts w:hint="eastAsia" w:ascii="仿宋" w:hAnsi="仿宋" w:eastAsia="仿宋" w:cs="仿宋"/>
          <w:b/>
          <w:bCs/>
          <w:color w:val="auto"/>
          <w:sz w:val="24"/>
          <w:szCs w:val="24"/>
          <w:highlight w:val="none"/>
        </w:rPr>
        <w:t xml:space="preserve">（北京时间）</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w:instrText>
      </w:r>
      <w:r>
        <w:rPr>
          <w:rFonts w:hint="eastAsia" w:ascii="仿宋" w:hAnsi="仿宋" w:eastAsia="仿宋" w:cs="仿宋"/>
          <w:color w:val="auto"/>
          <w:sz w:val="24"/>
          <w:szCs w:val="24"/>
          <w:highlight w:val="none"/>
        </w:rPr>
        <w:fldChar w:fldCharType="separate"/>
      </w:r>
      <w:r>
        <w:rPr>
          <w:rStyle w:val="1160"/>
          <w:rFonts w:hint="eastAsia" w:ascii="仿宋" w:hAnsi="仿宋" w:eastAsia="仿宋" w:cs="仿宋"/>
          <w:color w:val="auto"/>
          <w:sz w:val="24"/>
          <w:szCs w:val="24"/>
          <w:highlight w:val="none"/>
        </w:rPr>
        <w:t xml:space="preserve">http://jszfcg.jsczt.cn/</w:t>
      </w:r>
      <w:r>
        <w:rPr>
          <w:rStyle w:val="116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第二部分 响应文件组成</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十二、响应文件编制要求，请按照以下要求（包括但不限于以下要求）制作：</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（一）基本目录</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政府采购客户端工具输入报价自动生成）；</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2、供应商认为需要提供的其他资料的扫描件（如有）。</w:t>
      </w:r>
      <w:r/>
    </w:p>
    <w:p>
      <w:pPr>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（二）资格审查条件（1-7项必须提供，否则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Cs/>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1.具有独立承担民事责任的能力，提供供应商合法有效的营业执照</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（或事业单位法人证书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，或民办非企业单位登记证书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财务状况报告（至少提供供应商的本项目开标时间前6个月内任何时间的资产负债表和利润表扫描件各一份；或提供供应商2024年度经审计的财务报告</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一份；或提供供应商的本项目开标时间前6个月内银行出具的资信证明扫描件一份）；</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履行合同所必需的设备和专业技术能力的证明（响应文件中提供《具备履行合同所必需的设备和专业技术能力的书面声明（附证明材料扫描件）》，加盖电子签章，格式见采购文件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,所附证明材料扫描件可不加盖电子签章）；</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5.供应商参加政府采购活动前3年内在经营活动中没有重大违法记录的书面声明（加盖电子签章，格式见采购文件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6、本项目特定资格要求：</w:t>
      </w:r>
      <w:r>
        <w:rPr>
          <w:rFonts w:hint="eastAsia" w:ascii="仿宋" w:hAnsi="仿宋" w:eastAsia="仿宋" w:cs="仿宋"/>
          <w:b w:val="0"/>
          <w:bCs w:val="0"/>
          <w:color w:val="auto"/>
          <w:sz w:val="24"/>
          <w:szCs w:val="24"/>
          <w:highlight w:val="none"/>
        </w:rPr>
        <w:t xml:space="preserve">提供以下资料的扫描件，加盖电子签章：</w:t>
      </w:r>
      <w:r/>
    </w:p>
    <w:p>
      <w:pPr>
        <w:ind w:firstLine="0"/>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（1）供应商须具备市政公用施工总承包三级（含）以上资质证书，并具有有效的安全生产许可证；</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拟派项目负责人须具备市政工程专业二级（含）以上注册建造师资格证书，并取得《建筑施工企业项目负责人安全生产考核合格证书》（B证），无在建工程（提供无在建承诺书，加盖电子签章），格式自拟。</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此项目属于专门面向中小微企业采购的项目，投标人应为中小微企业、监狱企业、残疾人福利性单位。</w:t>
      </w:r>
      <w:r/>
    </w:p>
    <w:p>
      <w:pPr>
        <w:keepLines w:val="0"/>
        <w:keepNext w:val="0"/>
        <w:pageBreakBefore w:val="0"/>
        <w:spacing w:line="312" w:lineRule="auto"/>
        <w:widowControl/>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szCs w:val="24"/>
          <w:highlight w:val="none"/>
        </w:rPr>
        <w:t xml:space="preserve">投标人为中小</w:t>
      </w:r>
      <w:r>
        <w:rPr>
          <w:rFonts w:hint="eastAsia" w:ascii="仿宋" w:hAnsi="仿宋" w:eastAsia="仿宋" w:cs="仿宋"/>
          <w:i w:val="0"/>
          <w:iCs w:val="0"/>
          <w:caps w:val="0"/>
          <w:color w:val="auto"/>
          <w:spacing w:val="0"/>
          <w:sz w:val="24"/>
          <w:szCs w:val="24"/>
          <w:highlight w:val="none"/>
        </w:rPr>
        <w:t xml:space="preserve">企业（含中型、小型、微型企业，下同）的，提供《中小企业声明函》（电子签章，填写完整。</w:t>
      </w:r>
      <w:r>
        <w:rPr>
          <w:rFonts w:hint="eastAsia" w:ascii="仿宋" w:hAnsi="仿宋" w:eastAsia="仿宋" w:cs="仿宋"/>
          <w:i w:val="0"/>
          <w:iCs w:val="0"/>
          <w:caps w:val="0"/>
          <w:color w:val="auto"/>
          <w:spacing w:val="0"/>
          <w:sz w:val="24"/>
          <w:szCs w:val="24"/>
          <w:highlight w:val="none"/>
          <w:lang w:eastAsia="zh-CN"/>
        </w:rPr>
        <w:t xml:space="preserve">格式见磋商文件《响应文件相关格式》</w:t>
      </w:r>
      <w:r>
        <w:rPr>
          <w:rFonts w:hint="eastAsia" w:ascii="仿宋" w:hAnsi="仿宋" w:eastAsia="仿宋" w:cs="仿宋"/>
          <w:i w:val="0"/>
          <w:iCs w:val="0"/>
          <w:caps w:val="0"/>
          <w:color w:val="auto"/>
          <w:spacing w:val="0"/>
          <w:sz w:val="24"/>
          <w:szCs w:val="24"/>
          <w:highlight w:val="none"/>
        </w:rPr>
        <w:t xml:space="preserve">）。《中小企业声明函》查询渠道用微信搜索“中小企业规模类型自测小程序”。</w:t>
      </w:r>
      <w:r/>
    </w:p>
    <w:p>
      <w:pPr>
        <w:pStyle w:val="1151"/>
        <w:ind w:left="0" w:right="0" w:firstLine="480"/>
        <w:jc w:val="both"/>
        <w:keepLines w:val="0"/>
        <w:keepNext w:val="0"/>
        <w:pageBreakBefore w:val="0"/>
        <w:spacing w:before="0" w:beforeAutospacing="0" w:after="0" w:afterAutospacing="0" w:line="312" w:lineRule="auto"/>
        <w:widowControl/>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highlight w:val="none"/>
        </w:rPr>
        <w:t xml:space="preserve">注：</w:t>
      </w:r>
      <w:r>
        <w:rPr>
          <w:rFonts w:hint="eastAsia" w:ascii="仿宋" w:hAnsi="仿宋" w:eastAsia="仿宋" w:cs="仿宋"/>
          <w:bCs/>
          <w:color w:val="auto"/>
          <w:sz w:val="24"/>
          <w:highlight w:val="none"/>
        </w:rPr>
        <w:t xml:space="preserve">中小</w:t>
      </w:r>
      <w:r>
        <w:rPr>
          <w:rFonts w:hint="eastAsia" w:ascii="仿宋" w:hAnsi="仿宋" w:eastAsia="仿宋" w:cs="仿宋"/>
          <w:bCs/>
          <w:color w:val="auto"/>
          <w:sz w:val="24"/>
          <w:highlight w:val="none"/>
          <w:lang w:val="en-US" w:eastAsia="zh-CN"/>
        </w:rPr>
        <w:t xml:space="preserve">微</w:t>
      </w:r>
      <w:r>
        <w:rPr>
          <w:rFonts w:hint="eastAsia" w:ascii="仿宋" w:hAnsi="仿宋" w:eastAsia="仿宋" w:cs="仿宋"/>
          <w:bCs/>
          <w:color w:val="auto"/>
          <w:sz w:val="24"/>
          <w:highlight w:val="none"/>
        </w:rPr>
        <w:t xml:space="preserve">企业</w:t>
      </w:r>
      <w:r>
        <w:rPr>
          <w:rFonts w:hint="eastAsia" w:ascii="仿宋" w:hAnsi="仿宋" w:eastAsia="仿宋" w:cs="仿宋"/>
          <w:color w:val="auto"/>
          <w:sz w:val="24"/>
          <w:highlight w:val="none"/>
        </w:rPr>
        <w:t xml:space="preserve">，应当符合以下条件：</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w:t>
      </w:r>
      <w:r>
        <w:rPr>
          <w:rFonts w:hint="eastAsia" w:ascii="仿宋" w:hAnsi="仿宋" w:eastAsia="仿宋" w:cs="仿宋"/>
          <w:bCs/>
          <w:color w:val="auto"/>
          <w:sz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w:t>
      </w:r>
      <w:r>
        <w:rPr>
          <w:rFonts w:hint="eastAsia" w:ascii="仿宋" w:hAnsi="仿宋" w:eastAsia="仿宋" w:cs="仿宋"/>
          <w:color w:val="auto"/>
          <w:sz w:val="24"/>
          <w:szCs w:val="24"/>
          <w:highlight w:val="none"/>
          <w:lang w:eastAsia="zh-CN"/>
        </w:rPr>
        <w:t xml:space="preserve">磋商文件第九章 《响应文件相关格式》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rPr>
        <w:t xml:space="preserve">项目不接受联合体参与采购活动。</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）；（磋商文件格式与客户端格式不同，以</w:t>
      </w:r>
      <w:r>
        <w:rPr>
          <w:rFonts w:hint="eastAsia" w:ascii="仿宋" w:hAnsi="仿宋" w:eastAsia="仿宋" w:cs="仿宋"/>
          <w:color w:val="auto"/>
          <w:sz w:val="24"/>
          <w:szCs w:val="24"/>
          <w:highlight w:val="none"/>
          <w:lang w:eastAsia="zh-CN"/>
        </w:rPr>
        <w:t xml:space="preserve">磋商文件《响应文件相关格式》</w:t>
      </w:r>
      <w:r>
        <w:rPr>
          <w:rFonts w:hint="eastAsia" w:ascii="仿宋" w:hAnsi="仿宋" w:eastAsia="仿宋" w:cs="仿宋"/>
          <w:color w:val="auto"/>
          <w:sz w:val="24"/>
          <w:szCs w:val="24"/>
          <w:highlight w:val="none"/>
        </w:rPr>
        <w:t xml:space="preserve">，但首次报价必须相同）；</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3、《分项价格表》（具有标价的工程量清单与报价表）（必须提供，否则响应无效）（加盖电子签章，格式见磋商文件《响应文件相关格式》）；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、《投标承诺书》（加盖电子签章，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、《偏离表》（加盖电子签章，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、《授权委托书》（加盖电子签章，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pStyle w:val="1107"/>
        <w:rPr>
          <w:rFonts w:hint="eastAsia" w:eastAsia="仿宋"/>
          <w:lang w:val="en-US" w:eastAsia="zh-CN"/>
        </w:rPr>
      </w:pPr>
      <w:r>
        <w:rPr>
          <w:rFonts w:hint="eastAsia" w:ascii="仿宋" w:hAnsi="仿宋" w:eastAsia="仿宋" w:cs="仿宋"/>
          <w:color w:val="auto"/>
          <w:sz w:val="24"/>
          <w:szCs w:val="24"/>
          <w:highlight w:val="none"/>
          <w:lang w:val="en-US" w:eastAsia="zh-CN"/>
        </w:rPr>
        <w:t xml:space="preserve">7、《主要材料（设备）一览表》（加盖电子签章，格式见磋商文件《响应文件相关格式》）。</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w:t>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（五）价格折扣文件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见《磋商文件》第九章附件中相关格式要求。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6" w:name="_Hlk105221193"/>
      <w:r>
        <w:rPr>
          <w:rFonts w:hint="eastAsia" w:ascii="仿宋" w:hAnsi="仿宋" w:eastAsia="仿宋" w:cs="仿宋"/>
          <w:bCs/>
          <w:color w:val="auto"/>
          <w:sz w:val="24"/>
          <w:szCs w:val="24"/>
          <w:highlight w:val="none"/>
        </w:rPr>
        <w:t xml:space="preserve">纸质版响应文件一正四副及电子响应文件（U盘</w:t>
      </w:r>
      <w:r>
        <w:rPr>
          <w:rFonts w:hint="eastAsia" w:ascii="仿宋" w:hAnsi="仿宋" w:eastAsia="仿宋" w:cs="仿宋"/>
          <w:bCs/>
          <w:color w:val="auto"/>
          <w:sz w:val="24"/>
          <w:szCs w:val="24"/>
          <w:highlight w:val="none"/>
          <w:lang w:val="en-US" w:eastAsia="zh-CN"/>
        </w:rPr>
        <w:t xml:space="preserve">2份</w:t>
      </w:r>
      <w:r>
        <w:rPr>
          <w:rFonts w:hint="eastAsia" w:ascii="仿宋" w:hAnsi="仿宋" w:eastAsia="仿宋" w:cs="仿宋"/>
          <w:bCs/>
          <w:color w:val="auto"/>
          <w:sz w:val="24"/>
          <w:szCs w:val="24"/>
          <w:highlight w:val="none"/>
        </w:rPr>
        <w:t xml:space="preserve">）</w:t>
      </w:r>
      <w:bookmarkEnd w:id="6"/>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363"/>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pPr>
      <w:r/>
      <w:bookmarkStart w:id="7" w:name="_Toc11874"/>
      <w:r/>
      <w:bookmarkStart w:id="8" w:name="_Toc11675"/>
      <w:r/>
      <w:bookmarkStart w:id="9" w:name="_Toc80122285"/>
      <w:r>
        <w:rPr>
          <w:rStyle w:val="1394"/>
          <w:rFonts w:hint="eastAsia" w:ascii="仿宋" w:hAnsi="仿宋" w:eastAsia="仿宋" w:cs="仿宋"/>
          <w:color w:val="auto"/>
          <w:sz w:val="24"/>
          <w:szCs w:val="24"/>
          <w:highlight w:val="none"/>
        </w:rPr>
        <w:t xml:space="preserve">第三章 磋商相关说明</w:t>
      </w:r>
      <w:bookmarkEnd w:id="7"/>
      <w:r/>
      <w:bookmarkEnd w:id="8"/>
      <w:r/>
      <w:bookmarkEnd w:id="9"/>
      <w:r/>
      <w:r/>
    </w:p>
    <w:p>
      <w:pPr>
        <w:jc w:val="left"/>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十四、</w:t>
      </w:r>
      <w:r>
        <w:rPr>
          <w:rFonts w:hint="eastAsia" w:ascii="仿宋" w:hAnsi="仿宋" w:eastAsia="仿宋" w:cs="仿宋"/>
          <w:color w:val="auto"/>
          <w:sz w:val="24"/>
          <w:szCs w:val="24"/>
          <w:highlight w:val="none"/>
          <w:lang w:val="en-US" w:eastAsia="zh-CN"/>
        </w:rPr>
        <w:t xml:space="preserve">磋商程序</w:t>
      </w:r>
      <w:r/>
    </w:p>
    <w:p>
      <w:pPr>
        <w:ind w:firstLine="480"/>
        <w:jc w:val="left"/>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磋商要求</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rPr>
        <w:t xml:space="preserve">未在规定时间内进行报价的，视为响应无效。</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numPr>
          <w:ilvl w:val="0"/>
          <w:numId w:val="3"/>
        </w:num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被邀请参与磋商的供应商如未按上述磋商要求执行，视同放弃磋商的权利。</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Style w:val="1394"/>
          <w:rFonts w:hint="eastAsia" w:ascii="仿宋" w:hAnsi="仿宋" w:eastAsia="仿宋" w:cs="仿宋"/>
          <w:color w:val="auto"/>
          <w:sz w:val="24"/>
          <w:szCs w:val="24"/>
          <w:highlight w:val="none"/>
        </w:rPr>
        <w:t xml:space="preserve">查询及使用供应商信用记录：</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⑴由采购人查询信用信息。</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⑵查询渠道包括：</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①“信用中国”网（www.creditchina.gov.cn）；</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②中国政府采购网（www.ccgp.gov.cn）；</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③“</w:t>
      </w:r>
      <w:r>
        <w:rPr>
          <w:rStyle w:val="1394"/>
          <w:rFonts w:hint="eastAsia" w:ascii="仿宋" w:hAnsi="仿宋" w:eastAsia="仿宋" w:cs="仿宋"/>
          <w:color w:val="auto"/>
          <w:sz w:val="24"/>
          <w:szCs w:val="24"/>
          <w:highlight w:val="none"/>
          <w:lang w:val="en-US" w:eastAsia="zh-CN"/>
        </w:rPr>
        <w:t xml:space="preserve">信用</w:t>
      </w:r>
      <w:r>
        <w:rPr>
          <w:rStyle w:val="1394"/>
          <w:rFonts w:hint="eastAsia" w:ascii="仿宋" w:hAnsi="仿宋" w:eastAsia="仿宋" w:cs="仿宋"/>
          <w:color w:val="auto"/>
          <w:sz w:val="24"/>
          <w:szCs w:val="24"/>
          <w:highlight w:val="none"/>
        </w:rPr>
        <w:t xml:space="preserve">江苏”网（http://www.jscredit.gov.cn/）；</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lang w:val="en-US" w:eastAsia="zh-CN"/>
        </w:rPr>
        <w:t xml:space="preserve">④“信用中国（江苏徐州）”网（ http://</w:t>
      </w:r>
      <w:r>
        <w:rPr>
          <w:rStyle w:val="1394"/>
          <w:rFonts w:hint="eastAsia" w:ascii="仿宋" w:hAnsi="仿宋" w:eastAsia="仿宋" w:cs="仿宋"/>
          <w:color w:val="auto"/>
          <w:sz w:val="24"/>
          <w:szCs w:val="24"/>
          <w:highlight w:val="none"/>
          <w:lang w:val="en-US" w:eastAsia="zh-CN"/>
        </w:rPr>
        <w:fldChar w:fldCharType="begin"/>
      </w:r>
      <w:r>
        <w:rPr>
          <w:rStyle w:val="1394"/>
          <w:rFonts w:hint="eastAsia" w:ascii="仿宋" w:hAnsi="仿宋" w:eastAsia="仿宋" w:cs="仿宋"/>
          <w:color w:val="auto"/>
          <w:sz w:val="24"/>
          <w:szCs w:val="24"/>
          <w:highlight w:val="none"/>
          <w:lang w:val="en-US" w:eastAsia="zh-CN"/>
        </w:rPr>
        <w:instrText xml:space="preserve"> HYPERLINK "http://www.xuzhoucredit.gov.cn）。" </w:instrText>
      </w:r>
      <w:r>
        <w:rPr>
          <w:rStyle w:val="1394"/>
          <w:rFonts w:hint="eastAsia" w:ascii="仿宋" w:hAnsi="仿宋" w:eastAsia="仿宋" w:cs="仿宋"/>
          <w:color w:val="auto"/>
          <w:sz w:val="24"/>
          <w:szCs w:val="24"/>
          <w:highlight w:val="none"/>
          <w:lang w:val="en-US" w:eastAsia="zh-CN"/>
        </w:rPr>
        <w:fldChar w:fldCharType="separate"/>
      </w:r>
      <w:r>
        <w:rPr>
          <w:rStyle w:val="1394"/>
          <w:rFonts w:hint="eastAsia" w:ascii="仿宋" w:hAnsi="仿宋" w:eastAsia="仿宋" w:cs="仿宋"/>
          <w:color w:val="auto"/>
          <w:sz w:val="24"/>
          <w:szCs w:val="24"/>
          <w:highlight w:val="none"/>
          <w:lang w:val="en-US" w:eastAsia="zh-CN"/>
        </w:rPr>
        <w:t xml:space="preserve">www.xuzhoucredit.gov.cn）。</w:t>
      </w:r>
      <w:r>
        <w:rPr>
          <w:rStyle w:val="1394"/>
          <w:rFonts w:hint="eastAsia" w:ascii="仿宋" w:hAnsi="仿宋" w:eastAsia="仿宋" w:cs="仿宋"/>
          <w:color w:val="auto"/>
          <w:sz w:val="24"/>
          <w:szCs w:val="24"/>
          <w:highlight w:val="none"/>
          <w:lang w:val="en-US" w:eastAsia="zh-CN"/>
        </w:rPr>
        <w:fldChar w:fldCharType="end"/>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⑶截止时点（查询环节）：首次响应文件开启后资格审查结束前。</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⑸信用信息的使用规则：</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numPr>
          <w:ilvl w:val="0"/>
          <w:numId w:val="0"/>
        </w:num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1、磋商评审小组的组建：采购人组建。磋商小组成员构成：3 人。磋商小组确定方式：</w:t>
      </w:r>
      <w:r>
        <w:rPr>
          <w:rFonts w:hint="eastAsia" w:ascii="仿宋" w:hAnsi="仿宋" w:eastAsia="仿宋" w:cs="仿宋"/>
          <w:color w:val="auto"/>
          <w:sz w:val="24"/>
          <w:szCs w:val="24"/>
          <w:highlight w:val="none"/>
          <w:lang w:val="en-US" w:eastAsia="zh-CN"/>
        </w:rPr>
        <w:t xml:space="preserve">采购人评委1人，其余</w:t>
      </w:r>
      <w:r>
        <w:rPr>
          <w:rFonts w:hint="eastAsia" w:ascii="仿宋" w:hAnsi="仿宋" w:eastAsia="仿宋" w:cs="仿宋"/>
          <w:color w:val="auto"/>
          <w:sz w:val="24"/>
          <w:szCs w:val="24"/>
          <w:highlight w:val="none"/>
        </w:rPr>
        <w:t xml:space="preserve">政府采购专家从《江苏省政府采购专家库》随机抽取。    </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本项目资格审查由磋商小组负责。</w:t>
      </w:r>
      <w:r>
        <w:rPr>
          <w:rFonts w:hint="eastAsia" w:ascii="仿宋" w:hAnsi="仿宋" w:eastAsia="仿宋" w:cs="仿宋"/>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1108"/>
        <w:ind w:firstLine="480"/>
        <w:keepLines w:val="0"/>
        <w:keepNext w:val="0"/>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具体审查要求如下：</w:t>
      </w:r>
      <w:r>
        <w:rPr>
          <w:rFonts w:hint="eastAsia" w:ascii="仿宋" w:hAnsi="仿宋" w:eastAsia="仿宋" w:cs="仿宋"/>
          <w:b/>
          <w:bCs/>
          <w:color w:val="auto"/>
          <w:sz w:val="24"/>
          <w:szCs w:val="24"/>
          <w:highlight w:val="none"/>
          <w:lang w:val="en-US" w:eastAsia="zh-CN"/>
        </w:rPr>
        <w:t xml:space="preserve">磋商小组启动异常低价投标（响应）审查的情形和具体要求，包括:</w:t>
      </w:r>
      <w:r/>
    </w:p>
    <w:p>
      <w:pPr>
        <w:pStyle w:val="1108"/>
        <w:keepLines w:val="0"/>
        <w:keepNext w:val="0"/>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（1）评审过程中出现下列情形之一的，磋商小组应当启动异常低价投标（响应）审查程序：</w:t>
      </w:r>
      <w:r/>
    </w:p>
    <w:p>
      <w:pPr>
        <w:pStyle w:val="1108"/>
        <w:keepLines w:val="0"/>
        <w:keepNext w:val="0"/>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①投标（响应）报价低于采购项目预算50%的，即投标（响应）报价&lt;采购项目预算×50%；</w:t>
      </w:r>
      <w:r/>
    </w:p>
    <w:p>
      <w:pPr>
        <w:pStyle w:val="1108"/>
        <w:keepLines w:val="0"/>
        <w:keepNext w:val="0"/>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②投标（响应）报价低于采购项目最高限价45%的，即投标（响应）报价&lt;采购项目最高限价×45%；</w:t>
      </w:r>
      <w:r/>
    </w:p>
    <w:p>
      <w:pPr>
        <w:pStyle w:val="1108"/>
        <w:keepLines w:val="0"/>
        <w:keepNext w:val="0"/>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③磋商小组认定的供应商报价过低、有可能影响产品质量或者不能诚信履约的其他情形。</w:t>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（2）启动异常低价投标（</w:t>
      </w:r>
      <w:r>
        <w:rPr>
          <w:rFonts w:hint="eastAsia" w:ascii="仿宋" w:hAnsi="仿宋" w:eastAsia="仿宋" w:cs="仿宋"/>
          <w:b/>
          <w:bCs/>
          <w:color w:val="auto"/>
          <w:sz w:val="24"/>
          <w:szCs w:val="24"/>
          <w:highlight w:val="none"/>
          <w:lang w:val="en-US" w:eastAsia="zh-CN"/>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未在规定时间内解密电子响应文件的；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en-US" w:eastAsia="zh-CN"/>
        </w:rPr>
        <w:t xml:space="preserve">与采购文件提供的工程量清单中项目名称、项目特征、计量单位、工程量不一致的；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响应文件内容不全或不符合磋商文件中规定的其它实质性要求的；</w:t>
      </w:r>
      <w:r/>
    </w:p>
    <w:p>
      <w:pPr>
        <w:ind w:firstLine="48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21、报价清单与采购文件明确列出的不可竞争费用项目或费率或计算基础不一致的；</w:t>
      </w:r>
      <w:r/>
    </w:p>
    <w:p>
      <w:pPr>
        <w:ind w:firstLine="48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22、报价清单与采购文件规定的暂估价、暂列金额不一致的；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、法律法规和磋商文件规定的其它无效情形。</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0" w:name="_Toc31496"/>
      <w:r/>
      <w:bookmarkStart w:id="11" w:name="_Toc13546"/>
      <w:r/>
      <w:bookmarkStart w:id="12" w:name="_Toc80122286"/>
      <w:r>
        <w:rPr>
          <w:rFonts w:hint="eastAsia" w:ascii="仿宋" w:hAnsi="仿宋" w:eastAsia="仿宋" w:cs="仿宋"/>
          <w:b/>
          <w:bCs/>
          <w:color w:val="auto"/>
          <w:sz w:val="24"/>
          <w:szCs w:val="24"/>
          <w:highlight w:val="none"/>
        </w:rPr>
        <w:t xml:space="preserve">第四章 确定成交供应商及合同签订等</w:t>
      </w:r>
      <w:bookmarkEnd w:id="10"/>
      <w:r/>
      <w:bookmarkEnd w:id="11"/>
      <w:r/>
      <w:bookmarkEnd w:id="12"/>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394"/>
          <w:rFonts w:hint="eastAsia" w:ascii="仿宋" w:hAnsi="仿宋" w:eastAsia="仿宋" w:cs="仿宋"/>
          <w:color w:val="auto"/>
          <w:sz w:val="24"/>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3" w:name="_Toc15896"/>
      <w:r/>
      <w:bookmarkStart w:id="14" w:name="_Toc24666"/>
      <w:r/>
      <w:bookmarkStart w:id="15" w:name="_Toc80122287"/>
      <w:r>
        <w:rPr>
          <w:rFonts w:hint="eastAsia" w:ascii="仿宋" w:hAnsi="仿宋" w:eastAsia="仿宋" w:cs="仿宋"/>
          <w:b/>
          <w:bCs/>
          <w:color w:val="auto"/>
          <w:sz w:val="24"/>
          <w:szCs w:val="24"/>
          <w:highlight w:val="none"/>
        </w:rPr>
        <w:t xml:space="preserve">第五章 磋商文件的澄清或者修改</w:t>
      </w:r>
      <w:bookmarkEnd w:id="13"/>
      <w:r/>
      <w:bookmarkEnd w:id="14"/>
      <w:r/>
      <w:bookmarkEnd w:id="15"/>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6" w:name="_Toc80122288"/>
      <w:r/>
      <w:bookmarkStart w:id="17" w:name="_Toc2592"/>
      <w:r/>
      <w:bookmarkStart w:id="18" w:name="_Toc11856"/>
      <w:r>
        <w:rPr>
          <w:rFonts w:hint="eastAsia" w:ascii="仿宋" w:hAnsi="仿宋" w:eastAsia="仿宋" w:cs="仿宋"/>
          <w:b/>
          <w:bCs/>
          <w:color w:val="auto"/>
          <w:sz w:val="24"/>
          <w:szCs w:val="24"/>
          <w:highlight w:val="none"/>
        </w:rPr>
        <w:t xml:space="preserve">第六章 询问和质疑</w:t>
      </w:r>
      <w:bookmarkEnd w:id="16"/>
      <w:r/>
      <w:bookmarkEnd w:id="17"/>
      <w:r/>
      <w:bookmarkEnd w:id="18"/>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2、质疑和投诉按《政府采购质疑和投诉办法》执行。供应商对同一采购程序环节的质疑应在质疑期内一次性提出。</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夏菲</w:t>
      </w:r>
      <w:r>
        <w:rPr>
          <w:rFonts w:hint="eastAsia" w:ascii="仿宋" w:hAnsi="仿宋" w:eastAsia="仿宋" w:cs="仿宋"/>
          <w:color w:val="auto"/>
          <w:sz w:val="24"/>
          <w:szCs w:val="24"/>
          <w:highlight w:val="none"/>
        </w:rPr>
        <w:t xml:space="preserve">     联系电话：0516-85610680</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接收地址：徐州市泉山区软件园路2号</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，向江苏科建工程项目管理有限公司一次性支付招标代理服务费，收费标准见《徐州市政府采购业务代理服务费行业指导价格标准》。同时提供纸质版响应文件一正四副及电子响应文件（U盘）</w:t>
      </w:r>
      <w:r>
        <w:rPr>
          <w:rFonts w:hint="eastAsia" w:ascii="仿宋" w:hAnsi="仿宋" w:eastAsia="仿宋" w:cs="仿宋"/>
          <w:color w:val="auto"/>
          <w:sz w:val="24"/>
          <w:szCs w:val="24"/>
          <w:highlight w:val="none"/>
          <w:lang w:val="en-US" w:eastAsia="zh-CN"/>
        </w:rPr>
        <w:t xml:space="preserve">1份</w:t>
      </w:r>
      <w:r>
        <w:rPr>
          <w:rFonts w:hint="eastAsia" w:ascii="仿宋" w:hAnsi="仿宋" w:eastAsia="仿宋" w:cs="仿宋"/>
          <w:color w:val="auto"/>
          <w:sz w:val="24"/>
          <w:szCs w:val="24"/>
          <w:highlight w:val="none"/>
        </w:rPr>
        <w:t xml:space="preserve">。</w:t>
      </w:r>
      <w:r/>
    </w:p>
    <w:p>
      <w:pPr>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二十七、联系方式</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、采购人</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徐州市第十三中学</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徐州市泉山区永安街56号</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采购项目联系人：</w:t>
      </w:r>
      <w:r>
        <w:rPr>
          <w:rFonts w:hint="eastAsia" w:ascii="仿宋" w:hAnsi="仿宋" w:eastAsia="仿宋" w:cs="仿宋"/>
          <w:color w:val="auto"/>
          <w:sz w:val="24"/>
          <w:szCs w:val="24"/>
          <w:highlight w:val="none"/>
          <w:lang w:val="en-US" w:eastAsia="zh-CN"/>
        </w:rPr>
        <w:t xml:space="preserve">李清</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0516-68963036</w:t>
      </w:r>
      <w:r/>
    </w:p>
    <w:p>
      <w:pPr>
        <w:pStyle w:val="1109"/>
        <w:numPr>
          <w:ilvl w:val="0"/>
          <w:numId w:val="0"/>
        </w:numPr>
        <w:ind w:firstLine="480"/>
        <w:jc w:val="left"/>
        <w:pageBreakBefore w:val="0"/>
        <w:spacing w:line="312"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rPr>
        <w:t xml:space="preserve">采购代理机构</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名称：江苏科建工程项目管理有限公司</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地址：徐州市泉山区软件园路2号</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采购代理联系人：</w:t>
      </w:r>
      <w:r>
        <w:rPr>
          <w:rFonts w:hint="eastAsia" w:ascii="仿宋" w:hAnsi="仿宋" w:eastAsia="仿宋" w:cs="仿宋"/>
          <w:color w:val="auto"/>
          <w:sz w:val="24"/>
          <w:szCs w:val="24"/>
          <w:highlight w:val="none"/>
          <w:lang w:eastAsia="zh-CN"/>
        </w:rPr>
        <w:t xml:space="preserve">夏菲</w:t>
      </w:r>
      <w:r/>
    </w:p>
    <w:p>
      <w:pPr>
        <w:pStyle w:val="1109"/>
        <w:ind w:firstLine="96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电话：0516-85610680</w:t>
      </w:r>
      <w:r/>
    </w:p>
    <w:p>
      <w:pPr>
        <w:pStyle w:val="1363"/>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br w:type="page" w:clear="all"/>
      </w:r>
      <w:bookmarkStart w:id="19" w:name="_Toc3322"/>
      <w:r/>
      <w:bookmarkStart w:id="20" w:name="_Toc80122289"/>
      <w:r/>
      <w:bookmarkStart w:id="21" w:name="_Toc16162"/>
      <w:r>
        <w:rPr>
          <w:rStyle w:val="1394"/>
          <w:rFonts w:hint="eastAsia" w:ascii="仿宋" w:hAnsi="仿宋" w:eastAsia="仿宋" w:cs="仿宋"/>
          <w:color w:val="auto"/>
          <w:sz w:val="24"/>
          <w:szCs w:val="24"/>
          <w:highlight w:val="none"/>
        </w:rPr>
        <w:t xml:space="preserve">第七章 评分细则</w:t>
      </w:r>
      <w:bookmarkEnd w:id="19"/>
      <w:r/>
      <w:bookmarkEnd w:id="20"/>
      <w:r/>
      <w:bookmarkEnd w:id="21"/>
      <w:r>
        <w:rPr>
          <w:rStyle w:val="1394"/>
          <w:rFonts w:hint="eastAsia" w:ascii="仿宋" w:hAnsi="仿宋" w:eastAsia="仿宋" w:cs="仿宋"/>
          <w:color w:val="auto"/>
          <w:sz w:val="24"/>
          <w:szCs w:val="24"/>
          <w:highlight w:val="none"/>
        </w:rPr>
        <w:t xml:space="preserve">（综合评分法）</w:t>
      </w:r>
      <w:r/>
    </w:p>
    <w:tbl>
      <w:tblPr>
        <w:tblStyle w:val="1106"/>
        <w:tblW w:w="961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1068"/>
        <w:gridCol w:w="7648"/>
      </w:tblGrid>
      <w:tr>
        <w:trPr>
          <w:jc w:val="center"/>
          <w:trHeight w:val="329"/>
        </w:trPr>
        <w:tc>
          <w:tcPr>
            <w:tcMar>
              <w:left w:w="15" w:type="dxa"/>
              <w:top w:w="15" w:type="dxa"/>
              <w:right w:w="15" w:type="dxa"/>
            </w:tcMar>
            <w:tcW w:w="903" w:type="dxa"/>
            <w:vAlign w:val="center"/>
            <w:textDirection w:val="lrTb"/>
            <w:noWrap w:val="false"/>
          </w:tcPr>
          <w:p>
            <w:pPr>
              <w:jc w:val="center"/>
              <w:rPr>
                <w:rFonts w:hint="eastAsia" w:ascii="仿宋" w:hAnsi="仿宋" w:eastAsia="仿宋" w:cs="仿宋"/>
                <w:strike w:val="0"/>
                <w:color w:val="auto"/>
                <w:sz w:val="24"/>
                <w:highlight w:val="none"/>
              </w:rPr>
            </w:pPr>
            <w:r/>
            <w:bookmarkStart w:id="22" w:name="_Toc80122290"/>
            <w:r>
              <w:rPr>
                <w:rFonts w:hint="eastAsia" w:ascii="仿宋" w:hAnsi="仿宋" w:eastAsia="仿宋" w:cs="仿宋"/>
                <w:strike w:val="0"/>
                <w:color w:val="auto"/>
                <w:sz w:val="24"/>
                <w:highlight w:val="none"/>
              </w:rPr>
              <w:t xml:space="preserve">项目</w:t>
            </w:r>
            <w:r/>
          </w:p>
        </w:tc>
        <w:tc>
          <w:tcPr>
            <w:gridSpan w:val="2"/>
            <w:tcMar>
              <w:left w:w="15" w:type="dxa"/>
              <w:top w:w="15" w:type="dxa"/>
              <w:right w:w="15" w:type="dxa"/>
            </w:tcMar>
            <w:tcW w:w="8716" w:type="dxa"/>
            <w:vAlign w:val="center"/>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评分办法</w:t>
            </w:r>
            <w:r/>
          </w:p>
        </w:tc>
      </w:tr>
      <w:tr>
        <w:trPr>
          <w:jc w:val="center"/>
          <w:trHeight w:val="1228"/>
        </w:trPr>
        <w:tc>
          <w:tcPr>
            <w:tcMar>
              <w:left w:w="15" w:type="dxa"/>
              <w:top w:w="15" w:type="dxa"/>
              <w:right w:w="15" w:type="dxa"/>
            </w:tcMar>
            <w:tcW w:w="903" w:type="dxa"/>
            <w:vAlign w:val="center"/>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价格</w:t>
            </w:r>
            <w:r/>
          </w:p>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w:t>
            </w:r>
            <w:r>
              <w:rPr>
                <w:rFonts w:hint="eastAsia" w:ascii="仿宋" w:hAnsi="仿宋" w:eastAsia="仿宋" w:cs="仿宋"/>
                <w:strike w:val="0"/>
                <w:color w:val="auto"/>
                <w:sz w:val="24"/>
                <w:highlight w:val="none"/>
                <w:lang w:val="en-US" w:eastAsia="zh-CN"/>
              </w:rPr>
              <w:t xml:space="preserve">20</w:t>
            </w:r>
            <w:r>
              <w:rPr>
                <w:rFonts w:hint="eastAsia" w:ascii="仿宋" w:hAnsi="仿宋" w:eastAsia="仿宋" w:cs="仿宋"/>
                <w:strike w:val="0"/>
                <w:color w:val="auto"/>
                <w:sz w:val="24"/>
                <w:highlight w:val="none"/>
              </w:rPr>
              <w:t xml:space="preserve">分）</w:t>
            </w:r>
            <w:r/>
          </w:p>
        </w:tc>
        <w:tc>
          <w:tcPr>
            <w:gridSpan w:val="2"/>
            <w:tcMar>
              <w:left w:w="15" w:type="dxa"/>
              <w:top w:w="15" w:type="dxa"/>
              <w:right w:w="15" w:type="dxa"/>
            </w:tcMar>
            <w:tcW w:w="8716"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仿宋" w:hAnsi="仿宋" w:eastAsia="仿宋" w:cs="仿宋"/>
                <w:strike w:val="0"/>
                <w:color w:val="auto"/>
                <w:sz w:val="24"/>
                <w:highlight w:val="none"/>
              </w:rPr>
            </w:pPr>
            <w:r>
              <w:rPr>
                <w:rFonts w:hint="eastAsia" w:ascii="仿宋" w:hAnsi="仿宋" w:eastAsia="仿宋" w:cs="仿宋"/>
                <w:strike w:val="0"/>
                <w:color w:val="auto"/>
                <w:sz w:val="24"/>
                <w:szCs w:val="24"/>
                <w:highlight w:val="none"/>
              </w:rPr>
              <w:t xml:space="preserve">磋商报价得分=（磋商基准价/最后磋商报价）×</w:t>
            </w:r>
            <w:r>
              <w:rPr>
                <w:rFonts w:hint="eastAsia" w:ascii="仿宋" w:hAnsi="仿宋" w:eastAsia="仿宋" w:cs="仿宋"/>
                <w:strike w:val="0"/>
                <w:color w:val="auto"/>
                <w:sz w:val="24"/>
                <w:szCs w:val="24"/>
                <w:highlight w:val="none"/>
                <w:lang w:val="en-US" w:eastAsia="zh-CN"/>
              </w:rPr>
              <w:t xml:space="preserve">20</w:t>
            </w:r>
            <w:r>
              <w:rPr>
                <w:rFonts w:hint="eastAsia" w:ascii="仿宋" w:hAnsi="仿宋" w:eastAsia="仿宋" w:cs="仿宋"/>
                <w:strike w:val="0"/>
                <w:color w:val="auto"/>
                <w:sz w:val="24"/>
                <w:szCs w:val="24"/>
                <w:highlight w:val="none"/>
              </w:rPr>
              <w:t xml:space="preserve">；结果计算小数点后保留两位。</w:t>
            </w:r>
            <w:r/>
          </w:p>
        </w:tc>
      </w:tr>
      <w:tr>
        <w:trPr>
          <w:jc w:val="center"/>
          <w:trHeight w:val="2371"/>
        </w:trPr>
        <w:tc>
          <w:tcPr>
            <w:tcMar>
              <w:left w:w="15" w:type="dxa"/>
              <w:top w:w="15" w:type="dxa"/>
              <w:right w:w="15" w:type="dxa"/>
            </w:tcMar>
            <w:tcW w:w="903" w:type="dxa"/>
            <w:vAlign w:val="center"/>
            <w:vMerge w:val="restart"/>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施工</w:t>
            </w:r>
            <w:r>
              <w:rPr>
                <w:rFonts w:hint="eastAsia" w:ascii="仿宋" w:hAnsi="仿宋" w:eastAsia="仿宋" w:cs="仿宋"/>
                <w:strike w:val="0"/>
                <w:color w:val="auto"/>
                <w:sz w:val="24"/>
                <w:highlight w:val="none"/>
                <w:lang w:val="en-US" w:eastAsia="zh-CN"/>
              </w:rPr>
              <w:t xml:space="preserve">方案</w:t>
            </w:r>
            <w:r>
              <w:rPr>
                <w:rFonts w:hint="eastAsia" w:ascii="仿宋" w:hAnsi="仿宋" w:eastAsia="仿宋" w:cs="仿宋"/>
                <w:strike w:val="0"/>
                <w:color w:val="auto"/>
                <w:sz w:val="24"/>
                <w:highlight w:val="none"/>
              </w:rPr>
              <w:br/>
            </w:r>
            <w:r>
              <w:rPr>
                <w:rFonts w:hint="eastAsia" w:ascii="仿宋" w:hAnsi="仿宋" w:eastAsia="仿宋" w:cs="仿宋"/>
                <w:strike w:val="0"/>
                <w:color w:val="auto"/>
                <w:sz w:val="24"/>
                <w:highlight w:val="none"/>
              </w:rPr>
              <w:t xml:space="preserve">（</w:t>
            </w:r>
            <w:r>
              <w:rPr>
                <w:rFonts w:hint="eastAsia" w:ascii="仿宋" w:hAnsi="仿宋" w:eastAsia="仿宋" w:cs="仿宋"/>
                <w:strike w:val="0"/>
                <w:color w:val="auto"/>
                <w:sz w:val="24"/>
                <w:highlight w:val="none"/>
                <w:lang w:val="en-US" w:eastAsia="zh-CN"/>
              </w:rPr>
              <w:t xml:space="preserve">62</w:t>
            </w:r>
            <w:r>
              <w:rPr>
                <w:rFonts w:hint="eastAsia" w:ascii="仿宋" w:hAnsi="仿宋" w:eastAsia="仿宋" w:cs="仿宋"/>
                <w:strike w:val="0"/>
                <w:color w:val="auto"/>
                <w:sz w:val="24"/>
                <w:highlight w:val="none"/>
              </w:rPr>
              <w:t xml:space="preserve">分）</w:t>
            </w:r>
            <w:r/>
          </w:p>
        </w:tc>
        <w:tc>
          <w:tcPr>
            <w:tcMar>
              <w:left w:w="15" w:type="dxa"/>
              <w:top w:w="15" w:type="dxa"/>
              <w:right w:w="15" w:type="dxa"/>
            </w:tcMar>
            <w:tcW w:w="1068" w:type="dxa"/>
            <w:vAlign w:val="center"/>
            <w:textDirection w:val="lrTb"/>
            <w:noWrap w:val="false"/>
          </w:tcPr>
          <w:p>
            <w:pPr>
              <w:pStyle w:val="1111"/>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总体施工方案</w:t>
            </w:r>
            <w:r/>
          </w:p>
          <w:p>
            <w:pPr>
              <w:pStyle w:val="1111"/>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w:t>
            </w:r>
            <w:r>
              <w:rPr>
                <w:rFonts w:hint="eastAsia" w:ascii="仿宋" w:hAnsi="仿宋" w:eastAsia="仿宋" w:cs="仿宋"/>
                <w:strike w:val="0"/>
                <w:color w:val="auto"/>
                <w:sz w:val="24"/>
                <w:highlight w:val="none"/>
                <w:lang w:val="en-US" w:eastAsia="zh-CN"/>
              </w:rPr>
              <w:t xml:space="preserve">6</w:t>
            </w:r>
            <w:r>
              <w:rPr>
                <w:rFonts w:hint="eastAsia" w:ascii="仿宋" w:hAnsi="仿宋" w:eastAsia="仿宋" w:cs="仿宋"/>
                <w:strike w:val="0"/>
                <w:color w:val="auto"/>
                <w:sz w:val="24"/>
                <w:highlight w:val="none"/>
              </w:rPr>
              <w:t xml:space="preserve">分）</w:t>
            </w:r>
            <w:r/>
          </w:p>
        </w:tc>
        <w:tc>
          <w:tcPr>
            <w:tcMar>
              <w:left w:w="15" w:type="dxa"/>
              <w:top w:w="15" w:type="dxa"/>
              <w:right w:w="15" w:type="dxa"/>
            </w:tcMar>
            <w:tcW w:w="7648" w:type="dxa"/>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响应文件中的</w:t>
            </w:r>
            <w:r>
              <w:rPr>
                <w:rFonts w:hint="eastAsia" w:ascii="仿宋" w:hAnsi="仿宋" w:eastAsia="仿宋" w:cs="仿宋"/>
                <w:color w:val="auto"/>
                <w:sz w:val="24"/>
                <w:highlight w:val="none"/>
                <w:lang w:val="en-US" w:eastAsia="zh-CN"/>
              </w:rPr>
              <w:t xml:space="preserve">总体施工方案，包括但不限于</w:t>
            </w:r>
            <w:r>
              <w:rPr>
                <w:rFonts w:hint="eastAsia" w:ascii="仿宋" w:hAnsi="仿宋" w:eastAsia="仿宋" w:cs="仿宋"/>
                <w:color w:val="auto"/>
                <w:sz w:val="24"/>
                <w:szCs w:val="24"/>
                <w:highlight w:val="none"/>
                <w:lang w:val="en-US" w:eastAsia="zh-CN"/>
              </w:rPr>
              <w:t xml:space="preserve">明确施工的总体目标（如质量目标、进度目标、安全目标等）、制定合理的施工顺序和施工流程、合理划分施工区域和施工阶段、详细描述施工方法和技术措施、强调施工的关键环节和重点部位</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color w:val="auto"/>
                <w:sz w:val="24"/>
                <w:szCs w:val="24"/>
                <w:highlight w:val="none"/>
                <w:lang w:eastAsia="zh-CN"/>
              </w:rPr>
              <w:t xml:space="preserve">。</w:t>
            </w:r>
            <w:r/>
          </w:p>
          <w:p>
            <w:pP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全面性（</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分）：全面具体详实得</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分；较全面得</w:t>
            </w:r>
            <w:r>
              <w:rPr>
                <w:rFonts w:hint="eastAsia" w:ascii="仿宋" w:hAnsi="仿宋" w:eastAsia="仿宋" w:cs="仿宋"/>
                <w:strike w:val="0"/>
                <w:color w:val="auto"/>
                <w:sz w:val="24"/>
                <w:highlight w:val="none"/>
                <w:lang w:val="en-US" w:eastAsia="zh-CN"/>
              </w:rPr>
              <w:t xml:space="preserve">1</w:t>
            </w:r>
            <w:r>
              <w:rPr>
                <w:rFonts w:hint="eastAsia" w:ascii="仿宋" w:hAnsi="仿宋" w:eastAsia="仿宋" w:cs="仿宋"/>
                <w:strike w:val="0"/>
                <w:color w:val="auto"/>
                <w:sz w:val="24"/>
                <w:highlight w:val="none"/>
              </w:rPr>
              <w:t xml:space="preserve">分；不全面得</w:t>
            </w:r>
            <w:r>
              <w:rPr>
                <w:rFonts w:hint="eastAsia" w:ascii="仿宋" w:hAnsi="仿宋" w:eastAsia="仿宋" w:cs="仿宋"/>
                <w:strike w:val="0"/>
                <w:color w:val="auto"/>
                <w:sz w:val="24"/>
                <w:highlight w:val="none"/>
                <w:lang w:val="en-US" w:eastAsia="zh-CN"/>
              </w:rPr>
              <w:t xml:space="preserve">0.5</w:t>
            </w:r>
            <w:r>
              <w:rPr>
                <w:rFonts w:hint="eastAsia" w:ascii="仿宋" w:hAnsi="仿宋" w:eastAsia="仿宋" w:cs="仿宋"/>
                <w:strike w:val="0"/>
                <w:color w:val="auto"/>
                <w:sz w:val="24"/>
                <w:highlight w:val="none"/>
              </w:rPr>
              <w:t xml:space="preserve">分。</w:t>
            </w:r>
            <w:r/>
          </w:p>
          <w:p>
            <w:pP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可行性（</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分）：符合实际切实可行得</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分；较切实可行得</w:t>
            </w:r>
            <w:r>
              <w:rPr>
                <w:rFonts w:hint="eastAsia" w:ascii="仿宋" w:hAnsi="仿宋" w:eastAsia="仿宋" w:cs="仿宋"/>
                <w:strike w:val="0"/>
                <w:color w:val="auto"/>
                <w:sz w:val="24"/>
                <w:highlight w:val="none"/>
                <w:lang w:val="en-US" w:eastAsia="zh-CN"/>
              </w:rPr>
              <w:t xml:space="preserve">1</w:t>
            </w:r>
            <w:r>
              <w:rPr>
                <w:rFonts w:hint="eastAsia" w:ascii="仿宋" w:hAnsi="仿宋" w:eastAsia="仿宋" w:cs="仿宋"/>
                <w:strike w:val="0"/>
                <w:color w:val="auto"/>
                <w:sz w:val="24"/>
                <w:highlight w:val="none"/>
              </w:rPr>
              <w:t xml:space="preserve">分；可行性欠缺得</w:t>
            </w:r>
            <w:r>
              <w:rPr>
                <w:rFonts w:hint="eastAsia" w:ascii="仿宋" w:hAnsi="仿宋" w:eastAsia="仿宋" w:cs="仿宋"/>
                <w:strike w:val="0"/>
                <w:color w:val="auto"/>
                <w:sz w:val="24"/>
                <w:highlight w:val="none"/>
                <w:lang w:val="en-US" w:eastAsia="zh-CN"/>
              </w:rPr>
              <w:t xml:space="preserve">0.5</w:t>
            </w:r>
            <w:r>
              <w:rPr>
                <w:rFonts w:hint="eastAsia" w:ascii="仿宋" w:hAnsi="仿宋" w:eastAsia="仿宋" w:cs="仿宋"/>
                <w:strike w:val="0"/>
                <w:color w:val="auto"/>
                <w:sz w:val="24"/>
                <w:highlight w:val="none"/>
              </w:rPr>
              <w:t xml:space="preserve">分。</w:t>
            </w:r>
            <w:r/>
          </w:p>
          <w:p>
            <w:pP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针对性（</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分）：针对性强得</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分；针对性较强得</w:t>
            </w:r>
            <w:r>
              <w:rPr>
                <w:rFonts w:hint="eastAsia" w:ascii="仿宋" w:hAnsi="仿宋" w:eastAsia="仿宋" w:cs="仿宋"/>
                <w:strike w:val="0"/>
                <w:color w:val="auto"/>
                <w:sz w:val="24"/>
                <w:highlight w:val="none"/>
                <w:lang w:val="en-US" w:eastAsia="zh-CN"/>
              </w:rPr>
              <w:t xml:space="preserve">1</w:t>
            </w:r>
            <w:r>
              <w:rPr>
                <w:rFonts w:hint="eastAsia" w:ascii="仿宋" w:hAnsi="仿宋" w:eastAsia="仿宋" w:cs="仿宋"/>
                <w:strike w:val="0"/>
                <w:color w:val="auto"/>
                <w:sz w:val="24"/>
                <w:highlight w:val="none"/>
              </w:rPr>
              <w:t xml:space="preserve">分；针对性欠缺得</w:t>
            </w:r>
            <w:r>
              <w:rPr>
                <w:rFonts w:hint="eastAsia" w:ascii="仿宋" w:hAnsi="仿宋" w:eastAsia="仿宋" w:cs="仿宋"/>
                <w:strike w:val="0"/>
                <w:color w:val="auto"/>
                <w:sz w:val="24"/>
                <w:highlight w:val="none"/>
                <w:lang w:val="en-US" w:eastAsia="zh-CN"/>
              </w:rPr>
              <w:t xml:space="preserve">0.5</w:t>
            </w:r>
            <w:r>
              <w:rPr>
                <w:rFonts w:hint="eastAsia" w:ascii="仿宋" w:hAnsi="仿宋" w:eastAsia="仿宋" w:cs="仿宋"/>
                <w:strike w:val="0"/>
                <w:color w:val="auto"/>
                <w:sz w:val="24"/>
                <w:highlight w:val="none"/>
              </w:rPr>
              <w:t xml:space="preserve">分。未提供的得0分。</w:t>
            </w:r>
            <w:r/>
          </w:p>
        </w:tc>
      </w:tr>
      <w:tr>
        <w:trPr>
          <w:jc w:val="center"/>
          <w:trHeight w:val="2255"/>
        </w:trPr>
        <w:tc>
          <w:tcPr>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shd w:val="clear" w:color="auto" w:fill="auto"/>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lang w:val="en-US" w:eastAsia="zh-CN" w:bidi="ar-SA"/>
              </w:rPr>
            </w:pPr>
            <w:r>
              <w:rPr>
                <w:rFonts w:hint="eastAsia" w:ascii="仿宋" w:hAnsi="仿宋" w:eastAsia="仿宋" w:cs="仿宋"/>
                <w:strike w:val="0"/>
                <w:color w:val="auto"/>
                <w:sz w:val="24"/>
                <w:szCs w:val="24"/>
                <w:highlight w:val="none"/>
              </w:rPr>
              <w:t xml:space="preserve">质量保证措施（9分）</w:t>
            </w:r>
            <w:r/>
          </w:p>
        </w:tc>
        <w:tc>
          <w:tcPr>
            <w:shd w:val="clear" w:color="auto" w:fill="auto"/>
            <w:tcMar>
              <w:left w:w="15" w:type="dxa"/>
              <w:top w:w="15" w:type="dxa"/>
              <w:right w:w="15" w:type="dxa"/>
            </w:tcMar>
            <w:tcW w:w="7648" w:type="dxa"/>
            <w:vAlign w:val="top"/>
            <w:textDirection w:val="lrTb"/>
            <w:noWrap w:val="false"/>
          </w:tcPr>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响应文件中的</w:t>
            </w:r>
            <w:r>
              <w:rPr>
                <w:rFonts w:hint="eastAsia" w:ascii="仿宋" w:hAnsi="仿宋" w:eastAsia="仿宋" w:cs="仿宋"/>
                <w:color w:val="auto"/>
                <w:sz w:val="24"/>
                <w:szCs w:val="24"/>
                <w:highlight w:val="none"/>
              </w:rPr>
              <w:t xml:space="preserve">质量保证措施，</w:t>
            </w:r>
            <w:r>
              <w:rPr>
                <w:rFonts w:hint="eastAsia" w:ascii="仿宋" w:hAnsi="仿宋" w:eastAsia="仿宋" w:cs="仿宋"/>
                <w:color w:val="auto"/>
                <w:sz w:val="24"/>
                <w:szCs w:val="24"/>
                <w:highlight w:val="none"/>
                <w:lang w:val="en-US" w:eastAsia="zh-CN"/>
              </w:rPr>
              <w:t xml:space="preserve">包括但不限于</w:t>
            </w:r>
            <w:r>
              <w:rPr>
                <w:rFonts w:hint="eastAsia" w:ascii="仿宋" w:hAnsi="仿宋" w:eastAsia="仿宋" w:cs="仿宋"/>
                <w:color w:val="auto"/>
                <w:sz w:val="24"/>
                <w:szCs w:val="24"/>
                <w:highlight w:val="none"/>
              </w:rPr>
              <w:t xml:space="preserve">施工质量管理规划及目标、</w:t>
            </w:r>
            <w:r>
              <w:rPr>
                <w:rFonts w:hint="eastAsia" w:ascii="仿宋" w:hAnsi="仿宋" w:eastAsia="仿宋" w:cs="仿宋"/>
                <w:color w:val="auto"/>
                <w:sz w:val="24"/>
                <w:szCs w:val="24"/>
                <w:highlight w:val="none"/>
                <w:lang w:val="en-US" w:eastAsia="zh-CN"/>
              </w:rPr>
              <w:t xml:space="preserve">明确质量目标和质量控制要点、制定详细的质量检验计划和验收标准、原材料、构配件和设备的质量控制</w:t>
            </w:r>
            <w:r>
              <w:rPr>
                <w:rFonts w:hint="eastAsia" w:ascii="仿宋" w:hAnsi="仿宋" w:eastAsia="仿宋" w:cs="仿宋"/>
                <w:strike w:val="0"/>
                <w:color w:val="auto"/>
                <w:sz w:val="24"/>
                <w:szCs w:val="24"/>
                <w:highlight w:val="none"/>
              </w:rPr>
              <w:t xml:space="preserve">突发情况预防方式</w:t>
            </w:r>
            <w:r>
              <w:rPr>
                <w:rFonts w:hint="eastAsia" w:ascii="仿宋" w:hAnsi="仿宋" w:eastAsia="仿宋" w:cs="仿宋"/>
                <w:color w:val="auto"/>
                <w:sz w:val="24"/>
                <w:szCs w:val="24"/>
                <w:highlight w:val="none"/>
              </w:rPr>
              <w:t xml:space="preserve">等方面进行总体</w:t>
            </w:r>
            <w:r>
              <w:rPr>
                <w:rFonts w:hint="eastAsia" w:ascii="仿宋" w:hAnsi="仿宋" w:eastAsia="仿宋" w:cs="仿宋"/>
                <w:color w:val="auto"/>
                <w:sz w:val="24"/>
                <w:highlight w:val="none"/>
                <w:lang w:val="en-US" w:eastAsia="zh-CN"/>
              </w:rPr>
              <w:t xml:space="preserve">评审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可行性（3分）：符合实际切实可行得3分；较切实可行得2分；可行性欠缺得1分。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lang w:val="en-US" w:eastAsia="zh-CN" w:bidi="ar-SA"/>
              </w:rPr>
            </w:pPr>
            <w:r>
              <w:rPr>
                <w:rFonts w:hint="eastAsia" w:ascii="仿宋" w:hAnsi="仿宋" w:eastAsia="仿宋" w:cs="仿宋"/>
                <w:strike w:val="0"/>
                <w:color w:val="auto"/>
                <w:sz w:val="24"/>
                <w:szCs w:val="24"/>
                <w:highlight w:val="none"/>
              </w:rPr>
              <w:t xml:space="preserve">针对性（3分）：针对性强得3分；针对性较强得2分；针对性</w:t>
            </w:r>
            <w:r>
              <w:rPr>
                <w:rFonts w:hint="eastAsia" w:ascii="仿宋" w:hAnsi="仿宋" w:eastAsia="仿宋" w:cs="仿宋"/>
                <w:strike w:val="0"/>
                <w:color w:val="auto"/>
                <w:sz w:val="24"/>
                <w:highlight w:val="none"/>
              </w:rPr>
              <w:t xml:space="preserve">欠缺</w:t>
            </w:r>
            <w:r>
              <w:rPr>
                <w:rFonts w:hint="eastAsia" w:ascii="仿宋" w:hAnsi="仿宋" w:eastAsia="仿宋" w:cs="仿宋"/>
                <w:strike w:val="0"/>
                <w:color w:val="auto"/>
                <w:sz w:val="24"/>
                <w:szCs w:val="24"/>
                <w:highlight w:val="none"/>
              </w:rPr>
              <w:t xml:space="preserve">得1分。未提供的得0分。</w:t>
            </w:r>
            <w:r/>
          </w:p>
        </w:tc>
      </w:tr>
      <w:tr>
        <w:trPr>
          <w:jc w:val="center"/>
          <w:trHeight w:val="2255"/>
        </w:trPr>
        <w:tc>
          <w:tcPr>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tcMar>
              <w:left w:w="15" w:type="dxa"/>
              <w:top w:w="15" w:type="dxa"/>
              <w:right w:w="15" w:type="dxa"/>
            </w:tcMar>
            <w:tcW w:w="1068" w:type="dxa"/>
            <w:vAlign w:val="center"/>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进度及保证措施（</w:t>
            </w:r>
            <w:r>
              <w:rPr>
                <w:rFonts w:hint="eastAsia" w:ascii="仿宋" w:hAnsi="仿宋" w:eastAsia="仿宋" w:cs="仿宋"/>
                <w:strike w:val="0"/>
                <w:color w:val="auto"/>
                <w:sz w:val="24"/>
                <w:highlight w:val="none"/>
                <w:lang w:val="en-US" w:eastAsia="zh-CN"/>
              </w:rPr>
              <w:t xml:space="preserve">7</w:t>
            </w:r>
            <w:r>
              <w:rPr>
                <w:rFonts w:hint="eastAsia" w:ascii="仿宋" w:hAnsi="仿宋" w:eastAsia="仿宋" w:cs="仿宋"/>
                <w:strike w:val="0"/>
                <w:color w:val="auto"/>
                <w:sz w:val="24"/>
                <w:highlight w:val="none"/>
              </w:rPr>
              <w:t xml:space="preserve">分）</w:t>
            </w:r>
            <w:r/>
          </w:p>
        </w:tc>
        <w:tc>
          <w:tcPr>
            <w:tcMar>
              <w:left w:w="15" w:type="dxa"/>
              <w:top w:w="15" w:type="dxa"/>
              <w:right w:w="15" w:type="dxa"/>
            </w:tcMar>
            <w:tcW w:w="7648" w:type="dxa"/>
            <w:vAlign w:val="top"/>
            <w:textDirection w:val="lrTb"/>
            <w:noWrap w:val="false"/>
          </w:tcPr>
          <w:p>
            <w:pPr>
              <w:rPr>
                <w:rFonts w:hint="eastAsia" w:ascii="仿宋" w:hAnsi="仿宋" w:eastAsia="仿宋" w:cs="仿宋"/>
                <w:strike w:val="0"/>
                <w:color w:val="auto"/>
                <w:sz w:val="24"/>
                <w:highlight w:val="none"/>
                <w:lang w:eastAsia="zh-CN"/>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响应文件中的</w:t>
            </w:r>
            <w:r>
              <w:rPr>
                <w:rFonts w:hint="eastAsia" w:ascii="仿宋" w:hAnsi="仿宋" w:eastAsia="仿宋" w:cs="仿宋"/>
                <w:color w:val="auto"/>
                <w:sz w:val="24"/>
                <w:highlight w:val="none"/>
              </w:rPr>
              <w:t xml:space="preserve">进度及保证措施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包括但不限于</w:t>
            </w:r>
            <w:r>
              <w:rPr>
                <w:rFonts w:hint="eastAsia" w:ascii="仿宋" w:hAnsi="仿宋" w:eastAsia="仿宋" w:cs="仿宋"/>
                <w:color w:val="auto"/>
                <w:sz w:val="24"/>
                <w:szCs w:val="24"/>
                <w:highlight w:val="none"/>
                <w:lang w:val="en-US" w:eastAsia="zh-CN"/>
              </w:rPr>
              <w:t xml:space="preserve">制定合理的进度计划（包括施工准备、施工过程、施工进度横道图和网络图、施工验收等方面的进度计划）、明确各阶段的关键节点和时间节点、合理划分施工流水段；制定进度控制措施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color w:val="auto"/>
                <w:sz w:val="24"/>
                <w:szCs w:val="24"/>
                <w:highlight w:val="none"/>
                <w:lang w:eastAsia="zh-CN"/>
              </w:rPr>
              <w:t xml:space="preserve">。</w:t>
            </w:r>
            <w:r/>
          </w:p>
          <w:p>
            <w:pP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全面性（</w:t>
            </w:r>
            <w:r>
              <w:rPr>
                <w:rFonts w:hint="eastAsia" w:ascii="仿宋" w:hAnsi="仿宋" w:eastAsia="仿宋" w:cs="仿宋"/>
                <w:strike w:val="0"/>
                <w:color w:val="auto"/>
                <w:sz w:val="24"/>
                <w:highlight w:val="none"/>
                <w:lang w:val="en-US" w:eastAsia="zh-CN"/>
              </w:rPr>
              <w:t xml:space="preserve">3</w:t>
            </w:r>
            <w:r>
              <w:rPr>
                <w:rFonts w:hint="eastAsia" w:ascii="仿宋" w:hAnsi="仿宋" w:eastAsia="仿宋" w:cs="仿宋"/>
                <w:strike w:val="0"/>
                <w:color w:val="auto"/>
                <w:sz w:val="24"/>
                <w:highlight w:val="none"/>
              </w:rPr>
              <w:t xml:space="preserve">分）：全面具体详实得</w:t>
            </w:r>
            <w:r>
              <w:rPr>
                <w:rFonts w:hint="eastAsia" w:ascii="仿宋" w:hAnsi="仿宋" w:eastAsia="仿宋" w:cs="仿宋"/>
                <w:strike w:val="0"/>
                <w:color w:val="auto"/>
                <w:sz w:val="24"/>
                <w:highlight w:val="none"/>
                <w:lang w:val="en-US" w:eastAsia="zh-CN"/>
              </w:rPr>
              <w:t xml:space="preserve">3</w:t>
            </w:r>
            <w:r>
              <w:rPr>
                <w:rFonts w:hint="eastAsia" w:ascii="仿宋" w:hAnsi="仿宋" w:eastAsia="仿宋" w:cs="仿宋"/>
                <w:strike w:val="0"/>
                <w:color w:val="auto"/>
                <w:sz w:val="24"/>
                <w:highlight w:val="none"/>
              </w:rPr>
              <w:t xml:space="preserve">分；较全面得</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分；不全面得</w:t>
            </w:r>
            <w:r>
              <w:rPr>
                <w:rFonts w:hint="eastAsia" w:ascii="仿宋" w:hAnsi="仿宋" w:eastAsia="仿宋" w:cs="仿宋"/>
                <w:strike w:val="0"/>
                <w:color w:val="auto"/>
                <w:sz w:val="24"/>
                <w:highlight w:val="none"/>
                <w:lang w:val="en-US" w:eastAsia="zh-CN"/>
              </w:rPr>
              <w:t xml:space="preserve">1</w:t>
            </w:r>
            <w:r>
              <w:rPr>
                <w:rFonts w:hint="eastAsia" w:ascii="仿宋" w:hAnsi="仿宋" w:eastAsia="仿宋" w:cs="仿宋"/>
                <w:strike w:val="0"/>
                <w:color w:val="auto"/>
                <w:sz w:val="24"/>
                <w:highlight w:val="none"/>
              </w:rPr>
              <w:t xml:space="preserve">分。</w:t>
            </w:r>
            <w:r/>
          </w:p>
          <w:p>
            <w:pP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可行性（</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分）：符合实际切实可行得</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分；较切实可行得</w:t>
            </w:r>
            <w:r>
              <w:rPr>
                <w:rFonts w:hint="eastAsia" w:ascii="仿宋" w:hAnsi="仿宋" w:eastAsia="仿宋" w:cs="仿宋"/>
                <w:strike w:val="0"/>
                <w:color w:val="auto"/>
                <w:sz w:val="24"/>
                <w:highlight w:val="none"/>
                <w:lang w:val="en-US" w:eastAsia="zh-CN"/>
              </w:rPr>
              <w:t xml:space="preserve">1</w:t>
            </w:r>
            <w:r>
              <w:rPr>
                <w:rFonts w:hint="eastAsia" w:ascii="仿宋" w:hAnsi="仿宋" w:eastAsia="仿宋" w:cs="仿宋"/>
                <w:strike w:val="0"/>
                <w:color w:val="auto"/>
                <w:sz w:val="24"/>
                <w:highlight w:val="none"/>
              </w:rPr>
              <w:t xml:space="preserve">分；可行性欠缺得</w:t>
            </w:r>
            <w:r>
              <w:rPr>
                <w:rFonts w:hint="eastAsia" w:ascii="仿宋" w:hAnsi="仿宋" w:eastAsia="仿宋" w:cs="仿宋"/>
                <w:strike w:val="0"/>
                <w:color w:val="auto"/>
                <w:sz w:val="24"/>
                <w:highlight w:val="none"/>
                <w:lang w:val="en-US" w:eastAsia="zh-CN"/>
              </w:rPr>
              <w:t xml:space="preserve">0.5</w:t>
            </w:r>
            <w:r>
              <w:rPr>
                <w:rFonts w:hint="eastAsia" w:ascii="仿宋" w:hAnsi="仿宋" w:eastAsia="仿宋" w:cs="仿宋"/>
                <w:strike w:val="0"/>
                <w:color w:val="auto"/>
                <w:sz w:val="24"/>
                <w:highlight w:val="none"/>
              </w:rPr>
              <w:t xml:space="preserve">分。</w:t>
            </w:r>
            <w:r/>
          </w:p>
          <w:p>
            <w:pP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针对性（</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分）：针对性强得3分；针对性较强得2分；针对性欠缺得1分。未提供的得0分。</w:t>
            </w:r>
            <w:r/>
          </w:p>
        </w:tc>
      </w:tr>
      <w:tr>
        <w:trPr>
          <w:jc w:val="center"/>
          <w:trHeight w:val="2255"/>
        </w:trPr>
        <w:tc>
          <w:tcPr>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安全文明施工措施（</w:t>
            </w:r>
            <w:r>
              <w:rPr>
                <w:rFonts w:hint="eastAsia" w:ascii="仿宋" w:hAnsi="仿宋" w:eastAsia="仿宋" w:cs="仿宋"/>
                <w:strike w:val="0"/>
                <w:color w:val="auto"/>
                <w:sz w:val="24"/>
                <w:szCs w:val="24"/>
                <w:highlight w:val="none"/>
                <w:lang w:val="en-US" w:eastAsia="zh-CN"/>
              </w:rPr>
              <w:t xml:space="preserve">8</w:t>
            </w:r>
            <w:r>
              <w:rPr>
                <w:rFonts w:hint="eastAsia" w:ascii="仿宋" w:hAnsi="仿宋" w:eastAsia="仿宋" w:cs="仿宋"/>
                <w:strike w:val="0"/>
                <w:color w:val="auto"/>
                <w:sz w:val="24"/>
                <w:szCs w:val="24"/>
                <w:highlight w:val="none"/>
              </w:rPr>
              <w:t xml:space="preserve">分）</w:t>
            </w:r>
            <w:r/>
          </w:p>
        </w:tc>
        <w:tc>
          <w:tcPr>
            <w:tcMar>
              <w:left w:w="15" w:type="dxa"/>
              <w:top w:w="15" w:type="dxa"/>
              <w:right w:w="15" w:type="dxa"/>
            </w:tcMar>
            <w:tcW w:w="7648" w:type="dxa"/>
            <w:vAlign w:val="top"/>
            <w:textDirection w:val="lrTb"/>
            <w:noWrap w:val="false"/>
          </w:tcPr>
          <w:p>
            <w:pPr>
              <w:pStyle w:val="1121"/>
              <w:rPr>
                <w:rFonts w:hint="eastAsia" w:ascii="仿宋" w:hAnsi="仿宋" w:eastAsia="仿宋" w:cs="仿宋"/>
                <w:strike w:val="0"/>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响应文件中的安全文明施工措施，包括但不限于</w:t>
            </w:r>
            <w:r>
              <w:rPr>
                <w:rFonts w:hint="eastAsia" w:ascii="仿宋" w:hAnsi="仿宋" w:eastAsia="仿宋" w:cs="仿宋"/>
                <w:color w:val="auto"/>
                <w:sz w:val="24"/>
                <w:szCs w:val="24"/>
                <w:highlight w:val="none"/>
              </w:rPr>
              <w:t xml:space="preserve">安全生产管理措施、</w:t>
            </w:r>
            <w:r>
              <w:rPr>
                <w:rFonts w:hint="eastAsia" w:ascii="仿宋" w:hAnsi="仿宋" w:eastAsia="仿宋" w:cs="仿宋"/>
                <w:color w:val="auto"/>
                <w:sz w:val="24"/>
                <w:szCs w:val="24"/>
                <w:highlight w:val="none"/>
                <w:lang w:val="en-US" w:eastAsia="zh-CN"/>
              </w:rPr>
              <w:t xml:space="preserve">安全教育培训、安全检查和整改、安全设施和用品、机械设备安全管理、用电安全管理、消防安全管理、环境保护措施、文明施工措施、应急救援等方面</w:t>
            </w:r>
            <w:r>
              <w:rPr>
                <w:rFonts w:hint="eastAsia" w:ascii="仿宋" w:hAnsi="仿宋" w:eastAsia="仿宋" w:cs="仿宋"/>
                <w:color w:val="auto"/>
                <w:sz w:val="24"/>
                <w:szCs w:val="24"/>
                <w:highlight w:val="none"/>
              </w:rPr>
              <w:t xml:space="preserve">等方面进行总体</w:t>
            </w:r>
            <w:r>
              <w:rPr>
                <w:rFonts w:hint="eastAsia" w:ascii="仿宋" w:hAnsi="仿宋" w:eastAsia="仿宋" w:cs="仿宋"/>
                <w:color w:val="auto"/>
                <w:sz w:val="24"/>
                <w:highlight w:val="none"/>
                <w:lang w:val="en-US" w:eastAsia="zh-CN"/>
              </w:rPr>
              <w:t xml:space="preserve">评审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可行性（3分）：符合实际切实可行得3分；较切实可行得2分；可行性欠缺得1分。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highlight w:val="none"/>
              </w:rPr>
              <w:t xml:space="preserve">针对性（</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分）：针对性强得3分；针对性较强得2分；针对性欠缺得1分。未提供的得0分。</w:t>
            </w:r>
            <w:r/>
          </w:p>
        </w:tc>
      </w:tr>
      <w:tr>
        <w:trPr>
          <w:jc w:val="center"/>
          <w:trHeight w:val="1975"/>
        </w:trPr>
        <w:tc>
          <w:tcPr>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主要施工机具配置</w:t>
            </w:r>
            <w:r/>
          </w:p>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w:t>
            </w:r>
            <w:r>
              <w:rPr>
                <w:rFonts w:hint="eastAsia" w:ascii="仿宋" w:hAnsi="仿宋" w:eastAsia="仿宋" w:cs="仿宋"/>
                <w:strike w:val="0"/>
                <w:color w:val="auto"/>
                <w:sz w:val="24"/>
                <w:szCs w:val="24"/>
                <w:highlight w:val="none"/>
                <w:lang w:val="en-US" w:eastAsia="zh-CN"/>
              </w:rPr>
              <w:t xml:space="preserve">8</w:t>
            </w:r>
            <w:r>
              <w:rPr>
                <w:rFonts w:hint="eastAsia" w:ascii="仿宋" w:hAnsi="仿宋" w:eastAsia="仿宋" w:cs="仿宋"/>
                <w:strike w:val="0"/>
                <w:color w:val="auto"/>
                <w:sz w:val="24"/>
                <w:szCs w:val="24"/>
                <w:highlight w:val="none"/>
              </w:rPr>
              <w:t xml:space="preserve">分）</w:t>
            </w:r>
            <w:r/>
          </w:p>
        </w:tc>
        <w:tc>
          <w:tcPr>
            <w:tcMar>
              <w:left w:w="15" w:type="dxa"/>
              <w:top w:w="15" w:type="dxa"/>
              <w:right w:w="15" w:type="dxa"/>
            </w:tcMar>
            <w:tcW w:w="7648" w:type="dxa"/>
            <w:vAlign w:val="top"/>
            <w:textDirection w:val="lrTb"/>
            <w:noWrap w:val="false"/>
          </w:tcPr>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响应文件中的</w:t>
            </w:r>
            <w:r>
              <w:rPr>
                <w:rFonts w:hint="eastAsia" w:ascii="仿宋" w:hAnsi="仿宋" w:eastAsia="仿宋" w:cs="仿宋"/>
                <w:color w:val="auto"/>
                <w:sz w:val="24"/>
                <w:szCs w:val="24"/>
                <w:highlight w:val="none"/>
              </w:rPr>
              <w:t xml:space="preserve">主要施工机具配置，</w:t>
            </w:r>
            <w:r>
              <w:rPr>
                <w:rFonts w:hint="eastAsia" w:ascii="仿宋" w:hAnsi="仿宋" w:eastAsia="仿宋" w:cs="仿宋"/>
                <w:color w:val="auto"/>
                <w:sz w:val="24"/>
                <w:szCs w:val="24"/>
                <w:highlight w:val="none"/>
                <w:lang w:val="en-US" w:eastAsia="zh-CN"/>
              </w:rPr>
              <w:t xml:space="preserve">包括但不限于主要机具类型、数量、性能参数等配置</w:t>
            </w:r>
            <w:r>
              <w:rPr>
                <w:rFonts w:hint="eastAsia" w:ascii="仿宋" w:hAnsi="仿宋" w:eastAsia="仿宋" w:cs="仿宋"/>
                <w:color w:val="auto"/>
                <w:sz w:val="24"/>
                <w:szCs w:val="24"/>
                <w:highlight w:val="none"/>
              </w:rPr>
              <w:t xml:space="preserve">及</w:t>
            </w:r>
            <w:r>
              <w:rPr>
                <w:rFonts w:hint="eastAsia" w:ascii="仿宋" w:hAnsi="仿宋" w:eastAsia="仿宋" w:cs="仿宋"/>
                <w:color w:val="auto"/>
                <w:sz w:val="24"/>
                <w:szCs w:val="24"/>
                <w:highlight w:val="none"/>
                <w:lang w:val="en-US" w:eastAsia="zh-CN"/>
              </w:rPr>
              <w:t xml:space="preserve">设备调度、维护、应急预案</w:t>
            </w:r>
            <w:r>
              <w:rPr>
                <w:rFonts w:hint="eastAsia" w:ascii="仿宋" w:hAnsi="仿宋" w:eastAsia="仿宋" w:cs="仿宋"/>
                <w:color w:val="auto"/>
                <w:sz w:val="24"/>
                <w:szCs w:val="24"/>
                <w:highlight w:val="none"/>
              </w:rPr>
              <w:t xml:space="preserve">保障措施等方面进行总体</w:t>
            </w:r>
            <w:r>
              <w:rPr>
                <w:rFonts w:hint="eastAsia" w:ascii="仿宋" w:hAnsi="仿宋" w:eastAsia="仿宋" w:cs="仿宋"/>
                <w:color w:val="auto"/>
                <w:sz w:val="24"/>
                <w:highlight w:val="none"/>
                <w:lang w:val="en-US" w:eastAsia="zh-CN"/>
              </w:rPr>
              <w:t xml:space="preserve">评审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可行性（3分）：符合实际切实可行得3分；较切实可行得2分；可行性欠缺得1分。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针对性（</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分）：针对性强得</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分；针对性较强得</w:t>
            </w:r>
            <w:r>
              <w:rPr>
                <w:rFonts w:hint="eastAsia" w:ascii="仿宋" w:hAnsi="仿宋" w:eastAsia="仿宋" w:cs="仿宋"/>
                <w:strike w:val="0"/>
                <w:color w:val="auto"/>
                <w:sz w:val="24"/>
                <w:szCs w:val="24"/>
                <w:highlight w:val="none"/>
                <w:lang w:val="en-US" w:eastAsia="zh-CN"/>
              </w:rPr>
              <w:t xml:space="preserve">1</w:t>
            </w:r>
            <w:r>
              <w:rPr>
                <w:rFonts w:hint="eastAsia" w:ascii="仿宋" w:hAnsi="仿宋" w:eastAsia="仿宋" w:cs="仿宋"/>
                <w:strike w:val="0"/>
                <w:color w:val="auto"/>
                <w:sz w:val="24"/>
                <w:szCs w:val="24"/>
                <w:highlight w:val="none"/>
              </w:rPr>
              <w:t xml:space="preserve">分；针对性</w:t>
            </w:r>
            <w:r>
              <w:rPr>
                <w:rFonts w:hint="eastAsia" w:ascii="仿宋" w:hAnsi="仿宋" w:eastAsia="仿宋" w:cs="仿宋"/>
                <w:strike w:val="0"/>
                <w:color w:val="auto"/>
                <w:sz w:val="24"/>
                <w:highlight w:val="none"/>
              </w:rPr>
              <w:t xml:space="preserve">欠缺</w:t>
            </w:r>
            <w:r>
              <w:rPr>
                <w:rFonts w:hint="eastAsia" w:ascii="仿宋" w:hAnsi="仿宋" w:eastAsia="仿宋" w:cs="仿宋"/>
                <w:strike w:val="0"/>
                <w:color w:val="auto"/>
                <w:sz w:val="24"/>
                <w:szCs w:val="24"/>
                <w:highlight w:val="none"/>
              </w:rPr>
              <w:t xml:space="preserve">得</w:t>
            </w:r>
            <w:r>
              <w:rPr>
                <w:rFonts w:hint="eastAsia" w:ascii="仿宋" w:hAnsi="仿宋" w:eastAsia="仿宋" w:cs="仿宋"/>
                <w:strike w:val="0"/>
                <w:color w:val="auto"/>
                <w:sz w:val="24"/>
                <w:szCs w:val="24"/>
                <w:highlight w:val="none"/>
                <w:lang w:val="en-US" w:eastAsia="zh-CN"/>
              </w:rPr>
              <w:t xml:space="preserve">0.5</w:t>
            </w:r>
            <w:r>
              <w:rPr>
                <w:rFonts w:hint="eastAsia" w:ascii="仿宋" w:hAnsi="仿宋" w:eastAsia="仿宋" w:cs="仿宋"/>
                <w:strike w:val="0"/>
                <w:color w:val="auto"/>
                <w:sz w:val="24"/>
                <w:szCs w:val="24"/>
                <w:highlight w:val="none"/>
              </w:rPr>
              <w:t xml:space="preserve">分。未提供的得0分。</w:t>
            </w:r>
            <w:r/>
          </w:p>
        </w:tc>
      </w:tr>
      <w:tr>
        <w:trPr>
          <w:jc w:val="center"/>
          <w:trHeight w:val="2255"/>
        </w:trPr>
        <w:tc>
          <w:tcPr>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tcBorders>
              <w:bottom w:val="single" w:color="auto" w:sz="4" w:space="0"/>
            </w:tcBorders>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人员配备</w:t>
            </w:r>
            <w:r/>
          </w:p>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w:t>
            </w:r>
            <w:r>
              <w:rPr>
                <w:rFonts w:hint="eastAsia" w:ascii="仿宋" w:hAnsi="仿宋" w:eastAsia="仿宋" w:cs="仿宋"/>
                <w:strike w:val="0"/>
                <w:color w:val="auto"/>
                <w:sz w:val="24"/>
                <w:szCs w:val="24"/>
                <w:highlight w:val="none"/>
                <w:lang w:val="en-US" w:eastAsia="zh-CN"/>
              </w:rPr>
              <w:t xml:space="preserve">8</w:t>
            </w:r>
            <w:r>
              <w:rPr>
                <w:rFonts w:hint="eastAsia" w:ascii="仿宋" w:hAnsi="仿宋" w:eastAsia="仿宋" w:cs="仿宋"/>
                <w:strike w:val="0"/>
                <w:color w:val="auto"/>
                <w:sz w:val="24"/>
                <w:szCs w:val="24"/>
                <w:highlight w:val="none"/>
              </w:rPr>
              <w:t xml:space="preserve">分）</w:t>
            </w:r>
            <w:r/>
          </w:p>
        </w:tc>
        <w:tc>
          <w:tcPr>
            <w:tcMar>
              <w:left w:w="15" w:type="dxa"/>
              <w:top w:w="15" w:type="dxa"/>
              <w:right w:w="15" w:type="dxa"/>
            </w:tcMar>
            <w:tcW w:w="7648" w:type="dxa"/>
            <w:vAlign w:val="top"/>
            <w:textDirection w:val="lrTb"/>
            <w:noWrap w:val="false"/>
          </w:tcPr>
          <w:p>
            <w:pPr>
              <w:keepLines w:val="0"/>
              <w:keepNext w:val="0"/>
              <w:pageBreakBefore w:val="0"/>
              <w:spacing w:line="312" w:lineRule="auto"/>
              <w:widowControl/>
              <w:rPr>
                <w:rFonts w:hint="eastAsia" w:ascii="仿宋" w:hAnsi="仿宋" w:eastAsia="仿宋" w:cs="仿宋"/>
                <w:strike w:val="0"/>
                <w:color w:val="auto"/>
                <w:sz w:val="24"/>
                <w:szCs w:val="24"/>
                <w:highlight w:val="none"/>
                <w:lang w:eastAsia="zh-CN"/>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响应文件中</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人员配备、素质及管理经验，包括但不限于</w:t>
            </w:r>
            <w:r>
              <w:rPr>
                <w:rFonts w:hint="eastAsia" w:ascii="仿宋" w:hAnsi="仿宋" w:eastAsia="仿宋" w:cs="仿宋"/>
                <w:color w:val="auto"/>
                <w:sz w:val="24"/>
                <w:szCs w:val="24"/>
                <w:highlight w:val="none"/>
              </w:rPr>
              <w:t xml:space="preserve">项目部组成主要技术人员、劳动力配置、组织机构管理、各人员岗位职责及保障措施等方面进行总体</w:t>
            </w:r>
            <w:r>
              <w:rPr>
                <w:rFonts w:hint="eastAsia" w:ascii="仿宋" w:hAnsi="仿宋" w:eastAsia="仿宋" w:cs="仿宋"/>
                <w:color w:val="auto"/>
                <w:sz w:val="24"/>
                <w:highlight w:val="none"/>
                <w:lang w:val="en-US" w:eastAsia="zh-CN"/>
              </w:rPr>
              <w:t xml:space="preserve">评审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可行性（3分）：符合实际切实可行得3分；较切实可行得2分；可行性欠缺得1分。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针对性（</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分）：针对性强得</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分；针对性较强得</w:t>
            </w:r>
            <w:r>
              <w:rPr>
                <w:rFonts w:hint="eastAsia" w:ascii="仿宋" w:hAnsi="仿宋" w:eastAsia="仿宋" w:cs="仿宋"/>
                <w:strike w:val="0"/>
                <w:color w:val="auto"/>
                <w:sz w:val="24"/>
                <w:szCs w:val="24"/>
                <w:highlight w:val="none"/>
                <w:lang w:val="en-US" w:eastAsia="zh-CN"/>
              </w:rPr>
              <w:t xml:space="preserve">1</w:t>
            </w:r>
            <w:r>
              <w:rPr>
                <w:rFonts w:hint="eastAsia" w:ascii="仿宋" w:hAnsi="仿宋" w:eastAsia="仿宋" w:cs="仿宋"/>
                <w:strike w:val="0"/>
                <w:color w:val="auto"/>
                <w:sz w:val="24"/>
                <w:szCs w:val="24"/>
                <w:highlight w:val="none"/>
              </w:rPr>
              <w:t xml:space="preserve">分；针对性</w:t>
            </w:r>
            <w:r>
              <w:rPr>
                <w:rFonts w:hint="eastAsia" w:ascii="仿宋" w:hAnsi="仿宋" w:eastAsia="仿宋" w:cs="仿宋"/>
                <w:strike w:val="0"/>
                <w:color w:val="auto"/>
                <w:sz w:val="24"/>
                <w:highlight w:val="none"/>
              </w:rPr>
              <w:t xml:space="preserve">欠缺</w:t>
            </w:r>
            <w:r>
              <w:rPr>
                <w:rFonts w:hint="eastAsia" w:ascii="仿宋" w:hAnsi="仿宋" w:eastAsia="仿宋" w:cs="仿宋"/>
                <w:strike w:val="0"/>
                <w:color w:val="auto"/>
                <w:sz w:val="24"/>
                <w:szCs w:val="24"/>
                <w:highlight w:val="none"/>
              </w:rPr>
              <w:t xml:space="preserve">得</w:t>
            </w:r>
            <w:r>
              <w:rPr>
                <w:rFonts w:hint="eastAsia" w:ascii="仿宋" w:hAnsi="仿宋" w:eastAsia="仿宋" w:cs="仿宋"/>
                <w:strike w:val="0"/>
                <w:color w:val="auto"/>
                <w:sz w:val="24"/>
                <w:szCs w:val="24"/>
                <w:highlight w:val="none"/>
                <w:lang w:val="en-US" w:eastAsia="zh-CN"/>
              </w:rPr>
              <w:t xml:space="preserve">0.5</w:t>
            </w:r>
            <w:r>
              <w:rPr>
                <w:rFonts w:hint="eastAsia" w:ascii="仿宋" w:hAnsi="仿宋" w:eastAsia="仿宋" w:cs="仿宋"/>
                <w:strike w:val="0"/>
                <w:color w:val="auto"/>
                <w:sz w:val="24"/>
                <w:szCs w:val="24"/>
                <w:highlight w:val="none"/>
              </w:rPr>
              <w:t xml:space="preserve">分。未提供的得0分。</w:t>
            </w:r>
            <w:r/>
          </w:p>
        </w:tc>
      </w:tr>
      <w:tr>
        <w:trPr>
          <w:jc w:val="center"/>
          <w:trHeight w:val="865"/>
        </w:trPr>
        <w:tc>
          <w:tcPr>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tcBorders>
              <w:bottom w:val="single" w:color="auto" w:sz="4" w:space="0"/>
            </w:tcBorders>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材料保证措施（</w:t>
            </w:r>
            <w:r>
              <w:rPr>
                <w:rFonts w:hint="eastAsia" w:ascii="仿宋" w:hAnsi="仿宋" w:eastAsia="仿宋" w:cs="仿宋"/>
                <w:strike w:val="0"/>
                <w:color w:val="auto"/>
                <w:sz w:val="24"/>
                <w:szCs w:val="24"/>
                <w:highlight w:val="none"/>
                <w:lang w:val="en-US" w:eastAsia="zh-CN"/>
              </w:rPr>
              <w:t xml:space="preserve">8</w:t>
            </w:r>
            <w:r>
              <w:rPr>
                <w:rFonts w:hint="eastAsia" w:ascii="仿宋" w:hAnsi="仿宋" w:eastAsia="仿宋" w:cs="仿宋"/>
                <w:strike w:val="0"/>
                <w:color w:val="auto"/>
                <w:sz w:val="24"/>
                <w:szCs w:val="24"/>
                <w:highlight w:val="none"/>
              </w:rPr>
              <w:t xml:space="preserve">分）</w:t>
            </w:r>
            <w:r/>
          </w:p>
        </w:tc>
        <w:tc>
          <w:tcPr>
            <w:tcMar>
              <w:left w:w="15" w:type="dxa"/>
              <w:top w:w="15" w:type="dxa"/>
              <w:right w:w="15" w:type="dxa"/>
            </w:tcMar>
            <w:tcW w:w="7648" w:type="dxa"/>
            <w:vAlign w:val="top"/>
            <w:textDirection w:val="lrTb"/>
            <w:noWrap w:val="false"/>
          </w:tcPr>
          <w:p>
            <w:pPr>
              <w:keepLines w:val="0"/>
              <w:keepNext w:val="0"/>
              <w:pageBreakBefore w:val="0"/>
              <w:spacing w:line="312" w:lineRule="auto"/>
              <w:widowControl/>
              <w:rPr>
                <w:rFonts w:hint="eastAsia" w:ascii="仿宋" w:hAnsi="仿宋" w:eastAsia="仿宋" w:cs="仿宋"/>
                <w:strike w:val="0"/>
                <w:color w:val="auto"/>
                <w:sz w:val="24"/>
                <w:szCs w:val="24"/>
                <w:highlight w:val="none"/>
                <w:lang w:eastAsia="zh-CN"/>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响应文件中项目需求和施工进度，制定合理</w:t>
            </w:r>
            <w:r>
              <w:rPr>
                <w:rFonts w:hint="eastAsia" w:ascii="仿宋" w:hAnsi="仿宋" w:eastAsia="仿宋" w:cs="仿宋"/>
                <w:color w:val="auto"/>
                <w:sz w:val="24"/>
                <w:szCs w:val="24"/>
                <w:highlight w:val="none"/>
              </w:rPr>
              <w:t xml:space="preserve">的材料保证措施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包括但不限于</w:t>
            </w:r>
            <w:r>
              <w:rPr>
                <w:rFonts w:hint="eastAsia" w:ascii="仿宋" w:hAnsi="仿宋" w:eastAsia="仿宋" w:cs="仿宋"/>
                <w:color w:val="auto"/>
                <w:sz w:val="24"/>
                <w:szCs w:val="24"/>
                <w:highlight w:val="none"/>
              </w:rPr>
              <w:t xml:space="preserve">材料供应、来源、投入计划及保证措施等方面进行总体</w:t>
            </w:r>
            <w:r>
              <w:rPr>
                <w:rFonts w:hint="eastAsia" w:ascii="仿宋" w:hAnsi="仿宋" w:eastAsia="仿宋" w:cs="仿宋"/>
                <w:color w:val="auto"/>
                <w:sz w:val="24"/>
                <w:highlight w:val="none"/>
                <w:lang w:val="en-US" w:eastAsia="zh-CN"/>
              </w:rPr>
              <w:t xml:space="preserve">评审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可行性（3分）：符合实际切实可行得3分；较切实可行得2分；可行性欠缺得1分。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针对性（</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分）：针对性强得</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分；针对性较强得</w:t>
            </w:r>
            <w:r>
              <w:rPr>
                <w:rFonts w:hint="eastAsia" w:ascii="仿宋" w:hAnsi="仿宋" w:eastAsia="仿宋" w:cs="仿宋"/>
                <w:strike w:val="0"/>
                <w:color w:val="auto"/>
                <w:sz w:val="24"/>
                <w:szCs w:val="24"/>
                <w:highlight w:val="none"/>
                <w:lang w:val="en-US" w:eastAsia="zh-CN"/>
              </w:rPr>
              <w:t xml:space="preserve">1</w:t>
            </w:r>
            <w:r>
              <w:rPr>
                <w:rFonts w:hint="eastAsia" w:ascii="仿宋" w:hAnsi="仿宋" w:eastAsia="仿宋" w:cs="仿宋"/>
                <w:strike w:val="0"/>
                <w:color w:val="auto"/>
                <w:sz w:val="24"/>
                <w:szCs w:val="24"/>
                <w:highlight w:val="none"/>
              </w:rPr>
              <w:t xml:space="preserve">分；针对性</w:t>
            </w:r>
            <w:r>
              <w:rPr>
                <w:rFonts w:hint="eastAsia" w:ascii="仿宋" w:hAnsi="仿宋" w:eastAsia="仿宋" w:cs="仿宋"/>
                <w:strike w:val="0"/>
                <w:color w:val="auto"/>
                <w:sz w:val="24"/>
                <w:highlight w:val="none"/>
              </w:rPr>
              <w:t xml:space="preserve">欠缺</w:t>
            </w:r>
            <w:r>
              <w:rPr>
                <w:rFonts w:hint="eastAsia" w:ascii="仿宋" w:hAnsi="仿宋" w:eastAsia="仿宋" w:cs="仿宋"/>
                <w:strike w:val="0"/>
                <w:color w:val="auto"/>
                <w:sz w:val="24"/>
                <w:szCs w:val="24"/>
                <w:highlight w:val="none"/>
              </w:rPr>
              <w:t xml:space="preserve">得</w:t>
            </w:r>
            <w:r>
              <w:rPr>
                <w:rFonts w:hint="eastAsia" w:ascii="仿宋" w:hAnsi="仿宋" w:eastAsia="仿宋" w:cs="仿宋"/>
                <w:strike w:val="0"/>
                <w:color w:val="auto"/>
                <w:sz w:val="24"/>
                <w:szCs w:val="24"/>
                <w:highlight w:val="none"/>
                <w:lang w:val="en-US" w:eastAsia="zh-CN"/>
              </w:rPr>
              <w:t xml:space="preserve">0.5</w:t>
            </w:r>
            <w:r>
              <w:rPr>
                <w:rFonts w:hint="eastAsia" w:ascii="仿宋" w:hAnsi="仿宋" w:eastAsia="仿宋" w:cs="仿宋"/>
                <w:strike w:val="0"/>
                <w:color w:val="auto"/>
                <w:sz w:val="24"/>
                <w:szCs w:val="24"/>
                <w:highlight w:val="none"/>
              </w:rPr>
              <w:t xml:space="preserve">分。未提供的得0分。</w:t>
            </w:r>
            <w:r/>
          </w:p>
        </w:tc>
      </w:tr>
      <w:tr>
        <w:trPr>
          <w:jc w:val="center"/>
          <w:trHeight w:val="730"/>
        </w:trPr>
        <w:tc>
          <w:tcPr>
            <w:tcBorders>
              <w:bottom w:val="single" w:color="auto" w:sz="4" w:space="0"/>
            </w:tcBorders>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tcBorders>
              <w:bottom w:val="single" w:color="auto" w:sz="4" w:space="0"/>
            </w:tcBorders>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应急保障措施（</w:t>
            </w:r>
            <w:r>
              <w:rPr>
                <w:rFonts w:hint="eastAsia" w:ascii="仿宋" w:hAnsi="仿宋" w:eastAsia="仿宋" w:cs="仿宋"/>
                <w:strike w:val="0"/>
                <w:color w:val="auto"/>
                <w:sz w:val="24"/>
                <w:szCs w:val="24"/>
                <w:highlight w:val="none"/>
                <w:lang w:val="en-US" w:eastAsia="zh-CN"/>
              </w:rPr>
              <w:t xml:space="preserve">8</w:t>
            </w:r>
            <w:r>
              <w:rPr>
                <w:rFonts w:hint="eastAsia" w:ascii="仿宋" w:hAnsi="仿宋" w:eastAsia="仿宋" w:cs="仿宋"/>
                <w:strike w:val="0"/>
                <w:color w:val="auto"/>
                <w:sz w:val="24"/>
                <w:szCs w:val="24"/>
                <w:highlight w:val="none"/>
              </w:rPr>
              <w:t xml:space="preserve">分）</w:t>
            </w:r>
            <w:r/>
          </w:p>
        </w:tc>
        <w:tc>
          <w:tcPr>
            <w:tcMar>
              <w:left w:w="15" w:type="dxa"/>
              <w:top w:w="15" w:type="dxa"/>
              <w:right w:w="15" w:type="dxa"/>
            </w:tcMar>
            <w:tcW w:w="7648" w:type="dxa"/>
            <w:vAlign w:val="top"/>
            <w:textDirection w:val="lrTb"/>
            <w:noWrap w:val="false"/>
          </w:tcPr>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根据响应文件中的应急保障措施</w:t>
            </w:r>
            <w:r>
              <w:rPr>
                <w:rFonts w:hint="eastAsia" w:ascii="仿宋" w:hAnsi="仿宋" w:eastAsia="仿宋" w:cs="仿宋"/>
                <w:color w:val="auto"/>
                <w:sz w:val="24"/>
                <w:szCs w:val="24"/>
                <w:highlight w:val="none"/>
              </w:rPr>
              <w:t xml:space="preserve">的全面性、可行性、针对性进行</w:t>
            </w:r>
            <w:r>
              <w:rPr>
                <w:rFonts w:hint="eastAsia" w:ascii="仿宋" w:hAnsi="仿宋" w:eastAsia="仿宋" w:cs="仿宋"/>
                <w:color w:val="auto"/>
                <w:sz w:val="24"/>
                <w:szCs w:val="24"/>
                <w:highlight w:val="none"/>
                <w:lang w:val="en-US" w:eastAsia="zh-CN"/>
              </w:rPr>
              <w:t xml:space="preserve">总体</w:t>
            </w:r>
            <w:r>
              <w:rPr>
                <w:rFonts w:hint="eastAsia" w:ascii="仿宋" w:hAnsi="仿宋" w:eastAsia="仿宋" w:cs="仿宋"/>
                <w:color w:val="auto"/>
                <w:sz w:val="24"/>
                <w:szCs w:val="24"/>
                <w:highlight w:val="none"/>
              </w:rPr>
              <w:t xml:space="preserve">评价。</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可行性（3分）：符合实际切实可行得3分；较切实可行得2分；可行性欠缺得1分。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针对性（</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分）：针对性强得</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分；针对性较强得</w:t>
            </w:r>
            <w:r>
              <w:rPr>
                <w:rFonts w:hint="eastAsia" w:ascii="仿宋" w:hAnsi="仿宋" w:eastAsia="仿宋" w:cs="仿宋"/>
                <w:strike w:val="0"/>
                <w:color w:val="auto"/>
                <w:sz w:val="24"/>
                <w:szCs w:val="24"/>
                <w:highlight w:val="none"/>
                <w:lang w:val="en-US" w:eastAsia="zh-CN"/>
              </w:rPr>
              <w:t xml:space="preserve">1</w:t>
            </w:r>
            <w:r>
              <w:rPr>
                <w:rFonts w:hint="eastAsia" w:ascii="仿宋" w:hAnsi="仿宋" w:eastAsia="仿宋" w:cs="仿宋"/>
                <w:strike w:val="0"/>
                <w:color w:val="auto"/>
                <w:sz w:val="24"/>
                <w:szCs w:val="24"/>
                <w:highlight w:val="none"/>
              </w:rPr>
              <w:t xml:space="preserve">分；针对性</w:t>
            </w:r>
            <w:r>
              <w:rPr>
                <w:rFonts w:hint="eastAsia" w:ascii="仿宋" w:hAnsi="仿宋" w:eastAsia="仿宋" w:cs="仿宋"/>
                <w:strike w:val="0"/>
                <w:color w:val="auto"/>
                <w:sz w:val="24"/>
                <w:highlight w:val="none"/>
              </w:rPr>
              <w:t xml:space="preserve">欠缺</w:t>
            </w:r>
            <w:r>
              <w:rPr>
                <w:rFonts w:hint="eastAsia" w:ascii="仿宋" w:hAnsi="仿宋" w:eastAsia="仿宋" w:cs="仿宋"/>
                <w:strike w:val="0"/>
                <w:color w:val="auto"/>
                <w:sz w:val="24"/>
                <w:szCs w:val="24"/>
                <w:highlight w:val="none"/>
              </w:rPr>
              <w:t xml:space="preserve">得</w:t>
            </w:r>
            <w:r>
              <w:rPr>
                <w:rFonts w:hint="eastAsia" w:ascii="仿宋" w:hAnsi="仿宋" w:eastAsia="仿宋" w:cs="仿宋"/>
                <w:strike w:val="0"/>
                <w:color w:val="auto"/>
                <w:sz w:val="24"/>
                <w:szCs w:val="24"/>
                <w:highlight w:val="none"/>
                <w:lang w:val="en-US" w:eastAsia="zh-CN"/>
              </w:rPr>
              <w:t xml:space="preserve">0.5</w:t>
            </w:r>
            <w:r>
              <w:rPr>
                <w:rFonts w:hint="eastAsia" w:ascii="仿宋" w:hAnsi="仿宋" w:eastAsia="仿宋" w:cs="仿宋"/>
                <w:strike w:val="0"/>
                <w:color w:val="auto"/>
                <w:sz w:val="24"/>
                <w:szCs w:val="24"/>
                <w:highlight w:val="none"/>
              </w:rPr>
              <w:t xml:space="preserve">分。未提供的得0分。</w:t>
            </w:r>
            <w:r/>
          </w:p>
        </w:tc>
      </w:tr>
      <w:tr>
        <w:trPr>
          <w:jc w:val="center"/>
          <w:trHeight w:val="730"/>
        </w:trPr>
        <w:tc>
          <w:tcPr>
            <w:tcMar>
              <w:left w:w="15" w:type="dxa"/>
              <w:top w:w="15" w:type="dxa"/>
              <w:right w:w="15" w:type="dxa"/>
            </w:tcMar>
            <w:tcW w:w="903" w:type="dxa"/>
            <w:vAlign w:val="center"/>
            <w:vMerge w:val="restart"/>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lang w:val="en-US" w:eastAsia="zh-CN"/>
              </w:rPr>
              <w:t xml:space="preserve">售后服务方案</w:t>
            </w:r>
            <w:r>
              <w:rPr>
                <w:rFonts w:hint="eastAsia" w:ascii="仿宋" w:hAnsi="仿宋" w:eastAsia="仿宋" w:cs="仿宋"/>
                <w:strike w:val="0"/>
                <w:color w:val="auto"/>
                <w:sz w:val="24"/>
                <w:highlight w:val="none"/>
              </w:rPr>
              <w:t xml:space="preserve">（14分）</w:t>
            </w:r>
            <w:r/>
          </w:p>
        </w:tc>
        <w:tc>
          <w:tcPr>
            <w:tcBorders>
              <w:bottom w:val="single" w:color="auto" w:sz="4" w:space="0"/>
            </w:tcBorders>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缺陷责任期内的</w:t>
            </w:r>
            <w:r>
              <w:rPr>
                <w:rFonts w:hint="eastAsia" w:ascii="仿宋" w:hAnsi="仿宋" w:eastAsia="仿宋" w:cs="仿宋"/>
                <w:strike w:val="0"/>
                <w:color w:val="auto"/>
                <w:sz w:val="24"/>
                <w:szCs w:val="24"/>
                <w:highlight w:val="none"/>
                <w:lang w:val="en-US" w:eastAsia="zh-CN"/>
              </w:rPr>
              <w:t xml:space="preserve">服务</w:t>
            </w:r>
            <w:r>
              <w:rPr>
                <w:rFonts w:hint="eastAsia" w:ascii="仿宋" w:hAnsi="仿宋" w:eastAsia="仿宋" w:cs="仿宋"/>
                <w:strike w:val="0"/>
                <w:color w:val="auto"/>
                <w:sz w:val="24"/>
                <w:highlight w:val="none"/>
                <w:lang w:val="en-US" w:eastAsia="zh-CN"/>
              </w:rPr>
              <w:t xml:space="preserve">方案</w:t>
            </w:r>
            <w:r>
              <w:rPr>
                <w:rFonts w:hint="eastAsia" w:ascii="仿宋" w:hAnsi="仿宋" w:eastAsia="仿宋" w:cs="仿宋"/>
                <w:strike w:val="0"/>
                <w:color w:val="auto"/>
                <w:sz w:val="24"/>
                <w:szCs w:val="24"/>
                <w:highlight w:val="none"/>
              </w:rPr>
              <w:t xml:space="preserve">（7分）</w:t>
            </w:r>
            <w:r/>
          </w:p>
        </w:tc>
        <w:tc>
          <w:tcPr>
            <w:tcMar>
              <w:left w:w="15" w:type="dxa"/>
              <w:top w:w="15" w:type="dxa"/>
              <w:right w:w="15" w:type="dxa"/>
            </w:tcMar>
            <w:tcW w:w="7648" w:type="dxa"/>
            <w:vAlign w:val="top"/>
            <w:textDirection w:val="lrTb"/>
            <w:noWrap w:val="false"/>
          </w:tcPr>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color w:val="auto"/>
                <w:sz w:val="24"/>
                <w:szCs w:val="24"/>
                <w:highlight w:val="none"/>
              </w:rPr>
              <w:t xml:space="preserve">根据响应文件中缺陷责任期内的售后服务方案，包括但不限于售后服务承诺、</w:t>
            </w:r>
            <w:r>
              <w:rPr>
                <w:rFonts w:hint="eastAsia" w:ascii="仿宋" w:hAnsi="仿宋" w:eastAsia="仿宋" w:cs="仿宋"/>
                <w:color w:val="auto"/>
                <w:sz w:val="24"/>
                <w:szCs w:val="24"/>
                <w:highlight w:val="none"/>
                <w:lang w:val="en-US" w:eastAsia="zh-CN"/>
              </w:rPr>
              <w:t xml:space="preserve">免费</w:t>
            </w:r>
            <w:r>
              <w:rPr>
                <w:rFonts w:hint="eastAsia" w:ascii="仿宋" w:hAnsi="仿宋" w:eastAsia="仿宋" w:cs="仿宋"/>
                <w:color w:val="auto"/>
                <w:sz w:val="24"/>
                <w:szCs w:val="24"/>
                <w:highlight w:val="none"/>
              </w:rPr>
              <w:t xml:space="preserve">质保服务年限、服务计划、服务内容、服务响应时间、流程，现场服务支持能力等进行</w:t>
            </w:r>
            <w:r>
              <w:rPr>
                <w:rFonts w:hint="eastAsia" w:ascii="仿宋" w:hAnsi="仿宋" w:eastAsia="仿宋" w:cs="仿宋"/>
                <w:color w:val="auto"/>
                <w:sz w:val="24"/>
                <w:szCs w:val="24"/>
                <w:highlight w:val="none"/>
                <w:lang w:val="en-US" w:eastAsia="zh-CN"/>
              </w:rPr>
              <w:t xml:space="preserve">总体评审，</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strike w:val="0"/>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可行性（2分）：符合实际切实可行得2分；较切实可行得1分；可行性欠缺得0分。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针对性（2分）：针对性强得2分；针对性较强得1分；针对性</w:t>
            </w:r>
            <w:r>
              <w:rPr>
                <w:rFonts w:hint="eastAsia" w:ascii="仿宋" w:hAnsi="仿宋" w:eastAsia="仿宋" w:cs="仿宋"/>
                <w:strike w:val="0"/>
                <w:color w:val="auto"/>
                <w:sz w:val="24"/>
                <w:highlight w:val="none"/>
              </w:rPr>
              <w:t xml:space="preserve">欠缺</w:t>
            </w:r>
            <w:r>
              <w:rPr>
                <w:rFonts w:hint="eastAsia" w:ascii="仿宋" w:hAnsi="仿宋" w:eastAsia="仿宋" w:cs="仿宋"/>
                <w:strike w:val="0"/>
                <w:color w:val="auto"/>
                <w:sz w:val="24"/>
                <w:szCs w:val="24"/>
                <w:highlight w:val="none"/>
              </w:rPr>
              <w:t xml:space="preserve">得0分。未提供的得0分。</w:t>
            </w:r>
            <w:r/>
          </w:p>
        </w:tc>
      </w:tr>
      <w:tr>
        <w:trPr>
          <w:jc w:val="center"/>
          <w:trHeight w:val="2822"/>
        </w:trPr>
        <w:tc>
          <w:tcPr>
            <w:tcBorders>
              <w:bottom w:val="single" w:color="auto" w:sz="4" w:space="0"/>
            </w:tcBorders>
            <w:tcMar>
              <w:left w:w="15" w:type="dxa"/>
              <w:top w:w="15" w:type="dxa"/>
              <w:right w:w="15" w:type="dxa"/>
            </w:tcMar>
            <w:tcW w:w="903" w:type="dxa"/>
            <w:vAlign w:val="center"/>
            <w:vMerge w:val="continue"/>
            <w:textDirection w:val="lrTb"/>
            <w:noWrap w:val="false"/>
          </w:tcPr>
          <w:p>
            <w:pPr>
              <w:jc w:val="center"/>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r>
            <w:r/>
          </w:p>
        </w:tc>
        <w:tc>
          <w:tcPr>
            <w:tcBorders>
              <w:bottom w:val="single" w:color="auto" w:sz="4" w:space="0"/>
            </w:tcBorders>
            <w:tcMar>
              <w:left w:w="15" w:type="dxa"/>
              <w:top w:w="15" w:type="dxa"/>
              <w:right w:w="15" w:type="dxa"/>
            </w:tcMar>
            <w:tcW w:w="1068"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缺陷责任期外的</w:t>
            </w:r>
            <w:r>
              <w:rPr>
                <w:rFonts w:hint="eastAsia" w:ascii="仿宋" w:hAnsi="仿宋" w:eastAsia="仿宋" w:cs="仿宋"/>
                <w:strike w:val="0"/>
                <w:color w:val="auto"/>
                <w:sz w:val="24"/>
                <w:highlight w:val="none"/>
                <w:lang w:val="en-US" w:eastAsia="zh-CN"/>
              </w:rPr>
              <w:t xml:space="preserve">服务方案</w:t>
            </w:r>
            <w:r>
              <w:rPr>
                <w:rFonts w:hint="eastAsia" w:ascii="仿宋" w:hAnsi="仿宋" w:eastAsia="仿宋" w:cs="仿宋"/>
                <w:strike w:val="0"/>
                <w:color w:val="auto"/>
                <w:sz w:val="24"/>
                <w:szCs w:val="24"/>
                <w:highlight w:val="none"/>
              </w:rPr>
              <w:t xml:space="preserve">（7分</w:t>
            </w:r>
            <w:r>
              <w:rPr>
                <w:rFonts w:hint="eastAsia" w:ascii="仿宋" w:hAnsi="仿宋" w:eastAsia="仿宋" w:cs="仿宋"/>
                <w:strike w:val="0"/>
                <w:color w:val="auto"/>
                <w:sz w:val="24"/>
                <w:szCs w:val="24"/>
                <w:highlight w:val="none"/>
                <w:lang w:eastAsia="zh-CN"/>
              </w:rPr>
              <w:t xml:space="preserve">）</w:t>
            </w:r>
            <w:r/>
          </w:p>
        </w:tc>
        <w:tc>
          <w:tcPr>
            <w:tcMar>
              <w:left w:w="15" w:type="dxa"/>
              <w:top w:w="15" w:type="dxa"/>
              <w:right w:w="15" w:type="dxa"/>
            </w:tcMar>
            <w:tcW w:w="7648" w:type="dxa"/>
            <w:vAlign w:val="top"/>
            <w:textDirection w:val="lrTb"/>
            <w:noWrap w:val="false"/>
          </w:tcPr>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color w:val="auto"/>
                <w:sz w:val="24"/>
                <w:szCs w:val="24"/>
                <w:highlight w:val="none"/>
              </w:rPr>
              <w:t xml:space="preserve">根据响应文件中缺陷责任期</w:t>
            </w:r>
            <w:r>
              <w:rPr>
                <w:rFonts w:hint="eastAsia" w:ascii="仿宋" w:hAnsi="仿宋" w:eastAsia="仿宋" w:cs="仿宋"/>
                <w:color w:val="auto"/>
                <w:sz w:val="24"/>
                <w:szCs w:val="24"/>
                <w:highlight w:val="none"/>
                <w:lang w:val="en-US" w:eastAsia="zh-CN"/>
              </w:rPr>
              <w:t xml:space="preserve">外</w:t>
            </w:r>
            <w:r>
              <w:rPr>
                <w:rFonts w:hint="eastAsia" w:ascii="仿宋" w:hAnsi="仿宋" w:eastAsia="仿宋" w:cs="仿宋"/>
                <w:color w:val="auto"/>
                <w:sz w:val="24"/>
                <w:szCs w:val="24"/>
                <w:highlight w:val="none"/>
              </w:rPr>
              <w:t xml:space="preserve">的售后服务方案，包括但不限于售后服务承诺、</w:t>
            </w:r>
            <w:r>
              <w:rPr>
                <w:rFonts w:hint="eastAsia" w:ascii="仿宋" w:hAnsi="仿宋" w:eastAsia="仿宋" w:cs="仿宋"/>
                <w:color w:val="auto"/>
                <w:sz w:val="24"/>
                <w:szCs w:val="24"/>
                <w:highlight w:val="none"/>
                <w:lang w:val="en-US" w:eastAsia="zh-CN"/>
              </w:rPr>
              <w:t xml:space="preserve">免费</w:t>
            </w:r>
            <w:r>
              <w:rPr>
                <w:rFonts w:hint="eastAsia" w:ascii="仿宋" w:hAnsi="仿宋" w:eastAsia="仿宋" w:cs="仿宋"/>
                <w:color w:val="auto"/>
                <w:sz w:val="24"/>
                <w:szCs w:val="24"/>
                <w:highlight w:val="none"/>
              </w:rPr>
              <w:t xml:space="preserve">质保服务年限、服务计划、服务内容、服务响应时间、流程，现场服务支持能力等进行</w:t>
            </w:r>
            <w:r>
              <w:rPr>
                <w:rFonts w:hint="eastAsia" w:ascii="仿宋" w:hAnsi="仿宋" w:eastAsia="仿宋" w:cs="仿宋"/>
                <w:color w:val="auto"/>
                <w:sz w:val="24"/>
                <w:szCs w:val="24"/>
                <w:highlight w:val="none"/>
                <w:lang w:val="en-US" w:eastAsia="zh-CN"/>
              </w:rPr>
              <w:t xml:space="preserve">总体评审，</w:t>
            </w:r>
            <w:r>
              <w:rPr>
                <w:rFonts w:hint="eastAsia" w:ascii="仿宋" w:hAnsi="仿宋" w:eastAsia="仿宋" w:cs="仿宋"/>
                <w:color w:val="auto"/>
                <w:sz w:val="24"/>
                <w:szCs w:val="24"/>
                <w:highlight w:val="none"/>
              </w:rPr>
              <w:t xml:space="preserve">对内容的</w:t>
            </w:r>
            <w:r>
              <w:rPr>
                <w:rFonts w:hint="eastAsia" w:ascii="仿宋" w:hAnsi="仿宋" w:eastAsia="仿宋" w:cs="仿宋"/>
                <w:color w:val="auto"/>
                <w:sz w:val="24"/>
                <w:szCs w:val="24"/>
                <w:highlight w:val="none"/>
                <w:lang w:val="en-US" w:eastAsia="zh-CN"/>
              </w:rPr>
              <w:t xml:space="preserve">全面</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可行</w:t>
            </w:r>
            <w:r>
              <w:rPr>
                <w:rFonts w:hint="eastAsia" w:ascii="仿宋" w:hAnsi="仿宋" w:eastAsia="仿宋" w:cs="仿宋"/>
                <w:color w:val="auto"/>
                <w:sz w:val="24"/>
                <w:szCs w:val="24"/>
                <w:highlight w:val="none"/>
              </w:rPr>
              <w:t xml:space="preserve">性、</w:t>
            </w:r>
            <w:r>
              <w:rPr>
                <w:rFonts w:hint="eastAsia" w:ascii="仿宋" w:hAnsi="仿宋" w:eastAsia="仿宋" w:cs="仿宋"/>
                <w:color w:val="auto"/>
                <w:sz w:val="24"/>
                <w:szCs w:val="24"/>
                <w:highlight w:val="none"/>
                <w:lang w:val="en-US" w:eastAsia="zh-CN"/>
              </w:rPr>
              <w:t xml:space="preserve">针对</w:t>
            </w:r>
            <w:r>
              <w:rPr>
                <w:rFonts w:hint="eastAsia" w:ascii="仿宋" w:hAnsi="仿宋" w:eastAsia="仿宋" w:cs="仿宋"/>
                <w:color w:val="auto"/>
                <w:sz w:val="24"/>
                <w:szCs w:val="24"/>
                <w:highlight w:val="none"/>
              </w:rPr>
              <w:t xml:space="preserve">性进行评价</w:t>
            </w:r>
            <w:r>
              <w:rPr>
                <w:rFonts w:hint="eastAsia" w:ascii="仿宋" w:hAnsi="仿宋" w:eastAsia="仿宋" w:cs="仿宋"/>
                <w:strike w:val="0"/>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全面性（3分）：全面具体详实得3分；较全面得2分；不全面得1分。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可行性（2分）：符合实际切实可行得2分；较切实可行得1分；可行性欠缺得0分。</w:t>
            </w:r>
            <w:r/>
          </w:p>
          <w:p>
            <w:pPr>
              <w:keepLines w:val="0"/>
              <w:keepNext w:val="0"/>
              <w:pageBreakBefore w:val="0"/>
              <w:spacing w:line="312"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针对性（2分）：针对性强得2分；针对性较强得1分；针对性</w:t>
            </w:r>
            <w:r>
              <w:rPr>
                <w:rFonts w:hint="eastAsia" w:ascii="仿宋" w:hAnsi="仿宋" w:eastAsia="仿宋" w:cs="仿宋"/>
                <w:strike w:val="0"/>
                <w:color w:val="auto"/>
                <w:sz w:val="24"/>
                <w:highlight w:val="none"/>
              </w:rPr>
              <w:t xml:space="preserve">欠缺</w:t>
            </w:r>
            <w:r>
              <w:rPr>
                <w:rFonts w:hint="eastAsia" w:ascii="仿宋" w:hAnsi="仿宋" w:eastAsia="仿宋" w:cs="仿宋"/>
                <w:strike w:val="0"/>
                <w:color w:val="auto"/>
                <w:sz w:val="24"/>
                <w:szCs w:val="24"/>
                <w:highlight w:val="none"/>
              </w:rPr>
              <w:t xml:space="preserve">得0分。未提供的得0分。</w:t>
            </w:r>
            <w:r/>
          </w:p>
        </w:tc>
      </w:tr>
      <w:tr>
        <w:trPr>
          <w:jc w:val="center"/>
          <w:trHeight w:val="2264"/>
        </w:trPr>
        <w:tc>
          <w:tcPr>
            <w:tcBorders>
              <w:top w:val="single" w:color="auto" w:sz="4" w:space="0"/>
            </w:tcBorders>
            <w:tcMar>
              <w:left w:w="15" w:type="dxa"/>
              <w:top w:w="15" w:type="dxa"/>
              <w:right w:w="15" w:type="dxa"/>
            </w:tcMar>
            <w:tcW w:w="903" w:type="dxa"/>
            <w:vAlign w:val="center"/>
            <w:textDirection w:val="lrTb"/>
            <w:noWrap w:val="false"/>
          </w:tcPr>
          <w:p>
            <w:pPr>
              <w:jc w:val="center"/>
              <w:pageBreakBefore w:val="0"/>
              <w:spacing w:line="312" w:lineRule="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商务</w:t>
            </w:r>
            <w:r/>
          </w:p>
          <w:p>
            <w:pPr>
              <w:jc w:val="center"/>
              <w:pageBreakBefore w:val="0"/>
              <w:spacing w:line="312" w:lineRule="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部分</w:t>
            </w:r>
            <w:r/>
          </w:p>
          <w:p>
            <w:pPr>
              <w:jc w:val="center"/>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w:t>
            </w:r>
            <w:r>
              <w:rPr>
                <w:rFonts w:hint="eastAsia" w:ascii="仿宋" w:hAnsi="仿宋" w:eastAsia="仿宋" w:cs="仿宋"/>
                <w:strike w:val="0"/>
                <w:color w:val="auto"/>
                <w:sz w:val="24"/>
                <w:szCs w:val="24"/>
                <w:highlight w:val="none"/>
                <w:lang w:val="en-US" w:eastAsia="zh-CN"/>
              </w:rPr>
              <w:t xml:space="preserve">4</w:t>
            </w:r>
            <w:r>
              <w:rPr>
                <w:rFonts w:hint="eastAsia" w:ascii="仿宋" w:hAnsi="仿宋" w:eastAsia="仿宋" w:cs="仿宋"/>
                <w:strike w:val="0"/>
                <w:color w:val="auto"/>
                <w:sz w:val="24"/>
                <w:szCs w:val="24"/>
                <w:highlight w:val="none"/>
              </w:rPr>
              <w:t xml:space="preserve">分）</w:t>
            </w:r>
            <w:r/>
          </w:p>
        </w:tc>
        <w:tc>
          <w:tcPr>
            <w:shd w:val="clear" w:color="auto" w:fill="auto"/>
            <w:tcBorders>
              <w:top w:val="single" w:color="auto" w:sz="4" w:space="0"/>
            </w:tcBorders>
            <w:tcMar>
              <w:left w:w="15" w:type="dxa"/>
              <w:top w:w="15" w:type="dxa"/>
              <w:right w:w="15" w:type="dxa"/>
            </w:tcMar>
            <w:tcW w:w="1068" w:type="dxa"/>
            <w:vAlign w:val="center"/>
            <w:textDirection w:val="lrTb"/>
            <w:noWrap w:val="false"/>
          </w:tcPr>
          <w:p>
            <w:pPr>
              <w:jc w:val="center"/>
              <w:pageBreakBefore w:val="0"/>
              <w:spacing w:line="312" w:lineRule="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供应商业绩</w:t>
            </w:r>
            <w:r/>
          </w:p>
          <w:p>
            <w:pPr>
              <w:jc w:val="center"/>
              <w:pageBreakBefore w:val="0"/>
              <w:spacing w:line="312" w:lineRule="auto"/>
              <w:rPr>
                <w:rFonts w:hint="eastAsia" w:ascii="仿宋" w:hAnsi="仿宋" w:eastAsia="仿宋" w:cs="仿宋"/>
                <w:strike w:val="0"/>
                <w:color w:val="auto"/>
                <w:sz w:val="24"/>
                <w:szCs w:val="24"/>
                <w:highlight w:val="none"/>
                <w:lang w:val="en-US" w:eastAsia="zh-CN" w:bidi="ar-SA"/>
              </w:rPr>
            </w:pPr>
            <w:r>
              <w:rPr>
                <w:rFonts w:hint="eastAsia" w:ascii="仿宋" w:hAnsi="仿宋" w:eastAsia="仿宋" w:cs="仿宋"/>
                <w:strike w:val="0"/>
                <w:color w:val="auto"/>
                <w:sz w:val="24"/>
                <w:szCs w:val="24"/>
                <w:highlight w:val="none"/>
              </w:rPr>
              <w:t xml:space="preserve">（</w:t>
            </w:r>
            <w:r>
              <w:rPr>
                <w:rFonts w:hint="eastAsia" w:ascii="仿宋" w:hAnsi="仿宋" w:eastAsia="仿宋" w:cs="仿宋"/>
                <w:strike w:val="0"/>
                <w:color w:val="auto"/>
                <w:sz w:val="24"/>
                <w:szCs w:val="24"/>
                <w:highlight w:val="none"/>
                <w:lang w:val="en-US" w:eastAsia="zh-CN"/>
              </w:rPr>
              <w:t xml:space="preserve">4</w:t>
            </w:r>
            <w:r>
              <w:rPr>
                <w:rFonts w:hint="eastAsia" w:ascii="仿宋" w:hAnsi="仿宋" w:eastAsia="仿宋" w:cs="仿宋"/>
                <w:strike w:val="0"/>
                <w:color w:val="auto"/>
                <w:sz w:val="24"/>
                <w:szCs w:val="24"/>
                <w:highlight w:val="none"/>
              </w:rPr>
              <w:t xml:space="preserve">分）</w:t>
            </w:r>
            <w:r/>
          </w:p>
        </w:tc>
        <w:tc>
          <w:tcPr>
            <w:shd w:val="clear" w:color="auto" w:fill="auto"/>
            <w:tcMar>
              <w:left w:w="15" w:type="dxa"/>
              <w:top w:w="15" w:type="dxa"/>
              <w:right w:w="15" w:type="dxa"/>
            </w:tcMar>
            <w:tcW w:w="7648" w:type="dxa"/>
            <w:vAlign w:val="center"/>
            <w:textDirection w:val="lrTb"/>
            <w:noWrap w:val="false"/>
          </w:tcPr>
          <w:p>
            <w:pPr>
              <w:keepLines w:val="0"/>
              <w:keepNext w:val="0"/>
              <w:pageBreakBefore w:val="0"/>
              <w:spacing w:line="312" w:lineRule="auto"/>
              <w:widowControl/>
              <w:rPr>
                <w:rFonts w:hint="default"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rPr>
              <w:t xml:space="preserve">供应商自202</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年</w:t>
            </w:r>
            <w:r>
              <w:rPr>
                <w:rFonts w:hint="eastAsia" w:ascii="仿宋" w:hAnsi="仿宋" w:eastAsia="仿宋" w:cs="仿宋"/>
                <w:strike w:val="0"/>
                <w:color w:val="auto"/>
                <w:sz w:val="24"/>
                <w:szCs w:val="24"/>
                <w:highlight w:val="none"/>
                <w:lang w:val="en-US" w:eastAsia="zh-CN"/>
              </w:rPr>
              <w:t xml:space="preserve">10</w:t>
            </w:r>
            <w:r>
              <w:rPr>
                <w:rFonts w:hint="eastAsia" w:ascii="仿宋" w:hAnsi="仿宋" w:eastAsia="仿宋" w:cs="仿宋"/>
                <w:strike w:val="0"/>
                <w:color w:val="auto"/>
                <w:sz w:val="24"/>
                <w:szCs w:val="24"/>
                <w:highlight w:val="none"/>
              </w:rPr>
              <w:t xml:space="preserve">月1日</w:t>
            </w:r>
            <w:r>
              <w:rPr>
                <w:rFonts w:hint="eastAsia" w:ascii="仿宋" w:hAnsi="仿宋" w:eastAsia="仿宋" w:cs="仿宋"/>
                <w:strike w:val="0"/>
                <w:color w:val="auto"/>
                <w:sz w:val="24"/>
                <w:szCs w:val="24"/>
                <w:highlight w:val="none"/>
                <w:lang w:eastAsia="zh-CN"/>
              </w:rPr>
              <w:t xml:space="preserve">（</w:t>
            </w:r>
            <w:r>
              <w:rPr>
                <w:rFonts w:hint="eastAsia" w:ascii="仿宋" w:hAnsi="仿宋" w:eastAsia="仿宋" w:cs="仿宋"/>
                <w:strike w:val="0"/>
                <w:color w:val="auto"/>
                <w:sz w:val="24"/>
                <w:szCs w:val="24"/>
                <w:highlight w:val="none"/>
                <w:lang w:val="en-US" w:eastAsia="zh-CN"/>
              </w:rPr>
              <w:t xml:space="preserve">含）</w:t>
            </w:r>
            <w:r>
              <w:rPr>
                <w:rFonts w:hint="eastAsia" w:ascii="仿宋" w:hAnsi="仿宋" w:eastAsia="仿宋" w:cs="仿宋"/>
                <w:strike w:val="0"/>
                <w:color w:val="auto"/>
                <w:sz w:val="24"/>
                <w:szCs w:val="24"/>
                <w:highlight w:val="none"/>
              </w:rPr>
              <w:t xml:space="preserve">以来，</w:t>
            </w:r>
            <w:r>
              <w:rPr>
                <w:rFonts w:hint="eastAsia" w:ascii="仿宋" w:hAnsi="仿宋" w:eastAsia="仿宋" w:cs="仿宋"/>
                <w:strike w:val="0"/>
                <w:color w:val="auto"/>
                <w:sz w:val="24"/>
                <w:szCs w:val="24"/>
                <w:highlight w:val="none"/>
                <w:lang w:val="en-US" w:eastAsia="zh-CN"/>
              </w:rPr>
              <w:t xml:space="preserve">承担过合同内容与本项目相同或类似项目</w:t>
            </w:r>
            <w:r>
              <w:rPr>
                <w:rFonts w:hint="eastAsia" w:ascii="仿宋" w:hAnsi="仿宋" w:eastAsia="仿宋" w:cs="仿宋"/>
                <w:strike w:val="0"/>
                <w:color w:val="auto"/>
                <w:sz w:val="24"/>
                <w:szCs w:val="24"/>
                <w:highlight w:val="none"/>
              </w:rPr>
              <w:t xml:space="preserve">，以中标通知书、施工合同及竣工验收证明为准，以上必须同时具备；每提供一份业绩得</w:t>
            </w:r>
            <w:r>
              <w:rPr>
                <w:rFonts w:hint="eastAsia" w:ascii="仿宋" w:hAnsi="仿宋" w:eastAsia="仿宋" w:cs="仿宋"/>
                <w:strike w:val="0"/>
                <w:color w:val="auto"/>
                <w:sz w:val="24"/>
                <w:szCs w:val="24"/>
                <w:highlight w:val="none"/>
                <w:lang w:val="en-US" w:eastAsia="zh-CN"/>
              </w:rPr>
              <w:t xml:space="preserve">2</w:t>
            </w:r>
            <w:r>
              <w:rPr>
                <w:rFonts w:hint="eastAsia" w:ascii="仿宋" w:hAnsi="仿宋" w:eastAsia="仿宋" w:cs="仿宋"/>
                <w:strike w:val="0"/>
                <w:color w:val="auto"/>
                <w:sz w:val="24"/>
                <w:szCs w:val="24"/>
                <w:highlight w:val="none"/>
              </w:rPr>
              <w:t xml:space="preserve">分，最高得</w:t>
            </w:r>
            <w:r>
              <w:rPr>
                <w:rFonts w:hint="eastAsia" w:ascii="仿宋" w:hAnsi="仿宋" w:eastAsia="仿宋" w:cs="仿宋"/>
                <w:strike w:val="0"/>
                <w:color w:val="auto"/>
                <w:sz w:val="24"/>
                <w:szCs w:val="24"/>
                <w:highlight w:val="none"/>
                <w:lang w:val="en-US" w:eastAsia="zh-CN"/>
              </w:rPr>
              <w:t xml:space="preserve">4</w:t>
            </w:r>
            <w:r>
              <w:rPr>
                <w:rFonts w:hint="eastAsia" w:ascii="仿宋" w:hAnsi="仿宋" w:eastAsia="仿宋" w:cs="仿宋"/>
                <w:strike w:val="0"/>
                <w:color w:val="auto"/>
                <w:sz w:val="24"/>
                <w:szCs w:val="24"/>
                <w:highlight w:val="none"/>
              </w:rPr>
              <w:t xml:space="preserve">分。</w:t>
            </w:r>
            <w:r>
              <w:rPr>
                <w:rFonts w:hint="eastAsia" w:ascii="仿宋" w:hAnsi="仿宋" w:eastAsia="仿宋" w:cs="仿宋"/>
                <w:strike w:val="0"/>
                <w:color w:val="auto"/>
                <w:sz w:val="24"/>
                <w:szCs w:val="24"/>
                <w:highlight w:val="none"/>
                <w:lang w:val="en-US" w:eastAsia="zh-CN"/>
              </w:rPr>
              <w:t xml:space="preserve">不提供不得分。</w:t>
            </w:r>
            <w:r/>
          </w:p>
          <w:p>
            <w:pPr>
              <w:keepLines w:val="0"/>
              <w:keepNext w:val="0"/>
              <w:pageBreakBefore w:val="0"/>
              <w:spacing w:line="312" w:lineRule="auto"/>
              <w:widowControl/>
              <w:rPr>
                <w:rFonts w:hint="eastAsia" w:ascii="仿宋" w:hAnsi="仿宋" w:eastAsia="仿宋" w:cs="仿宋"/>
                <w:strike w:val="0"/>
                <w:color w:val="auto"/>
                <w:sz w:val="24"/>
                <w:szCs w:val="24"/>
                <w:highlight w:val="none"/>
                <w:lang w:val="en-US" w:eastAsia="zh-CN" w:bidi="ar-SA"/>
              </w:rPr>
            </w:pPr>
            <w:r>
              <w:rPr>
                <w:rFonts w:hint="eastAsia" w:ascii="仿宋" w:hAnsi="仿宋" w:eastAsia="仿宋" w:cs="仿宋"/>
                <w:b/>
                <w:bCs/>
                <w:strike w:val="0"/>
                <w:color w:val="auto"/>
                <w:sz w:val="24"/>
                <w:szCs w:val="24"/>
                <w:highlight w:val="none"/>
              </w:rPr>
              <w:t xml:space="preserve">注：</w:t>
            </w:r>
            <w:r>
              <w:rPr>
                <w:rFonts w:hint="eastAsia" w:ascii="仿宋" w:hAnsi="仿宋" w:eastAsia="仿宋" w:cs="仿宋"/>
                <w:b/>
                <w:bCs/>
                <w:strike w:val="0"/>
                <w:color w:val="auto"/>
                <w:sz w:val="24"/>
                <w:szCs w:val="24"/>
                <w:highlight w:val="none"/>
                <w:lang w:val="en-US" w:eastAsia="zh-CN"/>
              </w:rPr>
              <w:t xml:space="preserve">提供</w:t>
            </w:r>
            <w:r>
              <w:rPr>
                <w:rFonts w:hint="eastAsia" w:ascii="仿宋" w:hAnsi="仿宋" w:eastAsia="仿宋" w:cs="仿宋"/>
                <w:b/>
                <w:bCs/>
                <w:strike w:val="0"/>
                <w:color w:val="auto"/>
                <w:sz w:val="24"/>
                <w:szCs w:val="24"/>
                <w:highlight w:val="none"/>
              </w:rPr>
              <w:t xml:space="preserve">中标通知书、施工合同及竣工验收证明</w:t>
            </w:r>
            <w:r>
              <w:rPr>
                <w:rFonts w:hint="eastAsia" w:ascii="仿宋" w:hAnsi="仿宋" w:eastAsia="仿宋" w:cs="仿宋"/>
                <w:b/>
                <w:bCs/>
                <w:strike w:val="0"/>
                <w:color w:val="auto"/>
                <w:sz w:val="24"/>
                <w:szCs w:val="24"/>
                <w:highlight w:val="none"/>
                <w:lang w:val="en-US" w:eastAsia="zh-CN"/>
              </w:rPr>
              <w:t xml:space="preserve">原件扫描件，</w:t>
            </w:r>
            <w:r>
              <w:rPr>
                <w:rFonts w:hint="eastAsia" w:ascii="仿宋" w:hAnsi="仿宋" w:eastAsia="仿宋" w:cs="仿宋"/>
                <w:b/>
                <w:bCs/>
                <w:strike w:val="0"/>
                <w:color w:val="auto"/>
                <w:sz w:val="24"/>
                <w:szCs w:val="24"/>
                <w:highlight w:val="none"/>
              </w:rPr>
              <w:t xml:space="preserve">时间以竣工验收时间为准</w:t>
            </w:r>
            <w:r>
              <w:rPr>
                <w:rFonts w:hint="eastAsia" w:ascii="仿宋" w:hAnsi="仿宋" w:eastAsia="仿宋" w:cs="仿宋"/>
                <w:b/>
                <w:bCs/>
                <w:strike w:val="0"/>
                <w:color w:val="auto"/>
                <w:sz w:val="24"/>
                <w:szCs w:val="24"/>
                <w:highlight w:val="none"/>
                <w:lang w:eastAsia="zh-CN"/>
              </w:rPr>
              <w:t xml:space="preserve">。</w:t>
            </w:r>
            <w:r/>
          </w:p>
        </w:tc>
      </w:tr>
    </w:tbl>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rPr>
        <w:t xml:space="preserve">说明：本项目采用综合评分法。（供应商技术部分得分取所有评委的平均值，保留小数点后二位）。</w:t>
      </w:r>
      <w:r/>
    </w:p>
    <w:p>
      <w:pPr>
        <w:rPr>
          <w:rStyle w:val="1394"/>
          <w:rFonts w:hint="eastAsia" w:ascii="仿宋" w:hAnsi="仿宋" w:eastAsia="仿宋" w:cs="仿宋"/>
          <w:color w:val="auto"/>
          <w:sz w:val="24"/>
          <w:szCs w:val="24"/>
          <w:highlight w:val="none"/>
        </w:rPr>
      </w:pPr>
      <w:r/>
      <w:bookmarkStart w:id="23" w:name="_Toc32561"/>
      <w:r/>
      <w:bookmarkStart w:id="24" w:name="_Toc13974"/>
      <w:r>
        <w:rPr>
          <w:rStyle w:val="1394"/>
          <w:rFonts w:hint="eastAsia" w:ascii="仿宋" w:hAnsi="仿宋" w:eastAsia="仿宋" w:cs="仿宋"/>
          <w:color w:val="auto"/>
          <w:sz w:val="24"/>
          <w:szCs w:val="24"/>
          <w:highlight w:val="none"/>
        </w:rPr>
        <w:br w:type="page" w:clear="all"/>
      </w:r>
      <w:r/>
    </w:p>
    <w:p>
      <w:pPr>
        <w:pStyle w:val="1363"/>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第八章 项目要求（采购需求）</w:t>
      </w:r>
      <w:bookmarkEnd w:id="22"/>
      <w:r/>
      <w:bookmarkEnd w:id="23"/>
      <w:r/>
      <w:bookmarkEnd w:id="24"/>
      <w:r/>
      <w:r/>
    </w:p>
    <w:p>
      <w:pPr>
        <w:pStyle w:val="1109"/>
        <w:pageBreakBefore w:val="0"/>
        <w:spacing w:line="312" w:lineRule="auto"/>
        <w:widowControl w:val="off"/>
        <w:rPr>
          <w:rFonts w:hint="eastAsia" w:ascii="仿宋" w:hAnsi="仿宋" w:eastAsia="仿宋" w:cs="仿宋"/>
          <w:b/>
          <w:bCs/>
          <w:color w:val="auto"/>
          <w:sz w:val="24"/>
          <w:szCs w:val="24"/>
          <w:highlight w:val="none"/>
        </w:rPr>
      </w:pPr>
      <w:r/>
      <w:bookmarkStart w:id="25" w:name="_Toc80122298"/>
      <w:r>
        <w:rPr>
          <w:rFonts w:hint="eastAsia" w:ascii="仿宋" w:hAnsi="仿宋" w:eastAsia="仿宋" w:cs="仿宋"/>
          <w:b/>
          <w:color w:val="auto"/>
          <w:sz w:val="24"/>
          <w:szCs w:val="24"/>
          <w:highlight w:val="none"/>
        </w:rPr>
        <w:t xml:space="preserve">一、采购预算 </w:t>
      </w:r>
      <w:r/>
    </w:p>
    <w:p>
      <w:pPr>
        <w:pStyle w:val="1109"/>
        <w:ind w:firstLine="420"/>
        <w:jc w:val="left"/>
        <w:pageBreakBefore w:val="0"/>
        <w:spacing w:line="312"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1、本项目不接收超过采购预算人民币148.17万元的报价。</w:t>
      </w:r>
      <w:r/>
    </w:p>
    <w:p>
      <w:pPr>
        <w:pStyle w:val="1109"/>
        <w:numPr>
          <w:ilvl w:val="0"/>
          <w:numId w:val="0"/>
        </w:numPr>
        <w:ind w:left="0"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包含完成</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所</w:t>
      </w:r>
      <w:r>
        <w:rPr>
          <w:rFonts w:hint="eastAsia" w:ascii="仿宋" w:hAnsi="仿宋" w:eastAsia="仿宋" w:cs="仿宋"/>
          <w:color w:val="auto"/>
          <w:sz w:val="24"/>
          <w:szCs w:val="24"/>
          <w:highlight w:val="none"/>
          <w:lang w:val="en-US" w:eastAsia="zh-CN"/>
        </w:rPr>
        <w:t xml:space="preserve">需的全部</w:t>
      </w:r>
      <w:r>
        <w:rPr>
          <w:rFonts w:hint="eastAsia" w:ascii="仿宋" w:hAnsi="仿宋" w:eastAsia="仿宋" w:cs="仿宋"/>
          <w:color w:val="auto"/>
          <w:sz w:val="24"/>
          <w:szCs w:val="24"/>
          <w:highlight w:val="none"/>
        </w:rPr>
        <w:t xml:space="preserve">费用，</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报价时需考虑完成本项目内容所涉及的包含并不限于人工费、材料费、机械费、检测、验收、质量保修、税费、合理利润等供应商认为可能发生的相关一切费用。供应商有漏报或不报的，采购人将视为有关费用已包括在本项目的报价中而不予支付，采购人不支付报价以外的任何费用。</w:t>
      </w:r>
      <w:r/>
    </w:p>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二、项目概况</w:t>
      </w:r>
      <w:r/>
    </w:p>
    <w:p>
      <w:pPr>
        <w:pStyle w:val="1109"/>
        <w:ind w:firstLine="42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徐州市第十三中学运动场改造工程</w:t>
      </w:r>
      <w:r/>
    </w:p>
    <w:p>
      <w:pPr>
        <w:pStyle w:val="1109"/>
        <w:ind w:firstLine="420"/>
        <w:pageBreakBefore w:val="0"/>
        <w:spacing w:line="312"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2、项目地点：</w:t>
      </w:r>
      <w:r>
        <w:rPr>
          <w:rFonts w:hint="eastAsia" w:ascii="仿宋" w:hAnsi="仿宋" w:eastAsia="仿宋" w:cs="仿宋"/>
          <w:color w:val="auto"/>
          <w:sz w:val="24"/>
          <w:szCs w:val="24"/>
          <w:highlight w:val="none"/>
          <w:lang w:eastAsia="zh-CN"/>
        </w:rPr>
        <w:t xml:space="preserve">徐州市第十三中学</w:t>
      </w:r>
      <w:r>
        <w:rPr>
          <w:rFonts w:hint="eastAsia" w:ascii="仿宋" w:hAnsi="仿宋" w:eastAsia="仿宋" w:cs="仿宋"/>
          <w:color w:val="auto"/>
          <w:sz w:val="24"/>
          <w:szCs w:val="24"/>
          <w:highlight w:val="none"/>
          <w:lang w:val="en-US" w:eastAsia="zh-CN"/>
        </w:rPr>
        <w:t xml:space="preserve">内</w:t>
      </w:r>
      <w:r/>
    </w:p>
    <w:p>
      <w:pPr>
        <w:pStyle w:val="1109"/>
        <w:ind w:firstLine="42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合同履行期限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合同签订后接校方通知之日起30日内完成本项目。</w:t>
      </w:r>
      <w:r/>
    </w:p>
    <w:p>
      <w:pPr>
        <w:pStyle w:val="1109"/>
        <w:ind w:firstLine="42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本项目主要内容：</w:t>
      </w:r>
      <w:r>
        <w:rPr>
          <w:rFonts w:hint="eastAsia" w:ascii="仿宋" w:hAnsi="仿宋" w:eastAsia="仿宋" w:cs="仿宋"/>
          <w:color w:val="auto"/>
          <w:sz w:val="24"/>
          <w:szCs w:val="24"/>
          <w:highlight w:val="none"/>
          <w:lang w:val="en-US" w:eastAsia="zh-CN"/>
        </w:rPr>
        <w:t xml:space="preserve">具体内容详见工程量清单及施工图纸所含全部内容。</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工程质量标准：合格，满足国家最新标准和行业要求，同时满足采购人需求。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追究违约责任。</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承包方式：包工包料。</w:t>
      </w:r>
      <w:r/>
    </w:p>
    <w:p>
      <w:pPr>
        <w:pStyle w:val="1109"/>
        <w:ind w:firstLine="42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现场自然及施工条件：供应商应对项目现场和周围环境进行实地踏勘，以了解现场的施工环境、施工范围、技术要求及相关服务，获取有关编制响应文件和签订合同所需的各项资料，成交后不得以未踏勘现场或不了解现场为由提出任何增加费用的要求。</w:t>
      </w:r>
      <w:bookmarkStart w:id="376" w:name="_GoBack"/>
      <w:r/>
      <w:bookmarkEnd w:id="376"/>
      <w:r/>
      <w:r/>
    </w:p>
    <w:p>
      <w:pPr>
        <w:pStyle w:val="1109"/>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三、现场踏勘</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1、建议</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进行规场查勘，以获取编制响应文件所需的现场信息资料，对代理机构提供的工程量清单进行核对，对工程量清单有疑问的，应在采购文件规定的签疑时间内提出，规定时间内未提出异议的，默认</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对工程量清单无异议，</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中标后不得以任何理由变更清单内容或不履行合同，否则将按违约处理。</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自行查勘，应承担现场踏勘的责任和风险，勘察现场所发生的风险及费用由</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自行承担。</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3、由于现场踏勘没有进行或者不详细所导致的一切问题均由供应商自行负责。</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为减少相关误差，如供应商需要进行现场踏勘的，请自行联系、组织实施。供应商对考察中获取的现场资料自行负责，无论是否踏勘过现场，均被认为已经对现场做过充分详实了解，并在响应文件中已充分考虑了现场和环境因素，责任和风险自行承担。</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供应商对本磋商文件所作出的理解、推论和解释由其自己负责。</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成交供应商在施工现场施工，造成的人员伤害等各种损失由成交供应商自负。</w:t>
      </w:r>
      <w:r/>
    </w:p>
    <w:p>
      <w:pPr>
        <w:pStyle w:val="1109"/>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w:t>
      </w:r>
      <w:bookmarkEnd w:id="25"/>
      <w:r>
        <w:rPr>
          <w:rFonts w:hint="eastAsia" w:ascii="仿宋" w:hAnsi="仿宋" w:eastAsia="仿宋" w:cs="仿宋"/>
          <w:b/>
          <w:color w:val="auto"/>
          <w:sz w:val="24"/>
          <w:szCs w:val="24"/>
          <w:highlight w:val="none"/>
        </w:rPr>
        <w:t xml:space="preserve">本工程采用的技术规范：</w:t>
      </w:r>
      <w:r>
        <w:rPr>
          <w:rFonts w:hint="eastAsia" w:ascii="仿宋" w:hAnsi="仿宋" w:eastAsia="仿宋" w:cs="仿宋"/>
          <w:bCs/>
          <w:color w:val="auto"/>
          <w:sz w:val="24"/>
          <w:szCs w:val="24"/>
          <w:highlight w:val="none"/>
        </w:rPr>
        <w:t xml:space="preserve">执行国家、江苏省及徐州市颁发的现行行业最新规范、相关标准及相关文件。</w:t>
      </w:r>
      <w:r/>
    </w:p>
    <w:p>
      <w:pPr>
        <w:pStyle w:val="1109"/>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五、工程量清单</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1、工程量清单编制说明</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本工程量清单是依据现行国家标准《建设工程工程量清单计价规范》、地方规定以及采购文件中包括的图纸等编制。</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2、响应报价编制要求</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响应报价应根据采购文件中的有关计价要求，并按照下列依据自主报价，但不得低于成本。</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(1)本采购文件；</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(2)《建设工程工程量清单计价规范》 (GB50500-2013) 及其9本计算规范；</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(3)国家或省级、行业建设主管部门颁发的计价办法；</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(4)企业定额，国家或省级、行业建设主管部门颁发的计价定额；</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(5)采购文件、招标工程量清单及其补充通知、答疑纪要；</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(6)建设工程设计文件及相关资料；</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(7)施工现场情况、工程特点及拟定的投标施工组织设计或施工方案；</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(8)与建设项目相关的标准、规范等技术资料；</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(9)市场价格信息或工程造价管理机构发布的工程造价信息；</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(10)其他的相关资料。</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工程量清单中标价的单价或金额，应包括所需人工费、材料费、施工机具使用费、管理费和利润，以及一定范围内的风险费用。</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分部分项工程和措施项目中的单价项目按下列要求报价：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 分部分项工程和措施项目中的单价项目，应根据采购文件和招标工程量清单确定综合单价。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 措施项目中的总价项目按下列要求报价：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 总价措施项目中，以费率计算的，投标单位在响应报价时自主报价；其他总价措施项目，按项计取，综合单价按实际或可能发生的费用进行计算。</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 措施项目清单中的安全文明施工费应按国家、省级或行业建设主管部门的规定计价，不得作为竞争性费用。</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增补总价措施项目，但不应更改招标人已列措施项目。</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2.6.4 “总价措施项目清单与计价表”中所填写的报价金额，应全面涵盖采购文件约定的供应商中标后施工、竣工、交付本工程并维修其任何缺陷所需要履行的责任和义务的全部费用。</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 其他项目清单费应按下列规定报价：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计日工按“计日工表”中列出的项目和估算数量，自主确定综合单价并计算计日工金额。。</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总承包服务费根据采购文件中列出的内容和要求，按“总承包服务费计价表”所列格式自主报价。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 规费和税金应按“规费、税金项目计价表”所列项目并根据国家、省级或行业建设主管部门的有关规定列项和计算，不得作为竞争性费用。</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 除采购文件有强制性规定以及不可竞争部分以外，响应报价由供应商自主确定，但不得低于成本。</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管理费应由供应商在保证不低于其成本的基础上做竞争性考虑；利润由供应商根据自身情况和综合实力做竞争性考虑。</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响应报价中应考虑采购文件中要求供应商承担的风险范围以及相关的费用。</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 投标总价为供应商在响应文件中提出的各项支付金额的总和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，为实施、完成招标工程并修补缺陷以及履行采购文件中约定的风险范围内的所有责任和义务所发生的全部费用。   </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 有关响应报价的其他要求：</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2.14.1 本项目材料价格以</w:t>
      </w:r>
      <w:bookmarkStart w:id="26" w:name="OLE_LINK14"/>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年第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期</w:t>
      </w:r>
      <w:bookmarkEnd w:id="26"/>
      <w:r/>
      <w:bookmarkStart w:id="27" w:name="OLE_LINK15"/>
      <w:r>
        <w:rPr>
          <w:rFonts w:hint="eastAsia" w:ascii="仿宋" w:hAnsi="仿宋" w:eastAsia="仿宋" w:cs="仿宋"/>
          <w:color w:val="auto"/>
          <w:sz w:val="24"/>
          <w:szCs w:val="24"/>
          <w:highlight w:val="none"/>
        </w:rPr>
        <w:t xml:space="preserve">《徐州工程造价信息》</w:t>
      </w:r>
      <w:bookmarkEnd w:id="27"/>
      <w:r>
        <w:rPr>
          <w:rFonts w:hint="eastAsia" w:ascii="仿宋" w:hAnsi="仿宋" w:eastAsia="仿宋" w:cs="仿宋"/>
          <w:color w:val="auto"/>
          <w:sz w:val="24"/>
          <w:szCs w:val="24"/>
          <w:highlight w:val="none"/>
        </w:rPr>
        <w:t xml:space="preserve">为准。其他详见工程量清单及预算编制说明。</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2.14.2本项目施工过程中，如有破坏、现场设备移位安装等，供应商报价时候须充分考虑以上内容及施工现场实际拆除并恢复等，采购人不再另行支付费用。</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报价内容</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rPr>
          <w:rFonts w:hint="eastAsia" w:ascii="仿宋" w:hAnsi="仿宋" w:eastAsia="仿宋" w:cs="仿宋"/>
          <w:color w:val="auto"/>
          <w:sz w:val="24"/>
          <w:szCs w:val="24"/>
          <w:highlight w:val="none"/>
          <w:lang w:val="en-US" w:eastAsia="zh-CN"/>
        </w:rPr>
        <w:t xml:space="preserve">  </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供应商必须按采购人提供的工程量清单进行报价，否则视为对竞争性磋商文件商务条款的实质性偏离。供应商不得修改工程量清单中的分布分项内容及数量，否则视为不响应磋商文件。</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⑵供应商应按采购人提供的工程量清单填报价格。填写的项目名称、项目特征、计量单位、工程量必须与采购人提供的一致。</w:t>
      </w:r>
      <w:r>
        <w:rPr>
          <w:rFonts w:hint="eastAsia" w:ascii="仿宋" w:hAnsi="仿宋" w:eastAsia="仿宋" w:cs="仿宋"/>
          <w:color w:val="auto"/>
          <w:sz w:val="24"/>
          <w:szCs w:val="24"/>
          <w:highlight w:val="none"/>
          <w:lang w:val="en-US" w:eastAsia="zh-CN"/>
        </w:rPr>
        <w:t xml:space="preserve">若出现与招标提供的工程量清单漏报的，则视为投标人让利。</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⑷项目实施方案所描述的技术措施所发生的费用，视为已体现在供应商报价的非实体性消耗所发生的费用中。</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⑸供应商自行勘察，了解周边原有建筑、设施，事先视察工地，充分了解工程位置、邻近建筑物、工地情况、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w:t>
      </w:r>
      <w:r>
        <w:rPr>
          <w:rFonts w:hint="eastAsia" w:ascii="仿宋" w:hAnsi="仿宋" w:eastAsia="仿宋" w:cs="仿宋"/>
          <w:color w:val="auto"/>
          <w:sz w:val="24"/>
          <w:szCs w:val="24"/>
          <w:highlight w:val="none"/>
          <w:lang w:val="en-US" w:eastAsia="zh-CN"/>
        </w:rPr>
        <w:t xml:space="preserve">补偿</w:t>
      </w:r>
      <w:r>
        <w:rPr>
          <w:rFonts w:hint="eastAsia" w:ascii="仿宋" w:hAnsi="仿宋" w:eastAsia="仿宋" w:cs="仿宋"/>
          <w:color w:val="auto"/>
          <w:sz w:val="24"/>
          <w:szCs w:val="24"/>
          <w:highlight w:val="none"/>
        </w:rPr>
        <w:t xml:space="preserve">。</w:t>
      </w:r>
      <w:r/>
    </w:p>
    <w:p>
      <w:pPr>
        <w:pStyle w:val="1109"/>
        <w:ind w:firstLine="42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Fonts w:hint="eastAsia" w:ascii="仿宋" w:hAnsi="仿宋" w:eastAsia="仿宋" w:cs="仿宋"/>
          <w:color w:val="auto"/>
          <w:sz w:val="24"/>
          <w:szCs w:val="24"/>
          <w:highlight w:val="none"/>
          <w:lang w:eastAsia="zh-CN"/>
        </w:rPr>
        <w:t xml:space="preserve">。</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⑻</w:t>
      </w:r>
      <w:r>
        <w:rPr>
          <w:rFonts w:hint="eastAsia" w:ascii="仿宋" w:hAnsi="仿宋" w:eastAsia="仿宋" w:cs="仿宋"/>
          <w:color w:val="auto"/>
          <w:sz w:val="24"/>
          <w:szCs w:val="24"/>
          <w:highlight w:val="none"/>
          <w:lang w:val="en-US" w:eastAsia="zh-CN"/>
        </w:rPr>
        <w:t xml:space="preserve">产生的建筑垃圾、渣土及时清理，</w:t>
      </w:r>
      <w:r>
        <w:rPr>
          <w:rFonts w:hint="eastAsia" w:ascii="仿宋" w:hAnsi="仿宋" w:eastAsia="仿宋" w:cs="仿宋"/>
          <w:color w:val="auto"/>
          <w:sz w:val="24"/>
          <w:szCs w:val="24"/>
          <w:highlight w:val="none"/>
        </w:rPr>
        <w:t xml:space="preserve">垃圾外运，运距及运输方式供应商自行考虑，费用包含在报价中，工程结算时不再调整。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⑼</w:t>
      </w:r>
      <w:r>
        <w:rPr>
          <w:rFonts w:hint="eastAsia" w:ascii="仿宋" w:hAnsi="仿宋" w:eastAsia="仿宋" w:cs="仿宋"/>
          <w:color w:val="auto"/>
          <w:sz w:val="24"/>
          <w:szCs w:val="24"/>
          <w:highlight w:val="none"/>
          <w:lang w:val="en-US" w:eastAsia="zh-CN"/>
        </w:rPr>
        <w:t xml:space="preserve">投标人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⑾场地障碍物清除</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、场地内的</w:t>
      </w:r>
      <w:r>
        <w:rPr>
          <w:rFonts w:hint="eastAsia" w:ascii="仿宋" w:hAnsi="仿宋" w:eastAsia="仿宋" w:cs="仿宋"/>
          <w:color w:val="auto"/>
          <w:sz w:val="24"/>
          <w:szCs w:val="24"/>
          <w:highlight w:val="none"/>
          <w:lang w:val="en-US" w:eastAsia="zh-CN"/>
        </w:rPr>
        <w:t xml:space="preserve">垃圾</w:t>
      </w:r>
      <w:r>
        <w:rPr>
          <w:rFonts w:hint="eastAsia" w:ascii="仿宋" w:hAnsi="仿宋" w:eastAsia="仿宋" w:cs="仿宋"/>
          <w:color w:val="auto"/>
          <w:sz w:val="24"/>
          <w:szCs w:val="24"/>
          <w:highlight w:val="none"/>
        </w:rPr>
        <w:t xml:space="preserve">处理</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、周边关系、第三方关系的协调及其它的一切相关配合等均在风险系数内考虑。</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⑿检验试验费：因工程需要所做的全部检验、试验及检测相关费用，由投标人（供应商）自行考虑风险并计入投标报价中，结算时不予调整。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特别说明：</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a</w:t>
      </w:r>
      <w:r>
        <w:rPr>
          <w:rFonts w:hint="eastAsia" w:ascii="仿宋" w:hAnsi="仿宋" w:eastAsia="仿宋" w:cs="仿宋"/>
          <w:color w:val="auto"/>
          <w:sz w:val="24"/>
          <w:szCs w:val="24"/>
          <w:highlight w:val="none"/>
        </w:rPr>
        <w:t xml:space="preserve">.由承包人负责处理施工场地及其周围成品的保护工作。承包人根据施工需要进行保护，所需费用含在投标报价内，施工中及结算时不得因成品保护的费用向甲方提起签证或索要费用。如在施工过程中因承包人原因造成成品损坏，承包人应予以原样修复并承担修复费用。</w:t>
      </w:r>
      <w:r/>
    </w:p>
    <w:p>
      <w:pPr>
        <w:pStyle w:val="1109"/>
        <w:ind w:firstLine="42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b</w:t>
      </w:r>
      <w:r>
        <w:rPr>
          <w:rFonts w:hint="eastAsia" w:ascii="仿宋" w:hAnsi="仿宋" w:eastAsia="仿宋" w:cs="仿宋"/>
          <w:color w:val="auto"/>
          <w:sz w:val="24"/>
          <w:szCs w:val="24"/>
          <w:highlight w:val="none"/>
        </w:rPr>
        <w:t xml:space="preserve">.施工完成后，承包人应将施工现场彻底清洁完毕达到甲方要求并撤离现场后，方能进行竣工验收。承包人拒绝清洁的，发包人有权安排其他单位进行清洁，所需费用从承包人工程款中扣除</w:t>
      </w:r>
      <w:r>
        <w:rPr>
          <w:rFonts w:hint="eastAsia" w:ascii="仿宋" w:hAnsi="仿宋" w:eastAsia="仿宋" w:cs="仿宋"/>
          <w:color w:val="auto"/>
          <w:sz w:val="24"/>
          <w:szCs w:val="24"/>
          <w:highlight w:val="none"/>
          <w:lang w:eastAsia="zh-CN"/>
        </w:rPr>
        <w:t xml:space="preserve">。</w:t>
      </w:r>
      <w:r/>
    </w:p>
    <w:p>
      <w:pPr>
        <w:pStyle w:val="1109"/>
        <w:ind w:firstLine="42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c.</w:t>
      </w:r>
      <w:r>
        <w:rPr>
          <w:rFonts w:hint="eastAsia" w:ascii="仿宋" w:hAnsi="仿宋" w:eastAsia="仿宋" w:cs="仿宋"/>
          <w:color w:val="auto"/>
          <w:sz w:val="24"/>
          <w:szCs w:val="24"/>
          <w:highlight w:val="none"/>
          <w:lang w:eastAsia="zh-CN"/>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pStyle w:val="1109"/>
        <w:ind w:firstLine="42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d.</w:t>
      </w:r>
      <w:r>
        <w:rPr>
          <w:rFonts w:hint="eastAsia" w:ascii="仿宋" w:hAnsi="仿宋" w:eastAsia="仿宋" w:cs="仿宋"/>
          <w:color w:val="auto"/>
          <w:sz w:val="24"/>
          <w:szCs w:val="24"/>
          <w:highlight w:val="none"/>
          <w:lang w:eastAsia="zh-CN"/>
        </w:rPr>
        <w:t xml:space="preserve">施工时需做好防护措施保证周边安全，因成交人保障不力对采购人或第三方造成损失的，赔偿责任全部由成交人承担，若因此会增加费用，控制价不计取，响应人自行考虑在报价中，结算时不予调整。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报价方式</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①本工程采用固定单价合同（除另有规定外）。</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②本工程对材料风险约定如下：供应商应充分考虑施工期间各类建材的市场风险，并计入总报价，供应商在计算报价时应考虑一定的风险系数。本工程工期较短结算时材料价格不予调整。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③对于法律、法规、规章或有关政策出台导致工程税金、规费等发生变化的，应按照有关规定执行。</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报价的计价方法</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本工程项目采用工程量清单计价。</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报价编制依据及要求：详见《工程量清单》。</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3、其他说明</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3.1词语和定义</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 同义词语</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本磋商文件中使用的词语“采购人（招标人）”和“投标人（供应商）”分别与合同条款中定义的“发包人”和“承包人”同义。</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工程量差异调整</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投标人（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供应商）经过检查和复核以后认为采购人提供的工程量清单存在差异，则投标人（供应商）按磋商文件规定的程序向采购人提出异议。 成交后不得以工程量清单未进行复核及不熟悉图纸等任何理由主张价格变更。  </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如果采购人在检查投标人（供应商）根据上文第3.2.2项提交的工程量差异问题后认为没有必要对工程量清单进行补充和(或)修改，或者采购人根据上文第3.2.2项对工程量清单进行了补充和(或)修</w:t>
      </w:r>
      <w:r>
        <w:rPr>
          <w:rFonts w:hint="eastAsia" w:ascii="仿宋" w:hAnsi="仿宋" w:eastAsia="仿宋" w:cs="仿宋"/>
          <w:color w:val="auto"/>
          <w:sz w:val="24"/>
          <w:szCs w:val="24"/>
          <w:highlight w:val="none"/>
        </w:rPr>
        <w:t xml:space="preserve">改，但投标人（供应商）认为工程量清单中的工程量依然存在差异，则此类差异不再提交采购人答疑和修正，而是直接按采购人提供的工程量清单(包括采购人可能的补充和(或)修改)进行投标报价。投标人（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投标人（供应商）都需要对其报价，并纳入投标总价的计算。</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w:t>
      </w: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要求</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5、主要施工机具配置要求：根据主要机具类型、数量、性能参数等配置要求是否需符合工程特点，提供详细的设备调度、维护、应急预案，保证工程进度及质量要求。</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6、项目管理机构的人员配备、素质及管理经验：供应商应根据本项目实际情况，合理配置人员，除项目经理外，安全员、质检员、施工员、预算员、材料员等人员应经验丰富，确保项目顺利实施。</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7、施工材料保证措施要求：根据项目需求和施工进度，制定合理的采购计划并充分认识材料组织的重要性，直接关系到整个过程施工进度和工程造价。</w:t>
      </w:r>
      <w:r/>
    </w:p>
    <w:p>
      <w:pPr>
        <w:pStyle w:val="1109"/>
        <w:ind w:firstLine="42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8、应急保障措施：根据本项目的实际情况及特点，制定合理有效的应急保障措施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确保突发状况及时解决。</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9、缺陷责任期内的服务方案要求：根据工程特点及保修期制定缺陷责任期内服务方案，定期巡检制度，应急处理等内容。</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10、缺陷责任期外的服务方案要求：根据工程特点，供应商所提供的长期维护能力、服务承诺的可行性以及风险保障措施。</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六、质量保证</w:t>
      </w:r>
      <w:r/>
    </w:p>
    <w:p>
      <w:pPr>
        <w:pStyle w:val="1109"/>
        <w:ind w:firstLine="42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1、质保及售后服务：质保期详见《工程质量保修书》，质保期外工程质量出现问题，</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人应主动提供维修方案，只收取材料费。 </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2、质保期内，如发生故障，采购人通知供应商售后服务人员时，相关服务人员要在 12 小时内到达现场配合采购人处理问题，进行更换或进行必要的维修。</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实施要求</w:t>
      </w:r>
      <w:r/>
    </w:p>
    <w:p>
      <w:pPr>
        <w:pStyle w:val="1109"/>
        <w:ind w:firstLine="420"/>
        <w:pageBreakBefore w:val="0"/>
        <w:spacing w:line="312"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1、供应商报价时需考虑完成本项目内容所涉及的人工费、材料费、机械费、税费、验收等相关的一切费用。</w:t>
      </w:r>
      <w:r/>
    </w:p>
    <w:p>
      <w:pPr>
        <w:pStyle w:val="1109"/>
        <w:ind w:firstLine="420"/>
        <w:pageBreakBefore w:val="0"/>
        <w:spacing w:line="312"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1109"/>
        <w:ind w:firstLine="420"/>
        <w:pageBreakBefore w:val="0"/>
        <w:spacing w:line="312"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109"/>
        <w:ind w:firstLine="420"/>
        <w:pageBreakBefore w:val="0"/>
        <w:spacing w:line="312"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rPr>
          <w:rFonts w:hint="eastAsia" w:ascii="仿宋" w:hAnsi="仿宋" w:eastAsia="仿宋" w:cs="仿宋"/>
          <w:color w:val="auto"/>
          <w:sz w:val="24"/>
          <w:szCs w:val="24"/>
          <w:highlight w:val="none"/>
          <w:lang w:val="en-US" w:eastAsia="zh-CN"/>
        </w:rPr>
        <w:t xml:space="preserve">。</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八、验收依据</w:t>
      </w:r>
      <w:r/>
    </w:p>
    <w:p>
      <w:pPr>
        <w:pStyle w:val="1109"/>
        <w:ind w:firstLine="42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1、包括并不限于《中小学合成材料面层运动场地》等国家最新标准和规范要求。提供具有“CMA”资质的检测机构出具的测试合格报告。</w:t>
      </w:r>
      <w:r/>
    </w:p>
    <w:p>
      <w:pPr>
        <w:pStyle w:val="1110"/>
        <w:ind w:left="0" w:firstLine="480"/>
        <w:rPr>
          <w:rFonts w:hint="default"/>
          <w:color w:val="auto"/>
          <w:highlight w:val="none"/>
          <w:lang w:val="en-US" w:eastAsia="zh-CN"/>
        </w:rPr>
      </w:pPr>
      <w:r>
        <w:rPr>
          <w:rFonts w:hint="eastAsia" w:ascii="仿宋" w:hAnsi="仿宋" w:eastAsia="仿宋" w:cs="仿宋"/>
          <w:color w:val="auto"/>
          <w:sz w:val="24"/>
          <w:szCs w:val="24"/>
          <w:highlight w:val="none"/>
          <w:lang w:val="en-US" w:eastAsia="zh-CN"/>
        </w:rPr>
        <w:t xml:space="preserve">2、保证通过相关部门验收。</w:t>
      </w:r>
      <w:r/>
    </w:p>
    <w:p>
      <w:pPr>
        <w:pStyle w:val="1109"/>
        <w:ind w:firstLine="482"/>
        <w:keepLines w:val="0"/>
        <w:keepNext w:val="0"/>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其他要求：</w:t>
      </w:r>
      <w:r/>
    </w:p>
    <w:p>
      <w:pPr>
        <w:pStyle w:val="1109"/>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见《磋商文件》</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《拟签订的合同文本》。</w:t>
      </w:r>
      <w:r/>
    </w:p>
    <w:p>
      <w:pPr>
        <w:pStyle w:val="1115"/>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5"/>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5"/>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Style w:val="1394"/>
          <w:rFonts w:hint="eastAsia" w:ascii="仿宋" w:hAnsi="仿宋" w:eastAsia="仿宋" w:cs="仿宋"/>
          <w:color w:val="auto"/>
          <w:sz w:val="24"/>
          <w:szCs w:val="24"/>
          <w:highlight w:val="none"/>
        </w:rPr>
      </w:pPr>
      <w:r/>
      <w:bookmarkStart w:id="28" w:name="_Toc25252"/>
      <w:r/>
      <w:bookmarkStart w:id="29" w:name="_Toc19254"/>
      <w:r/>
      <w:bookmarkStart w:id="30" w:name="_Toc80122301"/>
      <w:r>
        <w:rPr>
          <w:rStyle w:val="1394"/>
          <w:rFonts w:hint="eastAsia" w:ascii="仿宋" w:hAnsi="仿宋" w:eastAsia="仿宋" w:cs="仿宋"/>
          <w:color w:val="auto"/>
          <w:sz w:val="24"/>
          <w:szCs w:val="24"/>
          <w:highlight w:val="none"/>
        </w:rPr>
        <w:br w:type="page" w:clear="all"/>
      </w:r>
      <w:r/>
    </w:p>
    <w:p>
      <w:pPr>
        <w:pStyle w:val="1363"/>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第九章 响应文件相关格式</w:t>
      </w:r>
      <w:bookmarkEnd w:id="28"/>
      <w:r/>
      <w:bookmarkEnd w:id="29"/>
      <w:r/>
      <w:bookmarkEnd w:id="30"/>
      <w:r/>
      <w:r/>
    </w:p>
    <w:p>
      <w:pPr>
        <w:pStyle w:val="1363"/>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bookmarkStart w:id="31" w:name="_Toc8491"/>
      <w:r/>
      <w:bookmarkStart w:id="32" w:name="_Toc7129"/>
      <w:r>
        <w:rPr>
          <w:rStyle w:val="1394"/>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31"/>
      <w:r/>
      <w:bookmarkEnd w:id="32"/>
      <w:r/>
      <w:r/>
    </w:p>
    <w:p>
      <w:pPr>
        <w:pStyle w:val="1363"/>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p>
      <w:pPr>
        <w:pStyle w:val="1109"/>
        <w:ind w:firstLine="0"/>
        <w:keepLines w:val="0"/>
        <w:keepNext w:val="0"/>
        <w:pageBreakBefore w:val="0"/>
        <w:spacing w:line="312" w:lineRule="auto"/>
        <w:widowControl w:val="off"/>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rPr>
        <w:t xml:space="preserve">一、承诺书</w:t>
      </w:r>
      <w:r/>
    </w:p>
    <w:p>
      <w:pPr>
        <w:pStyle w:val="1109"/>
        <w:ind w:firstLine="0"/>
        <w:keepLines w:val="0"/>
        <w:keepNext w:val="0"/>
        <w:pageBreakBefore w:val="0"/>
        <w:spacing w:line="312" w:lineRule="auto"/>
        <w:widowControl w:val="off"/>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rPr>
        <w:t xml:space="preserve">二、磋商报价表</w:t>
      </w:r>
      <w:r/>
    </w:p>
    <w:p>
      <w:pPr>
        <w:pStyle w:val="1109"/>
        <w:ind w:firstLine="0"/>
        <w:keepLines w:val="0"/>
        <w:keepNext w:val="0"/>
        <w:pageBreakBefore w:val="0"/>
        <w:spacing w:line="312" w:lineRule="auto"/>
        <w:widowControl w:val="off"/>
        <w:tabs>
          <w:tab w:val="left" w:pos="2100" w:leader="none"/>
        </w:tabs>
        <w:rPr>
          <w:rStyle w:val="1394"/>
          <w:rFonts w:hint="default" w:ascii="仿宋" w:hAnsi="仿宋" w:eastAsia="仿宋" w:cs="仿宋"/>
          <w:bCs/>
          <w:color w:val="auto"/>
          <w:sz w:val="24"/>
          <w:szCs w:val="24"/>
          <w:highlight w:val="none"/>
          <w:lang w:val="en-US" w:eastAsia="zh-CN"/>
        </w:rPr>
      </w:pPr>
      <w:r>
        <w:rPr>
          <w:rStyle w:val="1394"/>
          <w:rFonts w:hint="eastAsia" w:ascii="仿宋" w:hAnsi="仿宋" w:eastAsia="仿宋" w:cs="仿宋"/>
          <w:bCs/>
          <w:color w:val="auto"/>
          <w:sz w:val="24"/>
          <w:szCs w:val="24"/>
          <w:highlight w:val="none"/>
        </w:rPr>
        <w:t xml:space="preserve">三、</w:t>
      </w:r>
      <w:r>
        <w:rPr>
          <w:rStyle w:val="1394"/>
          <w:rFonts w:hint="eastAsia" w:ascii="仿宋" w:hAnsi="仿宋" w:eastAsia="仿宋" w:cs="仿宋"/>
          <w:bCs/>
          <w:color w:val="auto"/>
          <w:sz w:val="24"/>
          <w:szCs w:val="24"/>
          <w:highlight w:val="none"/>
          <w:lang w:val="en-US" w:eastAsia="zh-CN"/>
        </w:rPr>
        <w:t xml:space="preserve">分项价格表</w:t>
      </w:r>
      <w:r/>
    </w:p>
    <w:p>
      <w:pPr>
        <w:pStyle w:val="1109"/>
        <w:ind w:firstLine="0"/>
        <w:keepLines w:val="0"/>
        <w:keepNext w:val="0"/>
        <w:pageBreakBefore w:val="0"/>
        <w:spacing w:line="312" w:lineRule="auto"/>
        <w:widowControl w:val="off"/>
        <w:tabs>
          <w:tab w:val="left" w:pos="2100" w:leader="none"/>
        </w:tabs>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lang w:val="en-US" w:eastAsia="zh-CN"/>
        </w:rPr>
        <w:t xml:space="preserve">四、</w:t>
      </w:r>
      <w:r>
        <w:rPr>
          <w:rStyle w:val="1394"/>
          <w:rFonts w:hint="eastAsia" w:ascii="仿宋" w:hAnsi="仿宋" w:eastAsia="仿宋" w:cs="仿宋"/>
          <w:bCs/>
          <w:color w:val="auto"/>
          <w:sz w:val="24"/>
          <w:szCs w:val="24"/>
          <w:highlight w:val="none"/>
        </w:rPr>
        <w:t xml:space="preserve">投标承诺书</w:t>
      </w:r>
      <w:r/>
    </w:p>
    <w:p>
      <w:pPr>
        <w:pStyle w:val="1109"/>
        <w:ind w:firstLine="0"/>
        <w:keepLines w:val="0"/>
        <w:keepNext w:val="0"/>
        <w:pageBreakBefore w:val="0"/>
        <w:spacing w:line="312" w:lineRule="auto"/>
        <w:widowControl w:val="off"/>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lang w:val="en-US" w:eastAsia="zh-CN"/>
        </w:rPr>
        <w:t xml:space="preserve">五</w:t>
      </w:r>
      <w:r>
        <w:rPr>
          <w:rStyle w:val="1394"/>
          <w:rFonts w:hint="eastAsia" w:ascii="仿宋" w:hAnsi="仿宋" w:eastAsia="仿宋" w:cs="仿宋"/>
          <w:bCs/>
          <w:color w:val="auto"/>
          <w:sz w:val="24"/>
          <w:szCs w:val="24"/>
          <w:highlight w:val="none"/>
        </w:rPr>
        <w:t xml:space="preserve">、偏离表</w:t>
      </w:r>
      <w:r/>
    </w:p>
    <w:p>
      <w:pPr>
        <w:pStyle w:val="1109"/>
        <w:ind w:firstLine="0"/>
        <w:keepLines w:val="0"/>
        <w:keepNext w:val="0"/>
        <w:pageBreakBefore w:val="0"/>
        <w:spacing w:line="312" w:lineRule="auto"/>
        <w:widowControl w:val="off"/>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lang w:val="en-US" w:eastAsia="zh-CN"/>
        </w:rPr>
        <w:t xml:space="preserve">六</w:t>
      </w:r>
      <w:r>
        <w:rPr>
          <w:rStyle w:val="1394"/>
          <w:rFonts w:hint="eastAsia" w:ascii="仿宋" w:hAnsi="仿宋" w:eastAsia="仿宋" w:cs="仿宋"/>
          <w:bCs/>
          <w:color w:val="auto"/>
          <w:sz w:val="24"/>
          <w:szCs w:val="24"/>
          <w:highlight w:val="none"/>
        </w:rPr>
        <w:t xml:space="preserve">、授权委托书</w:t>
      </w:r>
      <w:r/>
    </w:p>
    <w:p>
      <w:pPr>
        <w:pStyle w:val="1109"/>
        <w:ind w:firstLine="0"/>
        <w:keepLines w:val="0"/>
        <w:keepNext w:val="0"/>
        <w:pageBreakBefore w:val="0"/>
        <w:spacing w:line="312" w:lineRule="auto"/>
        <w:widowControl w:val="off"/>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lang w:val="en-US" w:eastAsia="zh-CN"/>
        </w:rPr>
        <w:t xml:space="preserve">七</w:t>
      </w:r>
      <w:r>
        <w:rPr>
          <w:rStyle w:val="1394"/>
          <w:rFonts w:hint="eastAsia" w:ascii="仿宋" w:hAnsi="仿宋" w:eastAsia="仿宋" w:cs="仿宋"/>
          <w:bCs/>
          <w:color w:val="auto"/>
          <w:sz w:val="24"/>
          <w:szCs w:val="24"/>
          <w:highlight w:val="none"/>
        </w:rPr>
        <w:t xml:space="preserve">、中小企业声明函</w:t>
      </w:r>
      <w:r/>
    </w:p>
    <w:p>
      <w:pPr>
        <w:pStyle w:val="1109"/>
        <w:ind w:firstLine="0"/>
        <w:keepLines w:val="0"/>
        <w:keepNext w:val="0"/>
        <w:pageBreakBefore w:val="0"/>
        <w:spacing w:line="312" w:lineRule="auto"/>
        <w:widowControl w:val="off"/>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lang w:val="en-US" w:eastAsia="zh-CN"/>
        </w:rPr>
        <w:t xml:space="preserve">八</w:t>
      </w:r>
      <w:r>
        <w:rPr>
          <w:rStyle w:val="1394"/>
          <w:rFonts w:hint="eastAsia" w:ascii="仿宋" w:hAnsi="仿宋" w:eastAsia="仿宋" w:cs="仿宋"/>
          <w:bCs/>
          <w:color w:val="auto"/>
          <w:sz w:val="24"/>
          <w:szCs w:val="24"/>
          <w:highlight w:val="none"/>
        </w:rPr>
        <w:t xml:space="preserve">、残疾人福利性单位声明函</w:t>
      </w:r>
      <w:r/>
    </w:p>
    <w:p>
      <w:pPr>
        <w:pStyle w:val="1109"/>
        <w:ind w:firstLine="0"/>
        <w:keepLines w:val="0"/>
        <w:keepNext w:val="0"/>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bCs/>
          <w:color w:val="auto"/>
          <w:sz w:val="24"/>
          <w:szCs w:val="24"/>
          <w:highlight w:val="none"/>
          <w:lang w:val="en-US" w:eastAsia="zh-CN"/>
        </w:rPr>
        <w:t xml:space="preserve">九</w:t>
      </w:r>
      <w:r>
        <w:rPr>
          <w:rStyle w:val="1394"/>
          <w:rFonts w:hint="eastAsia" w:ascii="仿宋" w:hAnsi="仿宋" w:eastAsia="仿宋" w:cs="仿宋"/>
          <w:bCs/>
          <w:color w:val="auto"/>
          <w:sz w:val="24"/>
          <w:szCs w:val="24"/>
          <w:highlight w:val="none"/>
        </w:rPr>
        <w:t xml:space="preserve">、</w:t>
      </w:r>
      <w:r>
        <w:rPr>
          <w:rStyle w:val="1394"/>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pStyle w:val="1109"/>
        <w:ind w:firstLine="0"/>
        <w:keepLines w:val="0"/>
        <w:keepNext w:val="0"/>
        <w:pageBreakBefore w:val="0"/>
        <w:spacing w:line="312" w:lineRule="auto"/>
        <w:widowControl w:val="off"/>
        <w:rPr>
          <w:rStyle w:val="1394"/>
          <w:rFonts w:hint="eastAsia" w:ascii="仿宋" w:hAnsi="仿宋" w:eastAsia="仿宋" w:cs="仿宋"/>
          <w:bCs/>
          <w:color w:val="auto"/>
          <w:sz w:val="24"/>
          <w:szCs w:val="24"/>
          <w:highlight w:val="none"/>
        </w:rPr>
      </w:pPr>
      <w:r>
        <w:rPr>
          <w:rStyle w:val="1394"/>
          <w:rFonts w:hint="eastAsia" w:ascii="仿宋" w:hAnsi="仿宋" w:eastAsia="仿宋" w:cs="仿宋"/>
          <w:bCs/>
          <w:color w:val="auto"/>
          <w:sz w:val="24"/>
          <w:szCs w:val="24"/>
          <w:highlight w:val="none"/>
          <w:lang w:val="en-US" w:eastAsia="zh-CN"/>
        </w:rPr>
        <w:t xml:space="preserve">十</w:t>
      </w:r>
      <w:r>
        <w:rPr>
          <w:rStyle w:val="1394"/>
          <w:rFonts w:hint="eastAsia" w:ascii="仿宋" w:hAnsi="仿宋" w:eastAsia="仿宋" w:cs="仿宋"/>
          <w:bCs/>
          <w:color w:val="auto"/>
          <w:sz w:val="24"/>
          <w:szCs w:val="24"/>
          <w:highlight w:val="none"/>
        </w:rPr>
        <w:t xml:space="preserve">、具备履行合同所必需的设备和专业技术能力的书面声明</w:t>
      </w:r>
      <w:r/>
    </w:p>
    <w:p>
      <w:pPr>
        <w:pStyle w:val="1109"/>
        <w:ind w:firstLine="0"/>
        <w:keepLines w:val="0"/>
        <w:keepNext w:val="0"/>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十</w:t>
      </w:r>
      <w:r>
        <w:rPr>
          <w:rStyle w:val="1394"/>
          <w:rFonts w:hint="eastAsia" w:ascii="仿宋" w:hAnsi="仿宋" w:eastAsia="仿宋" w:cs="仿宋"/>
          <w:color w:val="auto"/>
          <w:sz w:val="24"/>
          <w:szCs w:val="24"/>
          <w:highlight w:val="none"/>
          <w:lang w:val="en-US" w:eastAsia="zh-CN"/>
        </w:rPr>
        <w:t xml:space="preserve">一</w:t>
      </w:r>
      <w:r>
        <w:rPr>
          <w:rStyle w:val="1394"/>
          <w:rFonts w:hint="eastAsia" w:ascii="仿宋" w:hAnsi="仿宋" w:eastAsia="仿宋" w:cs="仿宋"/>
          <w:color w:val="auto"/>
          <w:sz w:val="24"/>
          <w:szCs w:val="24"/>
          <w:highlight w:val="none"/>
        </w:rPr>
        <w:t xml:space="preserve">、响应文件编制要求提供的其他资料</w:t>
      </w:r>
      <w:r/>
    </w:p>
    <w:p>
      <w:pPr>
        <w:pStyle w:val="1486"/>
        <w:ind w:left="0" w:right="0" w:firstLine="0"/>
        <w:keepLines w:val="0"/>
        <w:keepNext w:val="0"/>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十</w:t>
      </w:r>
      <w:r>
        <w:rPr>
          <w:rStyle w:val="1394"/>
          <w:rFonts w:hint="eastAsia" w:ascii="仿宋" w:hAnsi="仿宋" w:eastAsia="仿宋" w:cs="仿宋"/>
          <w:color w:val="auto"/>
          <w:sz w:val="24"/>
          <w:szCs w:val="24"/>
          <w:highlight w:val="none"/>
          <w:lang w:val="en-US" w:eastAsia="zh-CN"/>
        </w:rPr>
        <w:t xml:space="preserve">二</w:t>
      </w:r>
      <w:r>
        <w:rPr>
          <w:rStyle w:val="1394"/>
          <w:rFonts w:hint="eastAsia" w:ascii="仿宋" w:hAnsi="仿宋" w:eastAsia="仿宋" w:cs="仿宋"/>
          <w:color w:val="auto"/>
          <w:sz w:val="24"/>
          <w:szCs w:val="24"/>
          <w:highlight w:val="none"/>
        </w:rPr>
        <w:t xml:space="preserve">、预付款保函支付条款模板</w:t>
      </w:r>
      <w:r/>
    </w:p>
    <w:p>
      <w:pPr>
        <w:pStyle w:val="1109"/>
        <w:jc w:val="center"/>
        <w:pageBreakBefore w:val="0"/>
        <w:spacing w:line="312" w:lineRule="auto"/>
        <w:widowControl w:val="off"/>
        <w:rPr>
          <w:rStyle w:val="1394"/>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64"/>
        <w:jc w:val="center"/>
        <w:keepLines w:val="0"/>
        <w:keepNext w:val="0"/>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br w:type="page" w:clear="all"/>
      </w:r>
      <w:bookmarkStart w:id="33" w:name="_Toc6721"/>
      <w:r/>
      <w:bookmarkStart w:id="34" w:name="_Toc19266"/>
      <w:r/>
      <w:bookmarkStart w:id="35" w:name="_Toc80122302"/>
      <w:r>
        <w:rPr>
          <w:rStyle w:val="1394"/>
          <w:rFonts w:hint="eastAsia" w:ascii="仿宋" w:hAnsi="仿宋" w:eastAsia="仿宋" w:cs="仿宋"/>
          <w:color w:val="auto"/>
          <w:sz w:val="24"/>
          <w:szCs w:val="24"/>
          <w:highlight w:val="none"/>
        </w:rPr>
        <w:t xml:space="preserve">一、承诺书</w:t>
      </w:r>
      <w:bookmarkEnd w:id="33"/>
      <w:r/>
      <w:bookmarkEnd w:id="34"/>
      <w:r/>
      <w:bookmarkEnd w:id="35"/>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致</w:t>
      </w:r>
      <w:r>
        <w:rPr>
          <w:rStyle w:val="1394"/>
          <w:rFonts w:hint="eastAsia" w:ascii="仿宋" w:hAnsi="仿宋" w:eastAsia="仿宋" w:cs="仿宋"/>
          <w:color w:val="auto"/>
          <w:sz w:val="24"/>
          <w:szCs w:val="24"/>
          <w:highlight w:val="none"/>
          <w:u w:val="single"/>
        </w:rPr>
        <w:t xml:space="preserve">江苏科建工程项目管理有限公司</w:t>
      </w:r>
      <w:r>
        <w:rPr>
          <w:rStyle w:val="1394"/>
          <w:rFonts w:hint="eastAsia" w:ascii="仿宋" w:hAnsi="仿宋" w:eastAsia="仿宋" w:cs="仿宋"/>
          <w:color w:val="auto"/>
          <w:sz w:val="24"/>
          <w:szCs w:val="24"/>
          <w:highlight w:val="none"/>
        </w:rPr>
        <w:t xml:space="preserve">：</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根据贵方《磋商文件》（项目编号：</w:t>
      </w:r>
      <w:r>
        <w:rPr>
          <w:rStyle w:val="1394"/>
          <w:rFonts w:hint="eastAsia" w:ascii="仿宋" w:hAnsi="仿宋" w:eastAsia="仿宋" w:cs="仿宋"/>
          <w:color w:val="auto"/>
          <w:sz w:val="24"/>
          <w:szCs w:val="24"/>
          <w:highlight w:val="none"/>
          <w:lang w:eastAsia="zh-CN"/>
        </w:rPr>
        <w:t xml:space="preserve">JSZC-320300-JSKJ-C2025-0061</w:t>
      </w:r>
      <w:r>
        <w:rPr>
          <w:rStyle w:val="1394"/>
          <w:rFonts w:hint="eastAsia" w:ascii="仿宋" w:hAnsi="仿宋" w:eastAsia="仿宋" w:cs="仿宋"/>
          <w:color w:val="auto"/>
          <w:sz w:val="24"/>
          <w:szCs w:val="24"/>
          <w:highlight w:val="none"/>
        </w:rPr>
        <w:t xml:space="preserve">）要求，本供应商正式提交以下首次响应文件。</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394"/>
          <w:rFonts w:hint="eastAsia" w:ascii="仿宋" w:hAnsi="仿宋" w:eastAsia="仿宋" w:cs="仿宋"/>
          <w:color w:val="auto"/>
          <w:sz w:val="24"/>
          <w:szCs w:val="24"/>
          <w:highlight w:val="none"/>
        </w:rPr>
        <w:t xml:space="preserve">（1）承诺书； </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（2）磋商报价表； </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（3）偏离表；</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（4）磋商文件要求提供的其他响应文件。</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供应商兹宣布同意如下: </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6" o:spid="_x0000_s16"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7" o:spid="_x0000_s17"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394"/>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109"/>
        <w:ind w:firstLine="480"/>
        <w:jc w:val="left"/>
        <w:pageBreakBefore w:val="0"/>
        <w:spacing w:line="312" w:lineRule="auto"/>
        <w:widowControl w:val="off"/>
        <w:tabs>
          <w:tab w:val="right" w:pos="4153" w:leader="none"/>
          <w:tab w:val="left" w:pos="8306" w:leader="underscore"/>
        </w:tabs>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8" o:spid="_x0000_s1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9" o:spid="_x0000_s1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394"/>
          <w:rFonts w:hint="eastAsia" w:ascii="仿宋" w:hAnsi="仿宋" w:eastAsia="仿宋" w:cs="仿宋"/>
          <w:color w:val="auto"/>
          <w:sz w:val="24"/>
          <w:szCs w:val="24"/>
          <w:highlight w:val="none"/>
        </w:rPr>
        <w:t xml:space="preserve">二、保证所提供的响应文件及所有材料的真实、合法、有效，并对其负责。</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四、所供货物保证符合国家有关产品质量、性能和安全标准，无权利瑕疵。</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五、报价有效期为30个工作日。</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六、同意向贵方提供贵方可能要求的与本次磋商采购有关的任何证据或资料。</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七、完全理解贵方不一定要接受最低的报价或收到的任何报价。</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八、江苏科建工程项目管理有限公司有权将我单位本项目的《磋商报价表》和《分项价格表》予以公示，公示的方式由江苏科建工程项目管理有限公司确定。</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九、采购人有权对供应商的响应文件的真实性</w:t>
      </w:r>
      <w:r>
        <w:rPr>
          <w:rStyle w:val="1394"/>
          <w:rFonts w:hint="eastAsia" w:ascii="仿宋" w:hAnsi="仿宋" w:eastAsia="仿宋" w:cs="仿宋"/>
          <w:bCs/>
          <w:color w:val="auto"/>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94"/>
          <w:rFonts w:hint="eastAsia" w:ascii="仿宋" w:hAnsi="仿宋" w:eastAsia="仿宋" w:cs="仿宋"/>
          <w:color w:val="auto"/>
          <w:sz w:val="24"/>
          <w:szCs w:val="24"/>
          <w:highlight w:val="none"/>
        </w:rPr>
        <w:t xml:space="preserve">。</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十、供应商同意按照磋商文件的有关规定支付相关代理服务费。 </w:t>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394"/>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pStyle w:val="1109"/>
        <w:jc w:val="both"/>
        <w:pageBreakBefore w:val="0"/>
        <w:spacing w:line="312" w:lineRule="auto"/>
        <w:widowControl w:val="off"/>
        <w:rPr>
          <w:rFonts w:hint="eastAsia" w:ascii="仿宋" w:hAnsi="仿宋" w:eastAsia="仿宋" w:cs="仿宋"/>
          <w:color w:val="auto"/>
          <w:sz w:val="24"/>
          <w:highlight w:val="none"/>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w:t>
      </w:r>
      <w:r/>
    </w:p>
    <w:p>
      <w:pPr>
        <w:pStyle w:val="1109"/>
        <w:jc w:val="center"/>
        <w:pageBreakBefore w:val="0"/>
        <w:spacing w:line="312" w:lineRule="auto"/>
        <w:widowControl w:val="off"/>
        <w:rPr>
          <w:rStyle w:val="1394"/>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br w:type="page" w:clear="all"/>
      </w:r>
      <w:bookmarkStart w:id="36" w:name="_Toc21194"/>
      <w:r/>
      <w:bookmarkStart w:id="37" w:name="_Toc80122303"/>
      <w:r/>
      <w:bookmarkStart w:id="38" w:name="_Toc25312"/>
      <w:r>
        <w:rPr>
          <w:rStyle w:val="1394"/>
          <w:rFonts w:hint="eastAsia" w:ascii="仿宋" w:hAnsi="仿宋" w:eastAsia="仿宋" w:cs="仿宋"/>
          <w:b/>
          <w:bCs/>
          <w:color w:val="auto"/>
          <w:sz w:val="24"/>
          <w:szCs w:val="24"/>
          <w:highlight w:val="none"/>
        </w:rPr>
        <w:t xml:space="preserve">二、磋商报价表</w:t>
      </w:r>
      <w:bookmarkEnd w:id="36"/>
      <w:r/>
      <w:bookmarkEnd w:id="37"/>
      <w:r/>
      <w:bookmarkEnd w:id="38"/>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首次  □终次报价）                              </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lang w:val="en-US" w:eastAsia="zh-CN"/>
        </w:rPr>
      </w:pPr>
      <w:r>
        <w:rPr>
          <w:rStyle w:val="1394"/>
          <w:rFonts w:hint="eastAsia" w:ascii="仿宋" w:hAnsi="仿宋" w:eastAsia="仿宋" w:cs="仿宋"/>
          <w:color w:val="auto"/>
          <w:sz w:val="24"/>
          <w:szCs w:val="24"/>
          <w:highlight w:val="none"/>
        </w:rPr>
        <w:t xml:space="preserve">项目编号：</w:t>
      </w:r>
      <w:r>
        <w:rPr>
          <w:rStyle w:val="1394"/>
          <w:rFonts w:hint="eastAsia" w:ascii="仿宋" w:hAnsi="仿宋" w:eastAsia="仿宋" w:cs="仿宋"/>
          <w:color w:val="auto"/>
          <w:sz w:val="24"/>
          <w:szCs w:val="24"/>
          <w:highlight w:val="none"/>
          <w:lang w:eastAsia="zh-CN"/>
        </w:rPr>
        <w:t xml:space="preserve">JSZC-320300-JSKJ-C2025-0061</w:t>
      </w:r>
      <w:r>
        <w:rPr>
          <w:rStyle w:val="1394"/>
          <w:rFonts w:hint="eastAsia" w:ascii="仿宋" w:hAnsi="仿宋" w:eastAsia="仿宋" w:cs="仿宋"/>
          <w:color w:val="auto"/>
          <w:sz w:val="24"/>
          <w:szCs w:val="24"/>
          <w:highlight w:val="none"/>
          <w:lang w:val="en-US" w:eastAsia="zh-CN"/>
        </w:rPr>
        <w:t xml:space="preserve">                               </w:t>
      </w:r>
      <w:r>
        <w:rPr>
          <w:rStyle w:val="1394"/>
          <w:rFonts w:hint="eastAsia" w:ascii="仿宋" w:hAnsi="仿宋" w:eastAsia="仿宋" w:cs="仿宋"/>
          <w:color w:val="auto"/>
          <w:sz w:val="24"/>
          <w:szCs w:val="24"/>
          <w:highlight w:val="none"/>
        </w:rPr>
        <w:t xml:space="preserve">单位：</w:t>
      </w:r>
      <w:r>
        <w:rPr>
          <w:rStyle w:val="1394"/>
          <w:rFonts w:hint="eastAsia" w:ascii="仿宋" w:hAnsi="仿宋" w:eastAsia="仿宋" w:cs="仿宋"/>
          <w:color w:val="auto"/>
          <w:sz w:val="24"/>
          <w:szCs w:val="24"/>
          <w:highlight w:val="none"/>
          <w:lang w:val="en-US" w:eastAsia="zh-CN"/>
        </w:rPr>
        <w:t xml:space="preserve">元</w:t>
      </w:r>
      <w:r/>
    </w:p>
    <w:tbl>
      <w:tblPr>
        <w:tblStyle w:val="1106"/>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498" w:type="dxa"/>
            <w:vAlign w:val="center"/>
            <w:textDirection w:val="lrTb"/>
            <w:noWrap w:val="false"/>
          </w:tcPr>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项目内容</w:t>
            </w:r>
            <w:r/>
          </w:p>
        </w:tc>
        <w:tc>
          <w:tcPr>
            <w:tcW w:w="2382" w:type="dxa"/>
            <w:vAlign w:val="center"/>
            <w:textDirection w:val="lrTb"/>
            <w:noWrap w:val="false"/>
          </w:tcPr>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总价（小写）</w:t>
            </w:r>
            <w:r/>
          </w:p>
        </w:tc>
        <w:tc>
          <w:tcPr>
            <w:tcW w:w="2382" w:type="dxa"/>
            <w:vAlign w:val="center"/>
            <w:textDirection w:val="lrTb"/>
            <w:noWrap w:val="false"/>
          </w:tcPr>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1096"/>
        </w:trPr>
        <w:tc>
          <w:tcPr>
            <w:tcW w:w="2486" w:type="dxa"/>
            <w:vAlign w:val="center"/>
            <w:textDirection w:val="lrTb"/>
            <w:noWrap w:val="false"/>
          </w:tcPr>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徐州市第十三中学运动场改造工程</w:t>
            </w:r>
            <w:r/>
          </w:p>
        </w:tc>
        <w:tc>
          <w:tcPr>
            <w:tcW w:w="2498" w:type="dxa"/>
            <w:vAlign w:val="center"/>
            <w:textDirection w:val="lrTb"/>
            <w:noWrap w:val="false"/>
          </w:tcPr>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详见响应文件</w:t>
            </w:r>
            <w:r/>
          </w:p>
        </w:tc>
        <w:tc>
          <w:tcPr>
            <w:tcW w:w="2382" w:type="dxa"/>
            <w:vAlign w:val="center"/>
            <w:textDirection w:val="lrTb"/>
            <w:noWrap w:val="false"/>
          </w:tcPr>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Align w:val="center"/>
            <w:vMerge w:val="restart"/>
            <w:textDirection w:val="lrTb"/>
            <w:noWrap w:val="false"/>
          </w:tcPr>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报价为</w:t>
            </w:r>
            <w:r/>
          </w:p>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《分项价格表》</w:t>
            </w:r>
            <w:r/>
          </w:p>
          <w:p>
            <w:pPr>
              <w:pStyle w:val="1109"/>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的总价</w:t>
            </w:r>
            <w:r/>
          </w:p>
        </w:tc>
      </w:tr>
      <w:tr>
        <w:trPr>
          <w:jc w:val="center"/>
          <w:trHeight w:val="1333"/>
        </w:trPr>
        <w:tc>
          <w:tcPr>
            <w:tcW w:w="2486" w:type="dxa"/>
            <w:vAlign w:val="center"/>
            <w:textDirection w:val="lrTb"/>
            <w:noWrap w:val="false"/>
          </w:tcPr>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总价（大写）：</w:t>
            </w:r>
            <w:r/>
          </w:p>
        </w:tc>
        <w:tc>
          <w:tcPr>
            <w:gridSpan w:val="2"/>
            <w:tcW w:w="4880" w:type="dxa"/>
            <w:vAlign w:val="center"/>
            <w:textDirection w:val="lrTb"/>
            <w:noWrap w:val="false"/>
          </w:tcPr>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Merge w:val="continue"/>
            <w:textDirection w:val="lrTb"/>
            <w:noWrap w:val="false"/>
          </w:tcPr>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109"/>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644"/>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（政府采购客户端工具输入报价自动生成，加盖电子签章上传）</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供应商承诺：  1、本报价（总价）为供应商本企业提供的</w:t>
      </w:r>
      <w:r>
        <w:rPr>
          <w:rStyle w:val="1394"/>
          <w:rFonts w:hint="eastAsia" w:ascii="仿宋" w:hAnsi="仿宋" w:eastAsia="仿宋" w:cs="仿宋"/>
          <w:color w:val="auto"/>
          <w:sz w:val="24"/>
          <w:szCs w:val="24"/>
          <w:highlight w:val="none"/>
          <w:lang w:val="en-US" w:eastAsia="zh-CN"/>
        </w:rPr>
        <w:t xml:space="preserve">施工</w:t>
      </w:r>
      <w:r>
        <w:rPr>
          <w:rStyle w:val="1394"/>
          <w:rFonts w:hint="eastAsia" w:ascii="仿宋" w:hAnsi="仿宋" w:eastAsia="仿宋" w:cs="仿宋"/>
          <w:color w:val="auto"/>
          <w:sz w:val="24"/>
          <w:szCs w:val="24"/>
          <w:highlight w:val="none"/>
        </w:rPr>
        <w:t xml:space="preserve">。</w:t>
      </w:r>
      <w:r/>
    </w:p>
    <w:p>
      <w:pPr>
        <w:pStyle w:val="1109"/>
        <w:ind w:firstLine="16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报价说明：</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1、报价包括完成项目的所有费用。采购人不再支付报价以外的任何费用。</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2、报价以总价为准，大小写不一致以大写为准；</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3、偏离说明：详见《偏离表》；</w:t>
      </w:r>
      <w:r/>
    </w:p>
    <w:p>
      <w:pPr>
        <w:pStyle w:val="1110"/>
        <w:ind w:left="0" w:firstLine="480"/>
        <w:rPr>
          <w:rFonts w:hint="eastAsia"/>
          <w:color w:val="auto"/>
          <w:highlight w:val="none"/>
        </w:rPr>
      </w:pPr>
      <w:r>
        <w:rPr>
          <w:rStyle w:val="1394"/>
          <w:rFonts w:hint="eastAsia" w:ascii="仿宋" w:hAnsi="仿宋" w:eastAsia="仿宋" w:cs="仿宋"/>
          <w:color w:val="auto"/>
          <w:szCs w:val="24"/>
          <w:highlight w:val="none"/>
          <w:lang w:val="en-US" w:eastAsia="zh-CN" w:bidi="ar-SA"/>
        </w:rPr>
        <w:t xml:space="preserve">4、如最后报价未列明单价，则最后所报各项单价计算方法为：（最后报价/最初报价）* 各项最初报价的单价。</w:t>
      </w:r>
      <w:r/>
    </w:p>
    <w:p>
      <w:pPr>
        <w:pStyle w:val="1110"/>
        <w:rPr>
          <w:rFonts w:hint="eastAsia"/>
          <w:color w:val="auto"/>
          <w:highlight w:val="none"/>
        </w:rPr>
      </w:pPr>
      <w:r>
        <w:rPr>
          <w:rFonts w:hint="eastAsia"/>
          <w:color w:val="auto"/>
          <w:highlight w:val="none"/>
        </w:rPr>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394"/>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ind w:left="0" w:right="0" w:firstLine="480"/>
        <w:jc w:val="center"/>
        <w:keepLines w:val="0"/>
        <w:keepNext w:val="0"/>
        <w:pageBreakBefore w:val="0"/>
        <w:spacing w:beforeAutospacing="0" w:afterAutospacing="0" w:line="312" w:lineRule="auto"/>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p>
    <w:p>
      <w:pPr>
        <w:pStyle w:val="1109"/>
        <w:ind w:firstLine="482"/>
        <w:jc w:val="right"/>
        <w:pageBreakBefore w:val="0"/>
        <w:spacing w:line="312" w:lineRule="auto"/>
        <w:widowControl w:val="off"/>
        <w:rPr>
          <w:rStyle w:val="1394"/>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12" w:lineRule="auto"/>
        <w:rPr>
          <w:rFonts w:hint="eastAsia" w:ascii="仿宋" w:hAnsi="仿宋" w:eastAsia="仿宋" w:cs="仿宋"/>
          <w:b/>
          <w:color w:val="auto"/>
          <w:sz w:val="24"/>
          <w:szCs w:val="24"/>
          <w:highlight w:val="none"/>
          <w:lang w:val="en-US" w:eastAsia="zh-CN"/>
        </w:rPr>
        <w:sectPr>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bookmarkStart w:id="39" w:name="_Toc19902"/>
      <w:r/>
      <w:bookmarkStart w:id="40" w:name="_Toc14249"/>
      <w:r/>
      <w:bookmarkStart w:id="41" w:name="_Toc80122304"/>
      <w:r/>
      <w:r/>
    </w:p>
    <w:p>
      <w:pPr>
        <w:pStyle w:val="1364"/>
        <w:jc w:val="center"/>
        <w:keepLines w:val="0"/>
        <w:keepNext w:val="0"/>
        <w:pageBreakBefore w:val="0"/>
        <w:spacing w:before="0" w:after="0" w:line="500" w:lineRule="exact"/>
        <w:widowControl w:val="off"/>
        <w:rPr>
          <w:rFonts w:hint="eastAsia" w:ascii="仿宋" w:hAnsi="仿宋" w:eastAsia="仿宋" w:cs="仿宋"/>
          <w:bCs w:val="0"/>
          <w:color w:val="auto"/>
          <w:sz w:val="24"/>
          <w:szCs w:val="24"/>
          <w:highlight w:val="none"/>
        </w:rPr>
      </w:pPr>
      <w:r/>
      <w:bookmarkStart w:id="42" w:name="_Toc22792"/>
      <w:r>
        <w:rPr>
          <w:rStyle w:val="1394"/>
          <w:rFonts w:hint="eastAsia" w:ascii="仿宋" w:hAnsi="仿宋" w:eastAsia="仿宋" w:cs="仿宋"/>
          <w:color w:val="auto"/>
          <w:sz w:val="24"/>
          <w:szCs w:val="24"/>
          <w:highlight w:val="none"/>
        </w:rPr>
        <w:t xml:space="preserve">三、分项价格表</w:t>
      </w:r>
      <w:bookmarkEnd w:id="42"/>
      <w:r/>
      <w:r/>
    </w:p>
    <w:p>
      <w:pPr>
        <w:pStyle w:val="1118"/>
        <w:jc w:val="center"/>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（具有已标价的工程量清单和报价表）</w:t>
      </w:r>
      <w:r/>
    </w:p>
    <w:p>
      <w:pPr>
        <w:pStyle w:val="1118"/>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8"/>
        <w:pageBreakBefore w:val="0"/>
        <w:spacing w:after="0" w:line="500" w:lineRule="exact"/>
        <w:widowControl w:val="off"/>
        <w:rPr>
          <w:rFonts w:hint="eastAsia" w:ascii="仿宋" w:hAnsi="仿宋" w:eastAsia="仿宋" w:cs="仿宋"/>
          <w:color w:val="auto"/>
          <w:sz w:val="24"/>
          <w:szCs w:val="24"/>
          <w:highlight w:val="none"/>
        </w:rPr>
      </w:pPr>
      <w:r/>
      <w:bookmarkStart w:id="43" w:name="_Hlk105167482"/>
      <w:r>
        <w:rPr>
          <w:rFonts w:hint="eastAsia" w:ascii="仿宋" w:hAnsi="仿宋" w:eastAsia="仿宋" w:cs="仿宋"/>
          <w:color w:val="auto"/>
          <w:sz w:val="24"/>
          <w:szCs w:val="24"/>
          <w:highlight w:val="none"/>
        </w:rPr>
        <w:t xml:space="preserve">（本次为  □首次  □终次报价）</w:t>
      </w:r>
      <w:bookmarkEnd w:id="43"/>
      <w:r/>
      <w:r/>
    </w:p>
    <w:p>
      <w:pPr>
        <w:pStyle w:val="1118"/>
        <w:pageBreakBefore w:val="0"/>
        <w:spacing w:after="0" w:line="500" w:lineRule="exact"/>
        <w:widowControl w:val="off"/>
        <w:rPr>
          <w:rFonts w:hint="eastAsia" w:ascii="仿宋" w:hAnsi="仿宋" w:eastAsia="仿宋" w:cs="仿宋"/>
          <w:color w:val="auto"/>
          <w:sz w:val="24"/>
          <w:szCs w:val="24"/>
          <w:highlight w:val="none"/>
          <w:lang w:eastAsia="zh-CN"/>
        </w:rPr>
      </w:pPr>
      <w:r/>
      <w:bookmarkStart w:id="44" w:name="_Hlk105167508"/>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118"/>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bookmarkEnd w:id="44"/>
      <w:r/>
      <w:r/>
    </w:p>
    <w:p>
      <w:pPr>
        <w:pStyle w:val="1118"/>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28"/>
        <w:ind w:left="0"/>
        <w:jc w:val="center"/>
        <w:pageBreakBefore w:val="0"/>
        <w:spacing w:line="500" w:lineRule="exact"/>
        <w:widowControl w:val="off"/>
        <w:rPr>
          <w:rFonts w:hint="eastAsia" w:ascii="仿宋" w:hAnsi="仿宋" w:eastAsia="仿宋" w:cs="仿宋"/>
          <w:color w:val="auto"/>
          <w:sz w:val="24"/>
          <w:szCs w:val="24"/>
          <w:highlight w:val="none"/>
        </w:rPr>
        <w:outlineLvl w:val="9"/>
      </w:pPr>
      <w:r/>
      <w:bookmarkStart w:id="45" w:name="_Toc3087"/>
      <w:r>
        <w:rPr>
          <w:rFonts w:hint="eastAsia" w:ascii="仿宋" w:hAnsi="仿宋" w:eastAsia="仿宋" w:cs="仿宋"/>
          <w:color w:val="auto"/>
          <w:sz w:val="24"/>
          <w:szCs w:val="24"/>
          <w:highlight w:val="none"/>
        </w:rPr>
        <w:t xml:space="preserve">根据工程量清单进行编制</w:t>
      </w:r>
      <w:bookmarkEnd w:id="45"/>
      <w:r/>
      <w:r/>
    </w:p>
    <w:p>
      <w:pPr>
        <w:pStyle w:val="1130"/>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30"/>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8"/>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109"/>
        <w:jc w:val="left"/>
        <w:pageBreakBefore w:val="0"/>
        <w:spacing w:line="500" w:lineRule="exact"/>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rPr>
        <w:t xml:space="preserve">（</w:t>
      </w:r>
      <w:r>
        <w:rPr>
          <w:rStyle w:val="1394"/>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szCs w:val="24"/>
          <w:highlight w:val="none"/>
        </w:rPr>
        <w:t xml:space="preserve">）</w:t>
      </w:r>
      <w:r>
        <w:rPr>
          <w:rStyle w:val="1394"/>
          <w:rFonts w:hint="eastAsia" w:ascii="仿宋" w:hAnsi="仿宋" w:eastAsia="仿宋" w:cs="仿宋"/>
          <w:color w:val="auto"/>
          <w:sz w:val="24"/>
          <w:szCs w:val="24"/>
          <w:highlight w:val="none"/>
        </w:rPr>
        <w:t xml:space="preserve">：  </w:t>
      </w:r>
      <w:r/>
    </w:p>
    <w:p>
      <w:pPr>
        <w:pStyle w:val="1109"/>
        <w:jc w:val="left"/>
        <w:pageBreakBefore w:val="0"/>
        <w:spacing w:line="500" w:lineRule="exact"/>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日期：</w:t>
      </w:r>
      <w:r/>
    </w:p>
    <w:p>
      <w:pPr>
        <w:pStyle w:val="1118"/>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8"/>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1118"/>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1118"/>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1118"/>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1118"/>
        <w:ind w:firstLine="480"/>
        <w:pageBreakBefore w:val="0"/>
        <w:spacing w:after="0" w:line="500" w:lineRule="exact"/>
        <w:widowControl w:val="off"/>
        <w:rPr>
          <w:rFonts w:hint="eastAsia" w:ascii="仿宋" w:hAnsi="仿宋" w:eastAsia="仿宋" w:cs="仿宋"/>
          <w:b/>
          <w:i w:val="0"/>
          <w:iCs/>
          <w:color w:val="auto"/>
          <w:sz w:val="24"/>
          <w:szCs w:val="24"/>
          <w:highlight w:val="none"/>
          <w:u w:val="single"/>
        </w:rPr>
      </w:pPr>
      <w:r>
        <w:rPr>
          <w:rFonts w:hint="eastAsia" w:ascii="仿宋" w:hAnsi="仿宋" w:eastAsia="仿宋" w:cs="仿宋"/>
          <w:b/>
          <w:i w:val="0"/>
          <w:iCs/>
          <w:color w:val="auto"/>
          <w:sz w:val="24"/>
          <w:szCs w:val="24"/>
          <w:highlight w:val="none"/>
          <w:u w:val="single"/>
        </w:rPr>
        <w:t xml:space="preserve">采购人或采购代理机构有权将以上内容进行公示。</w:t>
      </w:r>
      <w:r/>
    </w:p>
    <w:p>
      <w:pPr>
        <w:jc w:val="center"/>
        <w:pageBreakBefore w:val="0"/>
        <w:spacing w:line="312" w:lineRule="auto"/>
        <w:rPr>
          <w:rFonts w:hint="eastAsia" w:ascii="仿宋" w:hAnsi="仿宋" w:eastAsia="仿宋" w:cs="仿宋"/>
          <w:b/>
          <w:i w:val="0"/>
          <w:iCs/>
          <w:color w:val="auto"/>
          <w:sz w:val="24"/>
          <w:szCs w:val="24"/>
          <w:highlight w:val="none"/>
          <w:lang w:val="en-US" w:eastAsia="zh-CN"/>
        </w:rPr>
        <w:sectPr>
          <w:footerReference w:type="default" r:id="rId17"/>
          <w:footnotePr/>
          <w:endnotePr/>
          <w:type w:val="nextPage"/>
          <w:pgSz w:w="11906" w:h="16838" w:orient="portrait"/>
          <w:pgMar w:top="1440" w:right="1080" w:bottom="1440" w:left="1080" w:header="851" w:footer="992" w:gutter="0"/>
          <w:pgNumType w:start="24"/>
          <w:cols w:num="1" w:sep="0" w:space="1701" w:equalWidth="1"/>
          <w:docGrid w:linePitch="360"/>
        </w:sectPr>
      </w:pPr>
      <w:r>
        <w:rPr>
          <w:rFonts w:hint="eastAsia" w:ascii="仿宋" w:hAnsi="仿宋" w:eastAsia="仿宋" w:cs="仿宋"/>
          <w:b/>
          <w:i w:val="0"/>
          <w:iCs/>
          <w:color w:val="auto"/>
          <w:sz w:val="24"/>
          <w:szCs w:val="24"/>
          <w:highlight w:val="none"/>
          <w:lang w:val="en-US" w:eastAsia="zh-CN"/>
        </w:rPr>
      </w:r>
      <w:r/>
    </w:p>
    <w:p>
      <w:pPr>
        <w:jc w:val="center"/>
        <w:pageBreakBefore w:val="0"/>
        <w:spacing w:line="312" w:lineRule="auto"/>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bookmarkEnd w:id="39"/>
      <w:r/>
      <w:bookmarkEnd w:id="40"/>
      <w:r/>
      <w:bookmarkEnd w:id="41"/>
      <w:r>
        <w:rPr>
          <w:rFonts w:hint="eastAsia" w:ascii="仿宋" w:hAnsi="仿宋" w:eastAsia="仿宋" w:cs="仿宋"/>
          <w:b/>
          <w:color w:val="auto"/>
          <w:sz w:val="24"/>
          <w:szCs w:val="24"/>
          <w:highlight w:val="none"/>
        </w:rPr>
        <w:t xml:space="preserve">投 标 承 诺 书</w:t>
      </w:r>
      <w:r/>
    </w:p>
    <w:p>
      <w:pPr>
        <w:pageBreakBefore w:val="0"/>
        <w:spacing w:line="312"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徐州市第十三中学</w:t>
      </w:r>
      <w:r>
        <w:rPr>
          <w:rFonts w:hint="eastAsia" w:ascii="仿宋" w:hAnsi="仿宋" w:eastAsia="仿宋" w:cs="仿宋"/>
          <w:color w:val="auto"/>
          <w:sz w:val="24"/>
          <w:szCs w:val="24"/>
          <w:highlight w:val="none"/>
        </w:rPr>
        <w:t xml:space="preserve">：</w:t>
      </w:r>
      <w:r/>
    </w:p>
    <w:p>
      <w:pP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我单位有幸参加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(项目编号）的招投标活动，在此承诺如下（包含不限于以下内容）：</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1、投标项目部人员全部为本单位正式上岗人员；</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2、本工程不串通投标、不转包、不违法分包、不私招乱雇人员，并向管理部门提供自有劳务人员名单；</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3、按要求办理民工维权告示牌、民工劳动计酬手册及民工上岗胸牌；</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4、遵守廉洁相关规定，不向招投标各方主体及监管部门行贿、受贿；</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5、符合徐州市有关部门规定的标准化施工现场要求；</w:t>
      </w:r>
      <w:r/>
    </w:p>
    <w:p>
      <w:pPr>
        <w:ind w:firstLine="48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6、不拖欠工人工资，按时发放工人工资；</w:t>
      </w:r>
      <w:r/>
    </w:p>
    <w:p>
      <w:pPr>
        <w:ind w:firstLine="480"/>
        <w:pageBreakBefore w:val="0"/>
        <w:spacing w:line="312"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、其他承诺：</w:t>
      </w:r>
      <w:r>
        <w:rPr>
          <w:rFonts w:hint="eastAsia" w:ascii="仿宋" w:hAnsi="仿宋" w:eastAsia="仿宋" w:cs="仿宋"/>
          <w:color w:val="auto"/>
          <w:sz w:val="24"/>
          <w:szCs w:val="24"/>
          <w:highlight w:val="none"/>
          <w:u w:val="single"/>
        </w:rPr>
        <w:t xml:space="preserve">                             。</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以上承诺如有违反，愿自动放弃本次投标，接受相关部门处罚，并自愿退出徐州招投标市场。</w:t>
      </w:r>
      <w:r/>
    </w:p>
    <w:p>
      <w:pPr>
        <w:ind w:left="0" w:right="0" w:firstLine="480"/>
        <w:jc w:val="center"/>
        <w:keepLines w:val="0"/>
        <w:keepNext w:val="0"/>
        <w:pageBreakBefore w:val="0"/>
        <w:spacing w:beforeAutospacing="0" w:afterAutospacing="0" w:line="312" w:lineRule="auto"/>
        <w:rPr>
          <w:rFonts w:hint="eastAsia" w:ascii="仿宋" w:hAnsi="仿宋" w:eastAsia="仿宋" w:cs="仿宋"/>
          <w:bCs/>
          <w:color w:val="auto"/>
          <w:sz w:val="24"/>
          <w:highlight w:val="none"/>
          <w:lang w:eastAsia="zh-CN"/>
        </w:rPr>
      </w:pP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bCs/>
          <w:color w:val="auto"/>
          <w:sz w:val="24"/>
          <w:highlight w:val="none"/>
        </w:rPr>
        <w:t xml:space="preserve">（电子签章）</w:t>
      </w:r>
      <w:r>
        <w:rPr>
          <w:rFonts w:hint="eastAsia" w:ascii="仿宋" w:hAnsi="仿宋" w:eastAsia="仿宋" w:cs="仿宋"/>
          <w:bCs/>
          <w:color w:val="auto"/>
          <w:sz w:val="24"/>
          <w:highlight w:val="none"/>
          <w:lang w:eastAsia="zh-CN"/>
        </w:rPr>
        <w:t xml:space="preserve">：</w:t>
      </w:r>
      <w:r/>
    </w:p>
    <w:p>
      <w:pPr>
        <w:ind w:firstLine="40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72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日期：</w:t>
      </w:r>
      <w:r/>
    </w:p>
    <w:p>
      <w:pPr>
        <w:pStyle w:val="1118"/>
        <w:ind w:firstLine="480"/>
        <w:pageBreakBefore w:val="0"/>
        <w:spacing w:after="0" w:line="312" w:lineRule="auto"/>
        <w:widowControl w:val="off"/>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1109"/>
        <w:ind w:firstLine="482"/>
        <w:jc w:val="left"/>
        <w:pageBreakBefore w:val="0"/>
        <w:spacing w:line="312" w:lineRule="auto"/>
        <w:widowControl w:val="off"/>
        <w:tabs>
          <w:tab w:val="center" w:pos="420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br w:type="page" w:clear="all"/>
      </w:r>
      <w:bookmarkStart w:id="46" w:name="_Toc80122305"/>
      <w:r/>
      <w:bookmarkStart w:id="47" w:name="_Toc32621"/>
      <w:r/>
      <w:bookmarkStart w:id="48" w:name="_Toc9364"/>
      <w:r>
        <w:rPr>
          <w:rStyle w:val="1394"/>
          <w:rFonts w:hint="eastAsia" w:ascii="仿宋" w:hAnsi="仿宋" w:eastAsia="仿宋" w:cs="仿宋"/>
          <w:b/>
          <w:bCs/>
          <w:color w:val="auto"/>
          <w:sz w:val="24"/>
          <w:szCs w:val="24"/>
          <w:highlight w:val="none"/>
          <w:lang w:val="en-US" w:eastAsia="zh-CN"/>
        </w:rPr>
        <w:t xml:space="preserve">五</w:t>
      </w:r>
      <w:r>
        <w:rPr>
          <w:rStyle w:val="1394"/>
          <w:rFonts w:hint="eastAsia" w:ascii="仿宋" w:hAnsi="仿宋" w:eastAsia="仿宋" w:cs="仿宋"/>
          <w:b/>
          <w:bCs/>
          <w:color w:val="auto"/>
          <w:sz w:val="24"/>
          <w:szCs w:val="24"/>
          <w:highlight w:val="none"/>
        </w:rPr>
        <w:t xml:space="preserve">、偏离表</w:t>
      </w:r>
      <w:bookmarkEnd w:id="46"/>
      <w:r/>
      <w:bookmarkEnd w:id="47"/>
      <w:r/>
      <w:bookmarkEnd w:id="48"/>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lang w:eastAsia="zh-CN"/>
        </w:rPr>
      </w:pPr>
      <w:r>
        <w:rPr>
          <w:rStyle w:val="1394"/>
          <w:rFonts w:hint="eastAsia" w:ascii="仿宋" w:hAnsi="仿宋" w:eastAsia="仿宋" w:cs="仿宋"/>
          <w:color w:val="auto"/>
          <w:sz w:val="24"/>
          <w:szCs w:val="24"/>
          <w:highlight w:val="none"/>
        </w:rPr>
        <w:t xml:space="preserve">   项目名称：</w:t>
      </w:r>
      <w:r>
        <w:rPr>
          <w:rStyle w:val="1394"/>
          <w:rFonts w:hint="eastAsia" w:ascii="仿宋" w:hAnsi="仿宋" w:eastAsia="仿宋" w:cs="仿宋"/>
          <w:color w:val="auto"/>
          <w:sz w:val="24"/>
          <w:szCs w:val="24"/>
          <w:highlight w:val="none"/>
          <w:lang w:eastAsia="zh-CN"/>
        </w:rPr>
        <w:t xml:space="preserve">徐州市第十三中学运动场改造工程</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lang w:eastAsia="zh-CN"/>
        </w:rPr>
      </w:pPr>
      <w:r>
        <w:rPr>
          <w:rStyle w:val="1394"/>
          <w:rFonts w:hint="eastAsia" w:ascii="仿宋" w:hAnsi="仿宋" w:eastAsia="仿宋" w:cs="仿宋"/>
          <w:color w:val="auto"/>
          <w:sz w:val="24"/>
          <w:szCs w:val="24"/>
          <w:highlight w:val="none"/>
        </w:rPr>
        <w:t xml:space="preserve">   项目编号： </w:t>
      </w:r>
      <w:r>
        <w:rPr>
          <w:rStyle w:val="1394"/>
          <w:rFonts w:hint="eastAsia" w:ascii="仿宋" w:hAnsi="仿宋" w:eastAsia="仿宋" w:cs="仿宋"/>
          <w:color w:val="auto"/>
          <w:sz w:val="24"/>
          <w:szCs w:val="24"/>
          <w:highlight w:val="none"/>
          <w:lang w:eastAsia="zh-CN"/>
        </w:rPr>
        <w:t xml:space="preserve">JSZC-320300-JSKJ-C2025-0061</w:t>
      </w:r>
      <w:r/>
    </w:p>
    <w:tbl>
      <w:tblPr>
        <w:tblStyle w:val="1106"/>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Style w:val="1394"/>
                <w:rFonts w:hint="eastAsia" w:ascii="仿宋" w:hAnsi="仿宋" w:eastAsia="仿宋" w:cs="仿宋"/>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Style w:val="1394"/>
                <w:rFonts w:hint="eastAsia" w:ascii="仿宋" w:hAnsi="仿宋" w:eastAsia="仿宋" w:cs="仿宋"/>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Style w:val="1394"/>
                <w:rFonts w:hint="eastAsia" w:ascii="仿宋" w:hAnsi="仿宋" w:eastAsia="仿宋" w:cs="仿宋"/>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Style w:val="1394"/>
                <w:rFonts w:hint="eastAsia" w:ascii="仿宋" w:hAnsi="仿宋" w:eastAsia="仿宋" w:cs="仿宋"/>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109"/>
              <w:jc w:val="left"/>
              <w:pageBreakBefore w:val="0"/>
              <w:spacing w:line="312" w:lineRule="auto"/>
              <w:widowControl w:val="off"/>
              <w:rPr>
                <w:rStyle w:val="1394"/>
                <w:rFonts w:hint="eastAsia" w:ascii="仿宋" w:hAnsi="仿宋" w:eastAsia="仿宋" w:cs="仿宋"/>
                <w:caps/>
                <w:color w:val="auto"/>
                <w:sz w:val="24"/>
                <w:szCs w:val="24"/>
                <w:highlight w:val="none"/>
              </w:rPr>
            </w:pPr>
            <w:r>
              <w:rPr>
                <w:rStyle w:val="1394"/>
                <w:rFonts w:hint="eastAsia" w:ascii="仿宋" w:hAnsi="仿宋" w:eastAsia="仿宋" w:cs="仿宋"/>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Style w:val="1394"/>
                <w:rFonts w:hint="eastAsia" w:ascii="仿宋" w:hAnsi="仿宋" w:eastAsia="仿宋" w:cs="仿宋"/>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109"/>
              <w:jc w:val="center"/>
              <w:pageBreakBefore w:val="0"/>
              <w:spacing w:line="312" w:lineRule="auto"/>
              <w:widowControl w:val="off"/>
              <w:rPr>
                <w:rStyle w:val="1394"/>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109"/>
        <w:jc w:val="left"/>
        <w:pageBreakBefore w:val="0"/>
        <w:spacing w:line="312" w:lineRule="auto"/>
        <w:widowControl w:val="off"/>
        <w:rPr>
          <w:rStyle w:val="1394"/>
          <w:rFonts w:hint="eastAsia" w:ascii="仿宋" w:hAnsi="仿宋" w:eastAsia="仿宋" w:cs="仿宋"/>
          <w:color w:val="auto"/>
          <w:sz w:val="24"/>
          <w:szCs w:val="24"/>
          <w:highlight w:val="none"/>
          <w:u w:val="single"/>
        </w:rPr>
      </w:pPr>
      <w:r>
        <w:rPr>
          <w:rStyle w:val="1394"/>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center"/>
        <w:keepLines w:val="0"/>
        <w:keepNext w:val="0"/>
        <w:pageBreakBefore w:val="0"/>
        <w:spacing w:beforeAutospacing="0" w:afterAutospacing="0" w:line="312" w:lineRule="auto"/>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lang w:val="en-US" w:eastAsia="zh-CN"/>
        </w:rPr>
        <w:t xml:space="preserve">                                                   </w:t>
      </w:r>
      <w:r>
        <w:rPr>
          <w:rStyle w:val="1394"/>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394"/>
          <w:rFonts w:hint="eastAsia" w:ascii="仿宋" w:hAnsi="仿宋" w:eastAsia="仿宋" w:cs="仿宋"/>
          <w:color w:val="auto"/>
          <w:sz w:val="24"/>
          <w:szCs w:val="24"/>
          <w:highlight w:val="none"/>
        </w:rPr>
        <w:t xml:space="preserve">：</w:t>
      </w:r>
      <w:r/>
    </w:p>
    <w:p>
      <w:pPr>
        <w:pStyle w:val="1109"/>
        <w:ind w:firstLine="396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w:t>
      </w:r>
      <w:r/>
    </w:p>
    <w:p>
      <w:pPr>
        <w:pStyle w:val="1109"/>
        <w:ind w:firstLine="7164"/>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日期：</w:t>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jc w:val="center"/>
        <w:keepLines w:val="0"/>
        <w:keepNext w:val="0"/>
        <w:pageBreakBefore w:val="0"/>
        <w:spacing w:line="312" w:lineRule="auto"/>
        <w:widowControl w:val="off"/>
        <w:rPr>
          <w:rStyle w:val="1394"/>
          <w:rFonts w:hint="eastAsia" w:ascii="仿宋" w:hAnsi="仿宋" w:eastAsia="仿宋" w:cs="仿宋"/>
          <w:color w:val="auto"/>
          <w:sz w:val="24"/>
          <w:szCs w:val="24"/>
          <w:highlight w:val="none"/>
        </w:rPr>
      </w:pPr>
      <w:r/>
      <w:bookmarkStart w:id="49" w:name="_Toc80122306"/>
      <w:r>
        <w:rPr>
          <w:rStyle w:val="1394"/>
          <w:rFonts w:hint="eastAsia" w:ascii="仿宋" w:hAnsi="仿宋" w:eastAsia="仿宋" w:cs="仿宋"/>
          <w:color w:val="auto"/>
          <w:sz w:val="24"/>
          <w:szCs w:val="24"/>
          <w:highlight w:val="none"/>
        </w:rPr>
        <w:br w:type="page" w:clear="all"/>
      </w:r>
      <w:bookmarkStart w:id="50" w:name="_Toc15659"/>
      <w:r/>
      <w:bookmarkStart w:id="51" w:name="_Toc7832"/>
      <w:r>
        <w:rPr>
          <w:rStyle w:val="1394"/>
          <w:rFonts w:hint="eastAsia" w:ascii="仿宋" w:hAnsi="仿宋" w:eastAsia="仿宋" w:cs="仿宋"/>
          <w:color w:val="auto"/>
          <w:sz w:val="24"/>
          <w:szCs w:val="24"/>
          <w:highlight w:val="none"/>
          <w:lang w:val="en-US" w:eastAsia="zh-CN"/>
        </w:rPr>
        <w:t xml:space="preserve">六</w:t>
      </w:r>
      <w:r>
        <w:rPr>
          <w:rStyle w:val="1394"/>
          <w:rFonts w:hint="eastAsia" w:ascii="仿宋" w:hAnsi="仿宋" w:eastAsia="仿宋" w:cs="仿宋"/>
          <w:color w:val="auto"/>
          <w:sz w:val="24"/>
          <w:szCs w:val="24"/>
          <w:highlight w:val="none"/>
        </w:rPr>
        <w:t xml:space="preserve">、授权委托书</w:t>
      </w:r>
      <w:bookmarkEnd w:id="49"/>
      <w:r/>
      <w:bookmarkEnd w:id="50"/>
      <w:r/>
      <w:bookmarkEnd w:id="51"/>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委托人（全称）：</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地  址：</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法定代表人：              </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统一社会信用代码：</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受托人：                  先生（女士）</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身份证号：</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兹委托（            ）全权代表我企业（公司）参与</w:t>
      </w:r>
      <w:r>
        <w:rPr>
          <w:rStyle w:val="1394"/>
          <w:rFonts w:hint="eastAsia" w:ascii="仿宋" w:hAnsi="仿宋" w:eastAsia="仿宋" w:cs="仿宋"/>
          <w:color w:val="auto"/>
          <w:sz w:val="24"/>
          <w:szCs w:val="24"/>
          <w:highlight w:val="none"/>
          <w:u w:val="single"/>
          <w:lang w:eastAsia="zh-CN"/>
        </w:rPr>
        <w:t xml:space="preserve">徐州市第十三中学运动场改造工程</w:t>
      </w:r>
      <w:r>
        <w:rPr>
          <w:rStyle w:val="1394"/>
          <w:rFonts w:hint="eastAsia" w:ascii="仿宋" w:hAnsi="仿宋" w:eastAsia="仿宋" w:cs="仿宋"/>
          <w:color w:val="auto"/>
          <w:sz w:val="24"/>
          <w:szCs w:val="24"/>
          <w:highlight w:val="none"/>
        </w:rPr>
        <w:t xml:space="preserve"> [项目编号：</w:t>
      </w:r>
      <w:r>
        <w:rPr>
          <w:rStyle w:val="1394"/>
          <w:rFonts w:hint="eastAsia" w:ascii="仿宋" w:hAnsi="仿宋" w:eastAsia="仿宋" w:cs="仿宋"/>
          <w:color w:val="auto"/>
          <w:sz w:val="24"/>
          <w:szCs w:val="24"/>
          <w:highlight w:val="none"/>
          <w:lang w:eastAsia="zh-CN"/>
        </w:rPr>
        <w:t xml:space="preserve">JSZC-320300-JSKJ-C2025-0061</w:t>
      </w:r>
      <w:r>
        <w:rPr>
          <w:rStyle w:val="1394"/>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109"/>
        <w:ind w:firstLine="4560"/>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firstLine="456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委托人</w:t>
      </w:r>
      <w:r>
        <w:rPr>
          <w:rFonts w:hint="eastAsia" w:ascii="仿宋" w:hAnsi="仿宋" w:eastAsia="仿宋" w:cs="仿宋"/>
          <w:bCs/>
          <w:color w:val="auto"/>
          <w:sz w:val="24"/>
          <w:highlight w:val="none"/>
        </w:rPr>
        <w:t xml:space="preserve">（电子签章）</w:t>
      </w:r>
      <w:r>
        <w:rPr>
          <w:rStyle w:val="1394"/>
          <w:rFonts w:hint="eastAsia" w:ascii="仿宋" w:hAnsi="仿宋" w:eastAsia="仿宋" w:cs="仿宋"/>
          <w:color w:val="auto"/>
          <w:sz w:val="24"/>
          <w:szCs w:val="24"/>
          <w:highlight w:val="none"/>
        </w:rPr>
        <w:t xml:space="preserve">：</w:t>
      </w:r>
      <w:r/>
    </w:p>
    <w:p>
      <w:pPr>
        <w:pStyle w:val="1109"/>
        <w:ind w:firstLine="456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法定代表人（签字或盖章）：</w:t>
      </w:r>
      <w:r/>
    </w:p>
    <w:p>
      <w:pPr>
        <w:pStyle w:val="1109"/>
        <w:ind w:firstLine="456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受托人（签字或盖章）：</w:t>
      </w:r>
      <w:r/>
    </w:p>
    <w:p>
      <w:pPr>
        <w:pStyle w:val="1109"/>
        <w:ind w:firstLine="456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日期：</w:t>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(受托人身份证</w:t>
      </w:r>
      <w:r>
        <w:rPr>
          <w:rStyle w:val="1394"/>
          <w:rFonts w:hint="eastAsia" w:ascii="仿宋" w:hAnsi="仿宋" w:eastAsia="仿宋" w:cs="仿宋"/>
          <w:color w:val="auto"/>
          <w:sz w:val="24"/>
          <w:szCs w:val="24"/>
          <w:highlight w:val="none"/>
          <w:lang w:val="en-US" w:eastAsia="zh-CN"/>
        </w:rPr>
        <w:t xml:space="preserve">反正面</w:t>
      </w:r>
      <w:r>
        <w:rPr>
          <w:rStyle w:val="1394"/>
          <w:rFonts w:hint="eastAsia" w:ascii="仿宋" w:hAnsi="仿宋" w:eastAsia="仿宋" w:cs="仿宋"/>
          <w:color w:val="auto"/>
          <w:sz w:val="24"/>
          <w:szCs w:val="24"/>
          <w:highlight w:val="none"/>
        </w:rPr>
        <w:t xml:space="preserve">复印件附后)</w:t>
      </w:r>
      <w:r/>
    </w:p>
    <w:p>
      <w:pPr>
        <w:pStyle w:val="1109"/>
        <w:pageBreakBefore w:val="0"/>
        <w:spacing w:line="312" w:lineRule="auto"/>
        <w:widowControl w:val="off"/>
        <w:rPr>
          <w:rStyle w:val="1394"/>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jc w:val="center"/>
        <w:keepLines w:val="0"/>
        <w:keepNext w:val="0"/>
        <w:pageBreakBefore w:val="0"/>
        <w:spacing w:line="312" w:lineRule="auto"/>
        <w:widowControl w:val="off"/>
        <w:rPr>
          <w:rStyle w:val="1394"/>
          <w:rFonts w:hint="eastAsia" w:ascii="仿宋" w:hAnsi="仿宋" w:eastAsia="仿宋" w:cs="仿宋"/>
          <w:color w:val="auto"/>
          <w:sz w:val="24"/>
          <w:szCs w:val="24"/>
          <w:highlight w:val="none"/>
        </w:rPr>
        <w:outlineLvl w:val="9"/>
      </w:pPr>
      <w:r/>
      <w:bookmarkStart w:id="52" w:name="_Toc80122307"/>
      <w:r/>
      <w:r/>
    </w:p>
    <w:p>
      <w:pPr>
        <w:pStyle w:val="1364"/>
        <w:jc w:val="center"/>
        <w:keepLines w:val="0"/>
        <w:keepNext w:val="0"/>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br w:type="page" w:clear="all"/>
      </w:r>
      <w:bookmarkStart w:id="53" w:name="_Toc6068"/>
      <w:r/>
      <w:bookmarkStart w:id="54" w:name="_Toc7229"/>
      <w:r>
        <w:rPr>
          <w:rStyle w:val="1394"/>
          <w:rFonts w:hint="eastAsia" w:ascii="仿宋" w:hAnsi="仿宋" w:eastAsia="仿宋" w:cs="仿宋"/>
          <w:color w:val="auto"/>
          <w:sz w:val="24"/>
          <w:szCs w:val="24"/>
          <w:highlight w:val="none"/>
          <w:lang w:val="en-US" w:eastAsia="zh-CN"/>
        </w:rPr>
        <w:t xml:space="preserve">七</w:t>
      </w:r>
      <w:r>
        <w:rPr>
          <w:rStyle w:val="1394"/>
          <w:rFonts w:hint="eastAsia" w:ascii="仿宋" w:hAnsi="仿宋" w:eastAsia="仿宋" w:cs="仿宋"/>
          <w:color w:val="auto"/>
          <w:sz w:val="24"/>
          <w:szCs w:val="24"/>
          <w:highlight w:val="none"/>
        </w:rPr>
        <w:t xml:space="preserve">、中小企业声明函</w:t>
      </w:r>
      <w:bookmarkEnd w:id="52"/>
      <w:r/>
      <w:bookmarkEnd w:id="53"/>
      <w:r/>
      <w:bookmarkEnd w:id="54"/>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项目名称：</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项目编号：</w:t>
      </w:r>
      <w:r/>
    </w:p>
    <w:p>
      <w:pPr>
        <w:pStyle w:val="1109"/>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1109"/>
        <w:ind w:firstLine="48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55" w:name="_Hlk105228467"/>
      <w:r>
        <w:rPr>
          <w:rFonts w:hint="eastAsia" w:ascii="仿宋" w:hAnsi="仿宋" w:eastAsia="仿宋" w:cs="仿宋"/>
          <w:color w:val="auto"/>
          <w:sz w:val="24"/>
          <w:szCs w:val="24"/>
          <w:highlight w:val="none"/>
          <w:u w:val="single"/>
        </w:rPr>
        <w:t xml:space="preserve">采购文件中明确的所属行业</w:t>
      </w:r>
      <w:bookmarkEnd w:id="55"/>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109"/>
        <w:ind w:firstLine="482"/>
        <w:pageBreakBefore w:val="0"/>
        <w:spacing w:line="312"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1109"/>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注：本项目采购属于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w:t>
      </w:r>
      <w:r/>
    </w:p>
    <w:p>
      <w:pPr>
        <w:pStyle w:val="1109"/>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109"/>
        <w:ind w:firstLine="48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righ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firstLine="312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p>
    <w:p>
      <w:pPr>
        <w:pStyle w:val="1109"/>
        <w:ind w:firstLine="360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日期：  </w:t>
      </w:r>
      <w:r/>
    </w:p>
    <w:p>
      <w:pPr>
        <w:pStyle w:val="1120"/>
        <w:ind w:left="0" w:firstLine="0"/>
        <w:pageBreakBefore w:val="0"/>
        <w:spacing w:after="0" w:line="312" w:lineRule="auto"/>
        <w:rPr>
          <w:rFonts w:hint="eastAsia" w:ascii="仿宋" w:hAnsi="仿宋" w:eastAsia="仿宋" w:cs="仿宋"/>
          <w:b w:val="0"/>
          <w:bCs w:val="0"/>
          <w:color w:val="auto"/>
          <w:sz w:val="21"/>
          <w:szCs w:val="21"/>
          <w:highlight w:val="none"/>
        </w:rPr>
      </w:pPr>
      <w:r/>
      <w:bookmarkStart w:id="56" w:name="OLE_LINK7"/>
      <w:r>
        <w:rPr>
          <w:rFonts w:hint="eastAsia" w:ascii="仿宋" w:hAnsi="仿宋" w:eastAsia="仿宋" w:cs="仿宋"/>
          <w:b w:val="0"/>
          <w:bCs w:val="0"/>
          <w:color w:val="auto"/>
          <w:sz w:val="21"/>
          <w:szCs w:val="21"/>
          <w:highlight w:val="none"/>
          <w:lang w:val="en-US" w:eastAsia="zh-CN"/>
        </w:rPr>
        <w:t xml:space="preserve">说明</w:t>
      </w:r>
      <w:r>
        <w:rPr>
          <w:rFonts w:hint="eastAsia" w:ascii="仿宋" w:hAnsi="仿宋" w:eastAsia="仿宋" w:cs="仿宋"/>
          <w:b w:val="0"/>
          <w:bCs w:val="0"/>
          <w:color w:val="auto"/>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20"/>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2、从业人员、营业收入、资产总额填报响应</w:t>
      </w:r>
      <w:r>
        <w:rPr>
          <w:rFonts w:hint="eastAsia" w:ascii="仿宋" w:hAnsi="仿宋" w:eastAsia="仿宋" w:cs="仿宋"/>
          <w:b w:val="0"/>
          <w:bCs w:val="0"/>
          <w:color w:val="auto"/>
          <w:sz w:val="21"/>
          <w:szCs w:val="21"/>
          <w:highlight w:val="none"/>
          <w:lang w:eastAsia="zh-CN"/>
        </w:rPr>
        <w:t xml:space="preserve">投标人</w:t>
      </w:r>
      <w:r>
        <w:rPr>
          <w:rFonts w:hint="eastAsia" w:ascii="仿宋" w:hAnsi="仿宋" w:eastAsia="仿宋" w:cs="仿宋"/>
          <w:b w:val="0"/>
          <w:bCs w:val="0"/>
          <w:color w:val="auto"/>
          <w:sz w:val="21"/>
          <w:szCs w:val="21"/>
          <w:highlight w:val="none"/>
        </w:rPr>
        <w:t xml:space="preserve">上一年度数据，无上一年度数据的新成立企业可不填报。</w:t>
      </w:r>
      <w:r/>
    </w:p>
    <w:p>
      <w:pPr>
        <w:pStyle w:val="1120"/>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3、</w:t>
      </w:r>
      <w:r>
        <w:rPr>
          <w:rFonts w:hint="eastAsia" w:ascii="仿宋" w:hAnsi="仿宋" w:eastAsia="仿宋" w:cs="仿宋"/>
          <w:b w:val="0"/>
          <w:bCs w:val="0"/>
          <w:color w:val="auto"/>
          <w:sz w:val="21"/>
          <w:szCs w:val="21"/>
          <w:highlight w:val="none"/>
          <w:lang w:eastAsia="zh-CN"/>
        </w:rPr>
        <w:t xml:space="preserve">中标人</w:t>
      </w:r>
      <w:r>
        <w:rPr>
          <w:rFonts w:hint="eastAsia" w:ascii="仿宋" w:hAnsi="仿宋" w:eastAsia="仿宋" w:cs="仿宋"/>
          <w:b w:val="0"/>
          <w:bCs w:val="0"/>
          <w:color w:val="auto"/>
          <w:sz w:val="21"/>
          <w:szCs w:val="21"/>
          <w:highlight w:val="none"/>
        </w:rPr>
        <w:t xml:space="preserve">为</w:t>
      </w:r>
      <w:r>
        <w:rPr>
          <w:rFonts w:hint="eastAsia" w:ascii="仿宋" w:hAnsi="仿宋" w:eastAsia="仿宋" w:cs="仿宋"/>
          <w:b w:val="0"/>
          <w:bCs w:val="0"/>
          <w:color w:val="auto"/>
          <w:sz w:val="21"/>
          <w:szCs w:val="21"/>
          <w:highlight w:val="none"/>
          <w:lang w:val="en-US" w:eastAsia="zh-CN"/>
        </w:rPr>
        <w:t xml:space="preserve">中型、</w:t>
      </w:r>
      <w:r>
        <w:rPr>
          <w:rFonts w:hint="eastAsia" w:ascii="仿宋" w:hAnsi="仿宋" w:eastAsia="仿宋" w:cs="仿宋"/>
          <w:b w:val="0"/>
          <w:bCs w:val="0"/>
          <w:color w:val="auto"/>
          <w:sz w:val="21"/>
          <w:szCs w:val="21"/>
          <w:highlight w:val="none"/>
        </w:rPr>
        <w:t xml:space="preserve">小型、微型企业的，采购人或者其委托的采购代理机构有权随中标、成交结果同时公告其《中小企业声明函》，接受社会监督。</w:t>
      </w:r>
      <w:r/>
    </w:p>
    <w:p>
      <w:pPr>
        <w:pStyle w:val="1120"/>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4、执行江苏省财政厅关于进一步加大政府采购支持中小企业力度的通知（苏财购〔2022〕45号）的规定。</w:t>
      </w:r>
      <w:r/>
    </w:p>
    <w:p>
      <w:pPr>
        <w:pStyle w:val="1120"/>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5、响应</w:t>
      </w:r>
      <w:r>
        <w:rPr>
          <w:rFonts w:hint="eastAsia" w:ascii="仿宋" w:hAnsi="仿宋" w:eastAsia="仿宋" w:cs="仿宋"/>
          <w:b w:val="0"/>
          <w:bCs w:val="0"/>
          <w:color w:val="auto"/>
          <w:sz w:val="21"/>
          <w:szCs w:val="21"/>
          <w:highlight w:val="none"/>
          <w:lang w:eastAsia="zh-CN"/>
        </w:rPr>
        <w:t xml:space="preserve">投标人</w:t>
      </w:r>
      <w:r>
        <w:rPr>
          <w:rFonts w:hint="eastAsia" w:ascii="仿宋" w:hAnsi="仿宋" w:eastAsia="仿宋" w:cs="仿宋"/>
          <w:b w:val="0"/>
          <w:bCs w:val="0"/>
          <w:color w:val="auto"/>
          <w:sz w:val="21"/>
          <w:szCs w:val="21"/>
          <w:highlight w:val="none"/>
        </w:rPr>
        <w:t xml:space="preserve">提供的《中小企业声明函》与事实不符的，依照《中华人民共和国政府采购法》第七十七条第一款的规定追究法律责任。</w:t>
      </w:r>
      <w:r/>
    </w:p>
    <w:p>
      <w:pPr>
        <w:pStyle w:val="1384"/>
        <w:ind w:firstLine="480"/>
        <w:keepLines w:val="0"/>
        <w:keepNext w:val="0"/>
        <w:pageBreakBefore w:val="0"/>
        <w:spacing w:beforeAutospacing="0" w:afterAutospacing="0" w:line="312"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6、《中小企业声明函》查询渠道用微信搜索“中小企业规模类型自测小程序”。</w:t>
      </w:r>
      <w:r/>
    </w:p>
    <w:p>
      <w:pPr>
        <w:pStyle w:val="1384"/>
        <w:keepLines w:val="0"/>
        <w:keepNext w:val="0"/>
        <w:pageBreakBefore w:val="0"/>
        <w:spacing w:beforeAutospacing="0" w:afterAutospacing="0" w:line="312"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384"/>
        <w:jc w:val="center"/>
        <w:keepLines w:val="0"/>
        <w:keepNext w:val="0"/>
        <w:pageBreakBefore w:val="0"/>
        <w:spacing w:beforeAutospacing="0" w:afterAutospacing="0" w:line="312" w:lineRule="auto"/>
        <w:rPr>
          <w:rFonts w:hint="eastAsia" w:ascii="仿宋" w:hAnsi="仿宋" w:eastAsia="仿宋" w:cs="仿宋"/>
          <w:color w:val="auto"/>
          <w:sz w:val="30"/>
          <w:szCs w:val="30"/>
          <w:highlight w:val="none"/>
        </w:rPr>
        <w:sectPr>
          <w:headerReference w:type="default" r:id="rId11"/>
          <w:footerReference w:type="even"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123440" cy="4614545"/>
                <wp:effectExtent l="0" t="0" r="635" b="5080"/>
                <wp:docPr id="21"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31"/>
                        <a:srcRect l="0" t="4825" r="0" b="0"/>
                        <a:stretch/>
                      </pic:blipFill>
                      <pic:spPr bwMode="auto">
                        <a:xfrm>
                          <a:off x="0" y="0"/>
                          <a:ext cx="2123440" cy="4614544"/>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67.2pt;height:363.3pt;mso-wrap-distance-left:0.0pt;mso-wrap-distance-top:0.0pt;mso-wrap-distance-right:0.0pt;mso-wrap-distance-bottom:0.0pt;" stroked="f">
                <v:path textboxrect="0,0,0,0"/>
                <v:imagedata r:id="rId31" o:title=""/>
              </v:shape>
            </w:pict>
          </mc:Fallback>
        </mc:AlternateContent>
      </w:r>
      <w:bookmarkEnd w:id="56"/>
      <w:r/>
      <w:r/>
    </w:p>
    <w:p>
      <w:pPr>
        <w:pStyle w:val="1109"/>
        <w:jc w:val="center"/>
        <w:pageBreakBefore w:val="0"/>
        <w:spacing w:line="312" w:lineRule="auto"/>
        <w:widowControl w:val="off"/>
        <w:rPr>
          <w:rStyle w:val="1394"/>
          <w:rFonts w:hint="eastAsia" w:ascii="仿宋" w:hAnsi="仿宋" w:eastAsia="仿宋" w:cs="仿宋"/>
          <w:b/>
          <w:bCs/>
          <w:color w:val="auto"/>
          <w:sz w:val="24"/>
          <w:szCs w:val="24"/>
          <w:highlight w:val="none"/>
        </w:rPr>
        <w:outlineLvl w:val="1"/>
      </w:pPr>
      <w:r/>
      <w:bookmarkStart w:id="57" w:name="_Toc80122308"/>
      <w:r/>
      <w:bookmarkStart w:id="58" w:name="_Toc15197"/>
      <w:r/>
      <w:bookmarkStart w:id="59" w:name="_Toc17432"/>
      <w:r>
        <w:rPr>
          <w:rStyle w:val="1394"/>
          <w:rFonts w:hint="eastAsia" w:ascii="仿宋" w:hAnsi="仿宋" w:eastAsia="仿宋" w:cs="仿宋"/>
          <w:b/>
          <w:bCs/>
          <w:color w:val="auto"/>
          <w:sz w:val="24"/>
          <w:szCs w:val="24"/>
          <w:highlight w:val="none"/>
          <w:lang w:val="en-US" w:eastAsia="zh-CN"/>
        </w:rPr>
        <w:t xml:space="preserve">八</w:t>
      </w:r>
      <w:r>
        <w:rPr>
          <w:rStyle w:val="1394"/>
          <w:rFonts w:hint="eastAsia" w:ascii="仿宋" w:hAnsi="仿宋" w:eastAsia="仿宋" w:cs="仿宋"/>
          <w:b/>
          <w:bCs/>
          <w:color w:val="auto"/>
          <w:sz w:val="24"/>
          <w:szCs w:val="24"/>
          <w:highlight w:val="none"/>
        </w:rPr>
        <w:t xml:space="preserve">、残疾人福利性单位声明函</w:t>
      </w:r>
      <w:bookmarkEnd w:id="57"/>
      <w:r/>
      <w:bookmarkEnd w:id="58"/>
      <w:r/>
      <w:bookmarkEnd w:id="59"/>
      <w:r>
        <w:rPr>
          <w:rStyle w:val="1394"/>
          <w:rFonts w:hint="eastAsia" w:ascii="仿宋" w:hAnsi="仿宋" w:eastAsia="仿宋" w:cs="仿宋"/>
          <w:b/>
          <w:bCs/>
          <w:color w:val="auto"/>
          <w:sz w:val="24"/>
          <w:szCs w:val="24"/>
          <w:highlight w:val="none"/>
          <w:lang w:eastAsia="zh-CN"/>
        </w:rPr>
        <w:t xml:space="preserve">（</w:t>
      </w:r>
      <w:r>
        <w:rPr>
          <w:rStyle w:val="1394"/>
          <w:rFonts w:hint="eastAsia" w:ascii="仿宋" w:hAnsi="仿宋" w:eastAsia="仿宋" w:cs="仿宋"/>
          <w:b/>
          <w:bCs/>
          <w:color w:val="auto"/>
          <w:sz w:val="24"/>
          <w:szCs w:val="24"/>
          <w:highlight w:val="none"/>
          <w:lang w:val="en-US" w:eastAsia="zh-CN"/>
        </w:rPr>
        <w:t xml:space="preserve">非</w:t>
      </w:r>
      <w:r>
        <w:rPr>
          <w:rStyle w:val="1394"/>
          <w:rFonts w:hint="eastAsia" w:ascii="仿宋" w:hAnsi="仿宋" w:eastAsia="仿宋" w:cs="仿宋"/>
          <w:b/>
          <w:bCs/>
          <w:color w:val="auto"/>
          <w:sz w:val="24"/>
          <w:szCs w:val="24"/>
          <w:highlight w:val="none"/>
        </w:rPr>
        <w:t xml:space="preserve">残疾人福利性单位</w:t>
      </w:r>
      <w:r>
        <w:rPr>
          <w:rStyle w:val="1394"/>
          <w:rFonts w:hint="eastAsia" w:ascii="仿宋" w:hAnsi="仿宋" w:eastAsia="仿宋" w:cs="仿宋"/>
          <w:b/>
          <w:bCs/>
          <w:color w:val="auto"/>
          <w:sz w:val="24"/>
          <w:szCs w:val="24"/>
          <w:highlight w:val="none"/>
          <w:lang w:val="en-US" w:eastAsia="zh-CN"/>
        </w:rPr>
        <w:t xml:space="preserve">可以不提供）</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项目名称：</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项目编号：</w:t>
      </w:r>
      <w:r/>
    </w:p>
    <w:p>
      <w:pPr>
        <w:pStyle w:val="1109"/>
        <w:ind w:firstLine="504"/>
        <w:jc w:val="left"/>
        <w:pageBreakBefore w:val="0"/>
        <w:spacing w:line="312" w:lineRule="auto"/>
        <w:widowControl w:val="off"/>
        <w:rPr>
          <w:rStyle w:val="1394"/>
          <w:rFonts w:hint="eastAsia" w:ascii="仿宋" w:hAnsi="仿宋" w:eastAsia="仿宋" w:cs="仿宋"/>
          <w:color w:val="auto"/>
          <w:spacing w:val="6"/>
          <w:sz w:val="24"/>
          <w:szCs w:val="24"/>
          <w:highlight w:val="none"/>
        </w:rPr>
      </w:pPr>
      <w:r>
        <w:rPr>
          <w:rStyle w:val="1394"/>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Style w:val="1394"/>
          <w:rFonts w:hint="eastAsia" w:ascii="仿宋" w:hAnsi="仿宋" w:eastAsia="仿宋" w:cs="仿宋"/>
          <w:color w:val="auto"/>
          <w:sz w:val="24"/>
          <w:szCs w:val="24"/>
          <w:highlight w:val="none"/>
        </w:rPr>
        <w:t xml:space="preserve">〔2017〕141</w:t>
      </w:r>
      <w:r>
        <w:rPr>
          <w:rStyle w:val="1394"/>
          <w:rFonts w:hint="eastAsia" w:ascii="仿宋" w:hAnsi="仿宋" w:eastAsia="仿宋" w:cs="仿宋"/>
          <w:color w:val="auto"/>
          <w:spacing w:val="6"/>
          <w:sz w:val="24"/>
          <w:szCs w:val="24"/>
          <w:highlight w:val="none"/>
        </w:rPr>
        <w:t xml:space="preserve">号）的规定，本单位为符合条件的残疾人福利性单位，且本单位参加</w:t>
      </w:r>
      <w:r>
        <w:rPr>
          <w:rStyle w:val="1394"/>
          <w:rFonts w:hint="eastAsia" w:ascii="仿宋" w:hAnsi="仿宋" w:eastAsia="仿宋" w:cs="仿宋"/>
          <w:color w:val="auto"/>
          <w:sz w:val="24"/>
          <w:szCs w:val="24"/>
          <w:highlight w:val="none"/>
        </w:rPr>
        <w:t xml:space="preserve">______</w:t>
      </w:r>
      <w:r>
        <w:rPr>
          <w:rStyle w:val="1394"/>
          <w:rFonts w:hint="eastAsia" w:ascii="仿宋" w:hAnsi="仿宋" w:eastAsia="仿宋" w:cs="仿宋"/>
          <w:color w:val="auto"/>
          <w:spacing w:val="6"/>
          <w:sz w:val="24"/>
          <w:szCs w:val="24"/>
          <w:highlight w:val="none"/>
        </w:rPr>
        <w:t xml:space="preserve">单位的</w:t>
      </w:r>
      <w:r>
        <w:rPr>
          <w:rStyle w:val="1394"/>
          <w:rFonts w:hint="eastAsia" w:ascii="仿宋" w:hAnsi="仿宋" w:eastAsia="仿宋" w:cs="仿宋"/>
          <w:color w:val="auto"/>
          <w:sz w:val="24"/>
          <w:szCs w:val="24"/>
          <w:highlight w:val="none"/>
        </w:rPr>
        <w:t xml:space="preserve">______</w:t>
      </w:r>
      <w:r>
        <w:rPr>
          <w:rStyle w:val="1394"/>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09"/>
        <w:ind w:firstLine="504"/>
        <w:jc w:val="left"/>
        <w:pageBreakBefore w:val="0"/>
        <w:spacing w:line="312" w:lineRule="auto"/>
        <w:widowControl w:val="off"/>
        <w:rPr>
          <w:rStyle w:val="1394"/>
          <w:rFonts w:hint="eastAsia" w:ascii="仿宋" w:hAnsi="仿宋" w:eastAsia="仿宋" w:cs="仿宋"/>
          <w:color w:val="auto"/>
          <w:spacing w:val="6"/>
          <w:sz w:val="24"/>
          <w:szCs w:val="24"/>
          <w:highlight w:val="none"/>
        </w:rPr>
      </w:pPr>
      <w:r>
        <w:rPr>
          <w:rStyle w:val="1394"/>
          <w:rFonts w:hint="eastAsia" w:ascii="仿宋" w:hAnsi="仿宋" w:eastAsia="仿宋" w:cs="仿宋"/>
          <w:color w:val="auto"/>
          <w:spacing w:val="6"/>
          <w:sz w:val="24"/>
          <w:szCs w:val="24"/>
          <w:highlight w:val="none"/>
        </w:rPr>
        <w:t xml:space="preserve">本单位对上述声明的真实性负责。如有虚假，将依法承担相应责任。</w:t>
      </w:r>
      <w:r/>
    </w:p>
    <w:p>
      <w:pPr>
        <w:pStyle w:val="1109"/>
        <w:ind w:firstLine="504"/>
        <w:jc w:val="left"/>
        <w:pageBreakBefore w:val="0"/>
        <w:spacing w:line="312" w:lineRule="auto"/>
        <w:widowControl w:val="off"/>
        <w:rPr>
          <w:rStyle w:val="1394"/>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109"/>
        <w:ind w:firstLine="504"/>
        <w:jc w:val="left"/>
        <w:pageBreakBefore w:val="0"/>
        <w:spacing w:line="312" w:lineRule="auto"/>
        <w:widowControl w:val="off"/>
        <w:rPr>
          <w:rStyle w:val="1394"/>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109"/>
        <w:ind w:firstLine="456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日期：  </w:t>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sectPr>
          <w:headerReference w:type="default" r:id="rId12"/>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364"/>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pPr>
      <w:r/>
      <w:bookmarkStart w:id="60" w:name="_Toc5658"/>
      <w:r/>
      <w:bookmarkStart w:id="61" w:name="_Toc80122309"/>
      <w:r/>
      <w:bookmarkStart w:id="62" w:name="_Toc4999"/>
      <w:r>
        <w:rPr>
          <w:rStyle w:val="1394"/>
          <w:rFonts w:hint="eastAsia" w:ascii="仿宋" w:hAnsi="仿宋" w:eastAsia="仿宋" w:cs="仿宋"/>
          <w:color w:val="auto"/>
          <w:sz w:val="24"/>
          <w:szCs w:val="24"/>
          <w:highlight w:val="none"/>
          <w:lang w:val="en-US" w:eastAsia="zh-CN"/>
        </w:rPr>
        <w:t xml:space="preserve">九</w:t>
      </w:r>
      <w:r>
        <w:rPr>
          <w:rStyle w:val="1394"/>
          <w:rFonts w:hint="eastAsia" w:ascii="仿宋" w:hAnsi="仿宋" w:eastAsia="仿宋" w:cs="仿宋"/>
          <w:color w:val="auto"/>
          <w:sz w:val="24"/>
          <w:szCs w:val="24"/>
          <w:highlight w:val="none"/>
        </w:rPr>
        <w:t xml:space="preserve">、</w:t>
      </w:r>
      <w:bookmarkEnd w:id="60"/>
      <w:r/>
      <w:bookmarkEnd w:id="61"/>
      <w:r/>
      <w:bookmarkEnd w:id="62"/>
      <w:r>
        <w:rPr>
          <w:rStyle w:val="1394"/>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我单位在参加</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u w:val="single"/>
          <w:lang w:eastAsia="zh-CN"/>
        </w:rPr>
        <w:t xml:space="preserve">徐州市第十三中学运动场改造工程</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[项目编号：</w:t>
      </w:r>
      <w:r>
        <w:rPr>
          <w:rStyle w:val="1394"/>
          <w:rFonts w:hint="eastAsia" w:ascii="仿宋" w:hAnsi="仿宋" w:eastAsia="仿宋" w:cs="仿宋"/>
          <w:color w:val="auto"/>
          <w:sz w:val="24"/>
          <w:szCs w:val="24"/>
          <w:highlight w:val="none"/>
          <w:lang w:eastAsia="zh-CN"/>
        </w:rPr>
        <w:t xml:space="preserve">JSZC-320300-JSKJ-C2025-0061</w:t>
      </w:r>
      <w:r>
        <w:rPr>
          <w:rStyle w:val="1394"/>
          <w:rFonts w:hint="eastAsia" w:ascii="仿宋" w:hAnsi="仿宋" w:eastAsia="仿宋" w:cs="仿宋"/>
          <w:color w:val="auto"/>
          <w:sz w:val="24"/>
          <w:szCs w:val="24"/>
          <w:highlight w:val="none"/>
        </w:rPr>
        <w:t xml:space="preserve">]政府采购活动前</w:t>
      </w:r>
      <w:r>
        <w:rPr>
          <w:rStyle w:val="1394"/>
          <w:rFonts w:hint="eastAsia" w:ascii="仿宋" w:hAnsi="仿宋" w:eastAsia="仿宋" w:cs="仿宋"/>
          <w:color w:val="auto"/>
          <w:sz w:val="24"/>
          <w:szCs w:val="24"/>
          <w:highlight w:val="none"/>
          <w:lang w:val="en-US" w:eastAsia="zh-CN"/>
        </w:rPr>
        <w:t xml:space="preserve">3</w:t>
      </w:r>
      <w:r>
        <w:rPr>
          <w:rStyle w:val="1394"/>
          <w:rFonts w:hint="eastAsia" w:ascii="仿宋" w:hAnsi="仿宋" w:eastAsia="仿宋" w:cs="仿宋"/>
          <w:color w:val="auto"/>
          <w:sz w:val="24"/>
          <w:szCs w:val="24"/>
          <w:highlight w:val="none"/>
        </w:rPr>
        <w:t xml:space="preserve">年内在经营活动中没有重大违法记录。重大违法记录是指因违法经营受到刑事处罚或者责令停产停业、吊销许可证或者执照、较大数额罚款等行政处罚。</w:t>
      </w:r>
      <w:r/>
    </w:p>
    <w:p>
      <w:pPr>
        <w:pStyle w:val="1109"/>
        <w:ind w:firstLine="72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我单位对上述声明的真实性负责。如有虚假，将依法承担相应责任。</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rPr>
          <w:rStyle w:val="1394"/>
          <w:rFonts w:hint="eastAsia" w:ascii="仿宋" w:hAnsi="仿宋" w:eastAsia="仿宋" w:cs="仿宋"/>
          <w:color w:val="auto"/>
          <w:sz w:val="24"/>
          <w:szCs w:val="24"/>
          <w:highlight w:val="none"/>
        </w:rPr>
        <w:t xml:space="preserve">：</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w:t>
      </w:r>
      <w:r/>
    </w:p>
    <w:p>
      <w:pPr>
        <w:pStyle w:val="1109"/>
        <w:jc w:val="left"/>
        <w:pageBreakBefore w:val="0"/>
        <w:spacing w:line="312" w:lineRule="auto"/>
        <w:widowControl w:val="off"/>
        <w:rPr>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日期： </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br w:type="page" w:clear="all"/>
      </w:r>
      <w:bookmarkStart w:id="63" w:name="_Toc7334"/>
      <w:r/>
      <w:bookmarkStart w:id="64" w:name="_Toc19880"/>
      <w:r/>
      <w:bookmarkStart w:id="65" w:name="_Toc80122310"/>
      <w:r>
        <w:rPr>
          <w:rStyle w:val="1394"/>
          <w:rFonts w:hint="eastAsia" w:ascii="仿宋" w:hAnsi="仿宋" w:eastAsia="仿宋" w:cs="仿宋"/>
          <w:color w:val="auto"/>
          <w:sz w:val="24"/>
          <w:szCs w:val="24"/>
          <w:highlight w:val="none"/>
          <w:lang w:val="en-US" w:eastAsia="zh-CN"/>
        </w:rPr>
        <w:t xml:space="preserve">十</w:t>
      </w:r>
      <w:r>
        <w:rPr>
          <w:rStyle w:val="1394"/>
          <w:rFonts w:hint="eastAsia" w:ascii="仿宋" w:hAnsi="仿宋" w:eastAsia="仿宋" w:cs="仿宋"/>
          <w:color w:val="auto"/>
          <w:sz w:val="24"/>
          <w:szCs w:val="24"/>
          <w:highlight w:val="none"/>
        </w:rPr>
        <w:t xml:space="preserve">、具备履行合同所必需的设备和专业技术能力的书面声明</w:t>
      </w:r>
      <w:bookmarkEnd w:id="63"/>
      <w:r/>
      <w:bookmarkEnd w:id="64"/>
      <w:r/>
      <w:r/>
    </w:p>
    <w:p>
      <w:pPr>
        <w:pStyle w:val="1364"/>
        <w:jc w:val="center"/>
        <w:keepLines w:val="0"/>
        <w:keepNext w:val="0"/>
        <w:pageBreakBefore w:val="0"/>
        <w:spacing w:before="0" w:after="0" w:line="312" w:lineRule="auto"/>
        <w:widowControl w:val="off"/>
        <w:rPr>
          <w:rStyle w:val="1394"/>
          <w:rFonts w:hint="eastAsia" w:ascii="仿宋" w:hAnsi="仿宋" w:eastAsia="仿宋" w:cs="仿宋"/>
          <w:color w:val="auto"/>
          <w:sz w:val="24"/>
          <w:szCs w:val="24"/>
          <w:highlight w:val="none"/>
        </w:rPr>
        <w:outlineLvl w:val="9"/>
      </w:pPr>
      <w:r/>
      <w:bookmarkStart w:id="66" w:name="_Toc19685"/>
      <w:r/>
      <w:bookmarkStart w:id="67" w:name="_Toc28074"/>
      <w:r>
        <w:rPr>
          <w:rStyle w:val="1394"/>
          <w:rFonts w:hint="eastAsia" w:ascii="仿宋" w:hAnsi="仿宋" w:eastAsia="仿宋" w:cs="仿宋"/>
          <w:color w:val="auto"/>
          <w:sz w:val="24"/>
          <w:szCs w:val="24"/>
          <w:highlight w:val="none"/>
        </w:rPr>
        <w:t xml:space="preserve">（附证明材料扫描件）</w:t>
      </w:r>
      <w:bookmarkEnd w:id="65"/>
      <w:r/>
      <w:bookmarkEnd w:id="66"/>
      <w:r/>
      <w:bookmarkEnd w:id="67"/>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项目名称：</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项目编号：</w:t>
      </w:r>
      <w:r/>
    </w:p>
    <w:p>
      <w:pPr>
        <w:pStyle w:val="1109"/>
        <w:ind w:firstLine="480"/>
        <w:jc w:val="left"/>
        <w:pageBreakBefore w:val="0"/>
        <w:spacing w:line="312" w:lineRule="auto"/>
        <w:widowControl w:val="off"/>
        <w:rPr>
          <w:rStyle w:val="1394"/>
          <w:rFonts w:hint="eastAsia" w:ascii="仿宋" w:hAnsi="仿宋" w:eastAsia="仿宋" w:cs="仿宋"/>
          <w:color w:val="auto"/>
          <w:sz w:val="24"/>
          <w:szCs w:val="24"/>
          <w:highlight w:val="none"/>
          <w:lang w:val="en-US" w:eastAsia="zh-CN"/>
        </w:rPr>
      </w:pPr>
      <w:r>
        <w:rPr>
          <w:rStyle w:val="1394"/>
          <w:rFonts w:hint="eastAsia" w:ascii="仿宋" w:hAnsi="仿宋" w:eastAsia="仿宋" w:cs="仿宋"/>
          <w:color w:val="auto"/>
          <w:sz w:val="24"/>
          <w:szCs w:val="24"/>
          <w:highlight w:val="none"/>
        </w:rPr>
        <w:t xml:space="preserve">供应商郑重声明：供应商具备履行合同（项目名称</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u w:val="single"/>
          <w:lang w:val="en-US" w:eastAsia="zh-CN"/>
        </w:rPr>
        <w:t xml:space="preserve">   </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，项目编号：</w:t>
      </w:r>
      <w:r>
        <w:rPr>
          <w:rStyle w:val="1394"/>
          <w:rFonts w:hint="eastAsia" w:ascii="仿宋" w:hAnsi="仿宋" w:eastAsia="仿宋" w:cs="仿宋"/>
          <w:color w:val="auto"/>
          <w:sz w:val="24"/>
          <w:szCs w:val="24"/>
          <w:highlight w:val="none"/>
          <w:u w:val="single"/>
          <w:lang w:val="en-US" w:eastAsia="zh-CN"/>
        </w:rPr>
        <w:t xml:space="preserve">       </w:t>
      </w:r>
      <w:r>
        <w:rPr>
          <w:rStyle w:val="1394"/>
          <w:rFonts w:hint="eastAsia" w:ascii="仿宋" w:hAnsi="仿宋" w:eastAsia="仿宋" w:cs="仿宋"/>
          <w:color w:val="auto"/>
          <w:sz w:val="24"/>
          <w:szCs w:val="24"/>
          <w:highlight w:val="none"/>
        </w:rPr>
        <w:t xml:space="preserve">所必需的设备和专业技术能力，具体为：</w:t>
      </w:r>
      <w:r>
        <w:rPr>
          <w:rStyle w:val="1394"/>
          <w:rFonts w:hint="eastAsia" w:ascii="仿宋" w:hAnsi="仿宋" w:eastAsia="仿宋" w:cs="仿宋"/>
          <w:color w:val="auto"/>
          <w:sz w:val="24"/>
          <w:szCs w:val="24"/>
          <w:highlight w:val="none"/>
          <w:lang w:val="en-US" w:eastAsia="zh-CN"/>
        </w:rPr>
        <w:t xml:space="preserve"> </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设备：</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 </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（证明材料</w:t>
      </w:r>
      <w:r>
        <w:rPr>
          <w:rStyle w:val="1394"/>
          <w:rFonts w:hint="eastAsia" w:ascii="仿宋" w:hAnsi="仿宋" w:eastAsia="仿宋" w:cs="仿宋"/>
          <w:color w:val="auto"/>
          <w:sz w:val="24"/>
          <w:szCs w:val="24"/>
          <w:highlight w:val="none"/>
          <w:lang w:val="en-US" w:eastAsia="zh-CN"/>
        </w:rPr>
        <w:t xml:space="preserve">扫描</w:t>
      </w:r>
      <w:r>
        <w:rPr>
          <w:rStyle w:val="1394"/>
          <w:rFonts w:hint="eastAsia" w:ascii="仿宋" w:hAnsi="仿宋" w:eastAsia="仿宋" w:cs="仿宋"/>
          <w:color w:val="auto"/>
          <w:sz w:val="24"/>
          <w:szCs w:val="24"/>
          <w:highlight w:val="none"/>
        </w:rPr>
        <w:t xml:space="preserve">件附后）</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  </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 （证明材料</w:t>
      </w:r>
      <w:r>
        <w:rPr>
          <w:rStyle w:val="1394"/>
          <w:rFonts w:hint="eastAsia" w:ascii="仿宋" w:hAnsi="仿宋" w:eastAsia="仿宋" w:cs="仿宋"/>
          <w:color w:val="auto"/>
          <w:sz w:val="24"/>
          <w:szCs w:val="24"/>
          <w:highlight w:val="none"/>
          <w:lang w:val="en-US" w:eastAsia="zh-CN"/>
        </w:rPr>
        <w:t xml:space="preserve">扫描</w:t>
      </w:r>
      <w:r>
        <w:rPr>
          <w:rStyle w:val="1394"/>
          <w:rFonts w:hint="eastAsia" w:ascii="仿宋" w:hAnsi="仿宋" w:eastAsia="仿宋" w:cs="仿宋"/>
          <w:color w:val="auto"/>
          <w:sz w:val="24"/>
          <w:szCs w:val="24"/>
          <w:highlight w:val="none"/>
        </w:rPr>
        <w:t xml:space="preserve">件附后）</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3、</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（证明材料</w:t>
      </w:r>
      <w:r>
        <w:rPr>
          <w:rStyle w:val="1394"/>
          <w:rFonts w:hint="eastAsia" w:ascii="仿宋" w:hAnsi="仿宋" w:eastAsia="仿宋" w:cs="仿宋"/>
          <w:color w:val="auto"/>
          <w:sz w:val="24"/>
          <w:szCs w:val="24"/>
          <w:highlight w:val="none"/>
          <w:lang w:val="en-US" w:eastAsia="zh-CN"/>
        </w:rPr>
        <w:t xml:space="preserve">扫描</w:t>
      </w:r>
      <w:r>
        <w:rPr>
          <w:rStyle w:val="1394"/>
          <w:rFonts w:hint="eastAsia" w:ascii="仿宋" w:hAnsi="仿宋" w:eastAsia="仿宋" w:cs="仿宋"/>
          <w:color w:val="auto"/>
          <w:sz w:val="24"/>
          <w:szCs w:val="24"/>
          <w:highlight w:val="none"/>
        </w:rPr>
        <w:t xml:space="preserve">件附后）</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专业技术能力：</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（证明材料</w:t>
      </w:r>
      <w:r>
        <w:rPr>
          <w:rStyle w:val="1394"/>
          <w:rFonts w:hint="eastAsia" w:ascii="仿宋" w:hAnsi="仿宋" w:eastAsia="仿宋" w:cs="仿宋"/>
          <w:color w:val="auto"/>
          <w:sz w:val="24"/>
          <w:szCs w:val="24"/>
          <w:highlight w:val="none"/>
          <w:lang w:val="en-US" w:eastAsia="zh-CN"/>
        </w:rPr>
        <w:t xml:space="preserve">扫描</w:t>
      </w:r>
      <w:r>
        <w:rPr>
          <w:rStyle w:val="1394"/>
          <w:rFonts w:hint="eastAsia" w:ascii="仿宋" w:hAnsi="仿宋" w:eastAsia="仿宋" w:cs="仿宋"/>
          <w:color w:val="auto"/>
          <w:sz w:val="24"/>
          <w:szCs w:val="24"/>
          <w:highlight w:val="none"/>
        </w:rPr>
        <w:t xml:space="preserve">件附后）</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 （证明材料</w:t>
      </w:r>
      <w:r>
        <w:rPr>
          <w:rStyle w:val="1394"/>
          <w:rFonts w:hint="eastAsia" w:ascii="仿宋" w:hAnsi="仿宋" w:eastAsia="仿宋" w:cs="仿宋"/>
          <w:color w:val="auto"/>
          <w:sz w:val="24"/>
          <w:szCs w:val="24"/>
          <w:highlight w:val="none"/>
          <w:lang w:val="en-US" w:eastAsia="zh-CN"/>
        </w:rPr>
        <w:t xml:space="preserve">扫描</w:t>
      </w:r>
      <w:r>
        <w:rPr>
          <w:rStyle w:val="1394"/>
          <w:rFonts w:hint="eastAsia" w:ascii="仿宋" w:hAnsi="仿宋" w:eastAsia="仿宋" w:cs="仿宋"/>
          <w:color w:val="auto"/>
          <w:sz w:val="24"/>
          <w:szCs w:val="24"/>
          <w:highlight w:val="none"/>
        </w:rPr>
        <w:t xml:space="preserve">件附后）</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3、</w:t>
      </w:r>
      <w:r>
        <w:rPr>
          <w:rStyle w:val="1394"/>
          <w:rFonts w:hint="eastAsia" w:ascii="仿宋" w:hAnsi="仿宋" w:eastAsia="仿宋" w:cs="仿宋"/>
          <w:color w:val="auto"/>
          <w:sz w:val="24"/>
          <w:szCs w:val="24"/>
          <w:highlight w:val="none"/>
          <w:u w:val="single"/>
        </w:rPr>
        <w:t xml:space="preserve">                          </w:t>
      </w:r>
      <w:r>
        <w:rPr>
          <w:rStyle w:val="1394"/>
          <w:rFonts w:hint="eastAsia" w:ascii="仿宋" w:hAnsi="仿宋" w:eastAsia="仿宋" w:cs="仿宋"/>
          <w:color w:val="auto"/>
          <w:sz w:val="24"/>
          <w:szCs w:val="24"/>
          <w:highlight w:val="none"/>
        </w:rPr>
        <w:t xml:space="preserve"> （证明材料</w:t>
      </w:r>
      <w:r>
        <w:rPr>
          <w:rStyle w:val="1394"/>
          <w:rFonts w:hint="eastAsia" w:ascii="仿宋" w:hAnsi="仿宋" w:eastAsia="仿宋" w:cs="仿宋"/>
          <w:color w:val="auto"/>
          <w:sz w:val="24"/>
          <w:szCs w:val="24"/>
          <w:highlight w:val="none"/>
          <w:lang w:val="en-US" w:eastAsia="zh-CN"/>
        </w:rPr>
        <w:t xml:space="preserve">扫描</w:t>
      </w:r>
      <w:r>
        <w:rPr>
          <w:rStyle w:val="1394"/>
          <w:rFonts w:hint="eastAsia" w:ascii="仿宋" w:hAnsi="仿宋" w:eastAsia="仿宋" w:cs="仿宋"/>
          <w:color w:val="auto"/>
          <w:sz w:val="24"/>
          <w:szCs w:val="24"/>
          <w:highlight w:val="none"/>
        </w:rPr>
        <w:t xml:space="preserve">件附后）</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特此声明。</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供应商人对上述声明的真实性负责。如有虚假，将依法承担相应责任。</w:t>
      </w:r>
      <w:r/>
    </w:p>
    <w:p>
      <w:pPr>
        <w:pStyle w:val="1109"/>
        <w:ind w:firstLine="972"/>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w:t>
      </w:r>
      <w:r/>
    </w:p>
    <w:p>
      <w:pPr>
        <w:pStyle w:val="1109"/>
        <w:ind w:firstLine="3600"/>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394"/>
          <w:rFonts w:hint="eastAsia" w:ascii="仿宋" w:hAnsi="仿宋" w:eastAsia="仿宋" w:cs="仿宋"/>
          <w:color w:val="auto"/>
          <w:sz w:val="24"/>
          <w:szCs w:val="24"/>
          <w:highlight w:val="none"/>
        </w:rPr>
        <w:t xml:space="preserve">：</w:t>
      </w:r>
      <w:r/>
    </w:p>
    <w:p>
      <w:pPr>
        <w:pStyle w:val="1109"/>
        <w:jc w:val="left"/>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                                </w:t>
      </w:r>
      <w:r/>
    </w:p>
    <w:p>
      <w:pPr>
        <w:pStyle w:val="1109"/>
        <w:ind w:firstLine="3600"/>
        <w:pageBreakBefore w:val="0"/>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日期：</w:t>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jc w:val="center"/>
        <w:keepLines w:val="0"/>
        <w:keepNext w:val="0"/>
        <w:pageBreakBefore w:val="0"/>
        <w:spacing w:line="312" w:lineRule="auto"/>
        <w:widowControl w:val="off"/>
        <w:rPr>
          <w:rStyle w:val="1394"/>
          <w:rFonts w:hint="eastAsia" w:ascii="仿宋" w:hAnsi="仿宋" w:eastAsia="仿宋" w:cs="仿宋"/>
          <w:color w:val="auto"/>
          <w:sz w:val="24"/>
          <w:szCs w:val="24"/>
          <w:highlight w:val="none"/>
        </w:rPr>
        <w:outlineLvl w:val="9"/>
      </w:pPr>
      <w:r/>
      <w:bookmarkStart w:id="68" w:name="_Toc80122311"/>
      <w:r>
        <w:rPr>
          <w:rStyle w:val="1394"/>
          <w:rFonts w:hint="eastAsia" w:ascii="仿宋" w:hAnsi="仿宋" w:eastAsia="仿宋" w:cs="仿宋"/>
          <w:color w:val="auto"/>
          <w:sz w:val="24"/>
          <w:szCs w:val="24"/>
          <w:highlight w:val="none"/>
        </w:rPr>
        <w:t xml:space="preserve">       </w:t>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outlineLvl w:val="9"/>
      </w:pPr>
      <w:r>
        <w:rPr>
          <w:rStyle w:val="1394"/>
          <w:rFonts w:hint="eastAsia" w:ascii="仿宋" w:hAnsi="仿宋" w:eastAsia="仿宋" w:cs="仿宋"/>
          <w:color w:val="auto"/>
          <w:sz w:val="24"/>
          <w:szCs w:val="24"/>
          <w:highlight w:val="none"/>
        </w:rPr>
        <w:br w:type="page" w:clear="all"/>
      </w:r>
      <w:bookmarkStart w:id="69" w:name="_Toc6127"/>
      <w:r/>
      <w:bookmarkStart w:id="70" w:name="_Toc2915"/>
      <w:r/>
      <w:bookmarkEnd w:id="68"/>
      <w:r/>
      <w:r/>
    </w:p>
    <w:p>
      <w:pPr>
        <w:pStyle w:val="1109"/>
        <w:numPr>
          <w:ilvl w:val="0"/>
          <w:numId w:val="0"/>
        </w:numPr>
        <w:jc w:val="center"/>
        <w:pageBreakBefore w:val="0"/>
        <w:spacing w:line="312" w:lineRule="auto"/>
        <w:widowControl w:val="off"/>
        <w:rPr>
          <w:rFonts w:hint="eastAsia" w:ascii="仿宋" w:hAnsi="仿宋" w:eastAsia="仿宋" w:cs="仿宋"/>
          <w:color w:val="auto"/>
          <w:sz w:val="24"/>
          <w:szCs w:val="24"/>
          <w:highlight w:val="none"/>
          <w:lang w:val="en-US" w:eastAsia="zh-CN"/>
        </w:rPr>
        <w:outlineLvl w:val="9"/>
      </w:pPr>
      <w:r/>
      <w:bookmarkStart w:id="71" w:name="_Toc80122313"/>
      <w:r>
        <w:rPr>
          <w:rFonts w:hint="eastAsia" w:ascii="仿宋" w:hAnsi="仿宋" w:eastAsia="仿宋" w:cs="仿宋"/>
          <w:color w:val="auto"/>
          <w:sz w:val="24"/>
          <w:szCs w:val="24"/>
          <w:highlight w:val="none"/>
          <w:lang w:val="en-US" w:eastAsia="zh-CN" w:bidi="ar-SA"/>
        </w:rPr>
        <w:t xml:space="preserve">十一、</w:t>
      </w:r>
      <w:r>
        <w:rPr>
          <w:rFonts w:hint="eastAsia" w:ascii="仿宋" w:hAnsi="仿宋" w:eastAsia="仿宋" w:cs="仿宋"/>
          <w:color w:val="auto"/>
          <w:sz w:val="24"/>
          <w:szCs w:val="24"/>
          <w:highlight w:val="none"/>
          <w:lang w:val="en-US" w:eastAsia="zh-CN"/>
        </w:rPr>
        <w:t xml:space="preserve">无在建工程（提供无在建承诺书，加盖电子签章）。</w:t>
      </w:r>
      <w:r/>
    </w:p>
    <w:p>
      <w:pPr>
        <w:pStyle w:val="1109"/>
        <w:numPr>
          <w:ilvl w:val="0"/>
          <w:numId w:val="0"/>
        </w:numPr>
        <w:jc w:val="center"/>
        <w:pageBreakBefore w:val="0"/>
        <w:spacing w:line="312" w:lineRule="auto"/>
        <w:widowControl w:val="off"/>
        <w:rPr>
          <w:rStyle w:val="1394"/>
          <w:rFonts w:hint="default" w:ascii="仿宋" w:hAnsi="仿宋" w:eastAsia="仿宋" w:cs="仿宋"/>
          <w:color w:val="auto"/>
          <w:sz w:val="24"/>
          <w:szCs w:val="24"/>
          <w:highlight w:val="none"/>
          <w:lang w:val="en-US" w:eastAsia="zh-CN"/>
        </w:rPr>
        <w:outlineLvl w:val="9"/>
      </w:pPr>
      <w:r>
        <w:rPr>
          <w:rStyle w:val="1394"/>
          <w:rFonts w:hint="eastAsia" w:ascii="仿宋" w:hAnsi="仿宋" w:eastAsia="仿宋" w:cs="仿宋"/>
          <w:color w:val="auto"/>
          <w:sz w:val="24"/>
          <w:szCs w:val="24"/>
          <w:highlight w:val="none"/>
          <w:lang w:val="en-US" w:eastAsia="zh-CN"/>
        </w:rPr>
        <w:t xml:space="preserve">（格式自拟）</w:t>
      </w:r>
      <w:r/>
    </w:p>
    <w:p>
      <w:pPr>
        <w:pStyle w:val="1109"/>
        <w:jc w:val="center"/>
        <w:pageBreakBefore w:val="0"/>
        <w:spacing w:line="312" w:lineRule="auto"/>
        <w:widowControl w:val="off"/>
        <w:rPr>
          <w:rStyle w:val="1394"/>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outlineLvl w:val="1"/>
      </w:pPr>
      <w:r>
        <w:rPr>
          <w:rStyle w:val="1394"/>
          <w:rFonts w:hint="eastAsia" w:ascii="仿宋" w:hAnsi="仿宋" w:eastAsia="仿宋" w:cs="仿宋"/>
          <w:b/>
          <w:bCs/>
          <w:color w:val="auto"/>
          <w:sz w:val="24"/>
          <w:szCs w:val="24"/>
          <w:highlight w:val="none"/>
          <w:lang w:val="en-US" w:eastAsia="zh-CN"/>
        </w:rPr>
        <w:t xml:space="preserve">十二、</w:t>
      </w:r>
      <w:r>
        <w:rPr>
          <w:rStyle w:val="1394"/>
          <w:rFonts w:hint="eastAsia" w:ascii="仿宋" w:hAnsi="仿宋" w:eastAsia="仿宋" w:cs="仿宋"/>
          <w:b/>
          <w:bCs/>
          <w:color w:val="auto"/>
          <w:sz w:val="24"/>
          <w:szCs w:val="24"/>
          <w:highlight w:val="none"/>
        </w:rPr>
        <w:t xml:space="preserve">响应文件编制及评分细则要求提供的其他资料</w:t>
      </w:r>
      <w:bookmarkEnd w:id="69"/>
      <w:r/>
      <w:bookmarkEnd w:id="70"/>
      <w:r/>
      <w:bookmarkEnd w:id="71"/>
      <w:r/>
      <w:r/>
    </w:p>
    <w:p>
      <w:pPr>
        <w:pStyle w:val="1109"/>
        <w:jc w:val="center"/>
        <w:pageBreakBefore w:val="0"/>
        <w:spacing w:line="312" w:lineRule="auto"/>
        <w:widowControl w:val="off"/>
        <w:rPr>
          <w:rStyle w:val="1394"/>
          <w:rFonts w:hint="eastAsia" w:ascii="仿宋" w:hAnsi="仿宋" w:eastAsia="仿宋" w:cs="仿宋"/>
          <w:color w:val="auto"/>
          <w:sz w:val="24"/>
          <w:szCs w:val="24"/>
          <w:highlight w:val="none"/>
        </w:rPr>
      </w:pPr>
      <w:r/>
      <w:bookmarkStart w:id="72" w:name="_Toc80122314"/>
      <w:r>
        <w:rPr>
          <w:rStyle w:val="1394"/>
          <w:rFonts w:hint="eastAsia" w:ascii="仿宋" w:hAnsi="仿宋" w:eastAsia="仿宋" w:cs="仿宋"/>
          <w:color w:val="auto"/>
          <w:sz w:val="24"/>
          <w:szCs w:val="24"/>
          <w:highlight w:val="none"/>
        </w:rPr>
        <w:t xml:space="preserve">（格式自拟）</w:t>
      </w:r>
      <w:r/>
    </w:p>
    <w:p>
      <w:pPr>
        <w:pStyle w:val="1110"/>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0"/>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0"/>
        <w:rPr>
          <w:rStyle w:val="1394"/>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9"/>
        <w:ind w:firstLine="2800"/>
        <w:jc w:val="left"/>
        <w:pageBreakBefore w:val="0"/>
        <w:spacing w:line="312" w:lineRule="auto"/>
        <w:widowControl w:val="off"/>
        <w:rPr>
          <w:rStyle w:val="1394"/>
          <w:rFonts w:hint="eastAsia" w:ascii="仿宋" w:hAnsi="仿宋" w:eastAsia="仿宋" w:cs="仿宋"/>
          <w:color w:val="auto"/>
          <w:sz w:val="24"/>
          <w:szCs w:val="24"/>
          <w:highlight w:val="none"/>
        </w:rPr>
        <w:outlineLvl w:val="1"/>
      </w:pPr>
      <w:r/>
      <w:bookmarkStart w:id="73" w:name="_Toc15915"/>
      <w:r/>
      <w:bookmarkStart w:id="74" w:name="_Toc27950"/>
      <w:r>
        <w:rPr>
          <w:rStyle w:val="1394"/>
          <w:rFonts w:hint="eastAsia" w:ascii="仿宋" w:hAnsi="仿宋" w:eastAsia="仿宋" w:cs="仿宋"/>
          <w:b/>
          <w:bCs/>
          <w:color w:val="auto"/>
          <w:sz w:val="24"/>
          <w:szCs w:val="24"/>
          <w:highlight w:val="none"/>
        </w:rPr>
        <w:t xml:space="preserve">十</w:t>
      </w:r>
      <w:r>
        <w:rPr>
          <w:rStyle w:val="1394"/>
          <w:rFonts w:hint="eastAsia" w:ascii="仿宋" w:hAnsi="仿宋" w:eastAsia="仿宋" w:cs="仿宋"/>
          <w:b/>
          <w:bCs/>
          <w:color w:val="auto"/>
          <w:sz w:val="24"/>
          <w:szCs w:val="24"/>
          <w:highlight w:val="none"/>
          <w:lang w:val="en-US" w:eastAsia="zh-CN"/>
        </w:rPr>
        <w:t xml:space="preserve">三</w:t>
      </w:r>
      <w:r>
        <w:rPr>
          <w:rStyle w:val="1394"/>
          <w:rFonts w:hint="eastAsia" w:ascii="仿宋" w:hAnsi="仿宋" w:eastAsia="仿宋" w:cs="仿宋"/>
          <w:b/>
          <w:bCs/>
          <w:color w:val="auto"/>
          <w:sz w:val="24"/>
          <w:szCs w:val="24"/>
          <w:highlight w:val="none"/>
        </w:rPr>
        <w:t xml:space="preserve">、预付款保函支付条款模板</w:t>
      </w:r>
      <w:bookmarkEnd w:id="72"/>
      <w:r/>
      <w:bookmarkEnd w:id="73"/>
      <w:r/>
      <w:bookmarkEnd w:id="74"/>
      <w:r/>
      <w:r/>
    </w:p>
    <w:p>
      <w:pPr>
        <w:pStyle w:val="1109"/>
        <w:jc w:val="left"/>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109"/>
        <w:jc w:val="left"/>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1109"/>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Style w:val="1394"/>
          <w:rFonts w:hint="eastAsia" w:ascii="仿宋" w:hAnsi="仿宋" w:eastAsia="仿宋" w:cs="仿宋"/>
          <w:b/>
          <w:color w:val="auto"/>
          <w:sz w:val="24"/>
          <w:szCs w:val="24"/>
          <w:highlight w:val="none"/>
        </w:rPr>
      </w:pPr>
      <w:r>
        <w:rPr>
          <w:rStyle w:val="1394"/>
          <w:rFonts w:hint="eastAsia" w:ascii="仿宋" w:hAnsi="仿宋" w:eastAsia="仿宋" w:cs="仿宋"/>
          <w:b/>
          <w:color w:val="auto"/>
          <w:sz w:val="24"/>
          <w:szCs w:val="24"/>
          <w:highlight w:val="none"/>
        </w:rPr>
        <w:br w:type="page" w:clear="all"/>
      </w:r>
      <w:r/>
    </w:p>
    <w:p>
      <w:pPr>
        <w:pStyle w:val="1109"/>
        <w:jc w:val="center"/>
        <w:rPr>
          <w:rFonts w:hint="eastAsia" w:ascii="仿宋" w:hAnsi="仿宋" w:eastAsia="仿宋" w:cs="仿宋"/>
          <w:b/>
          <w:bCs/>
          <w:color w:val="auto"/>
          <w:sz w:val="30"/>
          <w:szCs w:val="30"/>
          <w:highlight w:val="none"/>
        </w:rPr>
        <w:outlineLvl w:val="1"/>
      </w:pPr>
      <w:r>
        <w:rPr>
          <w:rFonts w:hint="eastAsia" w:ascii="仿宋" w:hAnsi="仿宋" w:eastAsia="仿宋" w:cs="仿宋"/>
          <w:b/>
          <w:bCs/>
          <w:color w:val="auto"/>
          <w:sz w:val="30"/>
          <w:szCs w:val="30"/>
          <w:highlight w:val="none"/>
          <w:lang w:val="en-US" w:eastAsia="zh-CN"/>
        </w:rPr>
        <w:t xml:space="preserve">十四</w:t>
      </w:r>
      <w:r>
        <w:rPr>
          <w:rFonts w:hint="eastAsia" w:ascii="仿宋" w:hAnsi="仿宋" w:eastAsia="仿宋" w:cs="仿宋"/>
          <w:b/>
          <w:bCs/>
          <w:color w:val="auto"/>
          <w:sz w:val="30"/>
          <w:szCs w:val="30"/>
          <w:highlight w:val="none"/>
        </w:rPr>
        <w:t xml:space="preserve">、主要材料（设备）一览表</w:t>
      </w:r>
      <w:r/>
    </w:p>
    <w:p>
      <w:pPr>
        <w:pStyle w:val="1109"/>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项目编号：</w:t>
      </w:r>
      <w:r/>
    </w:p>
    <w:tbl>
      <w:tblPr>
        <w:tblStyle w:val="1106"/>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109"/>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109"/>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109"/>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109"/>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109"/>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109"/>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109"/>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109"/>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1109"/>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1109"/>
        <w:rPr>
          <w:rFonts w:ascii="宋体" w:hAnsi="宋体"/>
          <w:color w:val="auto"/>
          <w:sz w:val="24"/>
          <w:szCs w:val="24"/>
          <w:highlight w:val="none"/>
        </w:rPr>
      </w:pPr>
      <w:r>
        <w:rPr>
          <w:rFonts w:ascii="宋体" w:hAnsi="宋体"/>
          <w:color w:val="auto"/>
          <w:sz w:val="24"/>
          <w:szCs w:val="24"/>
          <w:highlight w:val="none"/>
        </w:rPr>
      </w:r>
      <w:r/>
    </w:p>
    <w:p>
      <w:pPr>
        <w:pStyle w:val="1109"/>
        <w:rPr>
          <w:rFonts w:ascii="宋体" w:hAnsi="宋体"/>
          <w:color w:val="auto"/>
          <w:sz w:val="24"/>
          <w:szCs w:val="24"/>
          <w:highlight w:val="none"/>
        </w:rPr>
      </w:pPr>
      <w:r>
        <w:rPr>
          <w:rFonts w:ascii="宋体" w:hAnsi="宋体"/>
          <w:color w:val="auto"/>
          <w:sz w:val="24"/>
          <w:szCs w:val="24"/>
          <w:highlight w:val="none"/>
        </w:rPr>
      </w:r>
      <w:r/>
    </w:p>
    <w:p>
      <w:pPr>
        <w:pStyle w:val="1109"/>
        <w:spacing w:line="520" w:lineRule="exact"/>
        <w:rPr>
          <w:rFonts w:ascii="宋体" w:hAnsi="宋体"/>
          <w:color w:val="auto"/>
          <w:sz w:val="24"/>
          <w:szCs w:val="24"/>
          <w:highlight w:val="none"/>
        </w:rPr>
      </w:pPr>
      <w:r>
        <w:rPr>
          <w:rFonts w:ascii="宋体" w:hAnsi="宋体"/>
          <w:color w:val="auto"/>
          <w:sz w:val="24"/>
          <w:szCs w:val="24"/>
          <w:highlight w:val="none"/>
        </w:rPr>
      </w:r>
      <w:r/>
    </w:p>
    <w:p>
      <w:pPr>
        <w:pStyle w:val="1109"/>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109"/>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109"/>
        <w:spacing w:line="520" w:lineRule="exact"/>
        <w:rPr>
          <w:rFonts w:ascii="宋体" w:hAnsi="宋体"/>
          <w:color w:val="auto"/>
          <w:sz w:val="30"/>
          <w:szCs w:val="30"/>
          <w:highlight w:val="none"/>
        </w:rPr>
      </w:pPr>
      <w:r>
        <w:rPr>
          <w:rFonts w:ascii="宋体" w:hAnsi="宋体"/>
          <w:color w:val="auto"/>
          <w:sz w:val="30"/>
          <w:szCs w:val="30"/>
          <w:highlight w:val="none"/>
        </w:rPr>
      </w:r>
      <w:r/>
    </w:p>
    <w:p>
      <w:pPr>
        <w:pStyle w:val="1109"/>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109"/>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i w:val="0"/>
          <w:iCs w:val="0"/>
          <w:color w:val="auto"/>
          <w:sz w:val="24"/>
          <w:highlight w:val="none"/>
        </w:rPr>
      </w:pPr>
      <w:r>
        <w:rPr>
          <w:rFonts w:ascii="宋体" w:hAnsi="宋体"/>
          <w:b/>
          <w:bCs/>
          <w:i w:val="0"/>
          <w:iCs w:val="0"/>
          <w:color w:val="auto"/>
          <w:sz w:val="24"/>
          <w:highlight w:val="none"/>
          <w:u w:val="single"/>
        </w:rPr>
        <w:t xml:space="preserve">采购人或采购代理机构有权将以上内容进行公示</w:t>
      </w:r>
      <w:r>
        <w:rPr>
          <w:rFonts w:ascii="宋体" w:hAnsi="宋体"/>
          <w:b/>
          <w:bCs/>
          <w:i w:val="0"/>
          <w:iCs w:val="0"/>
          <w:color w:val="auto"/>
          <w:sz w:val="24"/>
          <w:highlight w:val="none"/>
        </w:rPr>
        <w:t xml:space="preserve">。</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1109"/>
        <w:ind w:firstLine="643"/>
        <w:jc w:val="center"/>
        <w:pageBreakBefore w:val="0"/>
        <w:spacing w:line="312" w:lineRule="auto"/>
        <w:widowControl w:val="off"/>
        <w:rPr>
          <w:rStyle w:val="1394"/>
          <w:rFonts w:hint="eastAsia" w:ascii="仿宋" w:hAnsi="仿宋" w:eastAsia="仿宋" w:cs="仿宋"/>
          <w:color w:val="auto"/>
          <w:sz w:val="24"/>
          <w:szCs w:val="24"/>
          <w:highlight w:val="none"/>
        </w:rPr>
        <w:outlineLvl w:val="0"/>
      </w:pPr>
      <w:r/>
      <w:bookmarkStart w:id="75" w:name="_Toc12909"/>
      <w:r/>
      <w:bookmarkStart w:id="76" w:name="_Toc80122315"/>
      <w:r/>
      <w:bookmarkStart w:id="77" w:name="_Toc11596"/>
      <w:r>
        <w:rPr>
          <w:rStyle w:val="1394"/>
          <w:rFonts w:hint="eastAsia" w:ascii="仿宋" w:hAnsi="仿宋" w:eastAsia="仿宋" w:cs="仿宋"/>
          <w:b/>
          <w:bCs/>
          <w:color w:val="auto"/>
          <w:sz w:val="24"/>
          <w:szCs w:val="24"/>
          <w:highlight w:val="none"/>
        </w:rPr>
        <w:t xml:space="preserve">第十章</w:t>
      </w:r>
      <w:bookmarkStart w:id="78" w:name="_Hlk77698623"/>
      <w:r>
        <w:rPr>
          <w:rStyle w:val="1394"/>
          <w:rFonts w:hint="eastAsia" w:ascii="仿宋" w:hAnsi="仿宋" w:eastAsia="仿宋" w:cs="仿宋"/>
          <w:b/>
          <w:bCs/>
          <w:color w:val="auto"/>
          <w:sz w:val="24"/>
          <w:szCs w:val="24"/>
          <w:highlight w:val="none"/>
        </w:rPr>
        <w:t xml:space="preserve"> 拟签订的合同文本</w:t>
      </w:r>
      <w:bookmarkEnd w:id="75"/>
      <w:r/>
      <w:bookmarkEnd w:id="76"/>
      <w:r/>
      <w:bookmarkEnd w:id="77"/>
      <w:r/>
      <w:bookmarkEnd w:id="78"/>
      <w:r/>
      <w:r/>
    </w:p>
    <w:p>
      <w:pPr>
        <w:jc w:val="center"/>
        <w:pageBreakBefore w:val="0"/>
        <w:spacing w:line="312" w:lineRule="auto"/>
        <w:rPr>
          <w:rFonts w:hint="eastAsia" w:ascii="仿宋" w:hAnsi="仿宋" w:eastAsia="仿宋" w:cs="仿宋"/>
          <w:b/>
          <w:color w:val="auto"/>
          <w:sz w:val="44"/>
          <w:szCs w:val="44"/>
          <w:highlight w:val="none"/>
        </w:rPr>
      </w:pPr>
      <w:r/>
      <w:bookmarkStart w:id="79" w:name="_Toc498006748"/>
      <w:r/>
      <w:bookmarkStart w:id="80" w:name="_Toc358569763"/>
      <w:r/>
      <w:bookmarkStart w:id="81" w:name="_Toc80122316"/>
      <w:r/>
      <w:r/>
    </w:p>
    <w:p>
      <w:pPr>
        <w:pStyle w:val="1133"/>
        <w:pageBreakBefore w:val="0"/>
        <w:spacing w:line="312"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44"/>
          <w:szCs w:val="44"/>
          <w:highlight w:val="none"/>
        </w:rPr>
        <w:t xml:space="preserve">建设工程施工合同</w:t>
      </w:r>
      <w:r>
        <w:rPr>
          <w:rFonts w:hint="eastAsia" w:ascii="仿宋" w:hAnsi="仿宋" w:eastAsia="仿宋" w:cs="仿宋"/>
          <w:b/>
          <w:color w:val="auto"/>
          <w:sz w:val="44"/>
          <w:szCs w:val="44"/>
          <w:highlight w:val="none"/>
        </w:rPr>
        <w:br/>
      </w:r>
      <w:r>
        <w:rPr>
          <w:rFonts w:hint="eastAsia" w:ascii="仿宋" w:hAnsi="仿宋" w:eastAsia="仿宋" w:cs="仿宋"/>
          <w:b/>
          <w:color w:val="auto"/>
          <w:sz w:val="24"/>
          <w:szCs w:val="24"/>
          <w:highlight w:val="none"/>
        </w:rPr>
        <w:t xml:space="preserve">（示范文本）</w:t>
      </w:r>
      <w:r/>
    </w:p>
    <w:p>
      <w:pPr>
        <w:jc w:val="center"/>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（GF—2017—0201）</w:t>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2520"/>
        <w:pageBreakBefore w:val="0"/>
        <w:spacing w:after="120"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 </w:t>
      </w:r>
      <w:r/>
    </w:p>
    <w:p>
      <w:pPr>
        <w:ind w:firstLine="2100"/>
        <w:pageBreakBefore w:val="0"/>
        <w:spacing w:after="120"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2520"/>
        <w:pageBreakBefore w:val="0"/>
        <w:spacing w:after="120"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标段名称：</w:t>
      </w:r>
      <w:r/>
    </w:p>
    <w:p>
      <w:pPr>
        <w:pStyle w:val="1118"/>
        <w:ind w:firstLine="2400"/>
        <w:jc w:val="left"/>
        <w:pageBreakBefore w:val="0"/>
        <w:spacing w:after="0" w:line="312"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18"/>
        <w:ind w:firstLine="2400"/>
        <w:jc w:val="left"/>
        <w:pageBreakBefore w:val="0"/>
        <w:spacing w:after="0" w:line="312"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发包人（全称）：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r>
      <w:r/>
    </w:p>
    <w:p>
      <w:pPr>
        <w:pStyle w:val="1118"/>
        <w:ind w:firstLine="2400"/>
        <w:jc w:val="left"/>
        <w:pageBreakBefore w:val="0"/>
        <w:spacing w:after="0" w:line="312" w:lineRule="auto"/>
        <w:widowControl w:val="off"/>
        <w:rPr>
          <w:rFonts w:hint="eastAsia" w:ascii="仿宋" w:hAnsi="仿宋" w:eastAsia="仿宋" w:cs="仿宋"/>
          <w:b/>
          <w:color w:val="auto"/>
          <w:sz w:val="24"/>
          <w:szCs w:val="24"/>
          <w:highlight w:val="none"/>
          <w:u w:val="single"/>
        </w:rPr>
      </w:pPr>
      <w:r>
        <w:rPr>
          <w:rFonts w:hint="eastAsia" w:ascii="仿宋" w:hAnsi="仿宋" w:eastAsia="仿宋" w:cs="仿宋"/>
          <w:bCs/>
          <w:color w:val="auto"/>
          <w:sz w:val="24"/>
          <w:szCs w:val="24"/>
          <w:highlight w:val="none"/>
        </w:rPr>
        <w:t xml:space="preserve">承包人（全称）：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            </w:t>
      </w:r>
      <w:r/>
    </w:p>
    <w:p>
      <w:pPr>
        <w:pStyle w:val="1118"/>
        <w:ind w:firstLine="2400"/>
        <w:jc w:val="left"/>
        <w:pageBreakBefore w:val="0"/>
        <w:spacing w:after="0"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合同签订日期：   年   月   日</w:t>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09"/>
        <w:ind w:firstLine="480"/>
        <w:pageBreakBefore w:val="0"/>
        <w:spacing w:line="31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友情提醒：采购人与中标、成交供应商应当在中标、成交通知书发出之日起30日内，按照采购文件确定的事项签订政府采购合同。</w:t>
      </w:r>
      <w:r/>
    </w:p>
    <w:p>
      <w:pPr>
        <w:pStyle w:val="1637"/>
        <w:ind w:left="0" w:right="0" w:firstLine="560"/>
        <w:keepLines w:val="0"/>
        <w:keepNext w:val="0"/>
        <w:pageBreakBefore w:val="0"/>
        <w:spacing w:beforeAutospacing="0" w:afterAutospacing="0" w:line="312" w:lineRule="auto"/>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rPr>
        <w:t xml:space="preserve">采购人应当自政府采购合同签订之日起2个</w:t>
      </w:r>
      <w:r>
        <w:rPr>
          <w:rFonts w:hint="eastAsia" w:ascii="仿宋" w:hAnsi="仿宋" w:eastAsia="仿宋" w:cs="仿宋"/>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12"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637"/>
        <w:ind w:left="0" w:right="0" w:firstLine="482"/>
        <w:keepLines w:val="0"/>
        <w:keepNext w:val="0"/>
        <w:pageBreakBefore w:val="0"/>
        <w:spacing w:beforeAutospacing="0" w:afterAutospacing="0" w:line="312" w:lineRule="auto"/>
        <w:rPr>
          <w:rStyle w:val="1638"/>
          <w:rFonts w:hint="eastAsia" w:ascii="仿宋" w:hAnsi="仿宋" w:eastAsia="仿宋" w:cs="仿宋"/>
          <w:b/>
          <w:color w:val="auto"/>
          <w:sz w:val="24"/>
          <w:szCs w:val="24"/>
          <w:highlight w:val="none"/>
        </w:rPr>
      </w:pPr>
      <w:r>
        <w:rPr>
          <w:rStyle w:val="1638"/>
          <w:rFonts w:hint="eastAsia" w:ascii="仿宋" w:hAnsi="仿宋" w:eastAsia="仿宋" w:cs="仿宋"/>
          <w:b/>
          <w:color w:val="auto"/>
          <w:sz w:val="24"/>
          <w:szCs w:val="24"/>
          <w:highlight w:val="none"/>
        </w:rPr>
        <w:t xml:space="preserve">特别提醒：</w:t>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highlight w:val="none"/>
        </w:rPr>
        <w:t xml:space="preserve">中标人领取中标通知书时须向代理机构提交纸质胶装投标文件一正四副，</w:t>
      </w:r>
      <w:r>
        <w:rPr>
          <w:rFonts w:hint="eastAsia" w:ascii="仿宋" w:hAnsi="仿宋" w:eastAsia="仿宋" w:cs="仿宋"/>
          <w:color w:val="auto"/>
          <w:sz w:val="24"/>
          <w:highlight w:val="none"/>
          <w:lang w:val="en-US" w:eastAsia="zh-CN"/>
        </w:rPr>
        <w:t xml:space="preserve">及电子版投标文件2份（U盘）。</w:t>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r>
      <w:r/>
    </w:p>
    <w:p>
      <w:pPr>
        <w:jc w:val="both"/>
        <w:keepLines/>
        <w:keepNext/>
        <w:pageBreakBefore w:val="0"/>
        <w:spacing w:before="0" w:after="0" w:line="312" w:lineRule="auto"/>
        <w:widowControl/>
        <w:rPr>
          <w:rFonts w:hint="eastAsia" w:ascii="仿宋" w:hAnsi="仿宋" w:eastAsia="仿宋" w:cs="仿宋"/>
          <w:b/>
          <w:bCs/>
          <w:color w:val="auto"/>
          <w:sz w:val="24"/>
          <w:szCs w:val="24"/>
          <w:highlight w:val="none"/>
        </w:rPr>
        <w:outlineLvl w:val="9"/>
      </w:pPr>
      <w:r/>
      <w:bookmarkStart w:id="82" w:name="_Toc24196"/>
      <w:r/>
      <w:bookmarkStart w:id="83" w:name="_Toc296890982"/>
      <w:r/>
      <w:bookmarkStart w:id="84" w:name="_Toc351203480"/>
      <w:r/>
      <w:bookmarkStart w:id="85" w:name="_Toc296503025"/>
      <w:r/>
      <w:bookmarkStart w:id="86" w:name="_Toc17550"/>
      <w:r/>
      <w:r/>
    </w:p>
    <w:p>
      <w:pPr>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bookmarkEnd w:id="82"/>
      <w:r/>
      <w:bookmarkEnd w:id="83"/>
      <w:r/>
      <w:bookmarkEnd w:id="84"/>
      <w:r/>
      <w:bookmarkEnd w:id="85"/>
      <w:r/>
      <w:bookmarkEnd w:id="86"/>
      <w:r/>
      <w:r/>
    </w:p>
    <w:p>
      <w:pPr>
        <w:jc w:val="left"/>
        <w:pageBreakBefore w:val="0"/>
        <w:spacing w:line="312" w:lineRule="auto"/>
        <w:widowControl/>
        <w:rPr>
          <w:rFonts w:hint="eastAsia" w:ascii="仿宋" w:hAnsi="仿宋" w:eastAsia="仿宋" w:cs="仿宋"/>
          <w:color w:val="auto"/>
          <w:sz w:val="24"/>
          <w:szCs w:val="24"/>
          <w:highlight w:val="none"/>
        </w:rPr>
        <w:sectPr>
          <w:footerReference w:type="default" r:id="rId20"/>
          <w:footerReference w:type="first" r:id="rId21"/>
          <w:footnotePr/>
          <w:endnotePr/>
          <w:type w:val="nextPage"/>
          <w:pgSz w:w="11906" w:h="16838" w:orient="portrait"/>
          <w:pgMar w:top="1440" w:right="1080" w:bottom="1440" w:left="1080" w:header="851" w:footer="992" w:gutter="0"/>
          <w:pgNumType w:start="31"/>
          <w:cols w:num="1" w:sep="0" w:space="720" w:equalWidth="1"/>
          <w:docGrid w:linePitch="360"/>
          <w:titlePg/>
        </w:sectPr>
      </w:pPr>
      <w:r>
        <w:rPr>
          <w:rFonts w:hint="eastAsia" w:ascii="仿宋" w:hAnsi="仿宋" w:eastAsia="仿宋" w:cs="仿宋"/>
          <w:color w:val="auto"/>
          <w:sz w:val="24"/>
          <w:szCs w:val="24"/>
          <w:highlight w:val="none"/>
        </w:rPr>
      </w:r>
      <w:r/>
    </w:p>
    <w:p>
      <w:pPr>
        <w:pStyle w:val="1097"/>
        <w:jc w:val="cente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第一部分 合同协议书</w:t>
      </w:r>
      <w:r/>
    </w:p>
    <w:p>
      <w:pPr>
        <w:pageBreakBefore w:val="0"/>
        <w:spacing w:line="312"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lang w:eastAsia="zh-CN"/>
        </w:rPr>
        <w:t xml:space="preserve">徐州市第十三中学</w:t>
      </w:r>
      <w:r>
        <w:rPr>
          <w:rFonts w:hint="eastAsia" w:ascii="仿宋" w:hAnsi="仿宋" w:eastAsia="仿宋" w:cs="仿宋"/>
          <w:b/>
          <w:color w:val="auto"/>
          <w:sz w:val="24"/>
          <w:szCs w:val="24"/>
          <w:highlight w:val="none"/>
          <w:u w:val="single"/>
        </w:rPr>
        <w:t xml:space="preserve"> </w:t>
      </w:r>
      <w:r/>
    </w:p>
    <w:p>
      <w:pPr>
        <w:pageBreakBefore w:val="0"/>
        <w:spacing w:line="312"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b/>
          <w:color w:val="auto"/>
          <w:sz w:val="24"/>
          <w:szCs w:val="24"/>
          <w:highlight w:val="none"/>
          <w:u w:val="single"/>
        </w:rPr>
        <w:t xml:space="preserve">             </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根据《中华人民共和国民法典》及有关法律规定，遵循平等、自愿、公平和诚实信用的原则，双方就</w:t>
      </w:r>
      <w:r>
        <w:rPr>
          <w:rFonts w:hint="eastAsia" w:ascii="仿宋" w:hAnsi="仿宋" w:eastAsia="仿宋" w:cs="仿宋"/>
          <w:color w:val="auto"/>
          <w:sz w:val="24"/>
          <w:szCs w:val="24"/>
          <w:highlight w:val="none"/>
          <w:u w:val="single"/>
          <w:lang w:eastAsia="zh-CN"/>
        </w:rPr>
        <w:t xml:space="preserve">徐州市第十三中学运动场改造工程</w:t>
      </w:r>
      <w:r>
        <w:rPr>
          <w:rFonts w:hint="eastAsia" w:ascii="仿宋" w:hAnsi="仿宋" w:eastAsia="仿宋" w:cs="仿宋"/>
          <w:color w:val="auto"/>
          <w:sz w:val="24"/>
          <w:szCs w:val="24"/>
          <w:highlight w:val="none"/>
        </w:rPr>
        <w:t xml:space="preserve">施工及有关事项协商一致，共同达成如下协议：</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87" w:name="_Toc351203481"/>
      <w:r>
        <w:rPr>
          <w:rFonts w:hint="eastAsia" w:ascii="仿宋" w:hAnsi="仿宋" w:eastAsia="仿宋" w:cs="仿宋"/>
          <w:b w:val="0"/>
          <w:color w:val="auto"/>
          <w:sz w:val="24"/>
          <w:szCs w:val="24"/>
          <w:highlight w:val="none"/>
        </w:rPr>
        <w:t xml:space="preserve">一、工程概况</w:t>
      </w:r>
      <w:bookmarkEnd w:id="87"/>
      <w:r/>
      <w:r/>
    </w:p>
    <w:p>
      <w:pPr>
        <w:ind w:firstLine="470"/>
        <w:pageBreakBefore w:val="0"/>
        <w:spacing w:line="312"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lang w:eastAsia="zh-CN"/>
        </w:rPr>
        <w:t xml:space="preserve">徐州市第十三中学运动场改造工程</w:t>
      </w:r>
      <w:r>
        <w:rPr>
          <w:rFonts w:hint="eastAsia" w:ascii="仿宋" w:hAnsi="仿宋" w:eastAsia="仿宋" w:cs="仿宋"/>
          <w:color w:val="auto"/>
          <w:sz w:val="24"/>
          <w:szCs w:val="24"/>
          <w:highlight w:val="none"/>
        </w:rPr>
        <w:t xml:space="preserve">。</w:t>
      </w:r>
      <w:r/>
    </w:p>
    <w:p>
      <w:pPr>
        <w:ind w:firstLine="47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eastAsia="zh-CN"/>
        </w:rPr>
        <w:t xml:space="preserve">徐州市第十三中学</w:t>
      </w:r>
      <w:r>
        <w:rPr>
          <w:rFonts w:hint="eastAsia" w:ascii="仿宋" w:hAnsi="仿宋" w:eastAsia="仿宋" w:cs="仿宋"/>
          <w:color w:val="auto"/>
          <w:sz w:val="24"/>
          <w:szCs w:val="24"/>
          <w:highlight w:val="none"/>
          <w:u w:val="single"/>
        </w:rPr>
        <w:t xml:space="preserve">校内</w:t>
      </w:r>
      <w:r>
        <w:rPr>
          <w:rFonts w:hint="eastAsia" w:ascii="仿宋" w:hAnsi="仿宋" w:eastAsia="仿宋" w:cs="仿宋"/>
          <w:color w:val="auto"/>
          <w:sz w:val="24"/>
          <w:szCs w:val="24"/>
          <w:highlight w:val="none"/>
        </w:rPr>
        <w:t xml:space="preserve">。</w:t>
      </w:r>
      <w:r/>
    </w:p>
    <w:p>
      <w:pPr>
        <w:ind w:firstLine="470"/>
        <w:pageBreakBefore w:val="0"/>
        <w:spacing w:line="312" w:lineRule="auto"/>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3.资金来源：</w:t>
      </w:r>
      <w:r>
        <w:rPr>
          <w:rFonts w:hint="eastAsia" w:ascii="仿宋" w:hAnsi="仿宋" w:eastAsia="仿宋" w:cs="仿宋"/>
          <w:color w:val="auto"/>
          <w:sz w:val="24"/>
          <w:szCs w:val="24"/>
          <w:highlight w:val="none"/>
          <w:u w:val="single"/>
          <w:lang w:eastAsia="zh-CN"/>
        </w:rPr>
        <w:t xml:space="preserve">财政资金</w:t>
      </w:r>
      <w:r/>
    </w:p>
    <w:p>
      <w:pPr>
        <w:ind w:firstLine="470"/>
        <w:pageBreakBefore w:val="0"/>
        <w:spacing w:line="312"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4.工程内容：</w:t>
      </w:r>
      <w:r>
        <w:rPr>
          <w:rFonts w:hint="eastAsia" w:ascii="仿宋" w:hAnsi="仿宋" w:eastAsia="仿宋" w:cs="仿宋"/>
          <w:color w:val="auto"/>
          <w:sz w:val="24"/>
          <w:szCs w:val="24"/>
          <w:highlight w:val="none"/>
          <w:u w:val="single"/>
        </w:rPr>
        <w:t xml:space="preserve">具体详见</w:t>
      </w:r>
      <w:r>
        <w:rPr>
          <w:rFonts w:hint="eastAsia" w:ascii="仿宋" w:hAnsi="仿宋" w:eastAsia="仿宋" w:cs="仿宋"/>
          <w:color w:val="auto"/>
          <w:sz w:val="24"/>
          <w:szCs w:val="24"/>
          <w:highlight w:val="none"/>
          <w:u w:val="single"/>
          <w:lang w:val="en-US" w:eastAsia="zh-CN"/>
        </w:rPr>
        <w:t xml:space="preserve">施工图及</w:t>
      </w:r>
      <w:r>
        <w:rPr>
          <w:rFonts w:hint="eastAsia" w:ascii="仿宋" w:hAnsi="仿宋" w:eastAsia="仿宋" w:cs="仿宋"/>
          <w:color w:val="auto"/>
          <w:sz w:val="24"/>
          <w:szCs w:val="24"/>
          <w:highlight w:val="none"/>
          <w:u w:val="single"/>
        </w:rPr>
        <w:t xml:space="preserve">工程量清单。</w:t>
      </w:r>
      <w:r/>
    </w:p>
    <w:p>
      <w:pPr>
        <w:ind w:firstLine="47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5.工程承包范围：</w:t>
      </w:r>
      <w:r/>
    </w:p>
    <w:p>
      <w:pPr>
        <w:ind w:firstLine="470"/>
        <w:pageBreakBefore w:val="0"/>
        <w:spacing w:line="312"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u w:val="single"/>
        </w:rPr>
        <w:t xml:space="preserve">详见工程量清单及施工图所含项目</w:t>
      </w:r>
      <w:r>
        <w:rPr>
          <w:rFonts w:hint="eastAsia" w:ascii="仿宋" w:hAnsi="仿宋" w:eastAsia="仿宋" w:cs="仿宋"/>
          <w:color w:val="auto"/>
          <w:sz w:val="24"/>
          <w:szCs w:val="24"/>
          <w:highlight w:val="none"/>
          <w:u w:val="single"/>
          <w:lang w:val="en-US" w:eastAsia="zh-CN"/>
        </w:rPr>
        <w:t xml:space="preserve">全部</w:t>
      </w:r>
      <w:r>
        <w:rPr>
          <w:rFonts w:hint="eastAsia" w:ascii="仿宋" w:hAnsi="仿宋" w:eastAsia="仿宋" w:cs="仿宋"/>
          <w:color w:val="auto"/>
          <w:sz w:val="24"/>
          <w:szCs w:val="24"/>
          <w:highlight w:val="none"/>
          <w:u w:val="single"/>
        </w:rPr>
        <w:t xml:space="preserve">内容。 </w:t>
      </w:r>
      <w:r/>
    </w:p>
    <w:p>
      <w:pPr>
        <w:ind w:firstLine="465"/>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rPr>
        <w:t xml:space="preserve">   </w:t>
      </w:r>
      <w:bookmarkStart w:id="88" w:name="_Toc351203482"/>
      <w:r>
        <w:rPr>
          <w:rFonts w:hint="eastAsia" w:ascii="仿宋" w:hAnsi="仿宋" w:eastAsia="仿宋" w:cs="仿宋"/>
          <w:b/>
          <w:color w:val="auto"/>
          <w:sz w:val="24"/>
          <w:szCs w:val="24"/>
          <w:highlight w:val="none"/>
        </w:rPr>
        <w:t xml:space="preserve">二、合同工期</w:t>
      </w:r>
      <w:bookmarkEnd w:id="88"/>
      <w:r/>
      <w:r/>
    </w:p>
    <w:p>
      <w:pPr>
        <w:ind w:firstLine="459"/>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日（以</w:t>
      </w:r>
      <w:r>
        <w:rPr>
          <w:rFonts w:hint="eastAsia" w:ascii="仿宋" w:hAnsi="仿宋" w:eastAsia="仿宋" w:cs="仿宋"/>
          <w:color w:val="auto"/>
          <w:sz w:val="24"/>
          <w:szCs w:val="24"/>
          <w:highlight w:val="none"/>
          <w:lang w:val="en-US" w:eastAsia="zh-CN"/>
        </w:rPr>
        <w:t xml:space="preserve">甲方通知</w:t>
      </w:r>
      <w:r>
        <w:rPr>
          <w:rFonts w:hint="eastAsia" w:ascii="仿宋" w:hAnsi="仿宋" w:eastAsia="仿宋" w:cs="仿宋"/>
          <w:color w:val="auto"/>
          <w:sz w:val="24"/>
          <w:szCs w:val="24"/>
          <w:highlight w:val="none"/>
        </w:rPr>
        <w:t xml:space="preserve">实际开工日期为准）</w:t>
      </w:r>
      <w:r/>
    </w:p>
    <w:p>
      <w:pPr>
        <w:ind w:firstLine="459"/>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59"/>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日历天（工期包含春节及其他节假日）。工期总日历天数与根据前述计划开竣工日期计算的工期天数不一致的，以工期总日历天数为准。</w:t>
      </w:r>
      <w:r/>
    </w:p>
    <w:p>
      <w:pPr>
        <w:numPr>
          <w:ilvl w:val="0"/>
          <w:numId w:val="4"/>
        </w:numPr>
        <w:ind w:left="481" w:firstLine="0"/>
        <w:pageBreakBefore w:val="0"/>
        <w:spacing w:before="120" w:after="120" w:line="312" w:lineRule="auto"/>
        <w:rPr>
          <w:rFonts w:hint="eastAsia" w:ascii="仿宋" w:hAnsi="仿宋" w:eastAsia="仿宋" w:cs="仿宋"/>
          <w:b w:val="0"/>
          <w:color w:val="auto"/>
          <w:sz w:val="24"/>
          <w:szCs w:val="24"/>
          <w:highlight w:val="none"/>
        </w:rPr>
        <w:outlineLvl w:val="9"/>
      </w:pPr>
      <w:r/>
      <w:bookmarkStart w:id="89" w:name="_Toc351203483"/>
      <w:r>
        <w:rPr>
          <w:rFonts w:hint="eastAsia" w:ascii="仿宋" w:hAnsi="仿宋" w:eastAsia="仿宋" w:cs="仿宋"/>
          <w:b w:val="0"/>
          <w:color w:val="auto"/>
          <w:sz w:val="24"/>
          <w:szCs w:val="24"/>
          <w:highlight w:val="none"/>
        </w:rPr>
        <w:t xml:space="preserve">质量标准</w:t>
      </w:r>
      <w:bookmarkEnd w:id="89"/>
      <w:r/>
      <w:r/>
    </w:p>
    <w:p>
      <w:pPr>
        <w:ind w:firstLine="459"/>
        <w:pageBreakBefore w:val="0"/>
        <w:spacing w:line="312"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质量要求标准：</w:t>
      </w:r>
      <w:r>
        <w:rPr>
          <w:rFonts w:hint="eastAsia" w:ascii="仿宋" w:hAnsi="仿宋" w:eastAsia="仿宋" w:cs="仿宋"/>
          <w:color w:val="auto"/>
          <w:sz w:val="24"/>
          <w:szCs w:val="24"/>
          <w:highlight w:val="none"/>
          <w:lang w:val="en-US" w:eastAsia="zh-CN"/>
        </w:rPr>
        <w:t xml:space="preserve">合格，满足国家最新标准和行业要求，同时满足采购人需求。工程质量必须达到合同约定标准，且保证相关部门验收通过；未达到质量要求的，乙方负责无条件返工，直至达到要求，所发生的费用由乙方承担，还应赔偿因此给甲方造成的损失，工期不予顺延，同时甲方有权对乙方追究违约责任。</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90" w:name="_Toc351203484"/>
      <w:r>
        <w:rPr>
          <w:rFonts w:hint="eastAsia" w:ascii="仿宋" w:hAnsi="仿宋" w:eastAsia="仿宋" w:cs="仿宋"/>
          <w:b w:val="0"/>
          <w:color w:val="auto"/>
          <w:sz w:val="24"/>
          <w:szCs w:val="24"/>
          <w:highlight w:val="none"/>
        </w:rPr>
        <w:t xml:space="preserve">四、签约合同价与合同价格形式</w:t>
      </w:r>
      <w:bookmarkEnd w:id="90"/>
      <w:r>
        <w:rPr>
          <w:rFonts w:hint="eastAsia" w:ascii="仿宋" w:hAnsi="仿宋" w:eastAsia="仿宋" w:cs="仿宋"/>
          <w:b w:val="0"/>
          <w:color w:val="auto"/>
          <w:sz w:val="24"/>
          <w:szCs w:val="24"/>
          <w:highlight w:val="none"/>
        </w:rPr>
        <w:tab/>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1.签约合同价为：</w:t>
      </w:r>
      <w:r/>
    </w:p>
    <w:p>
      <w:pPr>
        <w:ind w:firstLine="600"/>
        <w:pageBreakBefore w:val="0"/>
        <w:spacing w:line="312" w:lineRule="auto"/>
        <w:rPr>
          <w:rFonts w:hint="eastAsia" w:ascii="仿宋" w:hAnsi="仿宋" w:eastAsia="仿宋" w:cs="仿宋"/>
          <w:b w:val="0"/>
          <w:bCs/>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u w:val="single"/>
        </w:rPr>
        <w:t xml:space="preserve">¥           元)</w:t>
      </w:r>
      <w:r/>
    </w:p>
    <w:p>
      <w:pPr>
        <w:ind w:firstLine="480"/>
        <w:pageBreakBefore w:val="0"/>
        <w:spacing w:line="312" w:lineRule="auto"/>
        <w:rPr>
          <w:rFonts w:hint="eastAsia" w:ascii="仿宋" w:hAnsi="仿宋" w:eastAsia="仿宋" w:cs="仿宋"/>
          <w:b w:val="0"/>
          <w:bCs/>
          <w:color w:val="auto"/>
          <w:sz w:val="24"/>
          <w:szCs w:val="24"/>
          <w:highlight w:val="none"/>
        </w:rPr>
        <w:outlineLvl w:val="9"/>
      </w:pPr>
      <w:r>
        <w:rPr>
          <w:rFonts w:hint="eastAsia" w:ascii="仿宋" w:hAnsi="仿宋" w:eastAsia="仿宋" w:cs="仿宋"/>
          <w:b w:val="0"/>
          <w:bCs/>
          <w:color w:val="auto"/>
          <w:sz w:val="24"/>
          <w:szCs w:val="24"/>
          <w:highlight w:val="none"/>
        </w:rPr>
        <w:t xml:space="preserve">2.合同价格形式：</w:t>
      </w:r>
      <w:r>
        <w:rPr>
          <w:rFonts w:hint="eastAsia" w:ascii="仿宋" w:hAnsi="仿宋" w:eastAsia="仿宋" w:cs="仿宋"/>
          <w:b w:val="0"/>
          <w:bCs/>
          <w:color w:val="auto"/>
          <w:sz w:val="24"/>
          <w:szCs w:val="24"/>
          <w:highlight w:val="none"/>
          <w:u w:val="single"/>
        </w:rPr>
        <w:t xml:space="preserve">固定单价</w:t>
      </w:r>
      <w:r>
        <w:rPr>
          <w:rFonts w:hint="eastAsia" w:ascii="仿宋" w:hAnsi="仿宋" w:eastAsia="仿宋" w:cs="仿宋"/>
          <w:b w:val="0"/>
          <w:bCs/>
          <w:color w:val="auto"/>
          <w:sz w:val="24"/>
          <w:szCs w:val="24"/>
          <w:highlight w:val="none"/>
          <w:u w:val="single"/>
          <w:lang w:val="en-US" w:eastAsia="zh-CN"/>
        </w:rPr>
        <w:t xml:space="preserve">合同</w:t>
      </w:r>
      <w:r>
        <w:rPr>
          <w:rFonts w:hint="eastAsia" w:ascii="仿宋" w:hAnsi="仿宋" w:eastAsia="仿宋" w:cs="仿宋"/>
          <w:b w:val="0"/>
          <w:bCs/>
          <w:color w:val="auto"/>
          <w:sz w:val="24"/>
          <w:szCs w:val="24"/>
          <w:highlight w:val="none"/>
        </w:rPr>
        <w:t xml:space="preserve">。</w:t>
      </w:r>
      <w:r/>
    </w:p>
    <w:p>
      <w:pPr>
        <w:pageBreakBefore w:val="0"/>
        <w:spacing w:before="120" w:after="120" w:line="312" w:lineRule="auto"/>
        <w:rPr>
          <w:rFonts w:hint="eastAsia" w:ascii="仿宋" w:hAnsi="仿宋" w:eastAsia="仿宋" w:cs="仿宋"/>
          <w:b w:val="0"/>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91" w:name="_Toc351203485"/>
      <w:r>
        <w:rPr>
          <w:rFonts w:hint="eastAsia" w:ascii="仿宋" w:hAnsi="仿宋" w:eastAsia="仿宋" w:cs="仿宋"/>
          <w:b w:val="0"/>
          <w:color w:val="auto"/>
          <w:sz w:val="24"/>
          <w:szCs w:val="24"/>
          <w:highlight w:val="none"/>
        </w:rPr>
        <w:t xml:space="preserve">五、</w:t>
      </w:r>
      <w:bookmarkEnd w:id="91"/>
      <w:r>
        <w:rPr>
          <w:rFonts w:hint="eastAsia" w:ascii="仿宋" w:hAnsi="仿宋" w:eastAsia="仿宋" w:cs="仿宋"/>
          <w:b w:val="0"/>
          <w:color w:val="auto"/>
          <w:sz w:val="24"/>
          <w:szCs w:val="24"/>
          <w:highlight w:val="none"/>
        </w:rPr>
        <w:t xml:space="preserve">项目经理</w:t>
      </w:r>
      <w:r/>
    </w:p>
    <w:p>
      <w:pPr>
        <w:ind w:firstLine="480"/>
        <w:pageBreakBefore w:val="0"/>
        <w:spacing w:line="312"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highlight w:val="none"/>
        </w:rPr>
        <w:t xml:space="preserve">承包人项目经理：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u w:val="single"/>
          <w:lang w:val="en-US" w:eastAsia="zh-CN"/>
        </w:rPr>
        <w:t xml:space="preserve">   。  </w:t>
      </w:r>
      <w:r>
        <w:rPr>
          <w:rFonts w:hint="eastAsia" w:ascii="仿宋" w:hAnsi="仿宋" w:eastAsia="仿宋" w:cs="仿宋"/>
          <w:color w:val="auto"/>
          <w:sz w:val="24"/>
          <w:szCs w:val="24"/>
          <w:highlight w:val="none"/>
          <w:u w:val="single"/>
        </w:rPr>
        <w:t xml:space="preserve">                 </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92" w:name="_Toc351203486"/>
      <w:r>
        <w:rPr>
          <w:rFonts w:hint="eastAsia" w:ascii="仿宋" w:hAnsi="仿宋" w:eastAsia="仿宋" w:cs="仿宋"/>
          <w:b w:val="0"/>
          <w:color w:val="auto"/>
          <w:sz w:val="24"/>
          <w:szCs w:val="24"/>
          <w:highlight w:val="none"/>
        </w:rPr>
        <w:t xml:space="preserve">六、合同文件构成</w:t>
      </w:r>
      <w:bookmarkEnd w:id="92"/>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本协议书与下列文件一起构成合同文件：</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（1）合同协议书；</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（2）中标通知书；</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（3）专用合同条款及其附件；</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（4）技术标准和要求；</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、招标答疑文件；</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（6）投标书及其附录； </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（7）通用合同条款； </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（8）图纸；</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（9）已标价工程量清单或预算书；</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（10）其他合同文件。</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80"/>
        <w:jc w:val="left"/>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ageBreakBefore w:val="0"/>
        <w:spacing w:before="120" w:after="120" w:line="312" w:lineRule="auto"/>
        <w:rPr>
          <w:rFonts w:hint="eastAsia" w:ascii="仿宋" w:hAnsi="仿宋" w:eastAsia="仿宋" w:cs="仿宋"/>
          <w:b w:val="0"/>
          <w:color w:val="auto"/>
          <w:sz w:val="24"/>
          <w:szCs w:val="24"/>
          <w:highlight w:val="none"/>
        </w:rPr>
        <w:outlineLvl w:val="9"/>
      </w:pPr>
      <w:r>
        <w:rPr>
          <w:rFonts w:hint="eastAsia" w:ascii="仿宋" w:hAnsi="仿宋" w:eastAsia="仿宋" w:cs="仿宋"/>
          <w:b w:val="0"/>
          <w:color w:val="auto"/>
          <w:sz w:val="24"/>
          <w:szCs w:val="24"/>
          <w:highlight w:val="none"/>
        </w:rPr>
        <w:t xml:space="preserve">    </w:t>
      </w:r>
      <w:bookmarkStart w:id="93" w:name="_Toc351203487"/>
      <w:r>
        <w:rPr>
          <w:rFonts w:hint="eastAsia" w:ascii="仿宋" w:hAnsi="仿宋" w:eastAsia="仿宋" w:cs="仿宋"/>
          <w:b w:val="0"/>
          <w:color w:val="auto"/>
          <w:sz w:val="24"/>
          <w:szCs w:val="24"/>
          <w:highlight w:val="none"/>
        </w:rPr>
        <w:t xml:space="preserve">七、承诺</w:t>
      </w:r>
      <w:bookmarkEnd w:id="93"/>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4.承包人禁止挂靠和各种形式的转包、分包，若私下进行挂靠、转包或分包产生纠纷导致的各类费用直接从该项目工程款中提前支付，同时处以合同价的10%的违约金。</w:t>
      </w:r>
      <w:r/>
    </w:p>
    <w:p>
      <w:pPr>
        <w:pageBreakBefore w:val="0"/>
        <w:spacing w:line="312" w:lineRule="auto"/>
        <w:rPr>
          <w:rFonts w:hint="eastAsia" w:ascii="仿宋" w:hAnsi="仿宋" w:eastAsia="仿宋" w:cs="仿宋"/>
          <w:color w:val="auto"/>
          <w:sz w:val="24"/>
          <w:szCs w:val="24"/>
          <w:highlight w:val="none"/>
        </w:rPr>
        <w:outlineLvl w:val="9"/>
      </w:pPr>
      <w:r/>
      <w:bookmarkStart w:id="94" w:name="_Toc351203488"/>
      <w:r>
        <w:rPr>
          <w:rFonts w:hint="eastAsia" w:ascii="仿宋" w:hAnsi="仿宋" w:eastAsia="仿宋" w:cs="仿宋"/>
          <w:b/>
          <w:color w:val="auto"/>
          <w:sz w:val="24"/>
          <w:szCs w:val="24"/>
          <w:highlight w:val="none"/>
        </w:rPr>
        <w:t xml:space="preserve">    八、词语含义</w:t>
      </w:r>
      <w:bookmarkEnd w:id="94"/>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本协议书中词语含义与第二部分通用合同条款中赋予的含义相同。</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95" w:name="_Toc351203489"/>
      <w:r>
        <w:rPr>
          <w:rFonts w:hint="eastAsia" w:ascii="仿宋" w:hAnsi="仿宋" w:eastAsia="仿宋" w:cs="仿宋"/>
          <w:b w:val="0"/>
          <w:color w:val="auto"/>
          <w:sz w:val="24"/>
          <w:szCs w:val="24"/>
          <w:highlight w:val="none"/>
        </w:rPr>
        <w:t xml:space="preserve">九、签订时间</w:t>
      </w:r>
      <w:bookmarkEnd w:id="95"/>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日签订。</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bookmarkStart w:id="96" w:name="_Toc351203490"/>
      <w:r>
        <w:rPr>
          <w:rFonts w:hint="eastAsia" w:ascii="仿宋" w:hAnsi="仿宋" w:eastAsia="仿宋" w:cs="仿宋"/>
          <w:b w:val="0"/>
          <w:color w:val="auto"/>
          <w:sz w:val="24"/>
          <w:szCs w:val="24"/>
          <w:highlight w:val="none"/>
        </w:rPr>
        <w:t xml:space="preserve">十、签订地点</w:t>
      </w:r>
      <w:bookmarkEnd w:id="96"/>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签订。</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bookmarkStart w:id="97" w:name="_Toc351203491"/>
      <w:r>
        <w:rPr>
          <w:rFonts w:hint="eastAsia" w:ascii="仿宋" w:hAnsi="仿宋" w:eastAsia="仿宋" w:cs="仿宋"/>
          <w:b w:val="0"/>
          <w:color w:val="auto"/>
          <w:sz w:val="24"/>
          <w:szCs w:val="24"/>
          <w:highlight w:val="none"/>
        </w:rPr>
        <w:t xml:space="preserve">十一、补充协议</w:t>
      </w:r>
      <w:bookmarkEnd w:id="97"/>
      <w:r/>
      <w:r/>
    </w:p>
    <w:p>
      <w:pPr>
        <w:ind w:firstLine="480"/>
        <w:pageBreakBefore w:val="0"/>
        <w:spacing w:line="312" w:lineRule="auto"/>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bookmarkStart w:id="98" w:name="_Toc351203492"/>
      <w:r>
        <w:rPr>
          <w:rFonts w:hint="eastAsia" w:ascii="仿宋" w:hAnsi="仿宋" w:eastAsia="仿宋" w:cs="仿宋"/>
          <w:b w:val="0"/>
          <w:color w:val="auto"/>
          <w:sz w:val="24"/>
          <w:szCs w:val="24"/>
          <w:highlight w:val="none"/>
        </w:rPr>
        <w:t xml:space="preserve">十二、合同生效</w:t>
      </w:r>
      <w:bookmarkEnd w:id="98"/>
      <w:r/>
      <w:r/>
    </w:p>
    <w:p>
      <w:pPr>
        <w:ind w:firstLine="480"/>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双方签字盖章之日 </w:t>
      </w:r>
      <w:r>
        <w:rPr>
          <w:rFonts w:hint="eastAsia" w:ascii="仿宋" w:hAnsi="仿宋" w:eastAsia="仿宋" w:cs="仿宋"/>
          <w:color w:val="auto"/>
          <w:sz w:val="24"/>
          <w:szCs w:val="24"/>
          <w:highlight w:val="none"/>
        </w:rPr>
        <w:t xml:space="preserve">生效。</w:t>
      </w:r>
      <w:r/>
    </w:p>
    <w:p>
      <w:pPr>
        <w:pageBreakBefore w:val="0"/>
        <w:spacing w:before="120" w:after="120"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bookmarkStart w:id="99" w:name="_Toc351203493"/>
      <w:r>
        <w:rPr>
          <w:rFonts w:hint="eastAsia" w:ascii="仿宋" w:hAnsi="仿宋" w:eastAsia="仿宋" w:cs="仿宋"/>
          <w:b w:val="0"/>
          <w:color w:val="auto"/>
          <w:sz w:val="24"/>
          <w:szCs w:val="24"/>
          <w:highlight w:val="none"/>
        </w:rPr>
        <w:t xml:space="preserve">十三、合同份数</w:t>
      </w:r>
      <w:bookmarkEnd w:id="99"/>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lang w:val="en-US" w:eastAsia="zh-CN"/>
        </w:rPr>
        <w:t xml:space="preserve">肆  </w:t>
      </w:r>
      <w:r>
        <w:rPr>
          <w:rFonts w:hint="eastAsia" w:ascii="仿宋" w:hAnsi="仿宋" w:eastAsia="仿宋" w:cs="仿宋"/>
          <w:color w:val="auto"/>
          <w:sz w:val="24"/>
          <w:szCs w:val="24"/>
          <w:highlight w:val="none"/>
        </w:rPr>
        <w:t xml:space="preserve">份具有同等法律效力，发包人执</w:t>
      </w:r>
      <w:r>
        <w:rPr>
          <w:rFonts w:hint="eastAsia" w:ascii="仿宋" w:hAnsi="仿宋" w:eastAsia="仿宋" w:cs="仿宋"/>
          <w:color w:val="auto"/>
          <w:sz w:val="24"/>
          <w:szCs w:val="24"/>
          <w:highlight w:val="none"/>
          <w:u w:val="single"/>
        </w:rPr>
        <w:t xml:space="preserve">贰份</w:t>
      </w:r>
      <w:r>
        <w:rPr>
          <w:rFonts w:hint="eastAsia" w:ascii="仿宋" w:hAnsi="仿宋" w:eastAsia="仿宋" w:cs="仿宋"/>
          <w:color w:val="auto"/>
          <w:sz w:val="24"/>
          <w:szCs w:val="24"/>
          <w:highlight w:val="none"/>
        </w:rPr>
        <w:t xml:space="preserve">，承包人执</w:t>
      </w:r>
      <w:r>
        <w:rPr>
          <w:rFonts w:hint="eastAsia" w:ascii="仿宋" w:hAnsi="仿宋" w:eastAsia="仿宋" w:cs="仿宋"/>
          <w:color w:val="auto"/>
          <w:sz w:val="24"/>
          <w:szCs w:val="24"/>
          <w:highlight w:val="none"/>
          <w:u w:val="single"/>
        </w:rPr>
        <w:t xml:space="preserve">贰</w:t>
      </w:r>
      <w:r>
        <w:rPr>
          <w:rFonts w:hint="eastAsia" w:ascii="仿宋" w:hAnsi="仿宋" w:eastAsia="仿宋" w:cs="仿宋"/>
          <w:color w:val="auto"/>
          <w:sz w:val="24"/>
          <w:szCs w:val="24"/>
          <w:highlight w:val="none"/>
        </w:rPr>
        <w:t xml:space="preserve">份</w:t>
      </w:r>
      <w:r/>
    </w:p>
    <w:p>
      <w:pP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承包人：  (公章)</w:t>
      </w:r>
      <w:r/>
    </w:p>
    <w:p>
      <w:pP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ageBreakBefore w:val="0"/>
        <w:spacing w:line="312"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p>
    <w:p>
      <w:pP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法定代表人或其委托代理人：</w:t>
      </w:r>
      <w:r/>
    </w:p>
    <w:p>
      <w:pP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                              （签字）</w:t>
      </w:r>
      <w:r/>
    </w:p>
    <w:p>
      <w:pPr>
        <w:pageBreakBefore w:val="0"/>
        <w:spacing w:line="312" w:lineRule="auto"/>
        <w:tabs>
          <w:tab w:val="left" w:pos="441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税号：</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税号：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ageBreakBefore w:val="0"/>
        <w:spacing w:line="312" w:lineRule="auto"/>
        <w:tabs>
          <w:tab w:val="left" w:pos="441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ageBreakBefore w:val="0"/>
        <w:spacing w:line="312"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邮政编码：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邮政编码：                  </w:t>
      </w:r>
      <w:r/>
    </w:p>
    <w:p>
      <w:pPr>
        <w:pageBreakBefore w:val="0"/>
        <w:spacing w:line="312"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法定代表人：                          法定代表人：                 </w:t>
      </w:r>
      <w:r/>
    </w:p>
    <w:p>
      <w:pPr>
        <w:pageBreakBefore w:val="0"/>
        <w:spacing w:line="312"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委托代理人：                          委托代理人：                 </w:t>
      </w:r>
      <w:r/>
    </w:p>
    <w:p>
      <w:pPr>
        <w:pageBreakBefore w:val="0"/>
        <w:spacing w:line="312"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电  话：                              电  话：                    </w:t>
      </w:r>
      <w:r/>
    </w:p>
    <w:p>
      <w:pPr>
        <w:pageBreakBefore w:val="0"/>
        <w:spacing w:line="312"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联行号：</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联行号：                     </w:t>
      </w:r>
      <w:r/>
    </w:p>
    <w:p>
      <w:pPr>
        <w:ind w:left="4440" w:hanging="4440"/>
        <w:jc w:val="left"/>
        <w:pageBreakBefore w:val="0"/>
        <w:spacing w:line="312"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开户银行：</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开户银行：                     </w:t>
      </w:r>
      <w:r/>
    </w:p>
    <w:p>
      <w:pPr>
        <w:pageBreakBefore w:val="0"/>
        <w:spacing w:line="312"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账  号：</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账  号：                    </w:t>
      </w:r>
      <w:r/>
    </w:p>
    <w:p>
      <w:pPr>
        <w:jc w:val="left"/>
        <w:pageBreakBefore w:val="0"/>
        <w:spacing w:line="312" w:lineRule="auto"/>
        <w:rPr>
          <w:rFonts w:hint="eastAsia" w:ascii="仿宋" w:hAnsi="仿宋" w:eastAsia="仿宋" w:cs="仿宋"/>
          <w:b/>
          <w:color w:val="auto"/>
          <w:sz w:val="24"/>
          <w:szCs w:val="24"/>
          <w:highlight w:val="none"/>
          <w:u w:val="none"/>
        </w:rPr>
      </w:pPr>
      <w:r/>
      <w:bookmarkStart w:id="100" w:name="_Toc351203494"/>
      <w:r>
        <w:rPr>
          <w:rFonts w:hint="eastAsia" w:ascii="仿宋" w:hAnsi="仿宋" w:eastAsia="仿宋" w:cs="仿宋"/>
          <w:b/>
          <w:color w:val="auto"/>
          <w:sz w:val="24"/>
          <w:szCs w:val="24"/>
          <w:highlight w:val="none"/>
          <w:u w:val="none"/>
        </w:rPr>
        <w:br w:type="page" w:clear="all"/>
      </w:r>
      <w:r/>
    </w:p>
    <w:p>
      <w:pPr>
        <w:pStyle w:val="1097"/>
        <w:jc w:val="cente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第二部分 通用合同条款</w:t>
      </w:r>
      <w:bookmarkEnd w:id="100"/>
      <w:r/>
      <w:bookmarkStart w:id="101" w:name="_Toc337558727"/>
      <w:r/>
      <w:bookmarkEnd w:id="101"/>
      <w:r/>
      <w:r/>
    </w:p>
    <w:p>
      <w:pPr>
        <w:jc w:val="center"/>
        <w:pageBreakBefore w:val="0"/>
        <w:spacing w:line="500" w:lineRule="exact"/>
        <w:rPr>
          <w:rFonts w:hint="eastAsia" w:ascii="仿宋" w:hAnsi="仿宋" w:eastAsia="仿宋" w:cs="仿宋"/>
          <w:color w:val="auto"/>
          <w:sz w:val="24"/>
          <w:szCs w:val="24"/>
          <w:highlight w:val="none"/>
        </w:rPr>
      </w:pPr>
      <w:r/>
      <w:bookmarkStart w:id="102" w:name="_Toc351203632"/>
      <w:r>
        <w:rPr>
          <w:rFonts w:hint="eastAsia" w:ascii="仿宋" w:hAnsi="仿宋" w:eastAsia="仿宋" w:cs="仿宋"/>
          <w:b/>
          <w:color w:val="auto"/>
          <w:sz w:val="24"/>
          <w:szCs w:val="24"/>
          <w:highlight w:val="none"/>
        </w:rPr>
        <w:t xml:space="preserve">备注：</w:t>
      </w:r>
      <w:r>
        <w:rPr>
          <w:rFonts w:hint="eastAsia" w:ascii="仿宋" w:hAnsi="仿宋" w:eastAsia="仿宋" w:cs="仿宋"/>
          <w:color w:val="auto"/>
          <w:sz w:val="24"/>
          <w:szCs w:val="24"/>
          <w:highlight w:val="none"/>
        </w:rPr>
        <w:t xml:space="preserve">本合同通用条款执行建设工程施工合同(GF—2017—0201)</w:t>
      </w:r>
      <w:r/>
    </w:p>
    <w:p>
      <w:pPr>
        <w:jc w:val="center"/>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rPr>
        <w:t xml:space="preserve">此部分在正式签订合同时应不加修改的、完整的装订在合同中</w:t>
      </w:r>
      <w:bookmarkEnd w:id="79"/>
      <w:r/>
      <w:bookmarkEnd w:id="80"/>
      <w:r/>
      <w:bookmarkEnd w:id="102"/>
      <w:r/>
      <w:r/>
    </w:p>
    <w:p>
      <w:pPr>
        <w:pStyle w:val="1097"/>
        <w:jc w:val="center"/>
        <w:rPr>
          <w:b/>
          <w:bCs/>
          <w:color w:val="auto"/>
          <w:highlight w:val="none"/>
        </w:rPr>
      </w:pPr>
      <w:r/>
      <w:bookmarkStart w:id="103" w:name="_Toc15325"/>
      <w:r/>
      <w:bookmarkStart w:id="104" w:name="_Toc3318"/>
      <w:r/>
      <w:bookmarkStart w:id="105" w:name="_Toc1567"/>
      <w:r>
        <w:rPr>
          <w:b/>
          <w:bCs/>
          <w:color w:val="auto"/>
          <w:highlight w:val="none"/>
        </w:rPr>
        <w:t xml:space="preserve">第三部分 专用合同条款</w:t>
      </w:r>
      <w:bookmarkEnd w:id="103"/>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设计有要求的按设计要求执行，设计没有要求的执行</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合同专用条款及补充协议书；</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中标通知书；</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招标文件；</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投标书及其附件；</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通用合同条款；</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技术标准和要求；</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图纸；</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预算书；</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已标价工程量清单；</w:t>
      </w:r>
      <w:r/>
    </w:p>
    <w:p>
      <w:pPr>
        <w:numPr>
          <w:ilvl w:val="0"/>
          <w:numId w:val="5"/>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需要由承包人提供的文件，包括：</w:t>
      </w:r>
      <w:r>
        <w:rPr>
          <w:rFonts w:hint="eastAsia" w:ascii="宋体" w:hAnsi="宋体" w:cs="宋体"/>
          <w:color w:val="auto"/>
          <w:sz w:val="24"/>
          <w:highlight w:val="none"/>
          <w:u w:val="single"/>
        </w:rPr>
        <w:t xml:space="preserve">施工组织设计、施工方案等与工程施工有关的文件</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加盖承包人鲜章（公章）的书面文件纸质版、电子版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cs="宋体"/>
          <w:color w:val="auto"/>
          <w:sz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现场项目部办公室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发包人指定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现场项目部办公室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承包人指定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现场项目部办公室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监理人指定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宋体" w:hAnsi="宋体" w:eastAsia="宋体" w:cs="宋体"/>
          <w:b/>
          <w:bCs/>
          <w:color w:val="auto"/>
          <w:sz w:val="24"/>
          <w:szCs w:val="24"/>
          <w:highlight w:val="none"/>
        </w:rPr>
      </w:pPr>
      <w:r/>
      <w:bookmarkStart w:id="106" w:name="_Toc351203634"/>
      <w:r>
        <w:rPr>
          <w:rFonts w:hint="eastAsia" w:ascii="宋体" w:hAnsi="宋体" w:eastAsia="宋体" w:cs="宋体"/>
          <w:b/>
          <w:bCs/>
          <w:color w:val="auto"/>
          <w:sz w:val="24"/>
          <w:szCs w:val="24"/>
          <w:highlight w:val="none"/>
        </w:rPr>
        <w:t xml:space="preserve">2</w:t>
      </w:r>
      <w:bookmarkStart w:id="107" w:name="_Toc297048343"/>
      <w:r/>
      <w:bookmarkStart w:id="108" w:name="_Toc297120457"/>
      <w:r/>
      <w:bookmarkStart w:id="109" w:name="_Toc296503157"/>
      <w:r/>
      <w:bookmarkStart w:id="110" w:name="_Toc296891197"/>
      <w:r/>
      <w:bookmarkStart w:id="111" w:name="_Toc296347156"/>
      <w:r/>
      <w:bookmarkStart w:id="112" w:name="_Toc296890985"/>
      <w:r/>
      <w:bookmarkStart w:id="113" w:name="_Toc296346658"/>
      <w:r/>
      <w:bookmarkStart w:id="114" w:name="_Toc296944496"/>
      <w:r/>
      <w:bookmarkStart w:id="115" w:name="_Toc292559362"/>
      <w:r/>
      <w:bookmarkStart w:id="116" w:name="_Toc292559867"/>
      <w:r>
        <w:rPr>
          <w:rFonts w:hint="eastAsia" w:ascii="宋体" w:hAnsi="宋体" w:eastAsia="宋体" w:cs="宋体"/>
          <w:b/>
          <w:bCs/>
          <w:color w:val="auto"/>
          <w:sz w:val="24"/>
          <w:szCs w:val="24"/>
          <w:highlight w:val="none"/>
        </w:rPr>
        <w:t xml:space="preserve">.发包人</w:t>
      </w:r>
      <w:bookmarkEnd w:id="106"/>
      <w:r/>
      <w:bookmarkEnd w:id="107"/>
      <w:r/>
      <w:bookmarkEnd w:id="108"/>
      <w:r/>
      <w:bookmarkEnd w:id="109"/>
      <w:r/>
      <w:bookmarkEnd w:id="110"/>
      <w:r/>
      <w:bookmarkEnd w:id="111"/>
      <w:r/>
      <w:bookmarkEnd w:id="112"/>
      <w:r/>
      <w:bookmarkEnd w:id="113"/>
      <w:r/>
      <w:bookmarkEnd w:id="114"/>
      <w:r/>
      <w:bookmarkEnd w:id="115"/>
      <w:r/>
      <w:bookmarkEnd w:id="116"/>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u w:val="single"/>
        </w:rPr>
        <w:t xml:space="preserve">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w:t>
      </w:r>
      <w:r>
        <w:rPr>
          <w:rFonts w:hint="eastAsia" w:ascii="宋体" w:hAnsi="宋体" w:cs="宋体"/>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发包人授权的其他事项。</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宋体" w:hAnsi="宋体" w:cs="宋体"/>
          <w:color w:val="auto"/>
          <w:sz w:val="24"/>
          <w:szCs w:val="24"/>
          <w:highlight w:val="none"/>
          <w:u w:val="single"/>
          <w:lang w:eastAsia="zh-CN"/>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w:t>
      </w:r>
      <w:r>
        <w:rPr>
          <w:rFonts w:hint="eastAsia" w:ascii="宋体" w:hAnsi="宋体" w:cs="宋体"/>
          <w:color w:val="auto"/>
          <w:sz w:val="24"/>
          <w:highlight w:val="none"/>
          <w:u w:val="single"/>
        </w:rPr>
        <w:t xml:space="preserve">、徐州市档案馆（或城建档案馆）</w:t>
      </w:r>
      <w:r>
        <w:rPr>
          <w:rFonts w:hint="eastAsia" w:ascii="宋体" w:hAnsi="宋体" w:eastAsia="宋体" w:cs="宋体"/>
          <w:color w:val="auto"/>
          <w:sz w:val="24"/>
          <w:szCs w:val="24"/>
          <w:highlight w:val="none"/>
          <w:u w:val="single"/>
        </w:rPr>
        <w:t xml:space="preserve">相关法规、规范标准及本合同要求绘制竣工图及完整的工程技术档案、工程质量保修书、及有关工程使用、维护的说明。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承包人提交的竣工资料形式要求：</w:t>
      </w:r>
      <w:r>
        <w:rPr>
          <w:rFonts w:hint="eastAsia" w:ascii="宋体" w:hAnsi="宋体" w:cs="宋体"/>
          <w:color w:val="auto"/>
          <w:sz w:val="24"/>
          <w:highlight w:val="none"/>
          <w:u w:val="single"/>
        </w:rPr>
        <w:t xml:space="preserve"> 均要符合相关规范及徐州市城建档案等管理部门和发包人要求，经监理审核后同意后提交发包人和有关部门</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施工工地一律实行封闭施工、防尘网覆盖、定时洒水，控制扬尘污染等安全文明施工措施。不符合要求者，承包人应承担</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9）施工场地清洁卫生和要求：应按建设行政主管部门和</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规定办理，所需费用由承包人负担。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600"/>
        <w:jc w:val="left"/>
        <w:spacing w:line="440" w:lineRule="exact"/>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rPr>
          <w:rFonts w:hint="eastAsia" w:ascii="宋体" w:hAnsi="宋体" w:cs="宋体"/>
          <w:color w:val="auto"/>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w:t>
      </w:r>
      <w:r>
        <w:rPr>
          <w:rFonts w:hint="eastAsia" w:ascii="宋体" w:hAnsi="宋体" w:cs="宋体"/>
          <w:color w:val="auto"/>
          <w:sz w:val="24"/>
          <w:highlight w:val="none"/>
          <w:u w:val="single"/>
          <w:lang w:val="en-US" w:eastAsia="zh-CN"/>
        </w:rPr>
        <w:t xml:space="preserve">壹</w:t>
      </w:r>
      <w:r>
        <w:rPr>
          <w:rFonts w:hint="eastAsia" w:ascii="宋体" w:hAnsi="宋体" w:cs="宋体"/>
          <w:color w:val="auto"/>
          <w:sz w:val="24"/>
          <w:highlight w:val="none"/>
          <w:u w:val="single"/>
        </w:rPr>
        <w:t xml:space="preserve">万元的违约金，发生多次后发包人有权解除合同，并要求承包人退场。</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cs="宋体"/>
          <w:color w:val="auto"/>
          <w:sz w:val="24"/>
          <w:highlight w:val="none"/>
          <w:u w:val="single"/>
        </w:rPr>
        <w:t xml:space="preserve"> 对工程质量、安全、进度和文明施工全面负责，并完成承包人应做的各项工作</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本项目在建设过程中承包人的项目经理必须按</w:t>
      </w:r>
      <w:r>
        <w:rPr>
          <w:rFonts w:hint="eastAsia" w:ascii="宋体" w:hAnsi="宋体" w:eastAsia="宋体" w:cs="宋体"/>
          <w:color w:val="auto"/>
          <w:sz w:val="24"/>
          <w:szCs w:val="24"/>
          <w:highlight w:val="none"/>
          <w:u w:val="single"/>
          <w:lang w:eastAsia="zh-CN"/>
        </w:rPr>
        <w:t xml:space="preserve">响应</w:t>
      </w:r>
      <w:r>
        <w:rPr>
          <w:rFonts w:hint="eastAsia" w:ascii="宋体" w:hAnsi="宋体" w:eastAsia="宋体" w:cs="宋体"/>
          <w:color w:val="auto"/>
          <w:sz w:val="24"/>
          <w:szCs w:val="24"/>
          <w:highlight w:val="none"/>
          <w:u w:val="single"/>
        </w:rPr>
        <w:t xml:space="preserve">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w:t>
      </w:r>
      <w:r>
        <w:rPr>
          <w:rFonts w:hint="eastAsia" w:ascii="宋体" w:hAnsi="宋体" w:cs="宋体"/>
          <w:color w:val="auto"/>
          <w:sz w:val="24"/>
          <w:szCs w:val="24"/>
          <w:highlight w:val="none"/>
          <w:u w:val="single"/>
          <w:lang w:val="en-US" w:eastAsia="zh-CN"/>
        </w:rPr>
        <w:t xml:space="preserve">20000</w:t>
      </w:r>
      <w:r>
        <w:rPr>
          <w:rFonts w:hint="eastAsia" w:ascii="宋体" w:hAnsi="宋体" w:eastAsia="宋体" w:cs="宋体"/>
          <w:color w:val="auto"/>
          <w:sz w:val="24"/>
          <w:szCs w:val="24"/>
          <w:highlight w:val="none"/>
          <w:u w:val="single"/>
        </w:rPr>
        <w:t xml:space="preserve">元，作为承包人的违约金。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要求承包人承担</w:t>
      </w:r>
      <w:r>
        <w:rPr>
          <w:rFonts w:hint="eastAsia" w:ascii="宋体" w:hAnsi="宋体" w:cs="宋体"/>
          <w:color w:val="auto"/>
          <w:sz w:val="24"/>
          <w:szCs w:val="24"/>
          <w:highlight w:val="none"/>
          <w:u w:val="single"/>
          <w:lang w:val="en-US" w:eastAsia="zh-CN"/>
        </w:rPr>
        <w:t xml:space="preserve">20000</w:t>
      </w:r>
      <w:r>
        <w:rPr>
          <w:rFonts w:hint="eastAsia" w:ascii="宋体" w:hAnsi="宋体" w:eastAsia="宋体" w:cs="宋体"/>
          <w:color w:val="auto"/>
          <w:sz w:val="24"/>
          <w:szCs w:val="24"/>
          <w:highlight w:val="none"/>
          <w:u w:val="single"/>
        </w:rPr>
        <w:t xml:space="preserve">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w:t>
      </w:r>
      <w:r>
        <w:rPr>
          <w:rFonts w:hint="eastAsia" w:ascii="宋体" w:hAnsi="宋体" w:cs="宋体"/>
          <w:color w:val="auto"/>
          <w:sz w:val="24"/>
          <w:highlight w:val="none"/>
          <w:u w:val="single"/>
        </w:rPr>
        <w:t xml:space="preserve">，开工前7日内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w:t>
      </w:r>
      <w:r>
        <w:rPr>
          <w:rFonts w:hint="eastAsia" w:ascii="宋体" w:hAnsi="宋体" w:cs="宋体"/>
          <w:color w:val="auto"/>
          <w:sz w:val="24"/>
          <w:szCs w:val="24"/>
          <w:highlight w:val="none"/>
          <w:u w:val="single"/>
          <w:lang w:val="en-US" w:eastAsia="zh-CN"/>
        </w:rPr>
        <w:t xml:space="preserve">20000</w:t>
      </w:r>
      <w:r>
        <w:rPr>
          <w:rFonts w:hint="eastAsia" w:ascii="宋体" w:hAnsi="宋体" w:eastAsia="宋体" w:cs="宋体"/>
          <w:color w:val="auto"/>
          <w:sz w:val="24"/>
          <w:szCs w:val="24"/>
          <w:highlight w:val="none"/>
          <w:u w:val="single"/>
        </w:rPr>
        <w:t xml:space="preserve">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cs="宋体"/>
          <w:color w:val="auto"/>
          <w:sz w:val="24"/>
          <w:highlight w:val="none"/>
          <w:u w:val="single"/>
        </w:rPr>
        <w:t xml:space="preserve">提前报请监理人、发包人同意后方可离场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cs="宋体"/>
          <w:color w:val="auto"/>
          <w:sz w:val="24"/>
          <w:highlight w:val="none"/>
          <w:u w:val="single"/>
        </w:rPr>
        <w:t xml:space="preserve">施工期间承包人派驻现场的主要施工管理人员必须与</w:t>
      </w:r>
      <w:r>
        <w:rPr>
          <w:rFonts w:hint="eastAsia" w:ascii="宋体" w:hAnsi="宋体" w:cs="宋体"/>
          <w:color w:val="auto"/>
          <w:sz w:val="24"/>
          <w:highlight w:val="none"/>
          <w:u w:val="single"/>
          <w:lang w:eastAsia="zh-CN"/>
        </w:rPr>
        <w:t xml:space="preserve">响应</w:t>
      </w:r>
      <w:r>
        <w:rPr>
          <w:rFonts w:hint="eastAsia" w:ascii="宋体" w:hAnsi="宋体" w:cs="宋体"/>
          <w:color w:val="auto"/>
          <w:sz w:val="24"/>
          <w:highlight w:val="none"/>
          <w:u w:val="single"/>
        </w:rPr>
        <w:t xml:space="preserve">书中的人员名单保持一致</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如不一致，</w:t>
      </w:r>
      <w:r>
        <w:rPr>
          <w:rFonts w:hint="eastAsia" w:ascii="宋体" w:hAnsi="宋体" w:eastAsia="宋体" w:cs="宋体"/>
          <w:color w:val="auto"/>
          <w:sz w:val="24"/>
          <w:szCs w:val="24"/>
          <w:highlight w:val="none"/>
          <w:u w:val="single"/>
        </w:rPr>
        <w:t xml:space="preserve">发包人有权要求承包人承担</w:t>
      </w:r>
      <w:r>
        <w:rPr>
          <w:rFonts w:hint="eastAsia" w:ascii="宋体" w:hAnsi="宋体" w:cs="宋体"/>
          <w:color w:val="auto"/>
          <w:sz w:val="24"/>
          <w:szCs w:val="24"/>
          <w:highlight w:val="none"/>
          <w:u w:val="single"/>
          <w:lang w:val="en-US" w:eastAsia="zh-CN"/>
        </w:rPr>
        <w:t xml:space="preserve">10000</w:t>
      </w:r>
      <w:r>
        <w:rPr>
          <w:rFonts w:hint="eastAsia" w:ascii="宋体" w:hAnsi="宋体" w:eastAsia="宋体" w:cs="宋体"/>
          <w:color w:val="auto"/>
          <w:sz w:val="24"/>
          <w:szCs w:val="24"/>
          <w:highlight w:val="none"/>
          <w:u w:val="single"/>
        </w:rPr>
        <w:t xml:space="preserve">元</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每查实一次支付违约金3000元/人次，费用从当期应付工程款中直接扣除。如有特殊情况离开现场，应提前报请监理人、发包人同意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7" w:name="_Toc296347158"/>
      <w:r/>
      <w:bookmarkStart w:id="118" w:name="_Toc304295523"/>
      <w:r/>
      <w:bookmarkStart w:id="119" w:name="_Toc296890987"/>
      <w:r/>
      <w:bookmarkStart w:id="120" w:name="_Toc296944498"/>
      <w:r/>
      <w:bookmarkStart w:id="121" w:name="_Toc296503159"/>
      <w:r/>
      <w:bookmarkStart w:id="122" w:name="_Toc303539102"/>
      <w:r/>
      <w:bookmarkStart w:id="123" w:name="_Toc297123492"/>
      <w:r/>
      <w:bookmarkStart w:id="124" w:name="_Toc292559869"/>
      <w:r/>
      <w:bookmarkStart w:id="125" w:name="_Toc312677988"/>
      <w:r/>
      <w:bookmarkStart w:id="126" w:name="_Toc297120459"/>
      <w:r/>
      <w:bookmarkStart w:id="127" w:name="_Toc292559364"/>
      <w:r/>
      <w:bookmarkStart w:id="128" w:name="_Toc297048345"/>
      <w:r/>
      <w:bookmarkStart w:id="129" w:name="_Toc300934945"/>
      <w:r/>
      <w:bookmarkStart w:id="130" w:name="_Toc297216151"/>
      <w:r/>
      <w:bookmarkStart w:id="131" w:name="_Toc296891199"/>
      <w:r/>
      <w:bookmarkStart w:id="132" w:name="_Toc296346660"/>
      <w:r>
        <w:rPr>
          <w:rFonts w:hint="eastAsia" w:ascii="宋体" w:hAnsi="宋体" w:eastAsia="宋体" w:cs="宋体"/>
          <w:color w:val="auto"/>
          <w:sz w:val="24"/>
          <w:szCs w:val="24"/>
          <w:highlight w:val="none"/>
        </w:rPr>
        <w:t xml:space="preserve">.5分包</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33" w:name="_Toc296944499"/>
      <w:r/>
      <w:bookmarkStart w:id="134" w:name="_Toc297123493"/>
      <w:r/>
      <w:bookmarkStart w:id="135" w:name="_Toc304295524"/>
      <w:r/>
      <w:bookmarkStart w:id="136" w:name="_Toc292559870"/>
      <w:r/>
      <w:bookmarkStart w:id="137" w:name="_Toc292559365"/>
      <w:r/>
      <w:bookmarkStart w:id="138" w:name="_Toc297120460"/>
      <w:r/>
      <w:bookmarkStart w:id="139" w:name="_Toc303539103"/>
      <w:r/>
      <w:bookmarkStart w:id="140" w:name="_Toc296503160"/>
      <w:r/>
      <w:bookmarkStart w:id="141" w:name="_Toc296347159"/>
      <w:r/>
      <w:bookmarkStart w:id="142" w:name="_Toc297216152"/>
      <w:r/>
      <w:bookmarkStart w:id="143" w:name="_Toc296346661"/>
      <w:r/>
      <w:bookmarkStart w:id="144" w:name="_Toc296891200"/>
      <w:r/>
      <w:bookmarkStart w:id="145" w:name="_Toc297048346"/>
      <w:r/>
      <w:bookmarkStart w:id="146" w:name="_Toc300934946"/>
      <w:r/>
      <w:bookmarkStart w:id="147" w:name="_Toc296890988"/>
      <w:r/>
      <w:bookmarkStart w:id="148" w:name="_Toc318581158"/>
      <w:r/>
      <w:bookmarkStart w:id="149" w:name="_Toc312677989"/>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cs="宋体"/>
          <w:color w:val="auto"/>
          <w:sz w:val="24"/>
          <w:highlight w:val="none"/>
          <w:u w:val="single"/>
        </w:rPr>
        <w:t xml:space="preserve">承包人承包范围内全部工程</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color w:val="auto"/>
          <w:sz w:val="24"/>
          <w:highlight w:val="none"/>
          <w:u w:val="single"/>
        </w:rPr>
        <w:t xml:space="preserve">不得分包</w:t>
      </w:r>
      <w:r>
        <w:rPr>
          <w:rFonts w:hint="eastAsia" w:ascii="宋体" w:hAnsi="宋体" w:eastAsia="宋体" w:cs="宋体"/>
          <w:color w:val="auto"/>
          <w:sz w:val="24"/>
          <w:szCs w:val="24"/>
          <w:highlight w:val="none"/>
        </w:rPr>
        <w:t xml:space="preserve">。</w:t>
      </w:r>
      <w:bookmarkEnd w:id="148"/>
      <w:r/>
      <w:bookmarkEnd w:id="149"/>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50" w:name="_Toc312677990"/>
      <w:r/>
      <w:bookmarkStart w:id="151" w:name="_Toc318581159"/>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cs="宋体"/>
          <w:color w:val="auto"/>
          <w:sz w:val="24"/>
          <w:highlight w:val="none"/>
          <w:u w:val="single"/>
        </w:rPr>
        <w:t xml:space="preserve">不得分包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150"/>
      <w:r/>
      <w:bookmarkEnd w:id="151"/>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承包人提供履约担保的形式、金额及期限：</w:t>
      </w:r>
      <w:r>
        <w:rPr>
          <w:rFonts w:hint="eastAsia" w:ascii="宋体" w:hAnsi="宋体" w:cs="宋体"/>
          <w:color w:val="auto"/>
          <w:sz w:val="24"/>
          <w:highlight w:val="none"/>
          <w:u w:val="single"/>
          <w:lang w:val="en-US" w:eastAsia="zh-CN"/>
        </w:rPr>
        <w:t xml:space="preserve">银行保函，合同3%</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质保期满后无息退还</w:t>
      </w:r>
      <w:r>
        <w:rPr>
          <w:rFonts w:hint="eastAsia" w:ascii="宋体" w:hAnsi="宋体" w:eastAsia="宋体" w:cs="宋体"/>
          <w:color w:val="auto"/>
          <w:sz w:val="24"/>
          <w:szCs w:val="24"/>
          <w:highlight w:val="none"/>
          <w:u w:val="single"/>
          <w:lang w:val="en-US" w:eastAsia="zh-CN"/>
        </w:rPr>
        <w:t xml:space="preserve"> 。</w:t>
      </w:r>
      <w:r/>
    </w:p>
    <w:p>
      <w:pPr>
        <w:ind w:left="0" w:right="0" w:firstLine="482"/>
        <w:jc w:val="both"/>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52" w:name="_Toc351203636"/>
      <w:r>
        <w:rPr>
          <w:rFonts w:hint="eastAsia" w:ascii="宋体" w:hAnsi="宋体" w:eastAsia="宋体" w:cs="宋体"/>
          <w:b/>
          <w:bCs/>
          <w:color w:val="auto"/>
          <w:sz w:val="24"/>
          <w:szCs w:val="24"/>
          <w:highlight w:val="none"/>
        </w:rPr>
        <w:t xml:space="preserve">4</w:t>
      </w:r>
      <w:bookmarkStart w:id="153" w:name="_Toc297048348"/>
      <w:r/>
      <w:bookmarkStart w:id="154" w:name="_Toc296346663"/>
      <w:r/>
      <w:bookmarkStart w:id="155" w:name="_Toc296890990"/>
      <w:r/>
      <w:bookmarkStart w:id="156" w:name="_Toc292559871"/>
      <w:r/>
      <w:bookmarkStart w:id="157" w:name="_Toc296944501"/>
      <w:r/>
      <w:bookmarkStart w:id="158" w:name="_Toc297120462"/>
      <w:r/>
      <w:bookmarkStart w:id="159" w:name="_Toc267251413"/>
      <w:r/>
      <w:bookmarkStart w:id="160" w:name="_Toc292559366"/>
      <w:r/>
      <w:bookmarkStart w:id="161" w:name="_Toc296347161"/>
      <w:r/>
      <w:bookmarkStart w:id="162" w:name="_Toc296891202"/>
      <w:r/>
      <w:bookmarkStart w:id="163" w:name="_Toc296503162"/>
      <w:r>
        <w:rPr>
          <w:rFonts w:hint="eastAsia" w:ascii="宋体" w:hAnsi="宋体" w:eastAsia="宋体" w:cs="宋体"/>
          <w:b/>
          <w:bCs/>
          <w:color w:val="auto"/>
          <w:sz w:val="24"/>
          <w:szCs w:val="24"/>
          <w:highlight w:val="none"/>
        </w:rPr>
        <w:t xml:space="preserve">.监</w:t>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b/>
          <w:bCs/>
          <w:color w:val="auto"/>
          <w:sz w:val="24"/>
          <w:szCs w:val="24"/>
          <w:highlight w:val="none"/>
        </w:rPr>
        <w:t xml:space="preserve">理人</w:t>
      </w:r>
      <w:bookmarkEnd w:id="152"/>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6"/>
        </w:num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64" w:name="_Toc351203637"/>
      <w:r>
        <w:rPr>
          <w:rFonts w:hint="eastAsia" w:ascii="宋体" w:hAnsi="宋体" w:eastAsia="宋体" w:cs="宋体"/>
          <w:b/>
          <w:bCs/>
          <w:color w:val="auto"/>
          <w:sz w:val="24"/>
          <w:szCs w:val="24"/>
          <w:highlight w:val="none"/>
        </w:rPr>
        <w:t xml:space="preserve">5.工程质量</w:t>
      </w:r>
      <w:bookmarkEnd w:id="16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640"/>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126"/>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②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00/次的违约金，并在发包人要求期限内整改，发包人有权上报主管部门。</w:t>
      </w:r>
      <w:r/>
    </w:p>
    <w:p>
      <w:pPr>
        <w:ind w:left="0" w:right="0"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承包人编制，开工前5日内报监理。</w:t>
      </w:r>
      <w:r/>
    </w:p>
    <w:p>
      <w:pPr>
        <w:ind w:left="0" w:right="0"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6.1.5文明施工</w:t>
      </w:r>
      <w:r/>
    </w:p>
    <w:p>
      <w:pPr>
        <w:pStyle w:val="1111"/>
        <w:ind w:firstLine="440"/>
        <w:keepLines w:val="0"/>
        <w:keepNext w:val="0"/>
        <w:pageBreakBefore w:val="0"/>
        <w:spacing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符合徐州市有关部门规定的施工现场要求，同时应满足市政、市容等相关主管部门的有关规定</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首笔费用的支付已包含在预付款内，不再另行支付，其余部分与进度款同期支付</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施工组织设计和总进度计划应于施工前7天提交发包人及监理工程师审批，总进度计划应满足招标文件和合同对工期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执行通用条款</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rPr>
          <w:rFonts w:hint="eastAsia" w:ascii="宋体" w:hAnsi="宋体" w:cs="宋体"/>
          <w:color w:val="auto"/>
          <w:sz w:val="24"/>
          <w:highlight w:val="none"/>
          <w:u w:val="single"/>
        </w:rPr>
        <w:t xml:space="preserve">，且发包人有权采取任何补救措施来弥补该延误，由此增加的费用由承包人承担</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按照发包人要求</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按有关规定执行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按有关规定执行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按有关规定执行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关于变更估价的约定: </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.1.2工程量增减，其相应综合单价执行投标报价的综合单价，但不得高于定额价的综合单价。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.1.3清单项目中特征描述不全的工序，如图纸已明确或已指明引用的规范、图集等或是常规工艺必须的工序，应包括在报价中。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以上10.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）因设计变更引起的原措施费中没有的单价措施项目，由承包人根据措施项目变更情况，提出适当的措施费变更要求，经发包人确认后调整。</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5" w:name="_Toc297216203"/>
      <w:r/>
      <w:bookmarkStart w:id="166" w:name="_Toc292559402"/>
      <w:r/>
      <w:bookmarkStart w:id="167" w:name="_Toc296347196"/>
      <w:r/>
      <w:bookmarkStart w:id="168" w:name="_Toc303539150"/>
      <w:r/>
      <w:bookmarkStart w:id="169" w:name="_Toc300934993"/>
      <w:r/>
      <w:bookmarkStart w:id="170" w:name="_Toc296891237"/>
      <w:r/>
      <w:bookmarkStart w:id="171" w:name="_Toc292559907"/>
      <w:r/>
      <w:bookmarkStart w:id="172" w:name="_Toc297120497"/>
      <w:r/>
      <w:bookmarkStart w:id="173" w:name="_Toc296891025"/>
      <w:r/>
      <w:bookmarkStart w:id="174" w:name="_Toc297048383"/>
      <w:r/>
      <w:bookmarkStart w:id="175" w:name="_Toc296346698"/>
      <w:r/>
      <w:bookmarkStart w:id="176" w:name="_Toc296944536"/>
      <w:r/>
      <w:bookmarkStart w:id="177" w:name="_Toc296503197"/>
      <w:r/>
      <w:bookmarkStart w:id="178" w:name="_Toc297123544"/>
      <w:r/>
      <w:bookmarkStart w:id="179" w:name="_Toc312677503"/>
      <w:r/>
      <w:bookmarkStart w:id="180" w:name="_Toc304295570"/>
      <w:r/>
      <w:bookmarkStart w:id="181" w:name="_Toc312678029"/>
      <w:r>
        <w:rPr>
          <w:rFonts w:hint="eastAsia" w:ascii="宋体" w:hAnsi="宋体" w:eastAsia="宋体" w:cs="宋体"/>
          <w:color w:val="auto"/>
          <w:sz w:val="24"/>
          <w:szCs w:val="24"/>
          <w:highlight w:val="none"/>
        </w:rPr>
        <w:t xml:space="preserve">0.5承</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Start w:id="182" w:name="_Toc297216204"/>
      <w:r/>
      <w:bookmarkStart w:id="183" w:name="_Toc297048389"/>
      <w:r/>
      <w:bookmarkStart w:id="184" w:name="_Toc296347202"/>
      <w:r/>
      <w:bookmarkStart w:id="185" w:name="_Toc296944542"/>
      <w:r/>
      <w:bookmarkStart w:id="186" w:name="_Toc296503203"/>
      <w:r/>
      <w:bookmarkStart w:id="187" w:name="_Toc297120503"/>
      <w:r/>
      <w:bookmarkStart w:id="188" w:name="_Toc296346704"/>
      <w:r/>
      <w:bookmarkStart w:id="189" w:name="_Toc297123545"/>
      <w:r/>
      <w:bookmarkStart w:id="190" w:name="_Toc296891031"/>
      <w:r/>
      <w:bookmarkStart w:id="191" w:name="_Toc292559408"/>
      <w:r/>
      <w:bookmarkStart w:id="192" w:name="_Toc296891243"/>
      <w:r/>
      <w:bookmarkStart w:id="193" w:name="_Toc303539151"/>
      <w:r/>
      <w:bookmarkStart w:id="194" w:name="_Toc300934994"/>
      <w:r/>
      <w:bookmarkStart w:id="195" w:name="_Toc292559913"/>
      <w:r>
        <w:rPr>
          <w:rFonts w:hint="eastAsia" w:ascii="宋体" w:hAnsi="宋体" w:eastAsia="宋体" w:cs="宋体"/>
          <w:color w:val="auto"/>
          <w:sz w:val="24"/>
          <w:szCs w:val="24"/>
          <w:highlight w:val="none"/>
        </w:rPr>
        <w:t xml:space="preserve">包人的合理化建议</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196" w:name="_Toc296891032"/>
      <w:r/>
      <w:bookmarkStart w:id="197" w:name="_Toc297123546"/>
      <w:r/>
      <w:bookmarkStart w:id="198" w:name="_Toc300934995"/>
      <w:r/>
      <w:bookmarkStart w:id="199" w:name="_Toc312677504"/>
      <w:r/>
      <w:bookmarkStart w:id="200" w:name="_Toc312678030"/>
      <w:r/>
      <w:bookmarkStart w:id="201" w:name="_Toc296944543"/>
      <w:r/>
      <w:bookmarkStart w:id="202" w:name="_Toc296347203"/>
      <w:r/>
      <w:bookmarkStart w:id="203" w:name="_Toc297120504"/>
      <w:r/>
      <w:bookmarkStart w:id="204" w:name="_Toc318581175"/>
      <w:r/>
      <w:bookmarkStart w:id="205" w:name="_Toc304295571"/>
      <w:r/>
      <w:bookmarkStart w:id="206" w:name="_Toc297216205"/>
      <w:r/>
      <w:bookmarkStart w:id="207" w:name="_Toc292559409"/>
      <w:r/>
      <w:bookmarkStart w:id="208" w:name="_Toc296891244"/>
      <w:r/>
      <w:bookmarkStart w:id="209" w:name="_Toc292559914"/>
      <w:r/>
      <w:bookmarkStart w:id="210" w:name="_Toc296346705"/>
      <w:r/>
      <w:bookmarkStart w:id="211" w:name="_Toc297048390"/>
      <w:r/>
      <w:bookmarkStart w:id="212" w:name="_Toc303539152"/>
      <w:r/>
      <w:bookmarkStart w:id="213" w:name="_Toc29650320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14" w:name="_Toc351203643"/>
      <w:r>
        <w:rPr>
          <w:rFonts w:hint="eastAsia" w:ascii="宋体" w:hAnsi="宋体" w:eastAsia="宋体" w:cs="宋体"/>
          <w:b/>
          <w:bCs/>
          <w:color w:val="auto"/>
          <w:sz w:val="24"/>
          <w:szCs w:val="24"/>
          <w:highlight w:val="none"/>
        </w:rPr>
        <w:t xml:space="preserve">11.价格调整</w:t>
      </w:r>
      <w:bookmarkEnd w:id="214"/>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215" w:name="_Toc296944540"/>
      <w:r/>
      <w:bookmarkStart w:id="216" w:name="_Toc296503201"/>
      <w:r/>
      <w:bookmarkStart w:id="217" w:name="_Toc297048387"/>
      <w:r/>
      <w:bookmarkStart w:id="218" w:name="_Toc297120501"/>
      <w:r/>
      <w:bookmarkStart w:id="219" w:name="_Toc296347200"/>
      <w:r/>
      <w:bookmarkStart w:id="220" w:name="_Toc297123550"/>
      <w:r/>
      <w:bookmarkStart w:id="221" w:name="_Toc303539157"/>
      <w:r/>
      <w:bookmarkStart w:id="222" w:name="_Toc304295577"/>
      <w:r/>
      <w:bookmarkStart w:id="223" w:name="_Toc312678039"/>
      <w:r/>
      <w:bookmarkStart w:id="224" w:name="_Toc292559406"/>
      <w:r/>
      <w:bookmarkStart w:id="225" w:name="_Toc296891029"/>
      <w:r/>
      <w:bookmarkStart w:id="226" w:name="_Toc292559911"/>
      <w:r/>
      <w:bookmarkStart w:id="227" w:name="_Toc296346702"/>
      <w:r/>
      <w:bookmarkStart w:id="228" w:name="_Toc300935000"/>
      <w:r/>
      <w:bookmarkStart w:id="229" w:name="_Toc297216209"/>
      <w:r/>
      <w:bookmarkStart w:id="230" w:name="_Toc296891241"/>
      <w:r>
        <w:rPr>
          <w:rFonts w:hint="eastAsia" w:ascii="宋体" w:hAnsi="宋体" w:eastAsia="宋体" w:cs="宋体"/>
          <w:color w:val="auto"/>
          <w:sz w:val="24"/>
          <w:szCs w:val="24"/>
          <w:highlight w:val="none"/>
        </w:rPr>
        <w:t xml:space="preserve">11.1市场价格波动引起的调整</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pStyle w:val="1126"/>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color w:val="auto"/>
          <w:sz w:val="24"/>
          <w:szCs w:val="24"/>
          <w:highlight w:val="none"/>
          <w:u w:val="single"/>
        </w:rPr>
        <w:t xml:space="preserve">承包人在投标时应已充分考虑到施工期间各类建材的市场风险，并计入总报价，合同履行期间不予调整</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bCs/>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231" w:name="_Toc292559916"/>
      <w:r/>
      <w:bookmarkStart w:id="232" w:name="_Toc267251461"/>
      <w:r/>
      <w:bookmarkStart w:id="233" w:name="_Toc292559411"/>
      <w:r/>
      <w:bookmarkStart w:id="234" w:name="_Toc296346707"/>
      <w:r/>
      <w:bookmarkStart w:id="235" w:name="_Toc296891246"/>
      <w:r/>
      <w:bookmarkStart w:id="236" w:name="_Toc296347205"/>
      <w:r/>
      <w:bookmarkStart w:id="237" w:name="_Toc296503206"/>
      <w:r/>
      <w:bookmarkStart w:id="238" w:name="_Toc296891034"/>
      <w:r/>
      <w:bookmarkStart w:id="239" w:name="_Toc296944545"/>
      <w:r/>
      <w:bookmarkStart w:id="240" w:name="_Toc297048392"/>
      <w:r/>
      <w:bookmarkStart w:id="241" w:name="_Toc297120506"/>
      <w:r/>
      <w:bookmarkStart w:id="242" w:name="_Toc300935003"/>
      <w:r/>
      <w:bookmarkStart w:id="243" w:name="_Toc304295580"/>
      <w:r/>
      <w:bookmarkStart w:id="244" w:name="_Toc303539160"/>
      <w:r/>
      <w:bookmarkStart w:id="245" w:name="_Toc312678041"/>
      <w:r/>
      <w:bookmarkStart w:id="246" w:name="_Toc297123553"/>
      <w:r/>
      <w:bookmarkStart w:id="247" w:name="_Toc297216212"/>
      <w:r>
        <w:rPr>
          <w:rFonts w:hint="eastAsia" w:ascii="宋体" w:hAnsi="宋体" w:eastAsia="宋体" w:cs="宋体"/>
          <w:color w:val="auto"/>
          <w:sz w:val="24"/>
          <w:szCs w:val="24"/>
          <w:highlight w:val="none"/>
        </w:rPr>
        <w:t xml:space="preserve">12.1合</w:t>
      </w:r>
      <w:bookmarkEnd w:id="231"/>
      <w:r/>
      <w:bookmarkEnd w:id="232"/>
      <w:r/>
      <w:bookmarkEnd w:id="233"/>
      <w:r>
        <w:rPr>
          <w:rFonts w:hint="eastAsia" w:ascii="宋体" w:hAnsi="宋体" w:eastAsia="宋体" w:cs="宋体"/>
          <w:color w:val="auto"/>
          <w:sz w:val="24"/>
          <w:szCs w:val="24"/>
          <w:highlight w:val="none"/>
        </w:rPr>
        <w:t xml:space="preserve">同价</w:t>
      </w:r>
      <w:bookmarkEnd w:id="234"/>
      <w:r/>
      <w:bookmarkEnd w:id="235"/>
      <w:r/>
      <w:bookmarkEnd w:id="236"/>
      <w:r/>
      <w:bookmarkEnd w:id="237"/>
      <w:r/>
      <w:bookmarkEnd w:id="238"/>
      <w:r/>
      <w:bookmarkEnd w:id="239"/>
      <w:r/>
      <w:bookmarkEnd w:id="240"/>
      <w:r/>
      <w:bookmarkEnd w:id="241"/>
      <w:r>
        <w:rPr>
          <w:rFonts w:hint="eastAsia" w:ascii="宋体" w:hAnsi="宋体" w:eastAsia="宋体" w:cs="宋体"/>
          <w:color w:val="auto"/>
          <w:sz w:val="24"/>
          <w:szCs w:val="24"/>
          <w:highlight w:val="none"/>
        </w:rPr>
        <w:t xml:space="preserve">格形式</w:t>
      </w:r>
      <w:bookmarkEnd w:id="242"/>
      <w:r/>
      <w:bookmarkEnd w:id="243"/>
      <w:r/>
      <w:bookmarkEnd w:id="244"/>
      <w:r/>
      <w:bookmarkEnd w:id="245"/>
      <w:r/>
      <w:bookmarkEnd w:id="246"/>
      <w:r/>
      <w:bookmarkEnd w:id="247"/>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a人工费按照</w:t>
      </w:r>
      <w:r>
        <w:rPr>
          <w:rFonts w:hint="eastAsia" w:ascii="宋体" w:hAnsi="宋体"/>
          <w:color w:val="auto"/>
          <w:sz w:val="24"/>
          <w:highlight w:val="none"/>
          <w:u w:val="single"/>
        </w:rPr>
        <w:t xml:space="preserve">苏建函价〔</w:t>
      </w:r>
      <w:r>
        <w:rPr>
          <w:rFonts w:hint="eastAsia" w:ascii="宋体" w:hAnsi="宋体"/>
          <w:color w:val="auto"/>
          <w:sz w:val="24"/>
          <w:highlight w:val="none"/>
          <w:u w:val="single"/>
          <w:lang w:val="en-US" w:eastAsia="zh-CN"/>
        </w:rPr>
        <w:t xml:space="preserve">2025</w:t>
      </w: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66</w:t>
      </w:r>
      <w:r>
        <w:rPr>
          <w:rFonts w:hint="eastAsia" w:ascii="宋体" w:hAnsi="宋体"/>
          <w:color w:val="auto"/>
          <w:sz w:val="24"/>
          <w:highlight w:val="none"/>
          <w:u w:val="single"/>
        </w:rPr>
        <w:t xml:space="preserve">号</w:t>
      </w:r>
      <w:r>
        <w:rPr>
          <w:rFonts w:hint="eastAsia" w:ascii="宋体" w:hAnsi="宋体" w:cs="宋体"/>
          <w:color w:val="auto"/>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工程量偏差不超过15%时其综合单价不予调整；f一周内非承包人原因停水、停电造成累计停工在八小时以内的风险。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cs="宋体"/>
          <w:color w:val="auto"/>
          <w:sz w:val="24"/>
          <w:highlight w:val="none"/>
          <w:u w:val="single"/>
          <w:lang w:val="en-US" w:eastAsia="zh-CN"/>
        </w:rPr>
        <w:t xml:space="preserve">采购</w:t>
      </w:r>
      <w:r>
        <w:rPr>
          <w:rFonts w:hint="eastAsia" w:ascii="宋体" w:hAnsi="宋体" w:cs="宋体"/>
          <w:color w:val="auto"/>
          <w:sz w:val="24"/>
          <w:highlight w:val="none"/>
          <w:u w:val="single"/>
        </w:rPr>
        <w:t xml:space="preserve">文件中规定的控制价计价编制办法的原则计算，报发包人同意后进行结算；因非承包人原因的工程变更，造成施工组织设计或施工方案变更，引起措施项目发生变化时，措施项目费按</w:t>
      </w:r>
      <w:r>
        <w:rPr>
          <w:rFonts w:hint="eastAsia" w:ascii="宋体" w:hAnsi="宋体" w:cs="宋体"/>
          <w:color w:val="auto"/>
          <w:sz w:val="24"/>
          <w:highlight w:val="none"/>
          <w:u w:val="single"/>
          <w:lang w:eastAsia="zh-CN"/>
        </w:rPr>
        <w:t xml:space="preserve">响应</w:t>
      </w:r>
      <w:r>
        <w:rPr>
          <w:rFonts w:hint="eastAsia" w:ascii="宋体" w:hAnsi="宋体" w:cs="宋体"/>
          <w:color w:val="auto"/>
          <w:sz w:val="24"/>
          <w:highlight w:val="none"/>
          <w:u w:val="single"/>
        </w:rPr>
        <w:t xml:space="preserve">时费率进行调整。</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w:t>
      </w:r>
      <w:r>
        <w:rPr>
          <w:rFonts w:hint="eastAsia" w:ascii="宋体" w:hAnsi="宋体" w:cs="宋体"/>
          <w:color w:val="auto"/>
          <w:sz w:val="24"/>
          <w:highlight w:val="none"/>
          <w:u w:val="single"/>
          <w:lang w:val="en-US" w:eastAsia="zh-CN"/>
        </w:rPr>
        <w:t xml:space="preserve">采购</w:t>
      </w:r>
      <w:r>
        <w:rPr>
          <w:rFonts w:hint="eastAsia" w:ascii="宋体" w:hAnsi="宋体" w:cs="宋体"/>
          <w:color w:val="auto"/>
          <w:sz w:val="24"/>
          <w:highlight w:val="none"/>
          <w:u w:val="single"/>
        </w:rPr>
        <w:t xml:space="preserve">预算价相比的让利幅度同比例下浮。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cs="宋体"/>
          <w:color w:val="auto"/>
          <w:sz w:val="24"/>
          <w:highlight w:val="none"/>
          <w:u w:val="single"/>
        </w:rPr>
        <w:t xml:space="preserve">6）关于法律、法规、规章或各级政府在施工期间出台的有关政策导致工程规费、税金发生变化的，应按照有关规定执行。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248" w:name="_Toc304295581"/>
      <w:r/>
      <w:bookmarkStart w:id="249" w:name="_Toc303539161"/>
      <w:r/>
      <w:bookmarkStart w:id="250" w:name="_Toc300935004"/>
      <w:r/>
      <w:bookmarkStart w:id="251" w:name="_Toc297216213"/>
      <w:r/>
      <w:bookmarkStart w:id="252" w:name="_Toc312678042"/>
      <w:r/>
      <w:bookmarkStart w:id="253" w:name="_Toc297123554"/>
      <w:r/>
      <w:bookmarkStart w:id="254" w:name="_Toc296891247"/>
      <w:r/>
      <w:bookmarkStart w:id="255" w:name="_Toc292559917"/>
      <w:r/>
      <w:bookmarkStart w:id="256" w:name="_Toc297120507"/>
      <w:r/>
      <w:bookmarkStart w:id="257" w:name="_Toc296944546"/>
      <w:r/>
      <w:bookmarkStart w:id="258" w:name="_Toc296503207"/>
      <w:r/>
      <w:bookmarkStart w:id="259" w:name="_Toc296891035"/>
      <w:r/>
      <w:bookmarkStart w:id="260" w:name="_Toc296346708"/>
      <w:r/>
      <w:bookmarkStart w:id="261" w:name="_Toc292559412"/>
      <w:r/>
      <w:bookmarkStart w:id="262" w:name="_Toc297048393"/>
      <w:r/>
      <w:bookmarkStart w:id="263" w:name="_Toc296347206"/>
      <w:r>
        <w:rPr>
          <w:rFonts w:hint="eastAsia" w:ascii="宋体" w:hAnsi="宋体" w:eastAsia="宋体" w:cs="宋体"/>
          <w:color w:val="auto"/>
          <w:sz w:val="24"/>
          <w:szCs w:val="24"/>
          <w:highlight w:val="none"/>
        </w:rPr>
        <w:t xml:space="preserve">12.2预付款</w:t>
      </w:r>
      <w:bookmarkEnd w:id="248"/>
      <w:r/>
      <w:bookmarkEnd w:id="249"/>
      <w:r/>
      <w:bookmarkEnd w:id="250"/>
      <w:r/>
      <w:bookmarkEnd w:id="251"/>
      <w:r/>
      <w:bookmarkEnd w:id="252"/>
      <w:r/>
      <w:bookmarkEnd w:id="253"/>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详见12.4.1 付款周期</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详见12.4.1 付款周期</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254"/>
      <w:r/>
      <w:bookmarkEnd w:id="255"/>
      <w:r/>
      <w:bookmarkEnd w:id="256"/>
      <w:r/>
      <w:bookmarkEnd w:id="257"/>
      <w:r/>
      <w:bookmarkEnd w:id="258"/>
      <w:r/>
      <w:bookmarkEnd w:id="259"/>
      <w:r/>
      <w:bookmarkEnd w:id="260"/>
      <w:r/>
      <w:bookmarkEnd w:id="261"/>
      <w:r/>
      <w:bookmarkEnd w:id="262"/>
      <w:r/>
      <w:bookmarkEnd w:id="263"/>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113"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工程量计算规则：执行现</w:t>
      </w:r>
      <w:r>
        <w:rPr>
          <w:rFonts w:hint="eastAsia" w:ascii="宋体" w:hAnsi="宋体" w:eastAsia="宋体" w:cs="宋体"/>
          <w:color w:val="auto"/>
          <w:sz w:val="24"/>
          <w:szCs w:val="24"/>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人提供的工程量清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如承包人未按时报送工程量，影响工程款支付的，由承包人自行负责。</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firstLine="480"/>
        <w:jc w:val="left"/>
        <w:spacing w:line="440" w:lineRule="exact"/>
        <w:rPr>
          <w:rFonts w:hint="eastAsia" w:ascii="宋体" w:hAnsi="宋体" w:cs="宋体"/>
          <w:color w:val="auto"/>
          <w:sz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cs="宋体"/>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u w:val="single"/>
        </w:rPr>
        <w:t xml:space="preserve">（3）工程价款根据监理人和发包人的审核结果计算。</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264" w:name="_Toc292559416"/>
      <w:r/>
      <w:bookmarkStart w:id="265" w:name="_Toc300935006"/>
      <w:r/>
      <w:bookmarkStart w:id="266" w:name="_Toc296891251"/>
      <w:r/>
      <w:bookmarkStart w:id="267" w:name="_Toc296503211"/>
      <w:r/>
      <w:bookmarkStart w:id="268" w:name="_Toc296944550"/>
      <w:r/>
      <w:bookmarkStart w:id="269" w:name="_Toc296346712"/>
      <w:r/>
      <w:bookmarkStart w:id="270" w:name="_Toc297123556"/>
      <w:r/>
      <w:bookmarkStart w:id="271" w:name="_Toc292559921"/>
      <w:r/>
      <w:bookmarkStart w:id="272" w:name="_Toc296891039"/>
      <w:r/>
      <w:bookmarkStart w:id="273" w:name="_Toc297120511"/>
      <w:r/>
      <w:bookmarkStart w:id="274" w:name="_Toc296347210"/>
      <w:r/>
      <w:bookmarkStart w:id="275" w:name="_Toc297216215"/>
      <w:r/>
      <w:bookmarkStart w:id="276" w:name="_Toc297048397"/>
      <w:r/>
      <w:bookmarkStart w:id="277" w:name="_Toc303539163"/>
      <w:r>
        <w:rPr>
          <w:rFonts w:hint="eastAsia" w:ascii="宋体" w:hAnsi="宋体" w:eastAsia="宋体" w:cs="宋体"/>
          <w:color w:val="auto"/>
          <w:sz w:val="24"/>
          <w:szCs w:val="24"/>
          <w:highlight w:val="none"/>
        </w:rPr>
        <w:t xml:space="preserve">12.4.1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付款周期</w:t>
      </w:r>
      <w:r/>
    </w:p>
    <w:p>
      <w:pPr>
        <w:ind w:left="0" w:right="0" w:firstLine="482"/>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本合同总金额为人民币大写金额</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元（小写金额：</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元），经双方协商一致，选择以下第</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种付款方式：</w:t>
      </w:r>
      <w:r/>
    </w:p>
    <w:p>
      <w:pPr>
        <w:ind w:firstLine="482"/>
        <w:jc w:val="left"/>
        <w:spacing w:line="440" w:lineRule="exact"/>
        <w:rPr>
          <w:rFonts w:hint="eastAsia" w:ascii="宋体" w:hAnsi="宋体" w:cs="宋体"/>
          <w:b w:val="0"/>
          <w:bCs/>
          <w:color w:val="auto"/>
          <w:sz w:val="24"/>
          <w:highlight w:val="none"/>
          <w:u w:val="single"/>
        </w:rPr>
      </w:pPr>
      <w:r>
        <w:rPr>
          <w:rFonts w:hint="eastAsia" w:ascii="宋体" w:hAnsi="宋体" w:cs="宋体"/>
          <w:b/>
          <w:bCs w:val="0"/>
          <w:color w:val="auto"/>
          <w:sz w:val="24"/>
          <w:highlight w:val="none"/>
          <w:u w:val="single"/>
        </w:rPr>
        <w:t xml:space="preserve">付款方式一：提交预付款保函的</w:t>
      </w:r>
      <w:r/>
    </w:p>
    <w:p>
      <w:pPr>
        <w:ind w:firstLine="482"/>
        <w:jc w:val="left"/>
        <w:spacing w:line="440" w:lineRule="exact"/>
        <w:rPr>
          <w:rFonts w:hint="eastAsia" w:ascii="宋体" w:hAnsi="宋体" w:cs="宋体"/>
          <w:b w:val="0"/>
          <w:bCs/>
          <w:color w:val="auto"/>
          <w:sz w:val="24"/>
          <w:highlight w:val="none"/>
          <w:u w:val="single"/>
        </w:rPr>
      </w:pPr>
      <w:r>
        <w:rPr>
          <w:rFonts w:hint="eastAsia" w:ascii="宋体" w:hAnsi="宋体" w:cs="宋体"/>
          <w:b w:val="0"/>
          <w:bCs/>
          <w:color w:val="auto"/>
          <w:sz w:val="24"/>
          <w:highlight w:val="none"/>
          <w:u w:val="single"/>
        </w:rPr>
        <w:t xml:space="preserve">合同价款的百分之三十(30%) 即￥   ，大写：人民币  元整，在双方签订</w:t>
      </w:r>
      <w:r>
        <w:rPr>
          <w:rFonts w:hint="eastAsia" w:ascii="宋体" w:hAnsi="宋体" w:cs="宋体"/>
          <w:b w:val="0"/>
          <w:bCs/>
          <w:color w:val="auto"/>
          <w:sz w:val="24"/>
          <w:highlight w:val="none"/>
          <w:u w:val="single"/>
          <w:lang w:val="en-US" w:eastAsia="zh-CN"/>
        </w:rPr>
        <w:t xml:space="preserve">合同</w:t>
      </w:r>
      <w:r>
        <w:rPr>
          <w:rFonts w:hint="eastAsia" w:ascii="宋体" w:hAnsi="宋体" w:cs="宋体"/>
          <w:b w:val="0"/>
          <w:bCs/>
          <w:color w:val="auto"/>
          <w:sz w:val="24"/>
          <w:highlight w:val="none"/>
          <w:u w:val="single"/>
        </w:rPr>
        <w:t xml:space="preserve">、材料进场且</w:t>
      </w:r>
      <w:r>
        <w:rPr>
          <w:rFonts w:hint="eastAsia" w:ascii="宋体" w:hAnsi="宋体" w:cs="宋体"/>
          <w:b w:val="0"/>
          <w:bCs/>
          <w:color w:val="auto"/>
          <w:sz w:val="24"/>
          <w:highlight w:val="none"/>
          <w:u w:val="single"/>
          <w:lang w:val="en-US" w:eastAsia="zh-CN"/>
        </w:rPr>
        <w:t xml:space="preserve">承包人</w:t>
      </w:r>
      <w:r>
        <w:rPr>
          <w:rFonts w:hint="eastAsia" w:ascii="宋体" w:hAnsi="宋体" w:cs="宋体"/>
          <w:b w:val="0"/>
          <w:bCs/>
          <w:color w:val="auto"/>
          <w:sz w:val="24"/>
          <w:highlight w:val="none"/>
          <w:u w:val="single"/>
        </w:rPr>
        <w:t xml:space="preserve">提供对应金额的增值税发票后15日内（或</w:t>
      </w:r>
      <w:r>
        <w:rPr>
          <w:rFonts w:hint="eastAsia" w:ascii="宋体" w:hAnsi="宋体" w:cs="宋体"/>
          <w:b w:val="0"/>
          <w:bCs/>
          <w:color w:val="auto"/>
          <w:sz w:val="24"/>
          <w:highlight w:val="none"/>
          <w:u w:val="single"/>
          <w:lang w:val="en-US" w:eastAsia="zh-CN"/>
        </w:rPr>
        <w:t xml:space="preserve">承包人</w:t>
      </w:r>
      <w:r>
        <w:rPr>
          <w:rFonts w:hint="eastAsia" w:ascii="宋体" w:hAnsi="宋体" w:cs="宋体"/>
          <w:b w:val="0"/>
          <w:bCs/>
          <w:color w:val="auto"/>
          <w:sz w:val="24"/>
          <w:highlight w:val="none"/>
          <w:u w:val="single"/>
        </w:rPr>
        <w:t xml:space="preserve">向</w:t>
      </w:r>
      <w:r>
        <w:rPr>
          <w:rFonts w:hint="eastAsia" w:ascii="宋体" w:hAnsi="宋体" w:cs="宋体"/>
          <w:b w:val="0"/>
          <w:bCs/>
          <w:color w:val="auto"/>
          <w:sz w:val="24"/>
          <w:highlight w:val="none"/>
          <w:u w:val="single"/>
          <w:lang w:val="en-US" w:eastAsia="zh-CN"/>
        </w:rPr>
        <w:t xml:space="preserve">发包人</w:t>
      </w:r>
      <w:r>
        <w:rPr>
          <w:rFonts w:hint="eastAsia" w:ascii="宋体" w:hAnsi="宋体" w:cs="宋体"/>
          <w:b w:val="0"/>
          <w:bCs/>
          <w:color w:val="auto"/>
          <w:sz w:val="24"/>
          <w:highlight w:val="none"/>
          <w:u w:val="single"/>
        </w:rPr>
        <w:t xml:space="preserve">出具等额预付款保函后），由</w:t>
      </w:r>
      <w:r>
        <w:rPr>
          <w:rFonts w:hint="eastAsia" w:ascii="宋体" w:hAnsi="宋体" w:cs="宋体"/>
          <w:b w:val="0"/>
          <w:bCs/>
          <w:color w:val="auto"/>
          <w:sz w:val="24"/>
          <w:highlight w:val="none"/>
          <w:u w:val="single"/>
          <w:lang w:val="en-US" w:eastAsia="zh-CN"/>
        </w:rPr>
        <w:t xml:space="preserve">发包人</w:t>
      </w:r>
      <w:r>
        <w:rPr>
          <w:rFonts w:hint="eastAsia" w:ascii="宋体" w:hAnsi="宋体" w:cs="宋体"/>
          <w:b w:val="0"/>
          <w:bCs/>
          <w:color w:val="auto"/>
          <w:sz w:val="24"/>
          <w:highlight w:val="none"/>
          <w:u w:val="single"/>
        </w:rPr>
        <w:t xml:space="preserve">办理政府采购资金结算手续，经审核后支付给</w:t>
      </w:r>
      <w:r>
        <w:rPr>
          <w:rFonts w:hint="eastAsia" w:ascii="宋体" w:hAnsi="宋体" w:cs="宋体"/>
          <w:b w:val="0"/>
          <w:bCs/>
          <w:color w:val="auto"/>
          <w:sz w:val="24"/>
          <w:highlight w:val="none"/>
          <w:u w:val="single"/>
          <w:lang w:val="en-US" w:eastAsia="zh-CN"/>
        </w:rPr>
        <w:t xml:space="preserve">承包人</w:t>
      </w:r>
      <w:r>
        <w:rPr>
          <w:rFonts w:hint="eastAsia" w:ascii="宋体" w:hAnsi="宋体" w:cs="宋体"/>
          <w:b w:val="0"/>
          <w:bCs/>
          <w:color w:val="auto"/>
          <w:sz w:val="24"/>
          <w:highlight w:val="none"/>
          <w:u w:val="single"/>
        </w:rPr>
        <w:t xml:space="preserve">。</w:t>
      </w:r>
      <w:r/>
    </w:p>
    <w:p>
      <w:pPr>
        <w:ind w:firstLine="482"/>
        <w:jc w:val="left"/>
        <w:spacing w:line="440" w:lineRule="exact"/>
        <w:rPr>
          <w:rFonts w:hint="eastAsia" w:ascii="宋体" w:hAnsi="宋体" w:eastAsia="宋体" w:cs="宋体"/>
          <w:b w:val="0"/>
          <w:bCs/>
          <w:color w:val="auto"/>
          <w:sz w:val="24"/>
          <w:highlight w:val="none"/>
          <w:u w:val="single"/>
          <w:lang w:eastAsia="zh-CN"/>
        </w:rPr>
      </w:pPr>
      <w:r>
        <w:rPr>
          <w:rFonts w:hint="eastAsia" w:ascii="宋体" w:hAnsi="宋体" w:cs="宋体"/>
          <w:b w:val="0"/>
          <w:bCs/>
          <w:color w:val="auto"/>
          <w:sz w:val="24"/>
          <w:highlight w:val="none"/>
          <w:u w:val="single"/>
        </w:rPr>
        <w:t xml:space="preserve">工程完成一半后14日内付至合同价的50%；工程竣工验收通过后14日内付至合同价款的80%；竣工结算价款确认后14日内付至确认价款的100%（各阶段付款承包人需提供</w:t>
      </w:r>
      <w:r>
        <w:rPr>
          <w:rFonts w:hint="eastAsia" w:ascii="宋体" w:hAnsi="宋体" w:cs="宋体"/>
          <w:b w:val="0"/>
          <w:bCs/>
          <w:color w:val="auto"/>
          <w:sz w:val="24"/>
          <w:highlight w:val="none"/>
          <w:u w:val="single"/>
          <w:lang w:val="en-US" w:eastAsia="zh-CN"/>
        </w:rPr>
        <w:t xml:space="preserve">发包人</w:t>
      </w:r>
      <w:r>
        <w:rPr>
          <w:rFonts w:hint="eastAsia" w:ascii="宋体" w:hAnsi="宋体" w:cs="宋体"/>
          <w:b w:val="0"/>
          <w:bCs/>
          <w:color w:val="auto"/>
          <w:sz w:val="24"/>
          <w:highlight w:val="none"/>
          <w:u w:val="single"/>
        </w:rPr>
        <w:t xml:space="preserve">认可的对应金额正规增值税发票，由</w:t>
      </w:r>
      <w:r>
        <w:rPr>
          <w:rFonts w:hint="eastAsia" w:ascii="宋体" w:hAnsi="宋体" w:cs="宋体"/>
          <w:b w:val="0"/>
          <w:bCs/>
          <w:color w:val="auto"/>
          <w:sz w:val="24"/>
          <w:highlight w:val="none"/>
          <w:u w:val="single"/>
          <w:lang w:val="en-US" w:eastAsia="zh-CN"/>
        </w:rPr>
        <w:t xml:space="preserve">发包人</w:t>
      </w:r>
      <w:r>
        <w:rPr>
          <w:rFonts w:hint="eastAsia" w:ascii="宋体" w:hAnsi="宋体" w:cs="宋体"/>
          <w:b w:val="0"/>
          <w:bCs/>
          <w:color w:val="auto"/>
          <w:sz w:val="24"/>
          <w:highlight w:val="none"/>
          <w:u w:val="single"/>
        </w:rPr>
        <w:t xml:space="preserve">办理政府采购资金结算手续，经审核且财政资金到位后30个工作日内支付给</w:t>
      </w:r>
      <w:r>
        <w:rPr>
          <w:rFonts w:hint="eastAsia" w:ascii="宋体" w:hAnsi="宋体" w:cs="宋体"/>
          <w:b w:val="0"/>
          <w:bCs/>
          <w:color w:val="auto"/>
          <w:sz w:val="24"/>
          <w:highlight w:val="none"/>
          <w:u w:val="single"/>
          <w:lang w:val="en-US" w:eastAsia="zh-CN"/>
        </w:rPr>
        <w:t xml:space="preserve">承包人</w:t>
      </w:r>
      <w:r>
        <w:rPr>
          <w:rFonts w:hint="eastAsia" w:ascii="宋体" w:hAnsi="宋体" w:cs="宋体"/>
          <w:b w:val="0"/>
          <w:bCs/>
          <w:color w:val="auto"/>
          <w:sz w:val="24"/>
          <w:highlight w:val="none"/>
          <w:u w:val="single"/>
        </w:rPr>
        <w:t xml:space="preserve">）</w:t>
      </w:r>
      <w:r>
        <w:rPr>
          <w:rFonts w:hint="eastAsia" w:ascii="宋体" w:hAnsi="宋体" w:cs="宋体"/>
          <w:b w:val="0"/>
          <w:bCs/>
          <w:color w:val="auto"/>
          <w:sz w:val="24"/>
          <w:highlight w:val="none"/>
          <w:u w:val="single"/>
          <w:lang w:eastAsia="zh-CN"/>
        </w:rPr>
        <w:t xml:space="preserve">。</w:t>
      </w:r>
      <w:r/>
    </w:p>
    <w:p>
      <w:pPr>
        <w:ind w:firstLine="482"/>
        <w:jc w:val="left"/>
        <w:spacing w:line="440" w:lineRule="exact"/>
        <w:rPr>
          <w:rFonts w:hint="eastAsia" w:ascii="宋体" w:hAnsi="宋体" w:cs="宋体"/>
          <w:b w:val="0"/>
          <w:bCs/>
          <w:color w:val="auto"/>
          <w:sz w:val="24"/>
          <w:highlight w:val="none"/>
          <w:u w:val="single"/>
        </w:rPr>
      </w:pPr>
      <w:r>
        <w:rPr>
          <w:rFonts w:hint="eastAsia" w:ascii="宋体" w:hAnsi="宋体" w:cs="宋体"/>
          <w:b/>
          <w:bCs w:val="0"/>
          <w:color w:val="auto"/>
          <w:sz w:val="24"/>
          <w:highlight w:val="none"/>
          <w:u w:val="single"/>
        </w:rPr>
        <w:t xml:space="preserve">付款方式二：不提交预付款保函的</w:t>
      </w:r>
      <w:r/>
    </w:p>
    <w:p>
      <w:pPr>
        <w:ind w:firstLine="482"/>
        <w:jc w:val="left"/>
        <w:spacing w:line="440" w:lineRule="exact"/>
        <w:rPr>
          <w:rFonts w:hint="eastAsia" w:ascii="宋体" w:hAnsi="宋体" w:cs="宋体"/>
          <w:b w:val="0"/>
          <w:bCs/>
          <w:color w:val="auto"/>
          <w:sz w:val="24"/>
          <w:highlight w:val="none"/>
          <w:u w:val="single"/>
        </w:rPr>
      </w:pPr>
      <w:r>
        <w:rPr>
          <w:rFonts w:hint="eastAsia" w:ascii="宋体" w:hAnsi="宋体" w:cs="宋体"/>
          <w:b w:val="0"/>
          <w:bCs/>
          <w:color w:val="auto"/>
          <w:sz w:val="24"/>
          <w:highlight w:val="none"/>
          <w:u w:val="single"/>
        </w:rPr>
        <w:t xml:space="preserve">合同价款的百分之三十(30%)作为预付款；即￥         ，大写：人民币  元整，在双方签订</w:t>
      </w:r>
      <w:r>
        <w:rPr>
          <w:rFonts w:hint="eastAsia" w:ascii="宋体" w:hAnsi="宋体" w:cs="宋体"/>
          <w:b w:val="0"/>
          <w:bCs/>
          <w:color w:val="auto"/>
          <w:sz w:val="24"/>
          <w:highlight w:val="none"/>
          <w:u w:val="single"/>
          <w:lang w:val="en-US" w:eastAsia="zh-CN"/>
        </w:rPr>
        <w:t xml:space="preserve">合同</w:t>
      </w:r>
      <w:r>
        <w:rPr>
          <w:rFonts w:hint="eastAsia" w:ascii="宋体" w:hAnsi="宋体" w:cs="宋体"/>
          <w:b w:val="0"/>
          <w:bCs/>
          <w:color w:val="auto"/>
          <w:sz w:val="24"/>
          <w:highlight w:val="none"/>
          <w:u w:val="single"/>
        </w:rPr>
        <w:t xml:space="preserve">、材料进场且乙方提供对应金额的增值税发票后15日内，由</w:t>
      </w:r>
      <w:r>
        <w:rPr>
          <w:rFonts w:hint="eastAsia" w:ascii="宋体" w:hAnsi="宋体" w:cs="宋体"/>
          <w:b w:val="0"/>
          <w:bCs/>
          <w:color w:val="auto"/>
          <w:sz w:val="24"/>
          <w:highlight w:val="none"/>
          <w:u w:val="single"/>
          <w:lang w:val="en-US" w:eastAsia="zh-CN"/>
        </w:rPr>
        <w:t xml:space="preserve">发包人</w:t>
      </w:r>
      <w:r>
        <w:rPr>
          <w:rFonts w:hint="eastAsia" w:ascii="宋体" w:hAnsi="宋体" w:cs="宋体"/>
          <w:b w:val="0"/>
          <w:bCs/>
          <w:color w:val="auto"/>
          <w:sz w:val="24"/>
          <w:highlight w:val="none"/>
          <w:u w:val="single"/>
        </w:rPr>
        <w:t xml:space="preserve">办理政府采购资金结算手续，经审核后支付给</w:t>
      </w:r>
      <w:r>
        <w:rPr>
          <w:rFonts w:hint="eastAsia" w:ascii="宋体" w:hAnsi="宋体" w:cs="宋体"/>
          <w:b w:val="0"/>
          <w:bCs/>
          <w:color w:val="auto"/>
          <w:sz w:val="24"/>
          <w:highlight w:val="none"/>
          <w:u w:val="single"/>
          <w:lang w:val="en-US" w:eastAsia="zh-CN"/>
        </w:rPr>
        <w:t xml:space="preserve">承包人</w:t>
      </w:r>
      <w:r>
        <w:rPr>
          <w:rFonts w:hint="eastAsia" w:ascii="宋体" w:hAnsi="宋体" w:cs="宋体"/>
          <w:b w:val="0"/>
          <w:bCs/>
          <w:color w:val="auto"/>
          <w:sz w:val="24"/>
          <w:highlight w:val="none"/>
          <w:u w:val="single"/>
        </w:rPr>
        <w:t xml:space="preserve">。</w:t>
      </w:r>
      <w:r/>
    </w:p>
    <w:p>
      <w:pPr>
        <w:ind w:firstLine="482"/>
        <w:jc w:val="left"/>
        <w:spacing w:line="440" w:lineRule="exact"/>
        <w:rPr>
          <w:rFonts w:hint="eastAsia" w:ascii="宋体" w:hAnsi="宋体" w:eastAsia="宋体" w:cs="宋体"/>
          <w:b w:val="0"/>
          <w:bCs/>
          <w:color w:val="auto"/>
          <w:sz w:val="24"/>
          <w:highlight w:val="none"/>
          <w:u w:val="single"/>
          <w:lang w:eastAsia="zh-CN"/>
        </w:rPr>
      </w:pPr>
      <w:r>
        <w:rPr>
          <w:rFonts w:hint="eastAsia" w:ascii="宋体" w:hAnsi="宋体" w:cs="宋体"/>
          <w:b w:val="0"/>
          <w:bCs/>
          <w:color w:val="auto"/>
          <w:sz w:val="24"/>
          <w:highlight w:val="none"/>
          <w:u w:val="single"/>
        </w:rPr>
        <w:t xml:space="preserve">工程完成一半后28日内付至合同价的50%；工程竣工验收通过后28日内付至合同价款的80%；竣工结算价款确认</w:t>
      </w:r>
      <w:r>
        <w:rPr>
          <w:rFonts w:hint="eastAsia" w:ascii="宋体" w:hAnsi="宋体" w:cs="宋体"/>
          <w:b w:val="0"/>
          <w:bCs/>
          <w:color w:val="auto"/>
          <w:sz w:val="24"/>
          <w:highlight w:val="none"/>
          <w:u w:val="single"/>
          <w:lang w:val="en-US" w:eastAsia="zh-CN"/>
        </w:rPr>
        <w:t xml:space="preserve">后</w:t>
      </w:r>
      <w:r>
        <w:rPr>
          <w:rFonts w:hint="eastAsia" w:ascii="宋体" w:hAnsi="宋体" w:cs="宋体"/>
          <w:b w:val="0"/>
          <w:bCs/>
          <w:color w:val="auto"/>
          <w:sz w:val="24"/>
          <w:highlight w:val="none"/>
          <w:u w:val="single"/>
        </w:rPr>
        <w:t xml:space="preserve">28日内付至确认价款的100%（各阶段付款承包人需提供</w:t>
      </w:r>
      <w:r>
        <w:rPr>
          <w:rFonts w:hint="eastAsia" w:ascii="宋体" w:hAnsi="宋体" w:cs="宋体"/>
          <w:b w:val="0"/>
          <w:bCs/>
          <w:color w:val="auto"/>
          <w:sz w:val="24"/>
          <w:highlight w:val="none"/>
          <w:u w:val="single"/>
          <w:lang w:val="en-US" w:eastAsia="zh-CN"/>
        </w:rPr>
        <w:t xml:space="preserve">发包人</w:t>
      </w:r>
      <w:r>
        <w:rPr>
          <w:rFonts w:hint="eastAsia" w:ascii="宋体" w:hAnsi="宋体" w:cs="宋体"/>
          <w:b w:val="0"/>
          <w:bCs/>
          <w:color w:val="auto"/>
          <w:sz w:val="24"/>
          <w:highlight w:val="none"/>
          <w:u w:val="single"/>
        </w:rPr>
        <w:t xml:space="preserve">认可的对应金额正规增值税发票，由</w:t>
      </w:r>
      <w:r>
        <w:rPr>
          <w:rFonts w:hint="eastAsia" w:ascii="宋体" w:hAnsi="宋体" w:cs="宋体"/>
          <w:b w:val="0"/>
          <w:bCs/>
          <w:color w:val="auto"/>
          <w:sz w:val="24"/>
          <w:highlight w:val="none"/>
          <w:u w:val="single"/>
          <w:lang w:val="en-US" w:eastAsia="zh-CN"/>
        </w:rPr>
        <w:t xml:space="preserve">发包人</w:t>
      </w:r>
      <w:r>
        <w:rPr>
          <w:rFonts w:hint="eastAsia" w:ascii="宋体" w:hAnsi="宋体" w:cs="宋体"/>
          <w:b w:val="0"/>
          <w:bCs/>
          <w:color w:val="auto"/>
          <w:sz w:val="24"/>
          <w:highlight w:val="none"/>
          <w:u w:val="single"/>
        </w:rPr>
        <w:t xml:space="preserve">办理政府采购资金结算手续，经审核且财政资金到位后30个工作日内支付给</w:t>
      </w:r>
      <w:r>
        <w:rPr>
          <w:rFonts w:hint="eastAsia" w:ascii="宋体" w:hAnsi="宋体" w:cs="宋体"/>
          <w:b w:val="0"/>
          <w:bCs/>
          <w:color w:val="auto"/>
          <w:sz w:val="24"/>
          <w:highlight w:val="none"/>
          <w:u w:val="single"/>
          <w:lang w:val="en-US" w:eastAsia="zh-CN"/>
        </w:rPr>
        <w:t xml:space="preserve">承包人</w:t>
      </w:r>
      <w:r>
        <w:rPr>
          <w:rFonts w:hint="eastAsia" w:ascii="宋体" w:hAnsi="宋体" w:cs="宋体"/>
          <w:b w:val="0"/>
          <w:bCs/>
          <w:color w:val="auto"/>
          <w:sz w:val="24"/>
          <w:highlight w:val="none"/>
          <w:u w:val="single"/>
        </w:rPr>
        <w:t xml:space="preserve">）</w:t>
      </w:r>
      <w:r>
        <w:rPr>
          <w:rFonts w:hint="eastAsia" w:ascii="宋体" w:hAnsi="宋体" w:cs="宋体"/>
          <w:b w:val="0"/>
          <w:bCs/>
          <w:color w:val="auto"/>
          <w:sz w:val="24"/>
          <w:highlight w:val="none"/>
          <w:u w:val="single"/>
          <w:lang w:eastAsia="zh-CN"/>
        </w:rPr>
        <w:t xml:space="preserve">。</w:t>
      </w:r>
      <w:r/>
    </w:p>
    <w:p>
      <w:pPr>
        <w:ind w:firstLine="482"/>
        <w:jc w:val="left"/>
        <w:spacing w:line="440" w:lineRule="exact"/>
        <w:rPr>
          <w:rFonts w:hint="eastAsia" w:ascii="宋体" w:hAnsi="宋体"/>
          <w:b w:val="0"/>
          <w:bCs/>
          <w:color w:val="auto"/>
          <w:sz w:val="24"/>
          <w:highlight w:val="none"/>
          <w:u w:val="single"/>
        </w:rPr>
      </w:pPr>
      <w:r>
        <w:rPr>
          <w:rFonts w:hint="eastAsia" w:ascii="宋体" w:hAnsi="宋体" w:cs="宋体"/>
          <w:b w:val="0"/>
          <w:bCs/>
          <w:color w:val="auto"/>
          <w:sz w:val="24"/>
          <w:highlight w:val="none"/>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left="0" w:right="0" w:firstLine="480"/>
        <w:pageBreakBefore w:val="0"/>
        <w:spacing w:after="0" w:line="336" w:lineRule="auto"/>
        <w:rPr>
          <w:rFonts w:hint="eastAsia"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3）付款前，承包人应当提供能满足发包人财务要求的等额发票，未提供则发包人有权拒付相应款项。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在每次付款前，</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应提交符合税务要求的合法合规票据，否则</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有权拒付，由此造成的法律后果由</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需提交的支付文件包括：</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出具的全额正式增值税</w:t>
      </w:r>
      <w:r>
        <w:rPr>
          <w:rFonts w:hint="eastAsia" w:ascii="宋体" w:hAnsi="宋体" w:eastAsia="宋体" w:cs="宋体"/>
          <w:color w:val="auto"/>
          <w:sz w:val="24"/>
          <w:szCs w:val="24"/>
          <w:highlight w:val="none"/>
          <w:lang w:val="en-US" w:eastAsia="zh-CN"/>
        </w:rPr>
        <w:t xml:space="preserve">专用</w:t>
      </w:r>
      <w:r>
        <w:rPr>
          <w:rFonts w:hint="eastAsia" w:ascii="宋体" w:hAnsi="宋体" w:eastAsia="宋体" w:cs="宋体"/>
          <w:color w:val="auto"/>
          <w:sz w:val="24"/>
          <w:szCs w:val="24"/>
          <w:highlight w:val="none"/>
        </w:rPr>
        <w:t xml:space="preserve">发票；</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出具的验收合格证明。</w:t>
      </w:r>
      <w:r/>
    </w:p>
    <w:p>
      <w:pPr>
        <w:ind w:left="0" w:right="0" w:firstLine="480"/>
        <w:jc w:val="left"/>
        <w:pageBreakBefore w:val="0"/>
        <w:spacing w:after="0"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进度款与质量挂钩，如果所完成工程的质量达不到验收规范要求，发包人有权暂缓支付该部分工程款。待承包人整改完成符合验收规范要求后再行支付。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12.4.2进度付款申请单的编制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eastAsia="宋体" w:cs="宋体"/>
          <w:color w:val="auto"/>
          <w:sz w:val="24"/>
          <w:szCs w:val="24"/>
          <w:highlight w:val="none"/>
        </w:rPr>
        <w:t xml:space="preserve">2.4.3进度付款申请单的提交</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b w:val="0"/>
          <w:bCs w:val="0"/>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支付分解表的编制</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278" w:name="_Toc296503219"/>
      <w:r/>
      <w:bookmarkStart w:id="279" w:name="_Toc351203645"/>
      <w:r/>
      <w:bookmarkStart w:id="280" w:name="_Toc292559929"/>
      <w:r/>
      <w:bookmarkStart w:id="281" w:name="_Toc303539172"/>
      <w:r/>
      <w:bookmarkStart w:id="282" w:name="_Toc296347218"/>
      <w:r/>
      <w:bookmarkStart w:id="283" w:name="_Toc297123564"/>
      <w:r/>
      <w:bookmarkStart w:id="284" w:name="_Toc296891047"/>
      <w:r/>
      <w:bookmarkStart w:id="285" w:name="_Toc296346720"/>
      <w:r/>
      <w:bookmarkStart w:id="286" w:name="_Toc292559424"/>
      <w:r/>
      <w:bookmarkStart w:id="287" w:name="_Toc296891259"/>
      <w:r/>
      <w:bookmarkStart w:id="288" w:name="_Toc297048405"/>
      <w:r/>
      <w:bookmarkStart w:id="289" w:name="_Toc297120519"/>
      <w:r/>
      <w:bookmarkStart w:id="290" w:name="_Toc297216223"/>
      <w:r/>
      <w:bookmarkStart w:id="291" w:name="_Toc300935015"/>
      <w:r/>
      <w:bookmarkStart w:id="292" w:name="_Toc304295593"/>
      <w:r/>
      <w:bookmarkStart w:id="293" w:name="_Toc296944558"/>
      <w:r/>
      <w:bookmarkStart w:id="294" w:name="_Toc312678053"/>
      <w:r>
        <w:rPr>
          <w:rFonts w:hint="eastAsia" w:ascii="宋体" w:hAnsi="宋体" w:eastAsia="宋体" w:cs="宋体"/>
          <w:b/>
          <w:bCs/>
          <w:color w:val="auto"/>
          <w:sz w:val="24"/>
          <w:szCs w:val="24"/>
          <w:highlight w:val="none"/>
        </w:rPr>
        <w:t xml:space="preserve">13.验收和工程试车</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295" w:name="_Toc296503223"/>
      <w:r/>
      <w:bookmarkStart w:id="296" w:name="_Toc296891051"/>
      <w:r/>
      <w:bookmarkStart w:id="297" w:name="_Toc297216224"/>
      <w:r/>
      <w:bookmarkStart w:id="298" w:name="_Toc297048409"/>
      <w:r/>
      <w:bookmarkStart w:id="299" w:name="_Toc312678056"/>
      <w:r/>
      <w:bookmarkStart w:id="300" w:name="_Toc292559428"/>
      <w:r/>
      <w:bookmarkStart w:id="301" w:name="_Toc300935016"/>
      <w:r/>
      <w:bookmarkStart w:id="302" w:name="_Toc296944562"/>
      <w:r/>
      <w:bookmarkStart w:id="303" w:name="_Toc297123565"/>
      <w:r/>
      <w:bookmarkStart w:id="304" w:name="_Toc297120523"/>
      <w:r/>
      <w:bookmarkStart w:id="305" w:name="_Toc296347222"/>
      <w:r/>
      <w:bookmarkStart w:id="306" w:name="_Toc304295596"/>
      <w:r/>
      <w:bookmarkStart w:id="307" w:name="_Toc296891263"/>
      <w:r/>
      <w:bookmarkStart w:id="308" w:name="_Toc292559933"/>
      <w:r/>
      <w:bookmarkStart w:id="309" w:name="_Toc303539173"/>
      <w:r/>
      <w:bookmarkStart w:id="310" w:name="_Toc296346724"/>
      <w:r/>
      <w:bookmarkStart w:id="311" w:name="_Toc267251470"/>
      <w:r/>
      <w:bookmarkStart w:id="312" w:name="_Toc267251474"/>
      <w:r/>
      <w:bookmarkStart w:id="313" w:name="_Toc267251476"/>
      <w:r/>
      <w:bookmarkStart w:id="314" w:name="_Toc267251471"/>
      <w:r/>
      <w:bookmarkStart w:id="315" w:name="_Toc267251473"/>
      <w:r/>
      <w:bookmarkStart w:id="316" w:name="_Toc267251472"/>
      <w:r/>
      <w:bookmarkStart w:id="317" w:name="_Toc267251475"/>
      <w:r>
        <w:rPr>
          <w:rFonts w:hint="eastAsia" w:ascii="宋体" w:hAnsi="宋体" w:eastAsia="宋体" w:cs="宋体"/>
          <w:color w:val="auto"/>
          <w:sz w:val="24"/>
          <w:szCs w:val="24"/>
          <w:highlight w:val="none"/>
        </w:rPr>
        <w:t xml:space="preserve">13.2竣工验收</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318" w:name="_Toc280868704"/>
      <w:r/>
      <w:bookmarkStart w:id="319" w:name="_Toc280868705"/>
      <w:r/>
      <w:bookmarkStart w:id="320" w:name="_Toc280868706"/>
      <w:r/>
      <w:bookmarkStart w:id="321" w:name="_Toc280868707"/>
      <w:r/>
      <w:bookmarkStart w:id="322" w:name="_Toc280868708"/>
      <w:r/>
      <w:bookmarkStart w:id="323" w:name="_Toc280868709"/>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竣工验收程序</w:t>
      </w:r>
      <w:bookmarkEnd w:id="31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31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bookmarkEnd w:id="320"/>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321"/>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val="0"/>
          <w:bCs w:val="0"/>
          <w:color w:val="auto"/>
          <w:sz w:val="24"/>
          <w:szCs w:val="24"/>
          <w:highlight w:val="none"/>
          <w:u w:val="single"/>
          <w:lang w:val="en-US" w:eastAsia="zh-CN"/>
        </w:rPr>
        <w:t xml:space="preserve"> 每延迟一天承包人应向发包人支付合同价的百分之一的违约金</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13.3工程试车</w:t>
      </w:r>
      <w:bookmarkEnd w:id="322"/>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324" w:name="_Toc351203646"/>
      <w:r>
        <w:rPr>
          <w:rFonts w:hint="eastAsia" w:ascii="宋体" w:hAnsi="宋体" w:eastAsia="宋体" w:cs="宋体"/>
          <w:b/>
          <w:bCs/>
          <w:color w:val="auto"/>
          <w:sz w:val="24"/>
          <w:szCs w:val="24"/>
          <w:highlight w:val="none"/>
        </w:rPr>
        <w:t xml:space="preserve">14.竣工结算</w:t>
      </w:r>
      <w:bookmarkEnd w:id="324"/>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、监理单位签字盖章）、工程中标通知书（复印件）、工程投标书及其附件和其它报财政评审需要的资料，一式肆份。</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一式陆份</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bookmarkEnd w:id="311"/>
      <w:r/>
      <w:bookmarkEnd w:id="312"/>
      <w:r/>
      <w:bookmarkEnd w:id="313"/>
      <w:r/>
      <w:bookmarkEnd w:id="314"/>
      <w:r/>
      <w:bookmarkEnd w:id="315"/>
      <w:r/>
      <w:bookmarkEnd w:id="316"/>
      <w:r/>
      <w:bookmarkEnd w:id="317"/>
      <w:r/>
      <w:bookmarkEnd w:id="323"/>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325" w:name="_Toc351203647"/>
      <w:r/>
      <w:bookmarkStart w:id="326" w:name="_Toc267251483"/>
      <w:r/>
      <w:bookmarkStart w:id="327" w:name="_Toc267251482"/>
      <w:r/>
      <w:bookmarkStart w:id="328" w:name="_Toc267251484"/>
      <w:r/>
      <w:bookmarkStart w:id="329" w:name="_Toc267251485"/>
      <w:r/>
      <w:bookmarkStart w:id="330" w:name="_Toc267251489"/>
      <w:r/>
      <w:bookmarkStart w:id="331" w:name="_Toc267251488"/>
      <w:r/>
      <w:bookmarkStart w:id="332" w:name="_Toc267251490"/>
      <w:r/>
      <w:bookmarkStart w:id="333" w:name="_Toc267251486"/>
      <w:r/>
      <w:bookmarkStart w:id="334" w:name="_Toc267251496"/>
      <w:r/>
      <w:bookmarkStart w:id="335" w:name="_Toc267251501"/>
      <w:r/>
      <w:bookmarkStart w:id="336" w:name="_Toc267251503"/>
      <w:r/>
      <w:bookmarkStart w:id="337" w:name="_Toc267251495"/>
      <w:r/>
      <w:bookmarkStart w:id="338" w:name="_Toc267251492"/>
      <w:r/>
      <w:bookmarkStart w:id="339" w:name="_Toc267251491"/>
      <w:r/>
      <w:bookmarkStart w:id="340" w:name="_Toc267251502"/>
      <w:r/>
      <w:bookmarkStart w:id="341" w:name="_Toc267251494"/>
      <w:r/>
      <w:bookmarkStart w:id="342" w:name="_Toc267251498"/>
      <w:r/>
      <w:bookmarkStart w:id="343" w:name="_Toc267251499"/>
      <w:r/>
      <w:bookmarkStart w:id="344" w:name="_Toc267251497"/>
      <w:r/>
      <w:bookmarkStart w:id="345" w:name="_Toc267251493"/>
      <w:r/>
      <w:bookmarkStart w:id="346" w:name="_Toc267251506"/>
      <w:r/>
      <w:bookmarkStart w:id="347" w:name="_Toc267251504"/>
      <w:r/>
      <w:bookmarkStart w:id="348" w:name="_Toc267251507"/>
      <w:r/>
      <w:bookmarkStart w:id="349" w:name="_Toc267251508"/>
      <w:r/>
      <w:bookmarkStart w:id="350" w:name="_Toc267251510"/>
      <w:r/>
      <w:bookmarkStart w:id="351" w:name="_Toc267251511"/>
      <w:r/>
      <w:bookmarkStart w:id="352" w:name="_Toc267251514"/>
      <w:r/>
      <w:bookmarkStart w:id="353" w:name="_Toc267251513"/>
      <w:r/>
      <w:bookmarkStart w:id="354" w:name="_Toc267251509"/>
      <w:r/>
      <w:bookmarkStart w:id="355" w:name="_Toc267251515"/>
      <w:r>
        <w:rPr>
          <w:rFonts w:hint="eastAsia" w:ascii="宋体" w:hAnsi="宋体" w:eastAsia="宋体" w:cs="宋体"/>
          <w:b/>
          <w:bCs/>
          <w:color w:val="auto"/>
          <w:sz w:val="24"/>
          <w:szCs w:val="24"/>
          <w:highlight w:val="none"/>
        </w:rPr>
        <w:t xml:space="preserve">15.缺陷责任期与保修</w:t>
      </w:r>
      <w:bookmarkEnd w:id="325"/>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缺陷责任期</w:t>
      </w:r>
      <w:bookmarkEnd w:id="326"/>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整体工程竣工验收合格之日起24个月</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不</w:t>
      </w:r>
      <w:r>
        <w:rPr>
          <w:rFonts w:hint="eastAsia" w:ascii="宋体" w:hAnsi="宋体" w:cs="宋体"/>
          <w:color w:val="auto"/>
          <w:sz w:val="24"/>
          <w:highlight w:val="none"/>
          <w:u w:val="single"/>
        </w:rPr>
        <w:t xml:space="preserve">扣留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327"/>
      <w:r/>
      <w:bookmarkEnd w:id="328"/>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w:t>
      </w:r>
      <w:bookmarkEnd w:id="32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见工程质量保修</w:t>
      </w:r>
      <w:r>
        <w:rPr>
          <w:rFonts w:hint="eastAsia" w:ascii="宋体" w:hAnsi="宋体" w:cs="宋体"/>
          <w:color w:val="auto"/>
          <w:sz w:val="24"/>
          <w:highlight w:val="none"/>
          <w:u w:val="single"/>
          <w:lang w:val="en-US" w:eastAsia="zh-CN"/>
        </w:rPr>
        <w:t xml:space="preserve">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修复通知</w:t>
      </w:r>
      <w:r/>
    </w:p>
    <w:p>
      <w:pPr>
        <w:ind w:firstLine="468"/>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u w:val="single"/>
        </w:rPr>
        <w:t xml:space="preserve">接到发包人通知后48小时内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330"/>
      <w:r/>
      <w:bookmarkEnd w:id="331"/>
      <w:r/>
      <w:bookmarkEnd w:id="332"/>
      <w:r/>
      <w:bookmarkEnd w:id="333"/>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356" w:name="_Toc351203648"/>
      <w:r/>
      <w:bookmarkStart w:id="357" w:name="_Toc280868717"/>
      <w:r/>
      <w:bookmarkStart w:id="358" w:name="_Toc280868718"/>
      <w:r>
        <w:rPr>
          <w:rFonts w:hint="eastAsia" w:ascii="宋体" w:hAnsi="宋体" w:eastAsia="宋体" w:cs="宋体"/>
          <w:b/>
          <w:bCs/>
          <w:color w:val="auto"/>
          <w:sz w:val="24"/>
          <w:szCs w:val="24"/>
          <w:highlight w:val="none"/>
        </w:rPr>
        <w:t xml:space="preserve">16.违约</w:t>
      </w:r>
      <w:bookmarkEnd w:id="356"/>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359" w:name="_Toc351203649"/>
      <w:r>
        <w:rPr>
          <w:rFonts w:hint="eastAsia" w:ascii="宋体" w:hAnsi="宋体" w:eastAsia="宋体" w:cs="宋体"/>
          <w:b/>
          <w:bCs/>
          <w:color w:val="auto"/>
          <w:sz w:val="24"/>
          <w:szCs w:val="24"/>
          <w:highlight w:val="none"/>
        </w:rPr>
        <w:t xml:space="preserve">17.不可抗力</w:t>
      </w:r>
      <w:bookmarkEnd w:id="357"/>
      <w:r/>
      <w:bookmarkEnd w:id="359"/>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以政府有关部门的规定为准</w:t>
      </w:r>
      <w:r>
        <w:rPr>
          <w:rFonts w:hint="eastAsia" w:ascii="宋体" w:hAnsi="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因不可抗力解除合同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360" w:name="_Toc351203650"/>
      <w:r>
        <w:rPr>
          <w:rFonts w:hint="eastAsia" w:ascii="宋体" w:hAnsi="宋体" w:eastAsia="宋体" w:cs="宋体"/>
          <w:b/>
          <w:bCs/>
          <w:color w:val="auto"/>
          <w:sz w:val="24"/>
          <w:szCs w:val="24"/>
          <w:highlight w:val="none"/>
        </w:rPr>
        <w:t xml:space="preserve">18.保险</w:t>
      </w:r>
      <w:bookmarkEnd w:id="358"/>
      <w:r/>
      <w:bookmarkEnd w:id="360"/>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u w:val="single"/>
        </w:rPr>
        <w:t xml:space="preserve">承包人必须按照工程所在地相关规定要求执行</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并承担保险费用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b/>
          <w:color w:val="auto"/>
          <w:sz w:val="24"/>
          <w:szCs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361" w:name="_Toc351203651"/>
      <w:r>
        <w:rPr>
          <w:rFonts w:hint="eastAsia" w:ascii="宋体" w:hAnsi="宋体" w:eastAsia="宋体" w:cs="宋体"/>
          <w:b/>
          <w:bCs/>
          <w:color w:val="auto"/>
          <w:sz w:val="24"/>
          <w:szCs w:val="24"/>
          <w:highlight w:val="none"/>
        </w:rPr>
        <w:t xml:space="preserve">20.争议解决</w:t>
      </w:r>
      <w:bookmarkEnd w:id="346"/>
      <w:r/>
      <w:bookmarkEnd w:id="347"/>
      <w:r/>
      <w:bookmarkEnd w:id="361"/>
      <w:r/>
      <w:bookmarkEnd w:id="348"/>
      <w:r/>
      <w:bookmarkEnd w:id="349"/>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cs="宋体"/>
          <w:color w:val="auto"/>
          <w:sz w:val="24"/>
          <w:szCs w:val="24"/>
          <w:highlight w:val="none"/>
          <w:lang w:eastAsia="zh-CN"/>
        </w:rPr>
        <w:t xml:space="preserve">徐州</w:t>
      </w:r>
      <w:r>
        <w:rPr>
          <w:rFonts w:hint="eastAsia" w:ascii="宋体" w:hAnsi="宋体" w:eastAsia="宋体" w:cs="宋体"/>
          <w:color w:val="auto"/>
          <w:sz w:val="24"/>
          <w:szCs w:val="24"/>
          <w:highlight w:val="none"/>
        </w:rPr>
        <w:t xml:space="preserve">仲裁委员会申请仲裁；</w:t>
      </w:r>
      <w:r/>
    </w:p>
    <w:p>
      <w:pPr>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人民法院起诉。</w:t>
      </w:r>
      <w:bookmarkEnd w:id="350"/>
      <w:r/>
      <w:bookmarkEnd w:id="351"/>
      <w:r/>
      <w:bookmarkEnd w:id="352"/>
      <w:r/>
      <w:bookmarkEnd w:id="353"/>
      <w:r/>
      <w:bookmarkEnd w:id="354"/>
      <w:r/>
      <w:bookmarkEnd w:id="355"/>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.补充条款：</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4）承包方自行办理环保、交管、市政等部门的相关手续，费用按相关规定执行。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农忙季节不得停工。</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0</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b w:val="0"/>
          <w:bCs/>
          <w:color w:val="auto"/>
          <w:sz w:val="24"/>
          <w:szCs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cs="宋体"/>
          <w:b w:val="0"/>
          <w:bCs/>
          <w:color w:val="auto"/>
          <w:sz w:val="24"/>
          <w:szCs w:val="24"/>
          <w:highlight w:val="none"/>
          <w:u w:val="single"/>
          <w:lang w:val="en-US" w:eastAsia="zh-CN"/>
        </w:rPr>
        <w:t xml:space="preserve">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因承包人自身原因，对同一分项工程连续验收项目达二次验收不合格,发包人将对承包人给予每次壹万元违约金处罚,直至解除本合同。</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4</w:t>
      </w:r>
      <w:r>
        <w:rPr>
          <w:rFonts w:hint="eastAsia" w:ascii="宋体" w:hAnsi="宋体" w:eastAsia="宋体" w:cs="宋体"/>
          <w:b w:val="0"/>
          <w:bCs/>
          <w:color w:val="auto"/>
          <w:sz w:val="24"/>
          <w:szCs w:val="24"/>
          <w:highlight w:val="none"/>
          <w:u w:val="single"/>
          <w:lang w:val="en-US" w:eastAsia="zh-CN" w:bidi="ar-SA"/>
        </w:rPr>
        <w:t xml:space="preserve">）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5</w:t>
      </w:r>
      <w:r>
        <w:rPr>
          <w:rFonts w:hint="eastAsia" w:ascii="宋体" w:hAnsi="宋体" w:eastAsia="宋体" w:cs="宋体"/>
          <w:b w:val="0"/>
          <w:bCs/>
          <w:color w:val="auto"/>
          <w:sz w:val="24"/>
          <w:szCs w:val="24"/>
          <w:highlight w:val="none"/>
          <w:u w:val="single"/>
          <w:lang w:val="en-US" w:eastAsia="zh-CN" w:bidi="ar-SA"/>
        </w:rPr>
        <w:t xml:space="preserve">）除本合同另有约定外，承包人存在其他违约行为的，应按签约合同价格的10%向发包人承担违约责任。</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6</w:t>
      </w:r>
      <w:r>
        <w:rPr>
          <w:rFonts w:hint="eastAsia" w:ascii="宋体" w:hAnsi="宋体" w:eastAsia="宋体" w:cs="宋体"/>
          <w:b w:val="0"/>
          <w:bCs/>
          <w:color w:val="auto"/>
          <w:sz w:val="24"/>
          <w:szCs w:val="24"/>
          <w:highlight w:val="none"/>
          <w:u w:val="single"/>
          <w:lang w:val="en-US" w:eastAsia="zh-CN" w:bidi="ar-SA"/>
        </w:rPr>
        <w:t xml:space="preserve">）承包人因违约需支付的违约金或赔偿损失的，发包人有权从任何一期应付款项中予以扣除。</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w:t>
      </w:r>
      <w:r>
        <w:rPr>
          <w:rFonts w:hint="eastAsia" w:ascii="宋体" w:hAnsi="宋体" w:cs="宋体"/>
          <w:b w:val="0"/>
          <w:bCs/>
          <w:color w:val="auto"/>
          <w:sz w:val="24"/>
          <w:szCs w:val="24"/>
          <w:highlight w:val="none"/>
          <w:u w:val="single"/>
          <w:lang w:val="en-US" w:eastAsia="zh-CN" w:bidi="ar-SA"/>
        </w:rPr>
        <w:t xml:space="preserve">7</w:t>
      </w:r>
      <w:r>
        <w:rPr>
          <w:rFonts w:hint="eastAsia" w:ascii="宋体" w:hAnsi="宋体" w:eastAsia="宋体" w:cs="宋体"/>
          <w:b w:val="0"/>
          <w:bCs/>
          <w:color w:val="auto"/>
          <w:sz w:val="24"/>
          <w:szCs w:val="24"/>
          <w:highlight w:val="none"/>
          <w:u w:val="single"/>
          <w:lang w:val="en-US" w:eastAsia="zh-CN" w:bidi="ar-SA"/>
        </w:rPr>
        <w:t xml:space="preserve">）因承包人违约的，发包人向承包人主张权利所产生的费用包括但不限于诉讼费、保全费、保单费、律师费差旅费等亦由承包人承担。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pStyle w:val="164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rPr>
          <w:color w:val="auto"/>
          <w:highlight w:val="none"/>
        </w:rPr>
      </w:pPr>
      <w:r>
        <w:rPr>
          <w:color w:val="auto"/>
          <w:highlight w:val="none"/>
        </w:rPr>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附件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附件1：工程质量保修书</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：承包人用于本工程施工的机械设备表</w:t>
      </w:r>
      <w:r/>
    </w:p>
    <w:p>
      <w:pPr>
        <w:pStyle w:val="1107"/>
        <w:ind w:left="0" w:firstLine="0"/>
        <w:rPr>
          <w:color w:val="auto"/>
          <w:highlight w:val="none"/>
        </w:rPr>
        <w:sectPr>
          <w:footnotePr/>
          <w:endnotePr/>
          <w:type w:val="nextPage"/>
          <w:pgSz w:w="11907" w:h="16840" w:orient="portrait"/>
          <w:pgMar w:top="1417" w:right="1701" w:bottom="1417" w:left="1701" w:header="851" w:footer="851" w:gutter="0"/>
          <w:cols w:num="1" w:sep="0" w:space="720" w:equalWidth="1"/>
          <w:docGrid w:linePitch="360"/>
        </w:sectPr>
      </w:pPr>
      <w:r>
        <w:rPr>
          <w:rFonts w:hint="eastAsia" w:ascii="宋体" w:hAnsi="宋体" w:cs="宋体"/>
          <w:color w:val="auto"/>
          <w:sz w:val="24"/>
          <w:szCs w:val="24"/>
          <w:highlight w:val="none"/>
        </w:rPr>
        <w:t xml:space="preserve">附件</w:t>
      </w:r>
      <w:r>
        <w:rPr>
          <w:rFonts w:hint="eastAsia"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：承包人主要施工管理人员表</w:t>
      </w:r>
      <w:r/>
    </w:p>
    <w:p>
      <w:pP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spacing w:before="156" w:after="156"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工程质量保修书</w:t>
      </w:r>
      <w:r/>
    </w:p>
    <w:p>
      <w:pPr>
        <w:ind w:firstLine="400"/>
        <w:spacing w:line="400" w:lineRule="exact"/>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rPr>
        <w:t xml:space="preserve">发包人（全称）：</w:t>
      </w:r>
      <w:r>
        <w:rPr>
          <w:rFonts w:hint="eastAsia" w:ascii="宋体" w:hAnsi="宋体" w:cs="宋体"/>
          <w:color w:val="auto"/>
          <w:sz w:val="21"/>
          <w:szCs w:val="21"/>
          <w:highlight w:val="none"/>
          <w:lang w:val="en-US" w:eastAsia="zh-CN"/>
        </w:rPr>
        <w:t xml:space="preserve">         </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承包人（全称）：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签订工程质量保修书。</w:t>
      </w:r>
      <w:r/>
    </w:p>
    <w:p>
      <w:pPr>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　　一、工程质量保修范围和内容</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u w:val="single"/>
        </w:rPr>
        <w:t xml:space="preserve">施工图设计及变更范围内全部内容</w:t>
      </w:r>
      <w:r>
        <w:rPr>
          <w:rFonts w:hint="eastAsia" w:ascii="宋体" w:hAnsi="宋体" w:eastAsia="宋体" w:cs="宋体"/>
          <w:color w:val="auto"/>
          <w:sz w:val="21"/>
          <w:szCs w:val="21"/>
          <w:highlight w:val="none"/>
        </w:rPr>
        <w:t xml:space="preserve">。</w:t>
      </w:r>
      <w:r/>
    </w:p>
    <w:p>
      <w:pPr>
        <w:spacing w:line="400" w:lineRule="exact"/>
        <w:rPr>
          <w:color w:val="auto"/>
          <w:sz w:val="21"/>
          <w:szCs w:val="21"/>
          <w:highlight w:val="none"/>
        </w:rPr>
        <w:outlineLvl w:val="9"/>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0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7．其他项目保修期限约定如下：质量保修期</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年。</w:t>
      </w:r>
      <w:r/>
    </w:p>
    <w:p>
      <w:pPr>
        <w:ind w:firstLine="400"/>
        <w:spacing w:line="400" w:lineRule="exact"/>
        <w:rPr>
          <w:rFonts w:hint="eastAsia" w:ascii="宋体" w:hAnsi="宋体" w:eastAsia="宋体" w:cs="宋体"/>
          <w:color w:val="auto"/>
          <w:sz w:val="21"/>
          <w:szCs w:val="21"/>
          <w:highlight w:val="none"/>
          <w:u w:val="single"/>
          <w:lang w:val="en-US" w:eastAsia="zh-CN"/>
        </w:rPr>
        <w:outlineLvl w:val="9"/>
      </w:pPr>
      <w:r>
        <w:rPr>
          <w:rFonts w:hint="eastAsia" w:ascii="宋体" w:hAnsi="宋体" w:cs="宋体"/>
          <w:color w:val="auto"/>
          <w:sz w:val="21"/>
          <w:szCs w:val="21"/>
          <w:highlight w:val="none"/>
          <w:lang w:val="en-US" w:eastAsia="zh-CN"/>
        </w:rPr>
        <w:t xml:space="preserve">本项目质量保修期：</w:t>
      </w:r>
      <w:r>
        <w:rPr>
          <w:rFonts w:hint="eastAsia" w:ascii="宋体" w:hAnsi="宋体" w:cs="宋体"/>
          <w:color w:val="auto"/>
          <w:sz w:val="21"/>
          <w:szCs w:val="21"/>
          <w:highlight w:val="none"/>
          <w:u w:val="single"/>
          <w:lang w:val="en-US" w:eastAsia="zh-CN"/>
        </w:rPr>
        <w:t xml:space="preserve">以承诺的保修期为准</w:t>
      </w:r>
      <w:r/>
    </w:p>
    <w:p>
      <w:pPr>
        <w:ind w:firstLine="40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三、缺陷责任期</w:t>
      </w:r>
      <w:r/>
    </w:p>
    <w:p>
      <w:pPr>
        <w:ind w:firstLine="40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四、质量保修责任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发生一切费用由承包方承担。</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5.工程保修服务承诺</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1）建立回访制，进行定期、不定期回访，每年内工程回访不少于两次，认真听取建设单位意见，并形成回访记录。</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2）建立维修工程专班专人负责制，由公司工程部、技术部派人负责。</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3）在质保期内承包人做到：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A、免费提供所需的工作人员和材料进行维修。针对现场破坏程度，制定相关处理方案，得到业主同意后，对工程进行维护修复工作。</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B、负责对工程进行日常一般性的定期维修保养，同时提供日夜24小时应答的紧急维修服务。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4）工程保修原则及质量回访计划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A、工程保修原则</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在保修期间，承包人将本着“向发包人负责，让用户满意”的态度，以有效的制度及措施，以优质迅速的维修质量维护承包人利益。</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由承包人原因造成的任何损伤和损坏，承包人将对所有缺陷的进行无偿检修，并承担由此造成的发包人的损失。</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B、工程保修回访计划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both"/>
        <w:spacing w:line="400" w:lineRule="exact"/>
        <w:rPr>
          <w:color w:val="auto"/>
          <w:sz w:val="21"/>
          <w:szCs w:val="21"/>
          <w:highlight w:val="none"/>
        </w:rPr>
        <w:outlineLvl w:val="9"/>
      </w:pPr>
      <w:r>
        <w:rPr>
          <w:rFonts w:hint="eastAsia" w:ascii="宋体" w:hAnsi="宋体" w:eastAsia="宋体" w:cs="宋体"/>
          <w:color w:val="auto"/>
          <w:sz w:val="21"/>
          <w:szCs w:val="21"/>
          <w:highlight w:val="none"/>
        </w:rPr>
        <w:t xml:space="preserve">　　五、保修费用</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02"/>
        <w:spacing w:line="400" w:lineRule="exact"/>
        <w:rPr>
          <w:color w:val="auto"/>
          <w:sz w:val="21"/>
          <w:szCs w:val="21"/>
          <w:highlight w:val="non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8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val="en-US" w:eastAsia="zh-CN"/>
        </w:rPr>
        <w:t xml:space="preserve">                                     </w:t>
      </w:r>
      <w:r>
        <w:rPr>
          <w:rStyle w:val="1158"/>
          <w:rFonts w:hint="eastAsia" w:ascii="宋体" w:hAnsi="宋体" w:eastAsia="宋体" w:cs="宋体"/>
          <w:color w:val="auto"/>
          <w:highlight w:val="none"/>
        </w:rPr>
        <w:t xml:space="preserve">地址：</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法定代表人(签字)：</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法定代表人(签字)：</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委托代理人(签字)：</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委托代理人(签字)：</w:t>
      </w:r>
      <w:r/>
    </w:p>
    <w:p>
      <w:pPr>
        <w:spacing w:line="4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电话：</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电话：</w:t>
      </w:r>
      <w:r/>
    </w:p>
    <w:p>
      <w:pPr>
        <w:spacing w:line="400" w:lineRule="exact"/>
        <w:rPr>
          <w:color w:val="auto"/>
          <w:sz w:val="21"/>
          <w:szCs w:val="21"/>
          <w:highlight w:val="none"/>
          <w:u w:val="none"/>
        </w:rPr>
      </w:pPr>
      <w:r>
        <w:rPr>
          <w:rFonts w:hint="eastAsia" w:ascii="宋体" w:hAnsi="宋体" w:eastAsia="宋体" w:cs="宋体"/>
          <w:color w:val="auto"/>
          <w:sz w:val="21"/>
          <w:szCs w:val="21"/>
          <w:highlight w:val="none"/>
          <w:u w:val="none"/>
        </w:rPr>
        <w:t xml:space="preserve">传真：</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传真：</w:t>
      </w:r>
      <w:r/>
    </w:p>
    <w:p>
      <w:pPr>
        <w:spacing w:line="400" w:lineRule="exact"/>
        <w:rPr>
          <w:color w:val="auto"/>
          <w:sz w:val="21"/>
          <w:szCs w:val="21"/>
          <w:highlight w:val="none"/>
          <w:u w:val="none"/>
        </w:rPr>
      </w:pPr>
      <w:r>
        <w:rPr>
          <w:rFonts w:hint="eastAsia" w:ascii="宋体" w:hAnsi="宋体" w:eastAsia="宋体" w:cs="宋体"/>
          <w:color w:val="auto"/>
          <w:sz w:val="21"/>
          <w:szCs w:val="21"/>
          <w:highlight w:val="none"/>
          <w:u w:val="none"/>
        </w:rPr>
        <w:t xml:space="preserve">开户银行：</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开户银行：</w:t>
      </w:r>
      <w:r/>
    </w:p>
    <w:p>
      <w:pPr>
        <w:spacing w:line="4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账号：</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账号：</w:t>
      </w:r>
      <w:r/>
    </w:p>
    <w:p>
      <w:pPr>
        <w:spacing w:line="400" w:lineRule="exact"/>
        <w:rPr>
          <w:color w:val="auto"/>
          <w:sz w:val="21"/>
          <w:szCs w:val="21"/>
          <w:highlight w:val="none"/>
        </w:rPr>
      </w:pPr>
      <w:r>
        <w:rPr>
          <w:rFonts w:hint="eastAsia" w:ascii="宋体" w:hAnsi="宋体" w:eastAsia="宋体" w:cs="宋体"/>
          <w:color w:val="auto"/>
          <w:sz w:val="21"/>
          <w:szCs w:val="21"/>
          <w:highlight w:val="none"/>
          <w:u w:val="none"/>
        </w:rPr>
        <w:t xml:space="preserve">邮政编码：</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邮政编码：</w:t>
      </w:r>
      <w:r/>
    </w:p>
    <w:p>
      <w:pPr>
        <w:ind w:left="4382" w:hanging="3882"/>
        <w:spacing w:line="360" w:lineRule="auto"/>
        <w:rPr>
          <w:rFonts w:ascii="宋体" w:hAnsi="宋体" w:cs="宋体"/>
          <w:color w:val="auto"/>
          <w:highlight w:val="none"/>
          <w:u w:val="single"/>
        </w:rPr>
      </w:pPr>
      <w:r>
        <w:rPr>
          <w:rFonts w:ascii="宋体" w:hAnsi="宋体" w:cs="宋体"/>
          <w:color w:val="auto"/>
          <w:highlight w:val="none"/>
          <w:u w:val="singl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rPr>
          <w:color w:val="auto"/>
          <w:highlight w:val="none"/>
        </w:rPr>
      </w:pPr>
      <w:r>
        <w:rPr>
          <w:color w:val="auto"/>
          <w:highlight w:val="non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62" w:name="_Toc267261698"/>
      <w:r/>
      <w:bookmarkStart w:id="363" w:name="_Toc296891267"/>
      <w:r/>
      <w:bookmarkStart w:id="364" w:name="_Toc296346728"/>
      <w:r/>
      <w:bookmarkStart w:id="365" w:name="_Toc296503227"/>
      <w:r/>
      <w:bookmarkStart w:id="366" w:name="_Toc296347226"/>
      <w:r/>
      <w:bookmarkStart w:id="367" w:name="_Toc296944566"/>
      <w:r/>
      <w:bookmarkStart w:id="368" w:name="_Toc296891055"/>
      <w:r>
        <w:rPr>
          <w:rFonts w:hint="eastAsia" w:ascii="宋体" w:hAnsi="宋体" w:eastAsia="宋体" w:cs="宋体"/>
          <w:color w:val="auto"/>
          <w:sz w:val="30"/>
          <w:szCs w:val="30"/>
          <w:highlight w:val="none"/>
        </w:rPr>
        <w:t xml:space="preserve">件</w:t>
      </w:r>
      <w:r>
        <w:rPr>
          <w:rFonts w:hint="eastAsia" w:ascii="宋体" w:hAnsi="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rPr>
        <w:t xml:space="preserve">：</w:t>
      </w:r>
      <w:bookmarkEnd w:id="362"/>
      <w:r/>
      <w:bookmarkEnd w:id="363"/>
      <w:r/>
      <w:bookmarkEnd w:id="364"/>
      <w:r/>
      <w:bookmarkEnd w:id="365"/>
      <w:r/>
      <w:bookmarkEnd w:id="366"/>
      <w:r/>
      <w:bookmarkEnd w:id="367"/>
      <w:r/>
      <w:bookmarkEnd w:id="368"/>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110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headerReference w:type="default" r:id="rId13"/>
          <w:footerReference w:type="default" r:id="rId22"/>
          <w:footerReference w:type="first" r:id="rId23"/>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69" w:name="_Toc296503228"/>
      <w:r/>
      <w:bookmarkStart w:id="370" w:name="_Toc296891268"/>
      <w:r/>
      <w:bookmarkStart w:id="371" w:name="_Toc296891056"/>
      <w:r/>
      <w:bookmarkStart w:id="372" w:name="_Toc267261699"/>
      <w:r/>
      <w:bookmarkStart w:id="373" w:name="_Toc296944567"/>
      <w:r/>
      <w:bookmarkStart w:id="374" w:name="_Toc296347227"/>
      <w:r/>
      <w:bookmarkStart w:id="375" w:name="_Toc296346729"/>
      <w:r>
        <w:rPr>
          <w:rFonts w:hint="eastAsia" w:ascii="宋体" w:hAnsi="宋体" w:eastAsia="宋体" w:cs="宋体"/>
          <w:color w:val="auto"/>
          <w:sz w:val="30"/>
          <w:szCs w:val="30"/>
          <w:highlight w:val="none"/>
        </w:rPr>
        <w:t xml:space="preserve">件</w:t>
      </w:r>
      <w:r>
        <w:rPr>
          <w:rFonts w:hint="eastAsia" w:ascii="宋体" w:hAnsi="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w:t>
      </w:r>
      <w:bookmarkEnd w:id="369"/>
      <w:r/>
      <w:bookmarkEnd w:id="370"/>
      <w:r/>
      <w:bookmarkEnd w:id="371"/>
      <w:r/>
      <w:bookmarkEnd w:id="372"/>
      <w:r/>
      <w:bookmarkEnd w:id="373"/>
      <w:r/>
      <w:bookmarkEnd w:id="374"/>
      <w:r/>
      <w:bookmarkEnd w:id="375"/>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110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bl>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（此表格</w:t>
      </w:r>
      <w:r>
        <w:rPr>
          <w:rFonts w:hint="eastAsia" w:ascii="宋体" w:hAnsi="宋体" w:cs="宋体"/>
          <w:color w:val="auto"/>
          <w:sz w:val="30"/>
          <w:szCs w:val="30"/>
          <w:highlight w:val="none"/>
          <w:lang w:val="en-US" w:eastAsia="zh-CN"/>
        </w:rPr>
        <w:t xml:space="preserve">供应商</w:t>
      </w:r>
      <w:r>
        <w:rPr>
          <w:rFonts w:hint="eastAsia" w:ascii="宋体" w:hAnsi="宋体" w:eastAsia="宋体" w:cs="宋体"/>
          <w:color w:val="auto"/>
          <w:sz w:val="30"/>
          <w:szCs w:val="30"/>
          <w:highlight w:val="none"/>
        </w:rPr>
        <w:t xml:space="preserve">在招投标阶段无需填写，在合同备案时填写完整）</w:t>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174"/>
        <w:ind w:left="0" w:firstLine="0"/>
        <w:jc w:val="center"/>
        <w:pageBreakBefore w:val="0"/>
        <w:spacing w:after="0" w:line="312" w:lineRule="auto"/>
        <w:widowControl w:val="off"/>
        <w:rPr>
          <w:rStyle w:val="1394"/>
          <w:rFonts w:hint="eastAsia" w:ascii="仿宋" w:hAnsi="仿宋" w:eastAsia="仿宋" w:cs="仿宋"/>
          <w:bCs/>
          <w:color w:val="auto"/>
          <w:sz w:val="24"/>
          <w:szCs w:val="24"/>
          <w:highlight w:val="none"/>
        </w:rPr>
        <w:outlineLvl w:val="0"/>
      </w:pPr>
      <w:r>
        <w:rPr>
          <w:rStyle w:val="1394"/>
          <w:rFonts w:hint="eastAsia" w:ascii="仿宋" w:hAnsi="仿宋" w:eastAsia="仿宋" w:cs="仿宋"/>
          <w:color w:val="auto"/>
          <w:sz w:val="24"/>
          <w:szCs w:val="24"/>
          <w:highlight w:val="none"/>
        </w:rPr>
        <w:t xml:space="preserve">第十一章 </w:t>
      </w:r>
      <w:bookmarkEnd w:id="81"/>
      <w:r/>
      <w:bookmarkEnd w:id="104"/>
      <w:r/>
      <w:bookmarkEnd w:id="105"/>
      <w:r>
        <w:rPr>
          <w:rFonts w:hint="eastAsia" w:ascii="仿宋" w:hAnsi="仿宋" w:eastAsia="仿宋" w:cs="仿宋"/>
          <w:color w:val="auto"/>
          <w:sz w:val="24"/>
          <w:szCs w:val="24"/>
          <w:highlight w:val="none"/>
        </w:rPr>
        <w:t xml:space="preserve">《徐州市政府采购业务代理服务费行业指导价格标准》</w:t>
      </w:r>
      <w:r/>
    </w:p>
    <w:tbl>
      <w:tblPr>
        <w:tblStyle w:val="1639"/>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中标或者成交金额</w:t>
            </w:r>
            <w:r/>
          </w:p>
        </w:tc>
        <w:tc>
          <w:tcPr>
            <w:tcW w:w="2569"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最低收费金额（每个委托项目）</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50万元以下（含50万元）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50-400万元（含400万元）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400-1000万元（含1000万元）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1000-5000万元（含5000万元）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5000-1亿元（含1亿元）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1-10亿元（含10亿元）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10-50亿元（含50亿元）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50亿元以上</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0.005%</w:t>
            </w:r>
            <w:r/>
          </w:p>
        </w:tc>
      </w:tr>
    </w:tbl>
    <w:p>
      <w:pPr>
        <w:pStyle w:val="1109"/>
        <w:ind w:firstLine="505"/>
        <w:jc w:val="left"/>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1、按上表计算的收费为代理服务全过程的收费金额。各社会代理机构不再收取采购文件制作售卖费用。</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2、代理服务费按差额定率累进法计算。</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3、代理服务费基准金额（按差额定率累进法计算的）=中标金额（按差额定率累进法计算的）*费率（%）</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4、代理服务费应收取金额=代理服务费基准金额（按差额定率累进法计算的）的合计数。</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5、定点类等无金额或事先不能计算出价格总额的项目，按中标（成交）金额100万元计算服务费。</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6.有分包(分标段)的以一个项目计算。</w:t>
      </w:r>
      <w:r/>
    </w:p>
    <w:p>
      <w:pPr>
        <w:pStyle w:val="1109"/>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7.开户名称：江苏科建工程项目管理有限公司徐州分公司</w:t>
      </w:r>
      <w:r/>
    </w:p>
    <w:p>
      <w:pPr>
        <w:pStyle w:val="1109"/>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开户行：中国农业银行股份有限公司徐州塔东支行</w:t>
      </w:r>
      <w:r/>
    </w:p>
    <w:p>
      <w:pPr>
        <w:pStyle w:val="1109"/>
        <w:ind w:firstLine="505"/>
        <w:jc w:val="left"/>
        <w:keepLines w:val="0"/>
        <w:keepNext w:val="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Cs w:val="21"/>
          <w:highlight w:val="none"/>
        </w:rPr>
        <w:t xml:space="preserve">银行帐号：10247401040011283</w:t>
      </w:r>
      <w:r/>
    </w:p>
    <w:p>
      <w:pPr>
        <w:pStyle w:val="1118"/>
        <w:jc w:val="both"/>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118"/>
        <w:jc w:val="center"/>
        <w:pageBreakBefore w:val="0"/>
        <w:spacing w:line="312"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rPr>
        <w:t xml:space="preserve">（以下无正文）</w:t>
      </w:r>
      <w:r>
        <w:rPr>
          <w:rFonts w:hint="eastAsia" w:ascii="仿宋" w:hAnsi="仿宋" w:eastAsia="仿宋" w:cs="仿宋"/>
          <w:b/>
          <w:bCs/>
          <w:color w:val="auto"/>
          <w:sz w:val="24"/>
          <w:szCs w:val="24"/>
          <w:highlight w:val="none"/>
          <w:lang w:val="en-US" w:eastAsia="zh-CN"/>
        </w:rPr>
        <w:t xml:space="preserve">------------</w:t>
      </w:r>
      <w:r/>
    </w:p>
    <w:sectPr>
      <w:headerReference w:type="default" r:id="rId14"/>
      <w:footerReference w:type="default" r:id="rId24"/>
      <w:footerReference w:type="first" r:id="rId25"/>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楷体_GB2312">
    <w:panose1 w:val="02010609060101010101"/>
  </w:font>
  <w:font w:name="Symbol">
    <w:panose1 w:val="05050102010706020507"/>
  </w:font>
  <w:font w:name="新宋体">
    <w:panose1 w:val="02010609030101010101"/>
  </w:font>
  <w:font w:name="方正仿宋简体">
    <w:panose1 w:val="020B0503020202020204"/>
  </w:font>
  <w:font w:name="Calibri Light">
    <w:panose1 w:val="020F0302020204030204"/>
  </w:font>
  <w:font w:name="仿宋">
    <w:panose1 w:val="02010609060101010101"/>
  </w:font>
  <w:font w:name="等线 Light">
    <w:panose1 w:val="02010600030101010101"/>
  </w:font>
  <w:font w:name="文鼎粗黑">
    <w:panose1 w:val="020B0503020202020204"/>
  </w:font>
  <w:font w:name="Courier New">
    <w:panose1 w:val="02070309020205020404"/>
  </w:font>
  <w:font w:name="Cambria">
    <w:panose1 w:val="02040503050406030204"/>
  </w:font>
  <w:font w:name="黑体">
    <w:panose1 w:val="02010609060101010101"/>
  </w:font>
  <w:font w:name="仿宋_GB2312">
    <w:panose1 w:val="02010609060101010101"/>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
    <w:panose1 w:val="020B05030202020202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5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40"/>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40"/>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tabs>
        <w:tab w:val="center" w:pos="4153" w:leader="none"/>
        <w:tab w:val="right" w:pos="8306" w:leader="none"/>
      </w:tabs>
      <w:rPr>
        <w:rStyle w:val="1390"/>
      </w:rPr>
      <w:framePr w:wrap="around" w:vAnchor="text" w:hAnchor="margin" w:xAlign="right" w:y="1"/>
    </w:pPr>
    <w:r>
      <w:fldChar w:fldCharType="begin"/>
    </w:r>
    <w:r>
      <w:rPr>
        <w:rStyle w:val="1390"/>
      </w:rPr>
      <w:instrText xml:space="preserve">PAGE  </w:instrText>
    </w:r>
    <w:r>
      <w:fldChar w:fldCharType="separate"/>
    </w:r>
    <w:r>
      <w:rPr>
        <w:rStyle w:val="1390"/>
      </w:rPr>
      <w:t xml:space="preserve">19</w:t>
    </w:r>
    <w:r>
      <w:fldChar w:fldCharType="end"/>
    </w:r>
    <w:r/>
  </w:p>
  <w:p>
    <w:pPr>
      <w:pStyle w:val="1378"/>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40"/>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40"/>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任意多边形 1028"/>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任意多边形 102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right"/>
      <w:tabs>
        <w:tab w:val="right" w:pos="4153" w:leader="none"/>
        <w:tab w:val="left" w:pos="8306" w:leader="underscore"/>
      </w:tabs>
      <w:rPr>
        <w:rStyle w:val="1394"/>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40"/>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12" o:spid="_x0000_s1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109"/>
      <w:rPr>
        <w:rStyle w:val="1394"/>
        <w:rFonts w:ascii="隶书" w:eastAsia="隶书"/>
        <w:b/>
        <w:i/>
        <w:sz w:val="18"/>
      </w:rPr>
    </w:pPr>
    <w:r>
      <w:rPr>
        <w:rFonts w:ascii="隶书" w:eastAsia="隶书"/>
        <w:b/>
        <w:i/>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40"/>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13" o:spid="_x0000_s1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lang w:eastAsia="zh-CN"/>
      </w:rPr>
      <w:t xml:space="preserve">徐州市第十三中学运动场改造工程</w:t>
    </w:r>
    <w:r>
      <w:rPr>
        <w:rFonts w:hint="eastAsia" w:ascii="隶书" w:hAnsi="仿宋" w:eastAsia="隶书" w:cs="仿宋"/>
        <w:iCs/>
        <w:sz w:val="21"/>
        <w:szCs w:val="21"/>
      </w:rPr>
      <w:t xml:space="preserve">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rPr>
      <w:t xml:space="preserve">采购文件  </w:t>
    </w:r>
    <w:r>
      <w:rPr>
        <w:rFonts w:hint="eastAsia" w:ascii="隶书" w:hAnsi="仿宋" w:eastAsia="隶书" w:cs="仿宋"/>
        <w:i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rPr>
        <w:rStyle w:val="1251"/>
        <w:rFonts w:hint="eastAsia"/>
        <w:u w:val="single"/>
      </w:rPr>
      <w:t xml:space="preserve"> </w:t>
    </w:r>
    <w:r>
      <w:rPr>
        <w:rStyle w:val="1251"/>
        <w:u w:val="single"/>
      </w:rPr>
      <mc:AlternateContent>
        <mc:Choice Requires="wpg">
          <w:drawing>
            <wp:inline xmlns:wp="http://schemas.openxmlformats.org/drawingml/2006/wordprocessingDrawing" distT="0" distB="0" distL="0" distR="0">
              <wp:extent cx="214630" cy="184150"/>
              <wp:effectExtent l="0" t="0" r="1397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438438" name="图片 1"/>
                      <pic:cNvPicPr>
                        <a:picLocks noChangeAspect="1"/>
                      </pic:cNvPicPr>
                      <pic:nvPr/>
                    </pic:nvPicPr>
                    <pic:blipFill>
                      <a:blip r:embed="rId1"/>
                      <a:stretch/>
                    </pic:blipFill>
                    <pic:spPr bwMode="auto">
                      <a:xfrm>
                        <a:off x="0" y="0"/>
                        <a:ext cx="214629" cy="184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9pt;height:14.5pt;mso-wrap-distance-left:0.0pt;mso-wrap-distance-top:0.0pt;mso-wrap-distance-right:0.0pt;mso-wrap-distance-bottom:0.0pt;" stroked="f">
              <v:path textboxrect="0,0,0,0"/>
              <v:imagedata r:id="rId1" o:title=""/>
            </v:shape>
          </w:pict>
        </mc:Fallback>
      </mc:AlternateContent>
    </w:r>
    <w:r>
      <w:rPr>
        <w:rStyle w:val="1251"/>
        <w:rFonts w:hint="eastAsia" w:ascii="隶书" w:hAnsi="仿宋" w:eastAsia="隶书" w:cs="仿宋"/>
        <w:u w:val="single"/>
      </w:rPr>
      <w:t xml:space="preserve">江苏科建编制  </w:t>
    </w:r>
    <w:r>
      <w:rPr>
        <w:rStyle w:val="1251"/>
        <w:rFonts w:hint="eastAsia" w:ascii="隶书" w:hAnsi="仿宋" w:eastAsia="隶书" w:cs="仿宋"/>
        <w:u w:val="single"/>
        <w:lang w:val="en-US" w:eastAsia="zh-CN"/>
      </w:rPr>
      <w:t xml:space="preserve">       </w:t>
    </w:r>
    <w:r>
      <w:rPr>
        <w:rStyle w:val="1251"/>
        <w:rFonts w:hint="eastAsia" w:ascii="隶书" w:hAnsi="仿宋" w:eastAsia="隶书" w:cs="仿宋"/>
        <w:u w:val="single"/>
        <w:lang w:eastAsia="zh-CN"/>
      </w:rPr>
      <w:t xml:space="preserve">徐州市第十三中学运动场改造工程</w:t>
    </w:r>
    <w:r>
      <w:rPr>
        <w:rStyle w:val="1251"/>
        <w:rFonts w:hint="eastAsia" w:ascii="隶书" w:hAnsi="仿宋" w:eastAsia="隶书" w:cs="仿宋"/>
        <w:u w:val="single"/>
      </w:rPr>
      <w:t xml:space="preserve">    </w:t>
    </w:r>
    <w:r>
      <w:rPr>
        <w:rStyle w:val="1251"/>
        <w:rFonts w:hint="eastAsia" w:ascii="隶书" w:hAnsi="仿宋" w:eastAsia="隶书" w:cs="仿宋"/>
        <w:u w:val="single"/>
        <w:lang w:val="en-US" w:eastAsia="zh-CN"/>
      </w:rPr>
      <w:t xml:space="preserve">      </w:t>
    </w:r>
    <w:r>
      <w:rPr>
        <w:rStyle w:val="1251"/>
        <w:rFonts w:hint="eastAsia" w:ascii="隶书" w:hAnsi="仿宋" w:eastAsia="隶书" w:cs="仿宋"/>
        <w:u w:val="single"/>
      </w:rPr>
      <w:t xml:space="preserve">    采购文件 </w:t>
    </w:r>
    <w:r>
      <w:rPr>
        <w:rStyle w:val="125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0"/>
      <w:jc w:val="center"/>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281305" cy="245110"/>
              <wp:effectExtent l="0" t="0" r="4445" b="2540"/>
              <wp:docPr id="3" name="图片 18"/>
              <wp:cNvGraphicFramePr/>
              <a:graphic xmlns:a="http://schemas.openxmlformats.org/drawingml/2006/main">
                <a:graphicData uri="http://schemas.openxmlformats.org/drawingml/2006/picture">
                  <pic:pic xmlns:pic="http://schemas.openxmlformats.org/drawingml/2006/picture">
                    <pic:nvPicPr>
                      <pic:cNvPr id="2" name="图片 18"/>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lang w:eastAsia="zh-CN"/>
      </w:rPr>
      <w:t xml:space="preserve">徐州市第十三中学运动场改造工程工程</w:t>
    </w:r>
    <w:r>
      <w:rPr>
        <w:rFonts w:hint="eastAsia"/>
        <w:lang w:val="en-US" w:eastAsia="zh-CN"/>
      </w:rPr>
      <w:t xml:space="preserve">          </w:t>
    </w:r>
    <w:r>
      <w:rPr>
        <w:rFonts w:hint="eastAsia"/>
      </w:rPr>
      <w:t xml:space="preserve">           </w:t>
    </w:r>
    <w:r>
      <w:rPr>
        <w:rFonts w:hint="eastAsia"/>
        <w:lang w:eastAsia="zh-CN"/>
      </w:rPr>
      <w:t xml:space="preserve">采购</w:t>
    </w:r>
    <w:r>
      <w:rPr>
        <w:rFonts w:hint="eastAsia"/>
        <w:lang w:eastAsia="zh-CN"/>
      </w:rP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lang w:eastAsia="zh-CN"/>
      </w:rPr>
      <w:t xml:space="preserve">徐州市第十三中学运动场改造工程</w:t>
    </w:r>
    <w:r>
      <w:rPr>
        <w:rFonts w:hint="eastAsia" w:ascii="隶书" w:hAnsi="仿宋" w:eastAsia="隶书" w:cs="仿宋"/>
        <w:iCs/>
        <w:sz w:val="21"/>
        <w:szCs w:val="21"/>
      </w:rPr>
      <w:t xml:space="preserve">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rPr>
      <w:t xml:space="preserve">    采购文件  </w:t>
    </w:r>
    <w:r>
      <w:rPr>
        <w:rFonts w:hint="eastAsia" w:ascii="隶书" w:hAnsi="仿宋" w:eastAsia="隶书" w:cs="仿宋"/>
        <w:iCs/>
        <w:sz w:val="21"/>
        <w:szCs w:val="21"/>
        <w:u w:val="single"/>
      </w:rPr>
      <w:t xml:space="preserve"> </w:t>
    </w:r>
    <w:r/>
  </w:p>
  <w:p>
    <w:pPr>
      <w:pStyle w:val="138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right" w:pos="4153" w:leader="none"/>
        <w:tab w:val="left" w:pos="8306" w:leader="underscore"/>
      </w:tabs>
      <w:rPr>
        <w:rStyle w:val="1394"/>
        <w:sz w:val="18"/>
      </w:rPr>
    </w:pPr>
    <w:r>
      <w:rPr>
        <w:sz w:val="18"/>
      </w:rPr>
    </w:r>
    <w:r/>
  </w:p>
  <w:p>
    <w:pPr>
      <w:pStyle w:val="1142"/>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lang w:eastAsia="zh-CN"/>
      </w:rPr>
      <w:t xml:space="preserve">徐州市第十三中学运动场改造工程</w:t>
    </w:r>
    <w:r>
      <w:rPr>
        <w:rFonts w:hint="eastAsia" w:ascii="隶书" w:hAnsi="仿宋" w:eastAsia="隶书" w:cs="仿宋"/>
        <w:iCs/>
        <w:sz w:val="21"/>
        <w:szCs w:val="21"/>
      </w:rPr>
      <w:t xml:space="preserve">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rPr>
      <w:t xml:space="preserve">采购文件  </w:t>
    </w:r>
    <w:r>
      <w:rPr>
        <w:rFonts w:hint="eastAsia" w:ascii="隶书" w:hAnsi="仿宋" w:eastAsia="隶书" w:cs="仿宋"/>
        <w:iCs/>
        <w:sz w:val="21"/>
        <w:szCs w:val="21"/>
        <w:u w:val="single"/>
      </w:rPr>
      <w:t xml:space="preserve"> </w:t>
    </w:r>
    <w:r/>
  </w:p>
  <w:p>
    <w:pPr>
      <w:pStyle w:val="1109"/>
      <w:rPr>
        <w:rStyle w:val="1394"/>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48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0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5" w:default="1">
    <w:name w:val="Normal"/>
    <w:next w:val="1107"/>
    <w:link w:val="1647"/>
    <w:uiPriority w:val="0"/>
    <w:qFormat/>
    <w:pPr>
      <w:jc w:val="both"/>
    </w:pPr>
    <w:rPr>
      <w:rFonts w:hint="default" w:ascii="Calibri" w:hAnsi="Calibri" w:eastAsia="宋体" w:cs="Times New Roman"/>
      <w:sz w:val="21"/>
      <w:szCs w:val="21"/>
      <w:lang w:val="en-US" w:eastAsia="zh-CN" w:bidi="ar-SA"/>
    </w:rPr>
  </w:style>
  <w:style w:type="paragraph" w:styleId="1096">
    <w:name w:val="Heading 1"/>
    <w:basedOn w:val="1095"/>
    <w:next w:val="1095"/>
    <w:link w:val="1235"/>
    <w:uiPriority w:val="9"/>
    <w:qFormat/>
    <w:pPr>
      <w:keepLines/>
      <w:keepNext/>
      <w:spacing w:before="480" w:after="200"/>
      <w:outlineLvl w:val="0"/>
    </w:pPr>
    <w:rPr>
      <w:rFonts w:ascii="Arial" w:hAnsi="Arial" w:eastAsia="Arial" w:cs="Arial"/>
      <w:sz w:val="40"/>
      <w:szCs w:val="40"/>
    </w:rPr>
  </w:style>
  <w:style w:type="paragraph" w:styleId="1097">
    <w:name w:val="Heading 2"/>
    <w:basedOn w:val="1095"/>
    <w:next w:val="1095"/>
    <w:link w:val="1236"/>
    <w:uiPriority w:val="9"/>
    <w:unhideWhenUsed/>
    <w:qFormat/>
    <w:pPr>
      <w:keepLines/>
      <w:keepNext/>
      <w:spacing w:before="360" w:after="200"/>
      <w:outlineLvl w:val="1"/>
    </w:pPr>
    <w:rPr>
      <w:rFonts w:ascii="Arial" w:hAnsi="Arial" w:eastAsia="Arial" w:cs="Arial"/>
      <w:sz w:val="34"/>
    </w:rPr>
  </w:style>
  <w:style w:type="paragraph" w:styleId="1098">
    <w:name w:val="Heading 3"/>
    <w:basedOn w:val="1095"/>
    <w:next w:val="1095"/>
    <w:link w:val="1237"/>
    <w:uiPriority w:val="9"/>
    <w:unhideWhenUsed/>
    <w:qFormat/>
    <w:pPr>
      <w:keepLines/>
      <w:keepNext/>
      <w:spacing w:before="320" w:after="200"/>
      <w:outlineLvl w:val="2"/>
    </w:pPr>
    <w:rPr>
      <w:rFonts w:ascii="Arial" w:hAnsi="Arial" w:eastAsia="Arial" w:cs="Arial"/>
      <w:sz w:val="30"/>
      <w:szCs w:val="30"/>
    </w:rPr>
  </w:style>
  <w:style w:type="paragraph" w:styleId="1099">
    <w:name w:val="Heading 4"/>
    <w:basedOn w:val="1095"/>
    <w:next w:val="1095"/>
    <w:link w:val="1238"/>
    <w:uiPriority w:val="9"/>
    <w:unhideWhenUsed/>
    <w:qFormat/>
    <w:pPr>
      <w:keepLines/>
      <w:keepNext/>
      <w:spacing w:before="320" w:after="200"/>
      <w:outlineLvl w:val="3"/>
    </w:pPr>
    <w:rPr>
      <w:rFonts w:ascii="Arial" w:hAnsi="Arial" w:eastAsia="Arial" w:cs="Arial"/>
      <w:b/>
      <w:bCs/>
      <w:sz w:val="26"/>
      <w:szCs w:val="26"/>
    </w:rPr>
  </w:style>
  <w:style w:type="paragraph" w:styleId="1100">
    <w:name w:val="Heading 5"/>
    <w:basedOn w:val="1095"/>
    <w:next w:val="1095"/>
    <w:link w:val="1239"/>
    <w:uiPriority w:val="9"/>
    <w:unhideWhenUsed/>
    <w:qFormat/>
    <w:pPr>
      <w:keepLines/>
      <w:keepNext/>
      <w:spacing w:before="320" w:after="200"/>
      <w:outlineLvl w:val="4"/>
    </w:pPr>
    <w:rPr>
      <w:rFonts w:ascii="Arial" w:hAnsi="Arial" w:eastAsia="Arial" w:cs="Arial"/>
      <w:b/>
      <w:bCs/>
      <w:sz w:val="24"/>
      <w:szCs w:val="24"/>
    </w:rPr>
  </w:style>
  <w:style w:type="paragraph" w:styleId="1101">
    <w:name w:val="Heading 6"/>
    <w:basedOn w:val="1095"/>
    <w:next w:val="1095"/>
    <w:link w:val="1240"/>
    <w:uiPriority w:val="9"/>
    <w:unhideWhenUsed/>
    <w:qFormat/>
    <w:pPr>
      <w:keepLines/>
      <w:keepNext/>
      <w:spacing w:before="320" w:after="200"/>
      <w:outlineLvl w:val="5"/>
    </w:pPr>
    <w:rPr>
      <w:rFonts w:ascii="Arial" w:hAnsi="Arial" w:eastAsia="Arial" w:cs="Arial"/>
      <w:b/>
      <w:bCs/>
      <w:sz w:val="22"/>
      <w:szCs w:val="22"/>
    </w:rPr>
  </w:style>
  <w:style w:type="paragraph" w:styleId="1102">
    <w:name w:val="Heading 7"/>
    <w:basedOn w:val="1095"/>
    <w:next w:val="1095"/>
    <w:link w:val="1241"/>
    <w:uiPriority w:val="9"/>
    <w:unhideWhenUsed/>
    <w:qFormat/>
    <w:pPr>
      <w:keepLines/>
      <w:keepNext/>
      <w:spacing w:before="320" w:after="200"/>
      <w:outlineLvl w:val="6"/>
    </w:pPr>
    <w:rPr>
      <w:rFonts w:ascii="Arial" w:hAnsi="Arial" w:eastAsia="Arial" w:cs="Arial"/>
      <w:b/>
      <w:bCs/>
      <w:i/>
      <w:iCs/>
      <w:sz w:val="22"/>
      <w:szCs w:val="22"/>
    </w:rPr>
  </w:style>
  <w:style w:type="paragraph" w:styleId="1103">
    <w:name w:val="Heading 8"/>
    <w:basedOn w:val="1095"/>
    <w:next w:val="1095"/>
    <w:link w:val="1242"/>
    <w:uiPriority w:val="9"/>
    <w:unhideWhenUsed/>
    <w:qFormat/>
    <w:pPr>
      <w:keepLines/>
      <w:keepNext/>
      <w:spacing w:before="320" w:after="200"/>
      <w:outlineLvl w:val="7"/>
    </w:pPr>
    <w:rPr>
      <w:rFonts w:ascii="Arial" w:hAnsi="Arial" w:eastAsia="Arial" w:cs="Arial"/>
      <w:i/>
      <w:iCs/>
      <w:sz w:val="22"/>
      <w:szCs w:val="22"/>
    </w:rPr>
  </w:style>
  <w:style w:type="paragraph" w:styleId="1104">
    <w:name w:val="Heading 9"/>
    <w:basedOn w:val="1095"/>
    <w:next w:val="1095"/>
    <w:link w:val="1243"/>
    <w:uiPriority w:val="9"/>
    <w:unhideWhenUsed/>
    <w:qFormat/>
    <w:pPr>
      <w:keepLines/>
      <w:keepNext/>
      <w:spacing w:before="320" w:after="200"/>
      <w:outlineLvl w:val="8"/>
    </w:pPr>
    <w:rPr>
      <w:rFonts w:ascii="Arial" w:hAnsi="Arial" w:eastAsia="Arial" w:cs="Arial"/>
      <w:i/>
      <w:iCs/>
    </w:rPr>
  </w:style>
  <w:style w:type="character" w:styleId="1105" w:default="1">
    <w:name w:val="Default Paragraph Font"/>
    <w:uiPriority w:val="1"/>
    <w:semiHidden/>
    <w:unhideWhenUsed/>
    <w:qFormat/>
  </w:style>
  <w:style w:type="table" w:styleId="1106" w:default="1">
    <w:name w:val="Normal Table"/>
    <w:uiPriority w:val="99"/>
    <w:semiHidden/>
    <w:unhideWhenUsed/>
    <w:qFormat/>
    <w:tblPr>
      <w:tblCellMar>
        <w:left w:w="108" w:type="dxa"/>
        <w:top w:w="0" w:type="dxa"/>
        <w:right w:w="108" w:type="dxa"/>
        <w:bottom w:w="0" w:type="dxa"/>
      </w:tblCellMar>
    </w:tblPr>
  </w:style>
  <w:style w:type="paragraph" w:styleId="1107" w:customStyle="1">
    <w:name w:val="正文文本缩进1"/>
    <w:basedOn w:val="1108"/>
    <w:next w:val="1121"/>
    <w:uiPriority w:val="0"/>
    <w:qFormat/>
    <w:pPr>
      <w:ind w:left="420"/>
      <w:spacing w:after="120"/>
    </w:pPr>
  </w:style>
  <w:style w:type="paragraph" w:styleId="1108" w:customStyle="1">
    <w:name w:val="正文1"/>
    <w:basedOn w:val="1109"/>
    <w:next w:val="1115"/>
    <w:link w:val="1394"/>
    <w:uiPriority w:val="0"/>
    <w:qFormat/>
    <w:pPr>
      <w:jc w:val="left"/>
      <w:spacing w:line="360" w:lineRule="atLeast"/>
    </w:pPr>
    <w:rPr>
      <w:rFonts w:ascii="宋体"/>
      <w:sz w:val="24"/>
    </w:rPr>
  </w:style>
  <w:style w:type="paragraph" w:styleId="1109" w:customStyle="1">
    <w:name w:val="正文11"/>
    <w:next w:val="1110"/>
    <w:link w:val="1477"/>
    <w:uiPriority w:val="0"/>
    <w:qFormat/>
    <w:pPr>
      <w:jc w:val="both"/>
    </w:pPr>
    <w:rPr>
      <w:rFonts w:hint="default" w:ascii="Times New Roman" w:hAnsi="Times New Roman" w:eastAsia="宋体" w:cs="Times New Roman"/>
      <w:lang w:val="en-US" w:eastAsia="zh-CN" w:bidi="ar-SA"/>
    </w:rPr>
  </w:style>
  <w:style w:type="paragraph" w:styleId="1110" w:customStyle="1">
    <w:name w:val="文本块1"/>
    <w:basedOn w:val="1111"/>
    <w:next w:val="1112"/>
    <w:uiPriority w:val="0"/>
    <w:qFormat/>
    <w:pPr>
      <w:ind w:left="256" w:right="6" w:firstLine="624"/>
    </w:pPr>
    <w:rPr>
      <w:rFonts w:eastAsia="仿宋_GB2312"/>
      <w:sz w:val="28"/>
    </w:rPr>
  </w:style>
  <w:style w:type="paragraph" w:styleId="1111" w:customStyle="1">
    <w:name w:val="正文111"/>
    <w:next w:val="1107"/>
    <w:uiPriority w:val="0"/>
    <w:qFormat/>
    <w:pPr>
      <w:jc w:val="both"/>
      <w:widowControl w:val="off"/>
    </w:pPr>
    <w:rPr>
      <w:rFonts w:hint="default" w:ascii="Calibri" w:hAnsi="Calibri" w:eastAsia="宋体" w:cs="Calibri"/>
      <w:color w:val="000000"/>
      <w:sz w:val="22"/>
      <w:szCs w:val="22"/>
      <w:lang w:val="en-US" w:eastAsia="zh-CN" w:bidi="ar-SA"/>
    </w:rPr>
  </w:style>
  <w:style w:type="paragraph" w:styleId="1112" w:customStyle="1">
    <w:name w:val="标题 41"/>
    <w:basedOn w:val="1113"/>
    <w:next w:val="1109"/>
    <w:uiPriority w:val="0"/>
    <w:qFormat/>
    <w:pPr>
      <w:keepLines/>
      <w:keepNext/>
      <w:spacing w:line="360" w:lineRule="auto"/>
      <w:outlineLvl w:val="3"/>
    </w:pPr>
    <w:rPr>
      <w:rFonts w:ascii="Arial" w:hAnsi="Arial"/>
      <w:b/>
      <w:bCs/>
      <w:sz w:val="21"/>
      <w:szCs w:val="28"/>
    </w:rPr>
  </w:style>
  <w:style w:type="paragraph" w:styleId="1113" w:customStyle="1">
    <w:name w:val="正文12"/>
    <w:next w:val="1114"/>
    <w:uiPriority w:val="0"/>
    <w:qFormat/>
    <w:pPr>
      <w:jc w:val="both"/>
      <w:widowControl w:val="off"/>
    </w:pPr>
    <w:rPr>
      <w:rFonts w:hint="default" w:ascii="Calibri" w:hAnsi="Calibri" w:eastAsia="Calibri" w:cs="Times New Roman"/>
      <w:sz w:val="21"/>
      <w:szCs w:val="24"/>
      <w:lang w:val="en-US" w:eastAsia="zh-CN" w:bidi="ar-SA"/>
    </w:rPr>
  </w:style>
  <w:style w:type="paragraph" w:styleId="1114" w:customStyle="1">
    <w:name w:val="标题 21"/>
    <w:basedOn w:val="1111"/>
    <w:next w:val="111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15" w:customStyle="1">
    <w:name w:val="目录 11"/>
    <w:basedOn w:val="1116"/>
    <w:next w:val="1113"/>
    <w:uiPriority w:val="0"/>
    <w:qFormat/>
  </w:style>
  <w:style w:type="paragraph" w:styleId="1116" w:customStyle="1">
    <w:name w:val="正文112"/>
    <w:next w:val="11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首行缩进1"/>
    <w:basedOn w:val="1118"/>
    <w:next w:val="1119"/>
    <w:link w:val="1387"/>
    <w:uiPriority w:val="0"/>
    <w:qFormat/>
    <w:pPr>
      <w:ind w:firstLine="420"/>
      <w:widowControl w:val="off"/>
    </w:pPr>
    <w:rPr>
      <w:sz w:val="21"/>
    </w:rPr>
  </w:style>
  <w:style w:type="paragraph" w:styleId="1118" w:customStyle="1">
    <w:name w:val="正文文本11"/>
    <w:basedOn w:val="1113"/>
    <w:next w:val="1111"/>
    <w:link w:val="1373"/>
    <w:uiPriority w:val="0"/>
    <w:qFormat/>
    <w:pPr>
      <w:spacing w:after="120"/>
    </w:pPr>
  </w:style>
  <w:style w:type="paragraph" w:styleId="1119" w:customStyle="1">
    <w:name w:val="正文首行缩进 211"/>
    <w:basedOn w:val="1120"/>
    <w:next w:val="1116"/>
    <w:uiPriority w:val="99"/>
    <w:qFormat/>
    <w:pPr>
      <w:ind w:left="0" w:firstLine="420"/>
      <w:spacing w:after="0" w:line="360" w:lineRule="auto"/>
    </w:pPr>
    <w:rPr>
      <w:rFonts w:ascii="宋体" w:hAnsi="宋体"/>
    </w:rPr>
  </w:style>
  <w:style w:type="paragraph" w:styleId="1120" w:customStyle="1">
    <w:name w:val="正文文本缩进11"/>
    <w:basedOn w:val="1113"/>
    <w:next w:val="1116"/>
    <w:uiPriority w:val="0"/>
    <w:qFormat/>
    <w:pPr>
      <w:ind w:left="420"/>
      <w:spacing w:after="120"/>
    </w:pPr>
  </w:style>
  <w:style w:type="paragraph" w:styleId="1121" w:customStyle="1">
    <w:name w:val="寄信人地址1"/>
    <w:basedOn w:val="1109"/>
    <w:uiPriority w:val="0"/>
    <w:qFormat/>
    <w:rPr>
      <w:rFonts w:ascii="Arial" w:hAnsi="Arial"/>
    </w:rPr>
  </w:style>
  <w:style w:type="paragraph" w:styleId="1122">
    <w:name w:val="toc 7"/>
    <w:basedOn w:val="1095"/>
    <w:next w:val="1095"/>
    <w:uiPriority w:val="39"/>
    <w:unhideWhenUsed/>
    <w:qFormat/>
    <w:pPr>
      <w:ind w:left="1701"/>
      <w:spacing w:after="57"/>
    </w:pPr>
  </w:style>
  <w:style w:type="paragraph" w:styleId="1123">
    <w:name w:val="Normal Indent"/>
    <w:basedOn w:val="1095"/>
    <w:next w:val="1095"/>
    <w:uiPriority w:val="0"/>
    <w:qFormat/>
    <w:pPr>
      <w:ind w:firstLine="420"/>
      <w:jc w:val="left"/>
      <w:widowControl/>
    </w:pPr>
    <w:rPr>
      <w:rFonts w:eastAsia="??"/>
      <w:sz w:val="24"/>
    </w:rPr>
  </w:style>
  <w:style w:type="paragraph" w:styleId="1124">
    <w:name w:val="Caption"/>
    <w:basedOn w:val="1095"/>
    <w:next w:val="1095"/>
    <w:uiPriority w:val="35"/>
    <w:semiHidden/>
    <w:unhideWhenUsed/>
    <w:qFormat/>
    <w:pPr>
      <w:spacing w:line="276" w:lineRule="auto"/>
    </w:pPr>
    <w:rPr>
      <w:b/>
      <w:bCs/>
      <w:color w:val="4f81bd"/>
      <w:sz w:val="18"/>
      <w:szCs w:val="18"/>
    </w:rPr>
  </w:style>
  <w:style w:type="paragraph" w:styleId="1125">
    <w:name w:val="Document Map"/>
    <w:basedOn w:val="1095"/>
    <w:uiPriority w:val="0"/>
    <w:qFormat/>
    <w:rPr>
      <w:rFonts w:ascii="宋体" w:hAnsi="Calibri"/>
      <w:sz w:val="18"/>
      <w:szCs w:val="18"/>
    </w:rPr>
  </w:style>
  <w:style w:type="paragraph" w:styleId="1126">
    <w:name w:val="annotation text"/>
    <w:basedOn w:val="1095"/>
    <w:link w:val="1496"/>
    <w:uiPriority w:val="99"/>
    <w:semiHidden/>
    <w:unhideWhenUsed/>
    <w:qFormat/>
    <w:pPr>
      <w:jc w:val="left"/>
    </w:pPr>
  </w:style>
  <w:style w:type="paragraph" w:styleId="1127">
    <w:name w:val="Body Text"/>
    <w:basedOn w:val="1095"/>
    <w:next w:val="1128"/>
    <w:link w:val="1498"/>
    <w:uiPriority w:val="0"/>
    <w:qFormat/>
    <w:pPr>
      <w:jc w:val="left"/>
      <w:spacing w:after="120"/>
    </w:pPr>
    <w:rPr>
      <w:rFonts w:ascii="Times New Roman" w:hAnsi="Times New Roman"/>
      <w:sz w:val="20"/>
      <w:szCs w:val="20"/>
    </w:rPr>
  </w:style>
  <w:style w:type="paragraph" w:styleId="1128" w:customStyle="1">
    <w:name w:val="一级条标题"/>
    <w:basedOn w:val="1129"/>
    <w:next w:val="11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9" w:customStyle="1">
    <w:name w:val="章标题"/>
    <w:next w:val="10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0" w:customStyle="1">
    <w:name w:val="段"/>
    <w:basedOn w:val="1131"/>
    <w:next w:val="1095"/>
    <w:uiPriority w:val="0"/>
    <w:qFormat/>
    <w:pPr>
      <w:ind w:firstLine="200"/>
    </w:pPr>
  </w:style>
  <w:style w:type="paragraph" w:styleId="1131" w:customStyle="1">
    <w:name w:val="正文13"/>
    <w:next w:val="11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name w:val="Body Text Indent"/>
    <w:basedOn w:val="1095"/>
    <w:link w:val="1501"/>
    <w:uiPriority w:val="0"/>
    <w:qFormat/>
    <w:pPr>
      <w:ind w:left="420"/>
      <w:spacing w:after="120"/>
    </w:pPr>
  </w:style>
  <w:style w:type="paragraph" w:styleId="1133">
    <w:name w:val="Block Text"/>
    <w:basedOn w:val="1095"/>
    <w:next w:val="1095"/>
    <w:uiPriority w:val="0"/>
    <w:qFormat/>
    <w:pPr>
      <w:ind w:left="256" w:right="6" w:firstLine="624"/>
    </w:pPr>
    <w:rPr>
      <w:rFonts w:eastAsia="仿宋_GB2312"/>
      <w:sz w:val="28"/>
      <w:szCs w:val="20"/>
    </w:rPr>
  </w:style>
  <w:style w:type="paragraph" w:styleId="1134">
    <w:name w:val="toc 5"/>
    <w:basedOn w:val="1095"/>
    <w:next w:val="1095"/>
    <w:uiPriority w:val="39"/>
    <w:unhideWhenUsed/>
    <w:qFormat/>
    <w:pPr>
      <w:ind w:left="1134"/>
      <w:spacing w:after="57"/>
    </w:pPr>
  </w:style>
  <w:style w:type="paragraph" w:styleId="1135">
    <w:name w:val="toc 3"/>
    <w:basedOn w:val="1095"/>
    <w:next w:val="1095"/>
    <w:uiPriority w:val="39"/>
    <w:unhideWhenUsed/>
    <w:qFormat/>
    <w:pPr>
      <w:ind w:left="567"/>
      <w:spacing w:after="57"/>
    </w:pPr>
  </w:style>
  <w:style w:type="paragraph" w:styleId="1136">
    <w:name w:val="Plain Text"/>
    <w:basedOn w:val="1095"/>
    <w:uiPriority w:val="0"/>
    <w:qFormat/>
    <w:rPr>
      <w:rFonts w:ascii="宋体" w:hAnsi="Courier New"/>
    </w:rPr>
  </w:style>
  <w:style w:type="paragraph" w:styleId="1137">
    <w:name w:val="toc 8"/>
    <w:basedOn w:val="1095"/>
    <w:next w:val="1095"/>
    <w:uiPriority w:val="39"/>
    <w:unhideWhenUsed/>
    <w:qFormat/>
    <w:pPr>
      <w:ind w:left="1984"/>
      <w:spacing w:after="57"/>
    </w:pPr>
  </w:style>
  <w:style w:type="paragraph" w:styleId="1138">
    <w:name w:val="endnote text"/>
    <w:basedOn w:val="1095"/>
    <w:link w:val="1361"/>
    <w:uiPriority w:val="99"/>
    <w:semiHidden/>
    <w:unhideWhenUsed/>
    <w:qFormat/>
    <w:rPr>
      <w:sz w:val="20"/>
    </w:rPr>
  </w:style>
  <w:style w:type="paragraph" w:styleId="1139">
    <w:name w:val="Balloon Text"/>
    <w:basedOn w:val="1095"/>
    <w:link w:val="1499"/>
    <w:uiPriority w:val="99"/>
    <w:semiHidden/>
    <w:unhideWhenUsed/>
    <w:qFormat/>
    <w:rPr>
      <w:sz w:val="18"/>
      <w:szCs w:val="18"/>
    </w:rPr>
  </w:style>
  <w:style w:type="paragraph" w:styleId="1140">
    <w:name w:val="Footer"/>
    <w:basedOn w:val="1095"/>
    <w:link w:val="1253"/>
    <w:uiPriority w:val="99"/>
    <w:unhideWhenUsed/>
    <w:qFormat/>
    <w:pPr>
      <w:tabs>
        <w:tab w:val="center" w:pos="7143" w:leader="none"/>
        <w:tab w:val="right" w:pos="14287" w:leader="none"/>
      </w:tabs>
    </w:pPr>
  </w:style>
  <w:style w:type="paragraph" w:styleId="1141">
    <w:name w:val="envelope return"/>
    <w:basedOn w:val="1095"/>
    <w:uiPriority w:val="0"/>
    <w:qFormat/>
    <w:rPr>
      <w:rFonts w:ascii="Arial" w:hAnsi="Arial"/>
    </w:rPr>
  </w:style>
  <w:style w:type="paragraph" w:styleId="1142">
    <w:name w:val="Header"/>
    <w:basedOn w:val="1095"/>
    <w:link w:val="1251"/>
    <w:uiPriority w:val="99"/>
    <w:unhideWhenUsed/>
    <w:qFormat/>
    <w:pPr>
      <w:tabs>
        <w:tab w:val="center" w:pos="7143" w:leader="none"/>
        <w:tab w:val="right" w:pos="14287" w:leader="none"/>
      </w:tabs>
    </w:pPr>
  </w:style>
  <w:style w:type="paragraph" w:styleId="1143">
    <w:name w:val="toc 1"/>
    <w:basedOn w:val="1095"/>
    <w:next w:val="1095"/>
    <w:uiPriority w:val="39"/>
    <w:unhideWhenUsed/>
    <w:qFormat/>
    <w:pPr>
      <w:spacing w:after="57"/>
    </w:pPr>
  </w:style>
  <w:style w:type="paragraph" w:styleId="1144">
    <w:name w:val="toc 4"/>
    <w:basedOn w:val="1095"/>
    <w:next w:val="1095"/>
    <w:uiPriority w:val="39"/>
    <w:unhideWhenUsed/>
    <w:qFormat/>
    <w:pPr>
      <w:ind w:left="850"/>
      <w:spacing w:after="57"/>
    </w:pPr>
  </w:style>
  <w:style w:type="paragraph" w:styleId="1145">
    <w:name w:val="Subtitle"/>
    <w:basedOn w:val="1095"/>
    <w:next w:val="1095"/>
    <w:link w:val="1246"/>
    <w:uiPriority w:val="11"/>
    <w:qFormat/>
    <w:pPr>
      <w:spacing w:before="200" w:after="200"/>
    </w:pPr>
    <w:rPr>
      <w:sz w:val="24"/>
      <w:szCs w:val="24"/>
    </w:rPr>
  </w:style>
  <w:style w:type="paragraph" w:styleId="1146">
    <w:name w:val="footnote text"/>
    <w:basedOn w:val="1095"/>
    <w:link w:val="1360"/>
    <w:uiPriority w:val="99"/>
    <w:semiHidden/>
    <w:unhideWhenUsed/>
    <w:qFormat/>
    <w:pPr>
      <w:spacing w:after="40"/>
    </w:pPr>
    <w:rPr>
      <w:sz w:val="18"/>
    </w:rPr>
  </w:style>
  <w:style w:type="paragraph" w:styleId="1147">
    <w:name w:val="toc 6"/>
    <w:basedOn w:val="1095"/>
    <w:next w:val="1095"/>
    <w:uiPriority w:val="39"/>
    <w:unhideWhenUsed/>
    <w:qFormat/>
    <w:pPr>
      <w:ind w:left="1417"/>
      <w:spacing w:after="57"/>
    </w:pPr>
  </w:style>
  <w:style w:type="paragraph" w:styleId="1148">
    <w:name w:val="table of figures"/>
    <w:basedOn w:val="1095"/>
    <w:next w:val="1095"/>
    <w:uiPriority w:val="99"/>
    <w:unhideWhenUsed/>
    <w:qFormat/>
  </w:style>
  <w:style w:type="paragraph" w:styleId="1149">
    <w:name w:val="toc 2"/>
    <w:basedOn w:val="1095"/>
    <w:next w:val="1095"/>
    <w:uiPriority w:val="39"/>
    <w:unhideWhenUsed/>
    <w:qFormat/>
    <w:pPr>
      <w:ind w:left="283"/>
      <w:spacing w:after="57"/>
    </w:pPr>
  </w:style>
  <w:style w:type="paragraph" w:styleId="1150">
    <w:name w:val="toc 9"/>
    <w:basedOn w:val="1095"/>
    <w:next w:val="1095"/>
    <w:uiPriority w:val="39"/>
    <w:unhideWhenUsed/>
    <w:qFormat/>
    <w:pPr>
      <w:ind w:left="2268"/>
      <w:spacing w:after="57"/>
    </w:pPr>
  </w:style>
  <w:style w:type="paragraph" w:styleId="1151">
    <w:name w:val="Normal (Web)"/>
    <w:basedOn w:val="1095"/>
    <w:uiPriority w:val="99"/>
    <w:semiHidden/>
    <w:unhideWhenUsed/>
    <w:qFormat/>
    <w:rPr>
      <w:rFonts w:ascii="Times New Roman" w:hAnsi="Times New Roman"/>
      <w:sz w:val="24"/>
      <w:szCs w:val="24"/>
    </w:rPr>
  </w:style>
  <w:style w:type="paragraph" w:styleId="1152">
    <w:name w:val="Title"/>
    <w:basedOn w:val="1095"/>
    <w:next w:val="1095"/>
    <w:link w:val="1245"/>
    <w:uiPriority w:val="10"/>
    <w:qFormat/>
    <w:pPr>
      <w:contextualSpacing/>
      <w:spacing w:before="300" w:after="200"/>
    </w:pPr>
    <w:rPr>
      <w:sz w:val="48"/>
      <w:szCs w:val="48"/>
    </w:rPr>
  </w:style>
  <w:style w:type="paragraph" w:styleId="1153">
    <w:name w:val="annotation subject"/>
    <w:basedOn w:val="1126"/>
    <w:next w:val="1126"/>
    <w:link w:val="1495"/>
    <w:uiPriority w:val="0"/>
    <w:qFormat/>
    <w:rPr>
      <w:rFonts w:ascii="Times New Roman" w:hAnsi="Times New Roman"/>
      <w:b/>
      <w:bCs/>
      <w:sz w:val="24"/>
      <w:szCs w:val="24"/>
    </w:rPr>
  </w:style>
  <w:style w:type="paragraph" w:styleId="1154">
    <w:name w:val="Body Text First Indent 2"/>
    <w:basedOn w:val="1132"/>
    <w:next w:val="1095"/>
    <w:uiPriority w:val="0"/>
    <w:qFormat/>
    <w:pPr>
      <w:ind w:firstLine="420"/>
      <w:spacing w:line="360" w:lineRule="auto"/>
    </w:pPr>
    <w:rPr>
      <w:color w:val="000000"/>
    </w:rPr>
  </w:style>
  <w:style w:type="table" w:styleId="11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56">
    <w:name w:val="Strong"/>
    <w:basedOn w:val="1105"/>
    <w:uiPriority w:val="22"/>
    <w:qFormat/>
    <w:rPr>
      <w:b/>
    </w:rPr>
  </w:style>
  <w:style w:type="character" w:styleId="1157">
    <w:name w:val="endnote reference"/>
    <w:uiPriority w:val="99"/>
    <w:semiHidden/>
    <w:unhideWhenUsed/>
    <w:qFormat/>
    <w:rPr>
      <w:vertAlign w:val="superscript"/>
    </w:rPr>
  </w:style>
  <w:style w:type="character" w:styleId="1158">
    <w:name w:val="page number"/>
    <w:basedOn w:val="1105"/>
    <w:uiPriority w:val="0"/>
    <w:qFormat/>
  </w:style>
  <w:style w:type="character" w:styleId="1159">
    <w:name w:val="Emphasis"/>
    <w:basedOn w:val="1105"/>
    <w:uiPriority w:val="20"/>
    <w:qFormat/>
    <w:rPr>
      <w:i/>
    </w:rPr>
  </w:style>
  <w:style w:type="character" w:styleId="1160">
    <w:name w:val="Hyperlink"/>
    <w:uiPriority w:val="99"/>
    <w:unhideWhenUsed/>
    <w:qFormat/>
    <w:rPr>
      <w:color w:val="0000ff"/>
      <w:u w:val="single"/>
    </w:rPr>
  </w:style>
  <w:style w:type="character" w:styleId="1161">
    <w:name w:val="annotation reference"/>
    <w:basedOn w:val="1105"/>
    <w:uiPriority w:val="99"/>
    <w:semiHidden/>
    <w:unhideWhenUsed/>
    <w:qFormat/>
    <w:rPr>
      <w:sz w:val="21"/>
      <w:szCs w:val="21"/>
    </w:rPr>
  </w:style>
  <w:style w:type="character" w:styleId="1162">
    <w:name w:val="footnote reference"/>
    <w:uiPriority w:val="99"/>
    <w:unhideWhenUsed/>
    <w:qFormat/>
    <w:rPr>
      <w:vertAlign w:val="superscript"/>
    </w:rPr>
  </w:style>
  <w:style w:type="paragraph" w:styleId="1163" w:customStyle="1">
    <w:name w:val="正文文本1"/>
    <w:basedOn w:val="1164"/>
    <w:next w:val="1128"/>
    <w:uiPriority w:val="0"/>
    <w:qFormat/>
    <w:rPr>
      <w:rFonts w:eastAsia="黑体"/>
      <w:b/>
      <w:bCs/>
      <w:spacing w:val="20"/>
      <w:sz w:val="56"/>
    </w:rPr>
  </w:style>
  <w:style w:type="paragraph" w:styleId="1164" w:customStyle="1">
    <w:name w:val="正文1111"/>
    <w:next w:val="11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文本块11"/>
    <w:basedOn w:val="1166"/>
    <w:uiPriority w:val="0"/>
    <w:qFormat/>
    <w:pPr>
      <w:ind w:left="256" w:right="6" w:firstLine="624"/>
    </w:pPr>
    <w:rPr>
      <w:rFonts w:ascii="Arial" w:hAnsi="Arial" w:eastAsia="仿宋"/>
      <w:sz w:val="28"/>
    </w:rPr>
  </w:style>
  <w:style w:type="paragraph" w:styleId="1166" w:customStyle="1">
    <w:name w:val="正文121"/>
    <w:next w:val="11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无间隔1"/>
    <w:uiPriority w:val="0"/>
    <w:qFormat/>
    <w:rPr>
      <w:rFonts w:hint="default" w:ascii="Times New Roman" w:hAnsi="Times New Roman" w:eastAsia="宋体" w:cs="Times New Roman"/>
      <w:sz w:val="22"/>
      <w:szCs w:val="22"/>
      <w:lang w:val="en-US" w:eastAsia="en-US" w:bidi="ar-SA"/>
    </w:rPr>
  </w:style>
  <w:style w:type="paragraph" w:styleId="1168" w:customStyle="1">
    <w:name w:val="寄信人地址11"/>
    <w:basedOn w:val="1095"/>
    <w:uiPriority w:val="0"/>
    <w:qFormat/>
    <w:rPr>
      <w:rFonts w:ascii="Arial" w:hAnsi="Arial"/>
    </w:rPr>
  </w:style>
  <w:style w:type="paragraph" w:styleId="1169" w:customStyle="1">
    <w:name w:val="脚注文本1"/>
    <w:basedOn w:val="1108"/>
    <w:next w:val="1170"/>
    <w:uiPriority w:val="0"/>
    <w:qFormat/>
    <w:rPr>
      <w:rFonts w:ascii="宋体" w:eastAsia="Times New Roman"/>
      <w:sz w:val="18"/>
      <w:szCs w:val="18"/>
    </w:rPr>
  </w:style>
  <w:style w:type="paragraph" w:styleId="1170" w:customStyle="1">
    <w:name w:val="索引 51"/>
    <w:basedOn w:val="1108"/>
    <w:next w:val="1108"/>
    <w:uiPriority w:val="0"/>
    <w:qFormat/>
    <w:pPr>
      <w:ind w:left="798"/>
    </w:pPr>
    <w:rPr>
      <w:rFonts w:ascii="Calibri" w:hAnsi="Calibri"/>
    </w:rPr>
  </w:style>
  <w:style w:type="paragraph" w:styleId="1171" w:customStyle="1">
    <w:name w:val="文本块12"/>
    <w:basedOn w:val="1095"/>
    <w:uiPriority w:val="6"/>
    <w:qFormat/>
    <w:pPr>
      <w:ind w:left="256" w:right="6" w:firstLine="624"/>
    </w:pPr>
    <w:rPr>
      <w:rFonts w:ascii="Times New Roman" w:hAnsi="Times New Roman" w:eastAsia="仿宋" w:cs="Times New Roman"/>
      <w:sz w:val="28"/>
      <w:szCs w:val="20"/>
    </w:rPr>
  </w:style>
  <w:style w:type="paragraph" w:styleId="1172" w:customStyle="1">
    <w:name w:val="正文文本111"/>
    <w:basedOn w:val="1113"/>
    <w:next w:val="1113"/>
    <w:uiPriority w:val="0"/>
    <w:qFormat/>
  </w:style>
  <w:style w:type="paragraph" w:styleId="1173" w:customStyle="1">
    <w:name w:val="正文首行缩进11"/>
    <w:basedOn w:val="1118"/>
    <w:next w:val="1119"/>
    <w:uiPriority w:val="0"/>
    <w:qFormat/>
    <w:pPr>
      <w:ind w:firstLine="420"/>
    </w:pPr>
    <w:rPr>
      <w:rFonts w:ascii="仿宋_GB2312" w:eastAsia="仿宋_GB2312"/>
      <w:sz w:val="30"/>
      <w:szCs w:val="30"/>
    </w:rPr>
  </w:style>
  <w:style w:type="paragraph" w:styleId="1174" w:customStyle="1">
    <w:name w:val="正文首行缩进 21"/>
    <w:basedOn w:val="1107"/>
    <w:next w:val="1111"/>
    <w:uiPriority w:val="0"/>
    <w:qFormat/>
    <w:pPr>
      <w:ind w:firstLine="420"/>
    </w:pPr>
    <w:rPr>
      <w:rFonts w:ascii="仿宋_GB2312" w:eastAsia="仿宋_GB2312"/>
      <w:color w:val="ff6600"/>
      <w:sz w:val="21"/>
    </w:rPr>
  </w:style>
  <w:style w:type="paragraph" w:styleId="1175" w:customStyle="1">
    <w:name w:val="目录 111"/>
    <w:basedOn w:val="1131"/>
    <w:next w:val="1113"/>
    <w:uiPriority w:val="0"/>
    <w:qFormat/>
    <w:pPr>
      <w:spacing w:after="57"/>
    </w:pPr>
  </w:style>
  <w:style w:type="table" w:styleId="1176" w:customStyle="1">
    <w:name w:val="Plain Table 1"/>
    <w:basedOn w:val="11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7" w:customStyle="1">
    <w:name w:val="Plain Table 2"/>
    <w:basedOn w:val="11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8" w:customStyle="1">
    <w:name w:val="Plain Table 3"/>
    <w:basedOn w:val="11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9" w:customStyle="1">
    <w:name w:val="Plain Table 4"/>
    <w:basedOn w:val="11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0" w:customStyle="1">
    <w:name w:val="Plain Table 5"/>
    <w:basedOn w:val="11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1" w:customStyle="1">
    <w:name w:val="Grid Table 1 Light"/>
    <w:basedOn w:val="11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2" w:customStyle="1">
    <w:name w:val="Grid Table 2"/>
    <w:basedOn w:val="11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3" w:customStyle="1">
    <w:name w:val="Grid Table 3"/>
    <w:basedOn w:val="11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4" w:customStyle="1">
    <w:name w:val="Grid Table 4"/>
    <w:basedOn w:val="11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5" w:customStyle="1">
    <w:name w:val="Grid Table 5 Dark"/>
    <w:basedOn w:val="11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6" w:customStyle="1">
    <w:name w:val="Grid Table 6 Colorful"/>
    <w:basedOn w:val="11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7" w:customStyle="1">
    <w:name w:val="Grid Table 7 Colorful"/>
    <w:basedOn w:val="11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8" w:customStyle="1">
    <w:name w:val="List Table 1 Light"/>
    <w:basedOn w:val="11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9" w:customStyle="1">
    <w:name w:val="List Table 2"/>
    <w:basedOn w:val="11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0" w:customStyle="1">
    <w:name w:val="List Table 3"/>
    <w:basedOn w:val="11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1" w:customStyle="1">
    <w:name w:val="List Table 4"/>
    <w:basedOn w:val="11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List Table 5 Dark"/>
    <w:basedOn w:val="11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6 Colorful"/>
    <w:basedOn w:val="11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4" w:customStyle="1">
    <w:name w:val="List Table 7 Colorful"/>
    <w:basedOn w:val="11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95" w:customStyle="1">
    <w:name w:val="TOC Heading"/>
    <w:uiPriority w:val="39"/>
    <w:unhideWhenUsed/>
    <w:qFormat/>
    <w:rPr>
      <w:rFonts w:hint="default" w:ascii="Times New Roman" w:hAnsi="Times New Roman" w:eastAsia="宋体" w:cs="Times New Roman"/>
    </w:rPr>
  </w:style>
  <w:style w:type="paragraph" w:styleId="1196"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197" w:customStyle="1">
    <w:name w:val="索引 41"/>
    <w:basedOn w:val="1108"/>
    <w:next w:val="1108"/>
    <w:uiPriority w:val="0"/>
    <w:unhideWhenUsed/>
    <w:qFormat/>
    <w:pPr>
      <w:ind w:left="600"/>
      <w:jc w:val="both"/>
    </w:pPr>
    <w:rPr>
      <w:rFonts w:ascii="Calibri"/>
      <w:sz w:val="22"/>
    </w:rPr>
  </w:style>
  <w:style w:type="character" w:styleId="1198" w:customStyle="1">
    <w:name w:val="Heading 1 Char"/>
    <w:uiPriority w:val="9"/>
    <w:qFormat/>
    <w:rPr>
      <w:rFonts w:ascii="Arial" w:hAnsi="Arial" w:eastAsia="Arial" w:cs="Arial"/>
      <w:sz w:val="40"/>
      <w:szCs w:val="40"/>
    </w:rPr>
  </w:style>
  <w:style w:type="character" w:styleId="1199" w:customStyle="1">
    <w:name w:val="Heading 2 Char"/>
    <w:uiPriority w:val="9"/>
    <w:qFormat/>
    <w:rPr>
      <w:rFonts w:ascii="Arial" w:hAnsi="Arial" w:eastAsia="Arial" w:cs="Arial"/>
      <w:sz w:val="34"/>
    </w:rPr>
  </w:style>
  <w:style w:type="character" w:styleId="1200" w:customStyle="1">
    <w:name w:val="Heading 3 Char"/>
    <w:uiPriority w:val="9"/>
    <w:qFormat/>
    <w:rPr>
      <w:rFonts w:ascii="Arial" w:hAnsi="Arial" w:eastAsia="Arial" w:cs="Arial"/>
      <w:sz w:val="30"/>
      <w:szCs w:val="30"/>
    </w:rPr>
  </w:style>
  <w:style w:type="character" w:styleId="1201" w:customStyle="1">
    <w:name w:val="Heading 4 Char"/>
    <w:uiPriority w:val="9"/>
    <w:qFormat/>
    <w:rPr>
      <w:rFonts w:ascii="Arial" w:hAnsi="Arial" w:eastAsia="Arial" w:cs="Arial"/>
      <w:b/>
      <w:bCs/>
      <w:sz w:val="26"/>
      <w:szCs w:val="26"/>
    </w:rPr>
  </w:style>
  <w:style w:type="character" w:styleId="1202" w:customStyle="1">
    <w:name w:val="Heading 5 Char"/>
    <w:uiPriority w:val="9"/>
    <w:qFormat/>
    <w:rPr>
      <w:rFonts w:ascii="Arial" w:hAnsi="Arial" w:eastAsia="Arial" w:cs="Arial"/>
      <w:b/>
      <w:bCs/>
      <w:sz w:val="24"/>
      <w:szCs w:val="24"/>
    </w:rPr>
  </w:style>
  <w:style w:type="character" w:styleId="1203" w:customStyle="1">
    <w:name w:val="Heading 6 Char"/>
    <w:uiPriority w:val="9"/>
    <w:qFormat/>
    <w:rPr>
      <w:rFonts w:ascii="Arial" w:hAnsi="Arial" w:eastAsia="Arial" w:cs="Arial"/>
      <w:b/>
      <w:bCs/>
      <w:sz w:val="22"/>
      <w:szCs w:val="22"/>
    </w:rPr>
  </w:style>
  <w:style w:type="character" w:styleId="1204" w:customStyle="1">
    <w:name w:val="Heading 7 Char"/>
    <w:uiPriority w:val="9"/>
    <w:qFormat/>
    <w:rPr>
      <w:rFonts w:ascii="Arial" w:hAnsi="Arial" w:eastAsia="Arial" w:cs="Arial"/>
      <w:b/>
      <w:bCs/>
      <w:i/>
      <w:iCs/>
      <w:sz w:val="22"/>
      <w:szCs w:val="22"/>
    </w:rPr>
  </w:style>
  <w:style w:type="character" w:styleId="1205" w:customStyle="1">
    <w:name w:val="Heading 8 Char"/>
    <w:uiPriority w:val="9"/>
    <w:qFormat/>
    <w:rPr>
      <w:rFonts w:ascii="Arial" w:hAnsi="Arial" w:eastAsia="Arial" w:cs="Arial"/>
      <w:i/>
      <w:iCs/>
      <w:sz w:val="22"/>
      <w:szCs w:val="22"/>
    </w:rPr>
  </w:style>
  <w:style w:type="character" w:styleId="1206" w:customStyle="1">
    <w:name w:val="Heading 9 Char"/>
    <w:uiPriority w:val="9"/>
    <w:qFormat/>
    <w:rPr>
      <w:rFonts w:ascii="Arial" w:hAnsi="Arial" w:eastAsia="Arial" w:cs="Arial"/>
      <w:i/>
      <w:iCs/>
      <w:sz w:val="21"/>
      <w:szCs w:val="21"/>
    </w:rPr>
  </w:style>
  <w:style w:type="character" w:styleId="1207" w:customStyle="1">
    <w:name w:val="Title Char"/>
    <w:uiPriority w:val="10"/>
    <w:qFormat/>
    <w:rPr>
      <w:sz w:val="48"/>
      <w:szCs w:val="48"/>
    </w:rPr>
  </w:style>
  <w:style w:type="character" w:styleId="1208" w:customStyle="1">
    <w:name w:val="Subtitle Char"/>
    <w:uiPriority w:val="11"/>
    <w:qFormat/>
    <w:rPr>
      <w:sz w:val="24"/>
      <w:szCs w:val="24"/>
    </w:rPr>
  </w:style>
  <w:style w:type="character" w:styleId="1209" w:customStyle="1">
    <w:name w:val="Quote Char"/>
    <w:uiPriority w:val="29"/>
    <w:qFormat/>
    <w:rPr>
      <w:i/>
    </w:rPr>
  </w:style>
  <w:style w:type="character" w:styleId="1210" w:customStyle="1">
    <w:name w:val="Intense Quote Char"/>
    <w:uiPriority w:val="30"/>
    <w:qFormat/>
    <w:rPr>
      <w:i/>
    </w:rPr>
  </w:style>
  <w:style w:type="character" w:styleId="1211" w:customStyle="1">
    <w:name w:val="Header Char"/>
    <w:basedOn w:val="1105"/>
    <w:uiPriority w:val="99"/>
    <w:qFormat/>
  </w:style>
  <w:style w:type="character" w:styleId="1212" w:customStyle="1">
    <w:name w:val="Caption Char"/>
    <w:uiPriority w:val="99"/>
    <w:qFormat/>
  </w:style>
  <w:style w:type="table" w:styleId="1213" w:customStyle="1">
    <w:name w:val="无格式表格 11"/>
    <w:basedOn w:val="110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无格式表格 21"/>
    <w:basedOn w:val="1106"/>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customStyle="1">
    <w:name w:val="无格式表格 31"/>
    <w:basedOn w:val="110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customStyle="1">
    <w:name w:val="无格式表格 41"/>
    <w:basedOn w:val="110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customStyle="1">
    <w:name w:val="无格式表格 51"/>
    <w:basedOn w:val="110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8" w:customStyle="1">
    <w:name w:val="网格表 1 浅色1"/>
    <w:basedOn w:val="110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19" w:customStyle="1">
    <w:name w:val="网格表 21"/>
    <w:basedOn w:val="110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20" w:customStyle="1">
    <w:name w:val="网格表 31"/>
    <w:basedOn w:val="110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1" w:customStyle="1">
    <w:name w:val="网格表 41"/>
    <w:basedOn w:val="110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22" w:customStyle="1">
    <w:name w:val="网格表 5 深色1"/>
    <w:basedOn w:val="11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23" w:customStyle="1">
    <w:name w:val="网格表 6 彩色1"/>
    <w:basedOn w:val="110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24" w:customStyle="1">
    <w:name w:val="网格表 7 彩色1"/>
    <w:basedOn w:val="1106"/>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25" w:customStyle="1">
    <w:name w:val="清单表 1 浅色1"/>
    <w:basedOn w:val="1106"/>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26" w:customStyle="1">
    <w:name w:val="清单表 21"/>
    <w:basedOn w:val="1106"/>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27" w:customStyle="1">
    <w:name w:val="清单表 31"/>
    <w:basedOn w:val="110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28" w:customStyle="1">
    <w:name w:val="清单表 41"/>
    <w:basedOn w:val="110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29" w:customStyle="1">
    <w:name w:val="清单表 5 深色1"/>
    <w:basedOn w:val="1106"/>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30" w:customStyle="1">
    <w:name w:val="清单表 6 彩色1"/>
    <w:basedOn w:val="1106"/>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31" w:customStyle="1">
    <w:name w:val="清单表 7 彩色1"/>
    <w:basedOn w:val="1106"/>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232" w:customStyle="1">
    <w:name w:val="Footnote Text Char"/>
    <w:uiPriority w:val="99"/>
    <w:qFormat/>
    <w:rPr>
      <w:sz w:val="18"/>
    </w:rPr>
  </w:style>
  <w:style w:type="character" w:styleId="1233" w:customStyle="1">
    <w:name w:val="Endnote Text Char"/>
    <w:uiPriority w:val="99"/>
    <w:qFormat/>
    <w:rPr>
      <w:sz w:val="20"/>
    </w:rPr>
  </w:style>
  <w:style w:type="paragraph" w:styleId="1234" w:customStyle="1">
    <w:name w:val="TOC 标题1"/>
    <w:uiPriority w:val="39"/>
    <w:unhideWhenUsed/>
    <w:qFormat/>
    <w:rPr>
      <w:rFonts w:hint="default" w:ascii="Times New Roman" w:hAnsi="Times New Roman" w:eastAsia="宋体" w:cs="Times New Roman"/>
      <w:lang w:val="en-US" w:eastAsia="zh-CN" w:bidi="ar-SA"/>
    </w:rPr>
  </w:style>
  <w:style w:type="character" w:styleId="1235" w:customStyle="1">
    <w:name w:val="标题 1 Char1"/>
    <w:link w:val="1096"/>
    <w:uiPriority w:val="9"/>
    <w:qFormat/>
    <w:rPr>
      <w:rFonts w:ascii="Arial" w:hAnsi="Arial" w:eastAsia="Arial" w:cs="Arial"/>
      <w:sz w:val="40"/>
      <w:szCs w:val="40"/>
    </w:rPr>
  </w:style>
  <w:style w:type="character" w:styleId="1236" w:customStyle="1">
    <w:name w:val="标题 2 Char1"/>
    <w:link w:val="1097"/>
    <w:uiPriority w:val="9"/>
    <w:qFormat/>
    <w:rPr>
      <w:rFonts w:ascii="Arial" w:hAnsi="Arial" w:eastAsia="Arial" w:cs="Arial"/>
      <w:sz w:val="34"/>
    </w:rPr>
  </w:style>
  <w:style w:type="character" w:styleId="1237" w:customStyle="1">
    <w:name w:val="标题 3 Char"/>
    <w:link w:val="1098"/>
    <w:uiPriority w:val="9"/>
    <w:qFormat/>
    <w:rPr>
      <w:rFonts w:ascii="Arial" w:hAnsi="Arial" w:eastAsia="Arial" w:cs="Arial"/>
      <w:sz w:val="30"/>
      <w:szCs w:val="30"/>
    </w:rPr>
  </w:style>
  <w:style w:type="character" w:styleId="1238" w:customStyle="1">
    <w:name w:val="标题 4 Char"/>
    <w:link w:val="1099"/>
    <w:uiPriority w:val="9"/>
    <w:qFormat/>
    <w:rPr>
      <w:rFonts w:ascii="Arial" w:hAnsi="Arial" w:eastAsia="Arial" w:cs="Arial"/>
      <w:b/>
      <w:bCs/>
      <w:sz w:val="26"/>
      <w:szCs w:val="26"/>
    </w:rPr>
  </w:style>
  <w:style w:type="character" w:styleId="1239" w:customStyle="1">
    <w:name w:val="标题 5 Char"/>
    <w:link w:val="1100"/>
    <w:uiPriority w:val="9"/>
    <w:qFormat/>
    <w:rPr>
      <w:rFonts w:ascii="Arial" w:hAnsi="Arial" w:eastAsia="Arial" w:cs="Arial"/>
      <w:b/>
      <w:bCs/>
      <w:sz w:val="24"/>
      <w:szCs w:val="24"/>
    </w:rPr>
  </w:style>
  <w:style w:type="character" w:styleId="1240" w:customStyle="1">
    <w:name w:val="标题 6 Char"/>
    <w:link w:val="1101"/>
    <w:uiPriority w:val="9"/>
    <w:qFormat/>
    <w:rPr>
      <w:rFonts w:ascii="Arial" w:hAnsi="Arial" w:eastAsia="Arial" w:cs="Arial"/>
      <w:b/>
      <w:bCs/>
      <w:sz w:val="22"/>
      <w:szCs w:val="22"/>
    </w:rPr>
  </w:style>
  <w:style w:type="character" w:styleId="1241" w:customStyle="1">
    <w:name w:val="标题 7 Char"/>
    <w:link w:val="1102"/>
    <w:uiPriority w:val="9"/>
    <w:qFormat/>
    <w:rPr>
      <w:rFonts w:ascii="Arial" w:hAnsi="Arial" w:eastAsia="Arial" w:cs="Arial"/>
      <w:b/>
      <w:bCs/>
      <w:i/>
      <w:iCs/>
      <w:sz w:val="22"/>
      <w:szCs w:val="22"/>
    </w:rPr>
  </w:style>
  <w:style w:type="character" w:styleId="1242" w:customStyle="1">
    <w:name w:val="标题 8 Char"/>
    <w:link w:val="1103"/>
    <w:uiPriority w:val="9"/>
    <w:qFormat/>
    <w:rPr>
      <w:rFonts w:ascii="Arial" w:hAnsi="Arial" w:eastAsia="Arial" w:cs="Arial"/>
      <w:i/>
      <w:iCs/>
      <w:sz w:val="22"/>
      <w:szCs w:val="22"/>
    </w:rPr>
  </w:style>
  <w:style w:type="character" w:styleId="1243" w:customStyle="1">
    <w:name w:val="标题 9 Char"/>
    <w:link w:val="1104"/>
    <w:uiPriority w:val="9"/>
    <w:qFormat/>
    <w:rPr>
      <w:rFonts w:ascii="Arial" w:hAnsi="Arial" w:eastAsia="Arial" w:cs="Arial"/>
      <w:i/>
      <w:iCs/>
      <w:sz w:val="21"/>
      <w:szCs w:val="21"/>
    </w:rPr>
  </w:style>
  <w:style w:type="paragraph" w:styleId="1244">
    <w:name w:val="No Spacing"/>
    <w:uiPriority w:val="1"/>
    <w:qFormat/>
    <w:rPr>
      <w:rFonts w:hint="default" w:ascii="Times New Roman" w:hAnsi="Times New Roman" w:eastAsia="宋体" w:cs="Times New Roman"/>
      <w:lang w:val="en-US" w:eastAsia="zh-CN" w:bidi="ar-SA"/>
    </w:rPr>
  </w:style>
  <w:style w:type="character" w:styleId="1245" w:customStyle="1">
    <w:name w:val="标题 Char"/>
    <w:link w:val="1152"/>
    <w:uiPriority w:val="10"/>
    <w:qFormat/>
    <w:rPr>
      <w:sz w:val="48"/>
      <w:szCs w:val="48"/>
    </w:rPr>
  </w:style>
  <w:style w:type="character" w:styleId="1246" w:customStyle="1">
    <w:name w:val="副标题 Char"/>
    <w:link w:val="1145"/>
    <w:uiPriority w:val="11"/>
    <w:qFormat/>
    <w:rPr>
      <w:sz w:val="24"/>
      <w:szCs w:val="24"/>
    </w:rPr>
  </w:style>
  <w:style w:type="paragraph" w:styleId="1247">
    <w:name w:val="Quote"/>
    <w:basedOn w:val="1095"/>
    <w:next w:val="1095"/>
    <w:link w:val="1248"/>
    <w:uiPriority w:val="29"/>
    <w:qFormat/>
    <w:pPr>
      <w:ind w:left="720" w:right="720"/>
    </w:pPr>
    <w:rPr>
      <w:i/>
    </w:rPr>
  </w:style>
  <w:style w:type="character" w:styleId="1248" w:customStyle="1">
    <w:name w:val="引用 Char"/>
    <w:link w:val="1247"/>
    <w:uiPriority w:val="29"/>
    <w:qFormat/>
    <w:rPr>
      <w:i/>
    </w:rPr>
  </w:style>
  <w:style w:type="paragraph" w:styleId="1249">
    <w:name w:val="Intense Quote"/>
    <w:basedOn w:val="1095"/>
    <w:next w:val="1095"/>
    <w:link w:val="12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0" w:customStyle="1">
    <w:name w:val="明显引用 Char"/>
    <w:link w:val="1249"/>
    <w:uiPriority w:val="30"/>
    <w:qFormat/>
    <w:rPr>
      <w:i/>
    </w:rPr>
  </w:style>
  <w:style w:type="character" w:styleId="1251" w:customStyle="1">
    <w:name w:val="页眉 Char1"/>
    <w:link w:val="1142"/>
    <w:uiPriority w:val="99"/>
    <w:qFormat/>
  </w:style>
  <w:style w:type="character" w:styleId="1252" w:customStyle="1">
    <w:name w:val="Footer Char"/>
    <w:uiPriority w:val="99"/>
    <w:qFormat/>
  </w:style>
  <w:style w:type="character" w:styleId="1253" w:customStyle="1">
    <w:name w:val="页脚 Char1"/>
    <w:link w:val="1140"/>
    <w:uiPriority w:val="99"/>
    <w:qFormat/>
  </w:style>
  <w:style w:type="table" w:styleId="12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7" w:customStyle="1">
    <w:name w:val="List Table 1 Light - Accent 1"/>
    <w:uiPriority w:val="99"/>
    <w:qFormat/>
    <w:tblPr>
      <w:tblCellMar>
        <w:left w:w="0" w:type="dxa"/>
        <w:top w:w="0" w:type="dxa"/>
        <w:right w:w="0" w:type="dxa"/>
        <w:bottom w:w="0" w:type="dxa"/>
      </w:tblCellMar>
    </w:tblPr>
  </w:style>
  <w:style w:type="table" w:styleId="1298" w:customStyle="1">
    <w:name w:val="List Table 1 Light - Accent 2"/>
    <w:uiPriority w:val="99"/>
    <w:qFormat/>
    <w:tblPr>
      <w:tblCellMar>
        <w:left w:w="0" w:type="dxa"/>
        <w:top w:w="0" w:type="dxa"/>
        <w:right w:w="0" w:type="dxa"/>
        <w:bottom w:w="0" w:type="dxa"/>
      </w:tblCellMar>
    </w:tblPr>
  </w:style>
  <w:style w:type="table" w:styleId="1299" w:customStyle="1">
    <w:name w:val="List Table 1 Light - Accent 3"/>
    <w:uiPriority w:val="99"/>
    <w:qFormat/>
    <w:tblPr>
      <w:tblCellMar>
        <w:left w:w="0" w:type="dxa"/>
        <w:top w:w="0" w:type="dxa"/>
        <w:right w:w="0" w:type="dxa"/>
        <w:bottom w:w="0" w:type="dxa"/>
      </w:tblCellMar>
    </w:tblPr>
  </w:style>
  <w:style w:type="table" w:styleId="1300" w:customStyle="1">
    <w:name w:val="List Table 1 Light - Accent 4"/>
    <w:uiPriority w:val="99"/>
    <w:qFormat/>
    <w:tblPr>
      <w:tblCellMar>
        <w:left w:w="0" w:type="dxa"/>
        <w:top w:w="0" w:type="dxa"/>
        <w:right w:w="0" w:type="dxa"/>
        <w:bottom w:w="0" w:type="dxa"/>
      </w:tblCellMar>
    </w:tblPr>
  </w:style>
  <w:style w:type="table" w:styleId="1301" w:customStyle="1">
    <w:name w:val="List Table 1 Light - Accent 5"/>
    <w:uiPriority w:val="99"/>
    <w:qFormat/>
    <w:tblPr>
      <w:tblCellMar>
        <w:left w:w="0" w:type="dxa"/>
        <w:top w:w="0" w:type="dxa"/>
        <w:right w:w="0" w:type="dxa"/>
        <w:bottom w:w="0" w:type="dxa"/>
      </w:tblCellMar>
    </w:tblPr>
  </w:style>
  <w:style w:type="table" w:styleId="1302" w:customStyle="1">
    <w:name w:val="List Table 1 Light - Accent 6"/>
    <w:uiPriority w:val="99"/>
    <w:qFormat/>
    <w:tblPr>
      <w:tblCellMar>
        <w:left w:w="0" w:type="dxa"/>
        <w:top w:w="0" w:type="dxa"/>
        <w:right w:w="0" w:type="dxa"/>
        <w:bottom w:w="0" w:type="dxa"/>
      </w:tblCellMar>
    </w:tblPr>
  </w:style>
  <w:style w:type="table" w:styleId="130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0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0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1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1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39" w:customStyle="1">
    <w:name w:val="Lined - Accent"/>
    <w:uiPriority w:val="99"/>
    <w:qFormat/>
    <w:rPr>
      <w:color w:val="404040"/>
    </w:rPr>
    <w:tblPr>
      <w:tblCellMar>
        <w:left w:w="0" w:type="dxa"/>
        <w:top w:w="0" w:type="dxa"/>
        <w:right w:w="0" w:type="dxa"/>
        <w:bottom w:w="0" w:type="dxa"/>
      </w:tblCellMar>
    </w:tblPr>
  </w:style>
  <w:style w:type="table" w:styleId="1340" w:customStyle="1">
    <w:name w:val="Lined - Accent 1"/>
    <w:uiPriority w:val="99"/>
    <w:qFormat/>
    <w:rPr>
      <w:color w:val="404040"/>
    </w:rPr>
    <w:tblPr>
      <w:tblCellMar>
        <w:left w:w="0" w:type="dxa"/>
        <w:top w:w="0" w:type="dxa"/>
        <w:right w:w="0" w:type="dxa"/>
        <w:bottom w:w="0" w:type="dxa"/>
      </w:tblCellMar>
    </w:tblPr>
  </w:style>
  <w:style w:type="table" w:styleId="1341" w:customStyle="1">
    <w:name w:val="Lined - Accent 2"/>
    <w:uiPriority w:val="99"/>
    <w:qFormat/>
    <w:rPr>
      <w:color w:val="404040"/>
    </w:rPr>
    <w:tblPr>
      <w:tblCellMar>
        <w:left w:w="0" w:type="dxa"/>
        <w:top w:w="0" w:type="dxa"/>
        <w:right w:w="0" w:type="dxa"/>
        <w:bottom w:w="0" w:type="dxa"/>
      </w:tblCellMar>
    </w:tblPr>
  </w:style>
  <w:style w:type="table" w:styleId="1342" w:customStyle="1">
    <w:name w:val="Lined - Accent 3"/>
    <w:uiPriority w:val="99"/>
    <w:qFormat/>
    <w:rPr>
      <w:color w:val="404040"/>
    </w:rPr>
    <w:tblPr>
      <w:tblCellMar>
        <w:left w:w="0" w:type="dxa"/>
        <w:top w:w="0" w:type="dxa"/>
        <w:right w:w="0" w:type="dxa"/>
        <w:bottom w:w="0" w:type="dxa"/>
      </w:tblCellMar>
    </w:tblPr>
  </w:style>
  <w:style w:type="table" w:styleId="1343" w:customStyle="1">
    <w:name w:val="Lined - Accent 4"/>
    <w:uiPriority w:val="99"/>
    <w:qFormat/>
    <w:rPr>
      <w:color w:val="404040"/>
    </w:rPr>
    <w:tblPr>
      <w:tblCellMar>
        <w:left w:w="0" w:type="dxa"/>
        <w:top w:w="0" w:type="dxa"/>
        <w:right w:w="0" w:type="dxa"/>
        <w:bottom w:w="0" w:type="dxa"/>
      </w:tblCellMar>
    </w:tblPr>
  </w:style>
  <w:style w:type="table" w:styleId="1344" w:customStyle="1">
    <w:name w:val="Lined - Accent 5"/>
    <w:uiPriority w:val="99"/>
    <w:qFormat/>
    <w:rPr>
      <w:color w:val="404040"/>
    </w:rPr>
    <w:tblPr>
      <w:tblCellMar>
        <w:left w:w="0" w:type="dxa"/>
        <w:top w:w="0" w:type="dxa"/>
        <w:right w:w="0" w:type="dxa"/>
        <w:bottom w:w="0" w:type="dxa"/>
      </w:tblCellMar>
    </w:tblPr>
  </w:style>
  <w:style w:type="table" w:styleId="1345" w:customStyle="1">
    <w:name w:val="Lined - Accent 6"/>
    <w:uiPriority w:val="99"/>
    <w:qFormat/>
    <w:rPr>
      <w:color w:val="404040"/>
    </w:rPr>
    <w:tblPr>
      <w:tblCellMar>
        <w:left w:w="0" w:type="dxa"/>
        <w:top w:w="0" w:type="dxa"/>
        <w:right w:w="0" w:type="dxa"/>
        <w:bottom w:w="0" w:type="dxa"/>
      </w:tblCellMar>
    </w:tblPr>
  </w:style>
  <w:style w:type="table" w:styleId="13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47"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60" w:customStyle="1">
    <w:name w:val="脚注文本 Char"/>
    <w:link w:val="1146"/>
    <w:uiPriority w:val="99"/>
    <w:qFormat/>
    <w:rPr>
      <w:sz w:val="18"/>
    </w:rPr>
  </w:style>
  <w:style w:type="character" w:styleId="1361" w:customStyle="1">
    <w:name w:val="尾注文本 Char"/>
    <w:link w:val="1138"/>
    <w:uiPriority w:val="99"/>
    <w:qFormat/>
    <w:rPr>
      <w:sz w:val="20"/>
    </w:rPr>
  </w:style>
  <w:style w:type="paragraph" w:styleId="1362" w:customStyle="1">
    <w:name w:val="TOC 标题11"/>
    <w:uiPriority w:val="39"/>
    <w:unhideWhenUsed/>
    <w:qFormat/>
    <w:rPr>
      <w:rFonts w:hint="default" w:ascii="Times New Roman" w:hAnsi="Times New Roman" w:eastAsia="宋体" w:cs="Times New Roman"/>
      <w:lang w:val="en-US" w:eastAsia="zh-CN" w:bidi="ar-SA"/>
    </w:rPr>
  </w:style>
  <w:style w:type="paragraph" w:styleId="1363" w:customStyle="1">
    <w:name w:val="标题 11"/>
    <w:basedOn w:val="1109"/>
    <w:next w:val="1109"/>
    <w:link w:val="1368"/>
    <w:uiPriority w:val="0"/>
    <w:qFormat/>
    <w:pPr>
      <w:keepLines/>
      <w:keepNext/>
      <w:spacing w:before="340" w:after="330" w:line="578" w:lineRule="auto"/>
      <w:outlineLvl w:val="0"/>
    </w:pPr>
    <w:rPr>
      <w:b/>
      <w:bCs/>
      <w:sz w:val="44"/>
      <w:szCs w:val="44"/>
    </w:rPr>
  </w:style>
  <w:style w:type="paragraph" w:styleId="1364" w:customStyle="1">
    <w:name w:val="标题 211"/>
    <w:basedOn w:val="1109"/>
    <w:next w:val="1109"/>
    <w:link w:val="1369"/>
    <w:uiPriority w:val="0"/>
    <w:qFormat/>
    <w:pPr>
      <w:keepLines/>
      <w:keepNext/>
      <w:spacing w:before="260" w:after="260" w:line="416" w:lineRule="auto"/>
      <w:outlineLvl w:val="1"/>
    </w:pPr>
    <w:rPr>
      <w:rFonts w:ascii="Calibri Light" w:hAnsi="Calibri Light"/>
      <w:b/>
      <w:bCs/>
      <w:sz w:val="32"/>
      <w:szCs w:val="32"/>
    </w:rPr>
  </w:style>
  <w:style w:type="paragraph" w:styleId="1365" w:customStyle="1">
    <w:name w:val="标题 31"/>
    <w:basedOn w:val="1109"/>
    <w:next w:val="1109"/>
    <w:uiPriority w:val="0"/>
    <w:qFormat/>
    <w:pPr>
      <w:keepLines/>
      <w:keepNext/>
      <w:spacing w:line="360" w:lineRule="auto"/>
      <w:outlineLvl w:val="2"/>
    </w:pPr>
    <w:rPr>
      <w:rFonts w:eastAsia="黑体"/>
      <w:b/>
      <w:bCs/>
      <w:sz w:val="21"/>
      <w:szCs w:val="32"/>
    </w:rPr>
  </w:style>
  <w:style w:type="character" w:styleId="1366" w:customStyle="1">
    <w:name w:val="默认段落字体1"/>
    <w:link w:val="1095"/>
    <w:uiPriority w:val="0"/>
    <w:qFormat/>
  </w:style>
  <w:style w:type="table" w:styleId="1367" w:customStyle="1">
    <w:name w:val="普通表格1"/>
    <w:uiPriority w:val="0"/>
    <w:qFormat/>
    <w:tblPr>
      <w:tblCellMar>
        <w:left w:w="0" w:type="dxa"/>
        <w:top w:w="0" w:type="dxa"/>
        <w:right w:w="0" w:type="dxa"/>
        <w:bottom w:w="0" w:type="dxa"/>
      </w:tblCellMar>
    </w:tblPr>
  </w:style>
  <w:style w:type="character" w:styleId="1368" w:customStyle="1">
    <w:name w:val="标题 1 Char"/>
    <w:link w:val="1363"/>
    <w:uiPriority w:val="0"/>
    <w:qFormat/>
    <w:rPr>
      <w:b/>
      <w:bCs/>
      <w:sz w:val="44"/>
      <w:szCs w:val="44"/>
    </w:rPr>
  </w:style>
  <w:style w:type="character" w:styleId="1369" w:customStyle="1">
    <w:name w:val="标题 2 Char"/>
    <w:link w:val="1364"/>
    <w:uiPriority w:val="0"/>
    <w:qFormat/>
    <w:rPr>
      <w:rFonts w:ascii="Calibri Light" w:hAnsi="Calibri Light" w:eastAsia="宋体"/>
      <w:b/>
      <w:bCs/>
      <w:sz w:val="32"/>
      <w:szCs w:val="32"/>
    </w:rPr>
  </w:style>
  <w:style w:type="paragraph" w:styleId="1370" w:customStyle="1">
    <w:name w:val="正文缩进1"/>
    <w:basedOn w:val="1109"/>
    <w:uiPriority w:val="0"/>
    <w:qFormat/>
    <w:pPr>
      <w:ind w:firstLine="420"/>
    </w:pPr>
    <w:rPr>
      <w:sz w:val="21"/>
      <w:szCs w:val="21"/>
    </w:rPr>
  </w:style>
  <w:style w:type="paragraph" w:styleId="1371" w:customStyle="1">
    <w:name w:val="批注文字1"/>
    <w:basedOn w:val="1109"/>
    <w:link w:val="1372"/>
    <w:uiPriority w:val="0"/>
    <w:semiHidden/>
    <w:qFormat/>
    <w:pPr>
      <w:jc w:val="left"/>
    </w:pPr>
    <w:rPr>
      <w:sz w:val="21"/>
    </w:rPr>
  </w:style>
  <w:style w:type="character" w:styleId="1372" w:customStyle="1">
    <w:name w:val="批注文字 Char"/>
    <w:link w:val="1371"/>
    <w:uiPriority w:val="0"/>
    <w:semiHidden/>
    <w:qFormat/>
    <w:rPr>
      <w:sz w:val="21"/>
    </w:rPr>
  </w:style>
  <w:style w:type="character" w:styleId="1373" w:customStyle="1">
    <w:name w:val="正文文本 Char"/>
    <w:link w:val="1118"/>
    <w:uiPriority w:val="0"/>
    <w:qFormat/>
  </w:style>
  <w:style w:type="paragraph" w:styleId="1374" w:customStyle="1">
    <w:name w:val="日期1"/>
    <w:basedOn w:val="1109"/>
    <w:next w:val="1109"/>
    <w:link w:val="1375"/>
    <w:uiPriority w:val="0"/>
    <w:qFormat/>
    <w:pPr>
      <w:ind w:left="100"/>
    </w:pPr>
  </w:style>
  <w:style w:type="character" w:styleId="1375" w:customStyle="1">
    <w:name w:val="日期 Char"/>
    <w:link w:val="1374"/>
    <w:uiPriority w:val="0"/>
    <w:semiHidden/>
    <w:qFormat/>
    <w:rPr>
      <w:sz w:val="20"/>
    </w:rPr>
  </w:style>
  <w:style w:type="paragraph" w:styleId="1376" w:customStyle="1">
    <w:name w:val="批注框文本1"/>
    <w:basedOn w:val="1109"/>
    <w:link w:val="1377"/>
    <w:uiPriority w:val="0"/>
    <w:qFormat/>
    <w:rPr>
      <w:sz w:val="18"/>
      <w:szCs w:val="18"/>
    </w:rPr>
  </w:style>
  <w:style w:type="character" w:styleId="1377" w:customStyle="1">
    <w:name w:val="批注框文本 Char"/>
    <w:link w:val="1376"/>
    <w:uiPriority w:val="0"/>
    <w:semiHidden/>
    <w:qFormat/>
    <w:rPr>
      <w:sz w:val="18"/>
      <w:szCs w:val="18"/>
    </w:rPr>
  </w:style>
  <w:style w:type="paragraph" w:styleId="1378" w:customStyle="1">
    <w:name w:val="页脚1"/>
    <w:basedOn w:val="1109"/>
    <w:link w:val="1379"/>
    <w:uiPriority w:val="0"/>
    <w:qFormat/>
    <w:pPr>
      <w:jc w:val="left"/>
      <w:tabs>
        <w:tab w:val="right" w:pos="4153" w:leader="none"/>
        <w:tab w:val="left" w:pos="8306" w:leader="underscore"/>
      </w:tabs>
    </w:pPr>
    <w:rPr>
      <w:sz w:val="18"/>
    </w:rPr>
  </w:style>
  <w:style w:type="character" w:styleId="1379" w:customStyle="1">
    <w:name w:val="页脚 Char"/>
    <w:link w:val="1378"/>
    <w:uiPriority w:val="0"/>
    <w:qFormat/>
    <w:rPr>
      <w:sz w:val="18"/>
    </w:rPr>
  </w:style>
  <w:style w:type="paragraph" w:styleId="1380" w:customStyle="1">
    <w:name w:val="页眉1"/>
    <w:basedOn w:val="1109"/>
    <w:link w:val="1381"/>
    <w:uiPriority w:val="0"/>
    <w:qFormat/>
    <w:pPr>
      <w:jc w:val="center"/>
      <w:tabs>
        <w:tab w:val="right" w:pos="4153" w:leader="none"/>
        <w:tab w:val="left" w:pos="8306" w:leader="underscore"/>
      </w:tabs>
      <w:pBdr>
        <w:bottom w:val="single" w:color="000000" w:sz="6" w:space="1"/>
      </w:pBdr>
    </w:pPr>
    <w:rPr>
      <w:sz w:val="18"/>
      <w:szCs w:val="18"/>
    </w:rPr>
  </w:style>
  <w:style w:type="character" w:styleId="1381" w:customStyle="1">
    <w:name w:val="页眉 Char"/>
    <w:link w:val="1380"/>
    <w:uiPriority w:val="0"/>
    <w:qFormat/>
    <w:rPr>
      <w:sz w:val="18"/>
      <w:szCs w:val="18"/>
    </w:rPr>
  </w:style>
  <w:style w:type="paragraph" w:styleId="1382" w:customStyle="1">
    <w:name w:val="副标题1"/>
    <w:basedOn w:val="1109"/>
    <w:next w:val="1109"/>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83" w:customStyle="1">
    <w:name w:val="目录 21"/>
    <w:basedOn w:val="1109"/>
    <w:next w:val="1109"/>
    <w:uiPriority w:val="0"/>
    <w:qFormat/>
    <w:pPr>
      <w:ind w:left="420"/>
    </w:pPr>
  </w:style>
  <w:style w:type="paragraph" w:styleId="1384" w:customStyle="1">
    <w:name w:val="普通(网站)1"/>
    <w:basedOn w:val="1109"/>
    <w:uiPriority w:val="0"/>
    <w:qFormat/>
    <w:pPr>
      <w:jc w:val="left"/>
      <w:spacing w:before="100" w:beforeAutospacing="1" w:after="100" w:afterAutospacing="1"/>
    </w:pPr>
    <w:rPr>
      <w:rFonts w:ascii="宋体" w:hAnsi="宋体"/>
      <w:sz w:val="24"/>
      <w:szCs w:val="24"/>
    </w:rPr>
  </w:style>
  <w:style w:type="paragraph" w:styleId="1385" w:customStyle="1">
    <w:name w:val="批注主题1"/>
    <w:basedOn w:val="1371"/>
    <w:next w:val="1371"/>
    <w:link w:val="1386"/>
    <w:uiPriority w:val="0"/>
    <w:qFormat/>
    <w:rPr>
      <w:b/>
      <w:bCs/>
    </w:rPr>
  </w:style>
  <w:style w:type="character" w:styleId="1386" w:customStyle="1">
    <w:name w:val="批注主题 Char"/>
    <w:link w:val="1385"/>
    <w:uiPriority w:val="0"/>
    <w:semiHidden/>
    <w:qFormat/>
    <w:rPr>
      <w:b/>
      <w:bCs/>
      <w:sz w:val="21"/>
    </w:rPr>
  </w:style>
  <w:style w:type="character" w:styleId="1387" w:customStyle="1">
    <w:name w:val="正文首行缩进 Char"/>
    <w:link w:val="1117"/>
    <w:uiPriority w:val="0"/>
    <w:qFormat/>
    <w:rPr>
      <w:sz w:val="21"/>
    </w:rPr>
  </w:style>
  <w:style w:type="table" w:styleId="1388" w:customStyle="1">
    <w:name w:val="网格型1"/>
    <w:basedOn w:val="1367"/>
    <w:uiPriority w:val="0"/>
    <w:qFormat/>
    <w:pPr>
      <w:jc w:val="both"/>
      <w:widowControl w:val="off"/>
    </w:pPr>
    <w:tblPr>
      <w:tblCellMar>
        <w:left w:w="0" w:type="dxa"/>
        <w:top w:w="0" w:type="dxa"/>
        <w:right w:w="0" w:type="dxa"/>
        <w:bottom w:w="0" w:type="dxa"/>
      </w:tblCellMar>
    </w:tblPr>
  </w:style>
  <w:style w:type="character" w:styleId="1389" w:customStyle="1">
    <w:name w:val="要点1"/>
    <w:uiPriority w:val="0"/>
    <w:qFormat/>
    <w:rPr>
      <w:b/>
      <w:sz w:val="21"/>
    </w:rPr>
  </w:style>
  <w:style w:type="character" w:styleId="1390" w:customStyle="1">
    <w:name w:val="页码1"/>
    <w:basedOn w:val="1366"/>
    <w:link w:val="1095"/>
    <w:uiPriority w:val="0"/>
    <w:qFormat/>
    <w:rPr>
      <w:rFonts w:hint="default" w:ascii="Calibri" w:hAnsi="Calibri" w:eastAsia="宋体" w:cs="Times New Roman"/>
      <w:sz w:val="21"/>
      <w:szCs w:val="21"/>
      <w:lang w:val="en-US" w:eastAsia="zh-CN" w:bidi="ar-SA"/>
    </w:rPr>
  </w:style>
  <w:style w:type="character" w:styleId="1391" w:customStyle="1">
    <w:name w:val="强调1"/>
    <w:uiPriority w:val="0"/>
    <w:qFormat/>
    <w:rPr>
      <w:i/>
      <w:sz w:val="20"/>
    </w:rPr>
  </w:style>
  <w:style w:type="character" w:styleId="1392" w:customStyle="1">
    <w:name w:val="超链接1"/>
    <w:uiPriority w:val="0"/>
    <w:qFormat/>
    <w:rPr>
      <w:color w:val="0000ff"/>
      <w:sz w:val="20"/>
      <w:u w:val="single"/>
    </w:rPr>
  </w:style>
  <w:style w:type="character" w:styleId="1393" w:customStyle="1">
    <w:name w:val="批注引用1"/>
    <w:uiPriority w:val="0"/>
    <w:qFormat/>
    <w:rPr>
      <w:sz w:val="21"/>
      <w:szCs w:val="21"/>
    </w:rPr>
  </w:style>
  <w:style w:type="character" w:styleId="1394" w:customStyle="1">
    <w:name w:val="NormalCharacter"/>
    <w:link w:val="1108"/>
    <w:uiPriority w:val="0"/>
    <w:semiHidden/>
    <w:qFormat/>
    <w:rPr>
      <w:rFonts w:ascii="宋体"/>
      <w:sz w:val="24"/>
    </w:rPr>
  </w:style>
  <w:style w:type="character" w:styleId="1395" w:customStyle="1">
    <w:name w:val="UserStyle_19"/>
    <w:uiPriority w:val="0"/>
    <w:qFormat/>
    <w:rPr>
      <w:b/>
      <w:sz w:val="20"/>
    </w:rPr>
  </w:style>
  <w:style w:type="character" w:styleId="1396" w:customStyle="1">
    <w:name w:val="263"/>
    <w:uiPriority w:val="0"/>
    <w:qFormat/>
    <w:rPr>
      <w:b/>
      <w:color w:val="c0504d"/>
      <w:sz w:val="20"/>
      <w:u w:val="single"/>
    </w:rPr>
  </w:style>
  <w:style w:type="character" w:styleId="1397" w:customStyle="1">
    <w:name w:val="UserStyle_47"/>
    <w:uiPriority w:val="0"/>
    <w:qFormat/>
    <w:rPr>
      <w:sz w:val="20"/>
    </w:rPr>
  </w:style>
  <w:style w:type="character" w:styleId="1398" w:customStyle="1">
    <w:name w:val="UserStyle_43"/>
    <w:uiPriority w:val="0"/>
    <w:qFormat/>
    <w:rPr>
      <w:sz w:val="20"/>
    </w:rPr>
  </w:style>
  <w:style w:type="character" w:styleId="1399" w:customStyle="1">
    <w:name w:val="UserStyle_37"/>
    <w:uiPriority w:val="0"/>
    <w:qFormat/>
    <w:rPr>
      <w:b/>
      <w:sz w:val="20"/>
    </w:rPr>
  </w:style>
  <w:style w:type="character" w:styleId="1400" w:customStyle="1">
    <w:name w:val="UserStyle_70"/>
    <w:uiPriority w:val="0"/>
    <w:qFormat/>
    <w:rPr>
      <w:sz w:val="20"/>
    </w:rPr>
  </w:style>
  <w:style w:type="character" w:styleId="1401" w:customStyle="1">
    <w:name w:val="UserStyle_55"/>
    <w:uiPriority w:val="0"/>
    <w:qFormat/>
    <w:rPr>
      <w:sz w:val="20"/>
    </w:rPr>
  </w:style>
  <w:style w:type="character" w:styleId="1402" w:customStyle="1">
    <w:name w:val="UserStyle_0"/>
    <w:link w:val="1403"/>
    <w:uiPriority w:val="0"/>
    <w:semiHidden/>
    <w:qFormat/>
    <w:rPr>
      <w:rFonts w:ascii="Courier New" w:hAnsi="Courier New"/>
      <w:sz w:val="20"/>
    </w:rPr>
  </w:style>
  <w:style w:type="paragraph" w:styleId="1403" w:customStyle="1">
    <w:name w:val="HtmlPre"/>
    <w:basedOn w:val="1109"/>
    <w:link w:val="1402"/>
    <w:uiPriority w:val="0"/>
    <w:qFormat/>
    <w:rPr>
      <w:rFonts w:ascii="Courier New" w:hAnsi="Courier New"/>
    </w:rPr>
  </w:style>
  <w:style w:type="character" w:styleId="1404" w:customStyle="1">
    <w:name w:val="UserStyle_18"/>
    <w:uiPriority w:val="0"/>
    <w:semiHidden/>
    <w:qFormat/>
    <w:rPr>
      <w:sz w:val="20"/>
    </w:rPr>
  </w:style>
  <w:style w:type="character" w:styleId="1405" w:customStyle="1">
    <w:name w:val="UserStyle_56"/>
    <w:uiPriority w:val="0"/>
    <w:qFormat/>
    <w:rPr>
      <w:sz w:val="20"/>
    </w:rPr>
  </w:style>
  <w:style w:type="character" w:styleId="1406" w:customStyle="1">
    <w:name w:val="262"/>
    <w:uiPriority w:val="0"/>
    <w:qFormat/>
    <w:rPr>
      <w:color w:val="c0504d"/>
      <w:sz w:val="20"/>
      <w:u w:val="single"/>
    </w:rPr>
  </w:style>
  <w:style w:type="character" w:styleId="1407" w:customStyle="1">
    <w:name w:val="UserStyle_46"/>
    <w:uiPriority w:val="0"/>
    <w:qFormat/>
    <w:rPr>
      <w:sz w:val="20"/>
    </w:rPr>
  </w:style>
  <w:style w:type="character" w:styleId="1408" w:customStyle="1">
    <w:name w:val="UserStyle_74"/>
    <w:uiPriority w:val="0"/>
    <w:qFormat/>
    <w:rPr>
      <w:b/>
      <w:sz w:val="20"/>
    </w:rPr>
  </w:style>
  <w:style w:type="character" w:styleId="1409" w:customStyle="1">
    <w:name w:val="UserStyle_71"/>
    <w:uiPriority w:val="0"/>
    <w:qFormat/>
    <w:rPr>
      <w:sz w:val="20"/>
    </w:rPr>
  </w:style>
  <w:style w:type="character" w:styleId="1410" w:customStyle="1">
    <w:name w:val="UserStyle_72"/>
    <w:uiPriority w:val="0"/>
    <w:qFormat/>
    <w:rPr>
      <w:sz w:val="20"/>
    </w:rPr>
  </w:style>
  <w:style w:type="character" w:styleId="1411" w:customStyle="1">
    <w:name w:val="UserStyle_7"/>
    <w:uiPriority w:val="0"/>
    <w:qFormat/>
    <w:rPr>
      <w:i/>
      <w:sz w:val="20"/>
    </w:rPr>
  </w:style>
  <w:style w:type="character" w:styleId="1412" w:customStyle="1">
    <w:name w:val="UserStyle_68"/>
    <w:uiPriority w:val="0"/>
    <w:qFormat/>
    <w:rPr>
      <w:sz w:val="20"/>
    </w:rPr>
  </w:style>
  <w:style w:type="character" w:styleId="1413" w:customStyle="1">
    <w:name w:val="UserStyle_25"/>
    <w:uiPriority w:val="0"/>
    <w:qFormat/>
    <w:rPr>
      <w:sz w:val="20"/>
    </w:rPr>
  </w:style>
  <w:style w:type="character" w:styleId="1414" w:customStyle="1">
    <w:name w:val="UserStyle_66"/>
    <w:uiPriority w:val="0"/>
    <w:qFormat/>
    <w:rPr>
      <w:sz w:val="20"/>
    </w:rPr>
  </w:style>
  <w:style w:type="character" w:styleId="1415" w:customStyle="1">
    <w:name w:val="UserStyle_38"/>
    <w:uiPriority w:val="0"/>
    <w:qFormat/>
    <w:rPr>
      <w:sz w:val="20"/>
    </w:rPr>
  </w:style>
  <w:style w:type="character" w:styleId="1416" w:customStyle="1">
    <w:name w:val="UserStyle_17"/>
    <w:uiPriority w:val="0"/>
    <w:qFormat/>
    <w:rPr>
      <w:sz w:val="20"/>
    </w:rPr>
  </w:style>
  <w:style w:type="character" w:styleId="1417" w:customStyle="1">
    <w:name w:val="UserStyle_33"/>
    <w:uiPriority w:val="0"/>
    <w:qFormat/>
    <w:rPr>
      <w:sz w:val="20"/>
    </w:rPr>
  </w:style>
  <w:style w:type="character" w:styleId="1418" w:customStyle="1">
    <w:name w:val="UserStyle_45"/>
    <w:uiPriority w:val="0"/>
    <w:qFormat/>
    <w:rPr>
      <w:b/>
      <w:sz w:val="20"/>
    </w:rPr>
  </w:style>
  <w:style w:type="character" w:styleId="1419" w:customStyle="1">
    <w:name w:val="UserStyle_57"/>
    <w:uiPriority w:val="0"/>
    <w:qFormat/>
    <w:rPr>
      <w:sz w:val="20"/>
    </w:rPr>
  </w:style>
  <w:style w:type="character" w:styleId="1420" w:customStyle="1">
    <w:name w:val="UserStyle_63"/>
    <w:uiPriority w:val="0"/>
    <w:qFormat/>
    <w:rPr>
      <w:sz w:val="20"/>
    </w:rPr>
  </w:style>
  <w:style w:type="character" w:styleId="1421" w:customStyle="1">
    <w:name w:val="UserStyle_75"/>
    <w:uiPriority w:val="0"/>
    <w:qFormat/>
    <w:rPr>
      <w:sz w:val="20"/>
    </w:rPr>
  </w:style>
  <w:style w:type="character" w:styleId="1422" w:customStyle="1">
    <w:name w:val="UserStyle_23"/>
    <w:uiPriority w:val="0"/>
    <w:qFormat/>
    <w:rPr>
      <w:color w:val="000000"/>
      <w:sz w:val="20"/>
    </w:rPr>
  </w:style>
  <w:style w:type="character" w:styleId="1423" w:customStyle="1">
    <w:name w:val="UserStyle_65"/>
    <w:uiPriority w:val="0"/>
    <w:qFormat/>
    <w:rPr>
      <w:sz w:val="20"/>
    </w:rPr>
  </w:style>
  <w:style w:type="character" w:styleId="1424" w:customStyle="1">
    <w:name w:val="UserStyle_24"/>
    <w:uiPriority w:val="0"/>
    <w:qFormat/>
    <w:rPr>
      <w:sz w:val="20"/>
    </w:rPr>
  </w:style>
  <w:style w:type="character" w:styleId="1425" w:customStyle="1">
    <w:name w:val="UserStyle_50"/>
    <w:uiPriority w:val="0"/>
    <w:qFormat/>
    <w:rPr>
      <w:sz w:val="20"/>
    </w:rPr>
  </w:style>
  <w:style w:type="character" w:styleId="1426" w:customStyle="1">
    <w:name w:val="UserStyle_44"/>
    <w:uiPriority w:val="0"/>
    <w:qFormat/>
    <w:rPr>
      <w:b/>
      <w:sz w:val="20"/>
    </w:rPr>
  </w:style>
  <w:style w:type="character" w:styleId="1427" w:customStyle="1">
    <w:name w:val="UserStyle_51"/>
    <w:uiPriority w:val="0"/>
    <w:qFormat/>
    <w:rPr>
      <w:sz w:val="20"/>
    </w:rPr>
  </w:style>
  <w:style w:type="character" w:styleId="1428" w:customStyle="1">
    <w:name w:val="UserStyle_4"/>
    <w:uiPriority w:val="0"/>
    <w:qFormat/>
    <w:rPr>
      <w:sz w:val="20"/>
    </w:rPr>
  </w:style>
  <w:style w:type="character" w:styleId="1429" w:customStyle="1">
    <w:name w:val="UserStyle_52"/>
    <w:uiPriority w:val="0"/>
    <w:semiHidden/>
    <w:qFormat/>
    <w:rPr>
      <w:sz w:val="20"/>
    </w:rPr>
  </w:style>
  <w:style w:type="character" w:styleId="1430" w:customStyle="1">
    <w:name w:val="UserStyle_3"/>
    <w:uiPriority w:val="0"/>
    <w:qFormat/>
    <w:rPr>
      <w:sz w:val="20"/>
    </w:rPr>
  </w:style>
  <w:style w:type="character" w:styleId="1431" w:customStyle="1">
    <w:name w:val="UserStyle_67"/>
    <w:uiPriority w:val="0"/>
    <w:qFormat/>
    <w:rPr>
      <w:b/>
      <w:sz w:val="20"/>
    </w:rPr>
  </w:style>
  <w:style w:type="character" w:styleId="1432" w:customStyle="1">
    <w:name w:val="UserStyle_61"/>
    <w:uiPriority w:val="0"/>
    <w:qFormat/>
    <w:rPr>
      <w:b/>
      <w:sz w:val="20"/>
    </w:rPr>
  </w:style>
  <w:style w:type="character" w:styleId="1433" w:customStyle="1">
    <w:name w:val="UserStyle_36"/>
    <w:uiPriority w:val="0"/>
    <w:qFormat/>
    <w:rPr>
      <w:b/>
      <w:sz w:val="20"/>
    </w:rPr>
  </w:style>
  <w:style w:type="character" w:styleId="1434" w:customStyle="1">
    <w:name w:val="260"/>
    <w:uiPriority w:val="0"/>
    <w:qFormat/>
    <w:rPr>
      <w:i/>
      <w:color w:val="000000"/>
      <w:sz w:val="21"/>
    </w:rPr>
  </w:style>
  <w:style w:type="character" w:styleId="1435" w:customStyle="1">
    <w:name w:val="PageNumber"/>
    <w:uiPriority w:val="0"/>
    <w:qFormat/>
    <w:rPr>
      <w:sz w:val="20"/>
    </w:rPr>
  </w:style>
  <w:style w:type="character" w:styleId="1436" w:customStyle="1">
    <w:name w:val="UserStyle_1"/>
    <w:uiPriority w:val="0"/>
    <w:qFormat/>
    <w:rPr>
      <w:sz w:val="20"/>
    </w:rPr>
  </w:style>
  <w:style w:type="character" w:styleId="1437" w:customStyle="1">
    <w:name w:val="UserStyle_64"/>
    <w:uiPriority w:val="0"/>
    <w:qFormat/>
    <w:rPr>
      <w:sz w:val="20"/>
    </w:rPr>
  </w:style>
  <w:style w:type="character" w:styleId="1438" w:customStyle="1">
    <w:name w:val="UserStyle_21"/>
    <w:uiPriority w:val="0"/>
    <w:qFormat/>
    <w:rPr>
      <w:sz w:val="20"/>
    </w:rPr>
  </w:style>
  <w:style w:type="character" w:styleId="1439" w:customStyle="1">
    <w:name w:val="UserStyle_9"/>
    <w:uiPriority w:val="0"/>
    <w:qFormat/>
    <w:rPr>
      <w:sz w:val="20"/>
    </w:rPr>
  </w:style>
  <w:style w:type="character" w:styleId="1440" w:customStyle="1">
    <w:name w:val="UserStyle_40"/>
    <w:uiPriority w:val="0"/>
    <w:qFormat/>
    <w:rPr>
      <w:b/>
      <w:sz w:val="20"/>
    </w:rPr>
  </w:style>
  <w:style w:type="character" w:styleId="1441" w:customStyle="1">
    <w:name w:val="UserStyle_73"/>
    <w:uiPriority w:val="0"/>
    <w:qFormat/>
    <w:rPr>
      <w:sz w:val="20"/>
    </w:rPr>
  </w:style>
  <w:style w:type="character" w:styleId="1442" w:customStyle="1">
    <w:name w:val="UserStyle_30"/>
    <w:uiPriority w:val="0"/>
    <w:qFormat/>
    <w:rPr>
      <w:sz w:val="20"/>
    </w:rPr>
  </w:style>
  <w:style w:type="character" w:styleId="1443" w:customStyle="1">
    <w:name w:val="UserStyle_69"/>
    <w:uiPriority w:val="0"/>
    <w:qFormat/>
    <w:rPr>
      <w:b/>
      <w:sz w:val="20"/>
    </w:rPr>
  </w:style>
  <w:style w:type="character" w:styleId="1444" w:customStyle="1">
    <w:name w:val="UserStyle_13"/>
    <w:uiPriority w:val="0"/>
    <w:qFormat/>
    <w:rPr>
      <w:b/>
      <w:sz w:val="20"/>
    </w:rPr>
  </w:style>
  <w:style w:type="character" w:styleId="1445" w:customStyle="1">
    <w:name w:val="UserStyle_14"/>
    <w:uiPriority w:val="0"/>
    <w:semiHidden/>
    <w:qFormat/>
    <w:rPr>
      <w:sz w:val="20"/>
    </w:rPr>
  </w:style>
  <w:style w:type="character" w:styleId="1446" w:customStyle="1">
    <w:name w:val="UserStyle_22"/>
    <w:uiPriority w:val="0"/>
    <w:qFormat/>
    <w:rPr>
      <w:color w:val="0000ff"/>
      <w:sz w:val="20"/>
      <w:u w:val="single"/>
    </w:rPr>
  </w:style>
  <w:style w:type="character" w:styleId="1447" w:customStyle="1">
    <w:name w:val="UserStyle_8"/>
    <w:uiPriority w:val="0"/>
    <w:qFormat/>
    <w:rPr>
      <w:sz w:val="20"/>
    </w:rPr>
  </w:style>
  <w:style w:type="character" w:styleId="1448" w:customStyle="1">
    <w:name w:val="UserStyle_6"/>
    <w:uiPriority w:val="0"/>
    <w:qFormat/>
    <w:rPr>
      <w:b/>
      <w:sz w:val="20"/>
    </w:rPr>
  </w:style>
  <w:style w:type="character" w:styleId="1449" w:customStyle="1">
    <w:name w:val="UserStyle_62"/>
    <w:uiPriority w:val="0"/>
    <w:qFormat/>
    <w:rPr>
      <w:color w:val="ffff00"/>
      <w:sz w:val="20"/>
    </w:rPr>
  </w:style>
  <w:style w:type="character" w:styleId="1450" w:customStyle="1">
    <w:name w:val="UserStyle_48"/>
    <w:uiPriority w:val="0"/>
    <w:qFormat/>
    <w:rPr>
      <w:sz w:val="20"/>
    </w:rPr>
  </w:style>
  <w:style w:type="character" w:styleId="1451" w:customStyle="1">
    <w:name w:val="UserStyle_15"/>
    <w:uiPriority w:val="0"/>
    <w:qFormat/>
    <w:rPr>
      <w:b/>
      <w:sz w:val="20"/>
    </w:rPr>
  </w:style>
  <w:style w:type="character" w:styleId="1452" w:customStyle="1">
    <w:name w:val="UserStyle_49"/>
    <w:uiPriority w:val="0"/>
    <w:qFormat/>
    <w:rPr>
      <w:sz w:val="20"/>
    </w:rPr>
  </w:style>
  <w:style w:type="character" w:styleId="1453" w:customStyle="1">
    <w:name w:val="UserStyle_11"/>
    <w:uiPriority w:val="0"/>
    <w:qFormat/>
    <w:rPr>
      <w:sz w:val="20"/>
    </w:rPr>
  </w:style>
  <w:style w:type="character" w:styleId="1454" w:customStyle="1">
    <w:name w:val="UserStyle_34"/>
    <w:uiPriority w:val="0"/>
    <w:qFormat/>
    <w:rPr>
      <w:b/>
      <w:sz w:val="20"/>
    </w:rPr>
  </w:style>
  <w:style w:type="character" w:styleId="1455" w:customStyle="1">
    <w:name w:val="UserStyle_29"/>
    <w:uiPriority w:val="0"/>
    <w:qFormat/>
    <w:rPr>
      <w:sz w:val="20"/>
    </w:rPr>
  </w:style>
  <w:style w:type="character" w:styleId="1456" w:customStyle="1">
    <w:name w:val="UserStyle_42"/>
    <w:uiPriority w:val="0"/>
    <w:qFormat/>
    <w:rPr>
      <w:sz w:val="20"/>
    </w:rPr>
  </w:style>
  <w:style w:type="character" w:styleId="1457" w:customStyle="1">
    <w:name w:val="UserStyle_39"/>
    <w:uiPriority w:val="0"/>
    <w:qFormat/>
    <w:rPr>
      <w:sz w:val="20"/>
    </w:rPr>
  </w:style>
  <w:style w:type="character" w:styleId="1458" w:customStyle="1">
    <w:name w:val="UserStyle_35"/>
    <w:uiPriority w:val="0"/>
    <w:qFormat/>
    <w:rPr>
      <w:sz w:val="20"/>
    </w:rPr>
  </w:style>
  <w:style w:type="character" w:styleId="1459" w:customStyle="1">
    <w:name w:val="UserStyle_5"/>
    <w:uiPriority w:val="0"/>
    <w:qFormat/>
    <w:rPr>
      <w:sz w:val="20"/>
    </w:rPr>
  </w:style>
  <w:style w:type="character" w:styleId="1460" w:customStyle="1">
    <w:name w:val="UserStyle_26"/>
    <w:uiPriority w:val="0"/>
    <w:qFormat/>
    <w:rPr>
      <w:sz w:val="20"/>
    </w:rPr>
  </w:style>
  <w:style w:type="character" w:styleId="1461" w:customStyle="1">
    <w:name w:val="264"/>
    <w:uiPriority w:val="0"/>
    <w:qFormat/>
    <w:rPr>
      <w:b/>
      <w:i/>
      <w:sz w:val="21"/>
    </w:rPr>
  </w:style>
  <w:style w:type="character" w:styleId="1462" w:customStyle="1">
    <w:name w:val="UserStyle_76"/>
    <w:uiPriority w:val="0"/>
    <w:qFormat/>
    <w:rPr>
      <w:b/>
      <w:sz w:val="20"/>
    </w:rPr>
  </w:style>
  <w:style w:type="character" w:styleId="1463" w:customStyle="1">
    <w:name w:val="UserStyle_10"/>
    <w:uiPriority w:val="0"/>
    <w:qFormat/>
    <w:rPr>
      <w:b/>
      <w:sz w:val="20"/>
    </w:rPr>
  </w:style>
  <w:style w:type="character" w:styleId="1464" w:customStyle="1">
    <w:name w:val="UserStyle_32"/>
    <w:uiPriority w:val="0"/>
    <w:qFormat/>
    <w:rPr>
      <w:i/>
      <w:sz w:val="20"/>
    </w:rPr>
  </w:style>
  <w:style w:type="character" w:styleId="1465" w:customStyle="1">
    <w:name w:val="UserStyle_53"/>
    <w:uiPriority w:val="0"/>
    <w:qFormat/>
    <w:rPr>
      <w:sz w:val="20"/>
    </w:rPr>
  </w:style>
  <w:style w:type="character" w:styleId="1466" w:customStyle="1">
    <w:name w:val="UserStyle_2"/>
    <w:uiPriority w:val="0"/>
    <w:qFormat/>
    <w:rPr>
      <w:sz w:val="20"/>
    </w:rPr>
  </w:style>
  <w:style w:type="character" w:styleId="1467" w:customStyle="1">
    <w:name w:val="UserStyle_58"/>
    <w:uiPriority w:val="0"/>
    <w:qFormat/>
    <w:rPr>
      <w:sz w:val="20"/>
    </w:rPr>
  </w:style>
  <w:style w:type="character" w:styleId="1468" w:customStyle="1">
    <w:name w:val="UserStyle_60"/>
    <w:uiPriority w:val="0"/>
    <w:qFormat/>
    <w:rPr>
      <w:sz w:val="20"/>
    </w:rPr>
  </w:style>
  <w:style w:type="character" w:styleId="1469" w:customStyle="1">
    <w:name w:val="UserStyle_54"/>
    <w:uiPriority w:val="0"/>
    <w:qFormat/>
    <w:rPr>
      <w:b/>
      <w:sz w:val="20"/>
    </w:rPr>
  </w:style>
  <w:style w:type="character" w:styleId="1470" w:customStyle="1">
    <w:name w:val="UserStyle_16"/>
    <w:uiPriority w:val="0"/>
    <w:qFormat/>
    <w:rPr>
      <w:sz w:val="20"/>
    </w:rPr>
  </w:style>
  <w:style w:type="character" w:styleId="1471" w:customStyle="1">
    <w:name w:val="UserStyle_59"/>
    <w:uiPriority w:val="0"/>
    <w:qFormat/>
    <w:rPr>
      <w:b/>
      <w:sz w:val="20"/>
    </w:rPr>
  </w:style>
  <w:style w:type="character" w:styleId="1472" w:customStyle="1">
    <w:name w:val="UserStyle_20"/>
    <w:uiPriority w:val="0"/>
    <w:semiHidden/>
    <w:qFormat/>
    <w:rPr>
      <w:sz w:val="20"/>
    </w:rPr>
  </w:style>
  <w:style w:type="character" w:styleId="1473" w:customStyle="1">
    <w:name w:val="UserStyle_31"/>
    <w:uiPriority w:val="0"/>
    <w:qFormat/>
    <w:rPr>
      <w:b/>
      <w:sz w:val="20"/>
    </w:rPr>
  </w:style>
  <w:style w:type="character" w:styleId="1474" w:customStyle="1">
    <w:name w:val="AnnotationReference"/>
    <w:uiPriority w:val="0"/>
    <w:qFormat/>
    <w:rPr>
      <w:sz w:val="20"/>
    </w:rPr>
  </w:style>
  <w:style w:type="character" w:styleId="1475" w:customStyle="1">
    <w:name w:val="UserStyle_12"/>
    <w:uiPriority w:val="0"/>
    <w:qFormat/>
    <w:rPr>
      <w:sz w:val="20"/>
    </w:rPr>
  </w:style>
  <w:style w:type="character" w:styleId="1476" w:customStyle="1">
    <w:name w:val="261"/>
    <w:uiPriority w:val="0"/>
    <w:qFormat/>
    <w:rPr>
      <w:i/>
      <w:color w:val="000000"/>
      <w:sz w:val="21"/>
    </w:rPr>
  </w:style>
  <w:style w:type="character" w:styleId="1477" w:customStyle="1">
    <w:name w:val="UserStyle_41"/>
    <w:link w:val="1109"/>
    <w:uiPriority w:val="0"/>
    <w:qFormat/>
    <w:rPr>
      <w:sz w:val="20"/>
    </w:rPr>
  </w:style>
  <w:style w:type="paragraph" w:styleId="1478">
    <w:name w:val="List Paragraph"/>
    <w:basedOn w:val="1095"/>
    <w:uiPriority w:val="0"/>
    <w:qFormat/>
    <w:pPr>
      <w:ind w:left="533" w:firstLine="600"/>
      <w:jc w:val="left"/>
      <w:spacing w:before="136"/>
      <w:widowControl w:val="off"/>
    </w:pPr>
    <w:rPr>
      <w:rFonts w:ascii="仿宋" w:hAnsi="仿宋" w:eastAsia="仿宋"/>
      <w:sz w:val="22"/>
      <w:szCs w:val="22"/>
    </w:rPr>
  </w:style>
  <w:style w:type="paragraph" w:styleId="1479" w:customStyle="1">
    <w:name w:val="179"/>
    <w:basedOn w:val="1109"/>
    <w:uiPriority w:val="0"/>
    <w:qFormat/>
    <w:pPr>
      <w:ind w:firstLine="420"/>
    </w:pPr>
    <w:rPr>
      <w:sz w:val="21"/>
      <w:szCs w:val="22"/>
    </w:rPr>
  </w:style>
  <w:style w:type="paragraph" w:styleId="1480" w:customStyle="1">
    <w:name w:val="列出段落1"/>
    <w:basedOn w:val="1109"/>
    <w:uiPriority w:val="0"/>
    <w:qFormat/>
    <w:pPr>
      <w:ind w:firstLine="420"/>
      <w:widowControl w:val="off"/>
    </w:pPr>
    <w:rPr>
      <w:sz w:val="21"/>
      <w:szCs w:val="24"/>
    </w:rPr>
  </w:style>
  <w:style w:type="paragraph" w:styleId="1481"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482" w:customStyle="1">
    <w:name w:val="UserStyle_77"/>
    <w:basedOn w:val="1109"/>
    <w:uiPriority w:val="0"/>
    <w:qFormat/>
    <w:pPr>
      <w:ind w:firstLine="420"/>
      <w:spacing w:line="520" w:lineRule="exact"/>
    </w:pPr>
    <w:rPr>
      <w:color w:val="000000"/>
      <w:sz w:val="24"/>
      <w:szCs w:val="24"/>
    </w:rPr>
  </w:style>
  <w:style w:type="paragraph" w:styleId="148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84" w:customStyle="1">
    <w:name w:val="HtmlNormal"/>
    <w:basedOn w:val="1109"/>
    <w:uiPriority w:val="0"/>
    <w:qFormat/>
    <w:rPr>
      <w:sz w:val="24"/>
      <w:szCs w:val="24"/>
    </w:rPr>
  </w:style>
  <w:style w:type="paragraph" w:styleId="1485" w:customStyle="1">
    <w:name w:val="Table Paragraph"/>
    <w:basedOn w:val="1109"/>
    <w:uiPriority w:val="0"/>
    <w:qFormat/>
    <w:pPr>
      <w:jc w:val="left"/>
      <w:widowControl w:val="off"/>
    </w:pPr>
    <w:rPr>
      <w:rFonts w:ascii="仿宋" w:hAnsi="仿宋" w:eastAsia="仿宋"/>
      <w:sz w:val="22"/>
      <w:szCs w:val="22"/>
    </w:rPr>
  </w:style>
  <w:style w:type="paragraph" w:styleId="1486" w:customStyle="1">
    <w:name w:val="BlockQuote"/>
    <w:basedOn w:val="1109"/>
    <w:uiPriority w:val="0"/>
    <w:qFormat/>
    <w:pPr>
      <w:ind w:left="256" w:right="6" w:firstLine="624"/>
    </w:pPr>
    <w:rPr>
      <w:rFonts w:eastAsia="仿宋_GB2312"/>
      <w:sz w:val="28"/>
    </w:rPr>
  </w:style>
  <w:style w:type="table" w:styleId="1487" w:customStyle="1">
    <w:name w:val="TableNormal"/>
    <w:uiPriority w:val="0"/>
    <w:semiHidden/>
    <w:qFormat/>
    <w:tblPr>
      <w:tblCellMar>
        <w:left w:w="0" w:type="dxa"/>
        <w:top w:w="0" w:type="dxa"/>
        <w:right w:w="0" w:type="dxa"/>
        <w:bottom w:w="0" w:type="dxa"/>
      </w:tblCellMar>
    </w:tblPr>
  </w:style>
  <w:style w:type="paragraph" w:styleId="1488" w:customStyle="1">
    <w:name w:val="TOC 标题2"/>
    <w:basedOn w:val="1363"/>
    <w:next w:val="1109"/>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8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0" w:customStyle="1">
    <w:name w:val="小标题 1"/>
    <w:basedOn w:val="1109"/>
    <w:uiPriority w:val="0"/>
    <w:qFormat/>
    <w:pPr>
      <w:spacing w:line="360" w:lineRule="atLeast"/>
      <w:widowControl w:val="off"/>
    </w:pPr>
    <w:rPr>
      <w:rFonts w:ascii="文鼎粗黑" w:eastAsia="文鼎粗黑"/>
      <w:sz w:val="22"/>
    </w:rPr>
  </w:style>
  <w:style w:type="paragraph" w:styleId="1491" w:customStyle="1">
    <w:name w:val="文档正文"/>
    <w:basedOn w:val="1109"/>
    <w:uiPriority w:val="0"/>
    <w:qFormat/>
    <w:pPr>
      <w:ind w:firstLine="567"/>
      <w:spacing w:line="312" w:lineRule="atLeast"/>
      <w:widowControl w:val="off"/>
    </w:pPr>
    <w:rPr>
      <w:rFonts w:ascii="长城仿宋" w:eastAsia="长城仿宋"/>
      <w:sz w:val="28"/>
    </w:rPr>
  </w:style>
  <w:style w:type="paragraph" w:styleId="1492"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93" w:customStyle="1">
    <w:name w:val="Body text|1"/>
    <w:basedOn w:val="1109"/>
    <w:uiPriority w:val="0"/>
    <w:qFormat/>
    <w:pPr>
      <w:ind w:firstLine="360"/>
      <w:spacing w:line="425" w:lineRule="auto"/>
      <w:widowControl w:val="off"/>
    </w:pPr>
    <w:rPr>
      <w:rFonts w:ascii="宋体" w:hAnsi="宋体"/>
      <w:sz w:val="18"/>
      <w:szCs w:val="18"/>
      <w:lang w:val="zh-TW" w:eastAsia="zh-TW" w:bidi="zh-TW"/>
    </w:rPr>
  </w:style>
  <w:style w:type="character" w:styleId="1494" w:customStyle="1">
    <w:name w:val="未处理的提及1"/>
    <w:uiPriority w:val="99"/>
    <w:semiHidden/>
    <w:unhideWhenUsed/>
    <w:qFormat/>
    <w:rPr>
      <w:color w:val="605e5c"/>
      <w:shd w:val="clear" w:color="auto" w:fill="e1dfdd"/>
    </w:rPr>
  </w:style>
  <w:style w:type="character" w:styleId="1495" w:customStyle="1">
    <w:name w:val="批注主题 Char1"/>
    <w:link w:val="1153"/>
    <w:uiPriority w:val="0"/>
    <w:qFormat/>
    <w:rPr>
      <w:b/>
      <w:bCs/>
      <w:sz w:val="21"/>
      <w:szCs w:val="24"/>
    </w:rPr>
  </w:style>
  <w:style w:type="character" w:styleId="1496" w:customStyle="1">
    <w:name w:val="批注文字 Char1"/>
    <w:link w:val="1126"/>
    <w:uiPriority w:val="99"/>
    <w:semiHidden/>
    <w:qFormat/>
    <w:rPr>
      <w:rFonts w:ascii="Calibri" w:hAnsi="Calibri"/>
      <w:sz w:val="21"/>
      <w:szCs w:val="21"/>
    </w:rPr>
  </w:style>
  <w:style w:type="character" w:styleId="1497" w:customStyle="1">
    <w:name w:val="批注主题 字符1"/>
    <w:uiPriority w:val="99"/>
    <w:semiHidden/>
    <w:qFormat/>
    <w:rPr>
      <w:rFonts w:ascii="Calibri" w:hAnsi="Calibri"/>
      <w:b/>
      <w:bCs/>
      <w:sz w:val="21"/>
      <w:szCs w:val="21"/>
    </w:rPr>
  </w:style>
  <w:style w:type="character" w:styleId="1498" w:customStyle="1">
    <w:name w:val="正文文本 Char1"/>
    <w:basedOn w:val="1105"/>
    <w:link w:val="1127"/>
    <w:uiPriority w:val="0"/>
    <w:qFormat/>
  </w:style>
  <w:style w:type="character" w:styleId="1499" w:customStyle="1">
    <w:name w:val="批注框文本 Char1"/>
    <w:link w:val="1139"/>
    <w:uiPriority w:val="99"/>
    <w:semiHidden/>
    <w:qFormat/>
    <w:rPr>
      <w:rFonts w:ascii="Calibri" w:hAnsi="Calibri"/>
      <w:sz w:val="18"/>
      <w:szCs w:val="18"/>
    </w:rPr>
  </w:style>
  <w:style w:type="paragraph" w:styleId="1500" w:customStyle="1">
    <w:name w:val="标题 212"/>
    <w:basedOn w:val="1108"/>
    <w:next w:val="1108"/>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501" w:customStyle="1">
    <w:name w:val="正文文本缩进 Char"/>
    <w:link w:val="1132"/>
    <w:uiPriority w:val="0"/>
    <w:qFormat/>
    <w:rPr>
      <w:rFonts w:ascii="Calibri" w:hAnsi="Calibri"/>
      <w:sz w:val="21"/>
      <w:szCs w:val="21"/>
    </w:rPr>
  </w:style>
  <w:style w:type="table" w:styleId="1502"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503"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504"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505"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506" w:customStyle="1">
    <w:name w:val="无格式表格 311"/>
    <w:uiPriority w:val="99"/>
    <w:qFormat/>
    <w:tblPr>
      <w:tblCellMar>
        <w:left w:w="0" w:type="dxa"/>
        <w:top w:w="0" w:type="dxa"/>
        <w:right w:w="0" w:type="dxa"/>
        <w:bottom w:w="0" w:type="dxa"/>
      </w:tblCellMar>
    </w:tblPr>
  </w:style>
  <w:style w:type="table" w:styleId="1507" w:customStyle="1">
    <w:name w:val="无格式表格 411"/>
    <w:uiPriority w:val="99"/>
    <w:qFormat/>
    <w:tblPr>
      <w:tblCellMar>
        <w:left w:w="0" w:type="dxa"/>
        <w:top w:w="0" w:type="dxa"/>
        <w:right w:w="0" w:type="dxa"/>
        <w:bottom w:w="0" w:type="dxa"/>
      </w:tblCellMar>
    </w:tblPr>
  </w:style>
  <w:style w:type="table" w:styleId="1508" w:customStyle="1">
    <w:name w:val="无格式表格 511"/>
    <w:uiPriority w:val="99"/>
    <w:qFormat/>
    <w:tblPr>
      <w:tblCellMar>
        <w:left w:w="0" w:type="dxa"/>
        <w:top w:w="0" w:type="dxa"/>
        <w:right w:w="0" w:type="dxa"/>
        <w:bottom w:w="0" w:type="dxa"/>
      </w:tblCellMar>
    </w:tblPr>
  </w:style>
  <w:style w:type="table" w:styleId="1509"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510"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11"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12"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13"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14"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15"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16"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517"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518"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19"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20"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21"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22"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23"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524"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525"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26"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27"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28"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29"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30"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531"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532"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533"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534"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535"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36"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37"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38"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39"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0"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1"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2"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3"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4"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45"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46"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47"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48"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49"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50"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51"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52"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53"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54"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55"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56"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57"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58" w:customStyle="1">
    <w:name w:val="清单表 1 浅色11"/>
    <w:uiPriority w:val="99"/>
    <w:qFormat/>
    <w:tblPr>
      <w:tblCellMar>
        <w:left w:w="0" w:type="dxa"/>
        <w:top w:w="0" w:type="dxa"/>
        <w:right w:w="0" w:type="dxa"/>
        <w:bottom w:w="0" w:type="dxa"/>
      </w:tblCellMar>
    </w:tblPr>
  </w:style>
  <w:style w:type="table" w:styleId="1559" w:customStyle="1">
    <w:name w:val="List Table 1 Light - Accent 11"/>
    <w:uiPriority w:val="99"/>
    <w:qFormat/>
    <w:tblPr>
      <w:tblCellMar>
        <w:left w:w="0" w:type="dxa"/>
        <w:top w:w="0" w:type="dxa"/>
        <w:right w:w="0" w:type="dxa"/>
        <w:bottom w:w="0" w:type="dxa"/>
      </w:tblCellMar>
    </w:tblPr>
  </w:style>
  <w:style w:type="table" w:styleId="1560" w:customStyle="1">
    <w:name w:val="List Table 1 Light - Accent 21"/>
    <w:uiPriority w:val="99"/>
    <w:qFormat/>
    <w:tblPr>
      <w:tblCellMar>
        <w:left w:w="0" w:type="dxa"/>
        <w:top w:w="0" w:type="dxa"/>
        <w:right w:w="0" w:type="dxa"/>
        <w:bottom w:w="0" w:type="dxa"/>
      </w:tblCellMar>
    </w:tblPr>
  </w:style>
  <w:style w:type="table" w:styleId="1561" w:customStyle="1">
    <w:name w:val="List Table 1 Light - Accent 31"/>
    <w:uiPriority w:val="99"/>
    <w:qFormat/>
    <w:tblPr>
      <w:tblCellMar>
        <w:left w:w="0" w:type="dxa"/>
        <w:top w:w="0" w:type="dxa"/>
        <w:right w:w="0" w:type="dxa"/>
        <w:bottom w:w="0" w:type="dxa"/>
      </w:tblCellMar>
    </w:tblPr>
  </w:style>
  <w:style w:type="table" w:styleId="1562" w:customStyle="1">
    <w:name w:val="List Table 1 Light - Accent 41"/>
    <w:uiPriority w:val="99"/>
    <w:qFormat/>
    <w:tblPr>
      <w:tblCellMar>
        <w:left w:w="0" w:type="dxa"/>
        <w:top w:w="0" w:type="dxa"/>
        <w:right w:w="0" w:type="dxa"/>
        <w:bottom w:w="0" w:type="dxa"/>
      </w:tblCellMar>
    </w:tblPr>
  </w:style>
  <w:style w:type="table" w:styleId="1563" w:customStyle="1">
    <w:name w:val="List Table 1 Light - Accent 51"/>
    <w:uiPriority w:val="99"/>
    <w:qFormat/>
    <w:tblPr>
      <w:tblCellMar>
        <w:left w:w="0" w:type="dxa"/>
        <w:top w:w="0" w:type="dxa"/>
        <w:right w:w="0" w:type="dxa"/>
        <w:bottom w:w="0" w:type="dxa"/>
      </w:tblCellMar>
    </w:tblPr>
  </w:style>
  <w:style w:type="table" w:styleId="1564" w:customStyle="1">
    <w:name w:val="List Table 1 Light - Accent 61"/>
    <w:uiPriority w:val="99"/>
    <w:qFormat/>
    <w:tblPr>
      <w:tblCellMar>
        <w:left w:w="0" w:type="dxa"/>
        <w:top w:w="0" w:type="dxa"/>
        <w:right w:w="0" w:type="dxa"/>
        <w:bottom w:w="0" w:type="dxa"/>
      </w:tblCellMar>
    </w:tblPr>
  </w:style>
  <w:style w:type="table" w:styleId="1565"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566"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567"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568"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569"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570"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571"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572"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573"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574"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575"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576"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577"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578"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579"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580"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581"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582"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583"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84"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85"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86"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87"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88"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89"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90"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91"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92"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93"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94"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95"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96"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97"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98"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99"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600"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601"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602"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603"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604"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605"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606"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607" w:customStyle="1">
    <w:name w:val="Lined - Accent 11"/>
    <w:uiPriority w:val="99"/>
    <w:qFormat/>
    <w:rPr>
      <w:color w:val="404040"/>
    </w:rPr>
    <w:tblPr>
      <w:tblCellMar>
        <w:left w:w="0" w:type="dxa"/>
        <w:top w:w="0" w:type="dxa"/>
        <w:right w:w="0" w:type="dxa"/>
        <w:bottom w:w="0" w:type="dxa"/>
      </w:tblCellMar>
    </w:tblPr>
  </w:style>
  <w:style w:type="table" w:styleId="1608" w:customStyle="1">
    <w:name w:val="Lined - Accent 21"/>
    <w:uiPriority w:val="99"/>
    <w:qFormat/>
    <w:rPr>
      <w:color w:val="404040"/>
    </w:rPr>
    <w:tblPr>
      <w:tblCellMar>
        <w:left w:w="0" w:type="dxa"/>
        <w:top w:w="0" w:type="dxa"/>
        <w:right w:w="0" w:type="dxa"/>
        <w:bottom w:w="0" w:type="dxa"/>
      </w:tblCellMar>
    </w:tblPr>
  </w:style>
  <w:style w:type="table" w:styleId="1609" w:customStyle="1">
    <w:name w:val="Lined - Accent 31"/>
    <w:uiPriority w:val="99"/>
    <w:qFormat/>
    <w:rPr>
      <w:color w:val="404040"/>
    </w:rPr>
    <w:tblPr>
      <w:tblCellMar>
        <w:left w:w="0" w:type="dxa"/>
        <w:top w:w="0" w:type="dxa"/>
        <w:right w:w="0" w:type="dxa"/>
        <w:bottom w:w="0" w:type="dxa"/>
      </w:tblCellMar>
    </w:tblPr>
  </w:style>
  <w:style w:type="table" w:styleId="1610" w:customStyle="1">
    <w:name w:val="Lined - Accent 41"/>
    <w:uiPriority w:val="99"/>
    <w:qFormat/>
    <w:rPr>
      <w:color w:val="404040"/>
    </w:rPr>
    <w:tblPr>
      <w:tblCellMar>
        <w:left w:w="0" w:type="dxa"/>
        <w:top w:w="0" w:type="dxa"/>
        <w:right w:w="0" w:type="dxa"/>
        <w:bottom w:w="0" w:type="dxa"/>
      </w:tblCellMar>
    </w:tblPr>
  </w:style>
  <w:style w:type="table" w:styleId="1611" w:customStyle="1">
    <w:name w:val="Lined - Accent 51"/>
    <w:uiPriority w:val="99"/>
    <w:qFormat/>
    <w:rPr>
      <w:color w:val="404040"/>
    </w:rPr>
    <w:tblPr>
      <w:tblCellMar>
        <w:left w:w="0" w:type="dxa"/>
        <w:top w:w="0" w:type="dxa"/>
        <w:right w:w="0" w:type="dxa"/>
        <w:bottom w:w="0" w:type="dxa"/>
      </w:tblCellMar>
    </w:tblPr>
  </w:style>
  <w:style w:type="table" w:styleId="1612" w:customStyle="1">
    <w:name w:val="Lined - Accent 61"/>
    <w:uiPriority w:val="99"/>
    <w:qFormat/>
    <w:rPr>
      <w:color w:val="404040"/>
    </w:rPr>
    <w:tblPr>
      <w:tblCellMar>
        <w:left w:w="0" w:type="dxa"/>
        <w:top w:w="0" w:type="dxa"/>
        <w:right w:w="0" w:type="dxa"/>
        <w:bottom w:w="0" w:type="dxa"/>
      </w:tblCellMar>
    </w:tblPr>
  </w:style>
  <w:style w:type="table" w:styleId="1613"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614"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615"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616"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617"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618"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619"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620"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621"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622"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623"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624"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625"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626" w:customStyle="1">
    <w:name w:val="普通表格11"/>
    <w:uiPriority w:val="0"/>
    <w:qFormat/>
    <w:tblPr>
      <w:tblCellMar>
        <w:left w:w="0" w:type="dxa"/>
        <w:top w:w="0" w:type="dxa"/>
        <w:right w:w="0" w:type="dxa"/>
        <w:bottom w:w="0" w:type="dxa"/>
      </w:tblCellMar>
    </w:tblPr>
  </w:style>
  <w:style w:type="table" w:styleId="1627" w:customStyle="1">
    <w:name w:val="网格型11"/>
    <w:basedOn w:val="1367"/>
    <w:uiPriority w:val="0"/>
    <w:qFormat/>
    <w:pPr>
      <w:jc w:val="both"/>
      <w:widowControl w:val="off"/>
    </w:pPr>
    <w:tblPr>
      <w:tblCellMar>
        <w:left w:w="0" w:type="dxa"/>
        <w:top w:w="0" w:type="dxa"/>
        <w:right w:w="0" w:type="dxa"/>
        <w:bottom w:w="0" w:type="dxa"/>
      </w:tblCellMar>
    </w:tblPr>
  </w:style>
  <w:style w:type="paragraph" w:styleId="1628" w:customStyle="1">
    <w:name w:val="列出段落2"/>
    <w:basedOn w:val="1109"/>
    <w:uiPriority w:val="0"/>
    <w:qFormat/>
    <w:pPr>
      <w:ind w:firstLine="420"/>
      <w:widowControl w:val="off"/>
    </w:pPr>
    <w:rPr>
      <w:sz w:val="21"/>
      <w:szCs w:val="24"/>
    </w:rPr>
  </w:style>
  <w:style w:type="table" w:styleId="1629" w:customStyle="1">
    <w:name w:val="TableNormal1"/>
    <w:uiPriority w:val="0"/>
    <w:semiHidden/>
    <w:qFormat/>
    <w:tblPr>
      <w:tblCellMar>
        <w:left w:w="0" w:type="dxa"/>
        <w:top w:w="0" w:type="dxa"/>
        <w:right w:w="0" w:type="dxa"/>
        <w:bottom w:w="0" w:type="dxa"/>
      </w:tblCellMar>
    </w:tblPr>
  </w:style>
  <w:style w:type="paragraph" w:styleId="1630" w:customStyle="1">
    <w:name w:val="_Style 9"/>
    <w:basedOn w:val="1096"/>
    <w:next w:val="1095"/>
    <w:uiPriority w:val="0"/>
    <w:qFormat/>
    <w:pPr>
      <w:spacing w:before="340" w:after="330" w:line="576" w:lineRule="auto"/>
      <w:outlineLvl w:val="9"/>
    </w:pPr>
    <w:rPr>
      <w:rFonts w:ascii="Calibri" w:hAnsi="Calibri"/>
      <w:sz w:val="44"/>
    </w:rPr>
  </w:style>
  <w:style w:type="paragraph" w:styleId="1631" w:customStyle="1">
    <w:name w:val="WPSOffice手动目录 1"/>
    <w:uiPriority w:val="0"/>
    <w:qFormat/>
    <w:rPr>
      <w:rFonts w:hint="default" w:ascii="Times New Roman" w:hAnsi="Times New Roman" w:eastAsia="宋体" w:cs="Times New Roman"/>
      <w:lang w:val="en-US" w:eastAsia="zh-CN" w:bidi="ar-SA"/>
    </w:rPr>
  </w:style>
  <w:style w:type="paragraph" w:styleId="163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633"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634" w:customStyle="1">
    <w:name w:val="彩色列表 - 强调文字颜色 11"/>
    <w:basedOn w:val="1095"/>
    <w:uiPriority w:val="34"/>
    <w:qFormat/>
    <w:pPr>
      <w:ind w:firstLine="420"/>
    </w:pPr>
    <w:rPr>
      <w:szCs w:val="22"/>
    </w:rPr>
  </w:style>
  <w:style w:type="paragraph" w:styleId="1635" w:customStyle="1">
    <w:name w:val="标题 111"/>
    <w:basedOn w:val="1109"/>
    <w:next w:val="1109"/>
    <w:uiPriority w:val="0"/>
    <w:qFormat/>
    <w:pPr>
      <w:jc w:val="center"/>
      <w:keepLines/>
      <w:keepNext/>
      <w:spacing w:line="578" w:lineRule="auto"/>
      <w:outlineLvl w:val="0"/>
    </w:pPr>
    <w:rPr>
      <w:rFonts w:eastAsia="新宋体"/>
      <w:b/>
      <w:bCs/>
      <w:sz w:val="30"/>
      <w:szCs w:val="44"/>
    </w:rPr>
  </w:style>
  <w:style w:type="paragraph" w:styleId="1636"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637" w:customStyle="1">
    <w:name w:val="文本块111"/>
    <w:basedOn w:val="1095"/>
    <w:uiPriority w:val="0"/>
    <w:qFormat/>
    <w:pPr>
      <w:ind w:left="256" w:right="6" w:firstLine="624"/>
    </w:pPr>
    <w:rPr>
      <w:rFonts w:eastAsia="仿宋_GB2312"/>
      <w:sz w:val="28"/>
      <w:szCs w:val="20"/>
    </w:rPr>
  </w:style>
  <w:style w:type="character" w:styleId="1638" w:customStyle="1">
    <w:name w:val="NormalCharacter1"/>
    <w:link w:val="1095"/>
    <w:uiPriority w:val="0"/>
    <w:qFormat/>
    <w:rPr>
      <w:lang w:val="en-US" w:eastAsia="zh-CN" w:bidi="ar-SA"/>
    </w:rPr>
  </w:style>
  <w:style w:type="table" w:styleId="1639" w:customStyle="1">
    <w:name w:val="网格型111"/>
    <w:uiPriority w:val="0"/>
    <w:qFormat/>
    <w:rPr>
      <w:lang w:val="en-US" w:eastAsia="zh-CN" w:bidi="ar-SA"/>
    </w:rPr>
    <w:tblPr/>
  </w:style>
  <w:style w:type="paragraph" w:styleId="1640" w:customStyle="1">
    <w:name w:val="正文_0_0"/>
    <w:uiPriority w:val="99"/>
    <w:unhideWhenUsed/>
    <w:qFormat/>
    <w:rPr>
      <w:rFonts w:hint="default" w:ascii="Calibri" w:hAnsi="Calibri" w:eastAsia="宋体" w:cs="Times New Roman"/>
      <w:sz w:val="21"/>
    </w:rPr>
  </w:style>
  <w:style w:type="paragraph" w:styleId="1641" w:customStyle="1">
    <w:name w:val="纯文本1"/>
    <w:basedOn w:val="1113"/>
    <w:uiPriority w:val="0"/>
    <w:qFormat/>
    <w:rPr>
      <w:rFonts w:ascii="宋体" w:hAnsi="Courier New"/>
      <w:sz w:val="20"/>
      <w:szCs w:val="20"/>
    </w:rPr>
  </w:style>
  <w:style w:type="paragraph" w:styleId="1642" w:customStyle="1">
    <w:name w:val="脚注文本12"/>
    <w:basedOn w:val="1095"/>
    <w:next w:val="1643"/>
    <w:uiPriority w:val="99"/>
    <w:unhideWhenUsed/>
    <w:qFormat/>
    <w:pPr>
      <w:spacing w:after="40" w:line="240" w:lineRule="auto"/>
    </w:pPr>
    <w:rPr>
      <w:sz w:val="18"/>
    </w:rPr>
  </w:style>
  <w:style w:type="paragraph" w:styleId="1643" w:customStyle="1">
    <w:name w:val="索引 512"/>
    <w:basedOn w:val="1095"/>
    <w:next w:val="1095"/>
    <w:uiPriority w:val="0"/>
    <w:qFormat/>
    <w:pPr>
      <w:ind w:left="798"/>
    </w:pPr>
    <w:rPr>
      <w:rFonts w:ascii="Calibri" w:hAnsi="Calibri" w:eastAsia="Times New Roman"/>
      <w:szCs w:val="24"/>
    </w:rPr>
  </w:style>
  <w:style w:type="paragraph" w:styleId="1644" w:customStyle="1">
    <w:name w:val="普通(网站)11"/>
    <w:basedOn w:val="1095"/>
    <w:uiPriority w:val="0"/>
    <w:qFormat/>
    <w:pPr>
      <w:jc w:val="left"/>
      <w:spacing w:before="100" w:beforeAutospacing="1" w:after="100" w:afterAutospacing="1"/>
      <w:widowControl/>
    </w:pPr>
    <w:rPr>
      <w:rFonts w:ascii="宋体" w:hAnsi="宋体"/>
      <w:sz w:val="24"/>
    </w:rPr>
  </w:style>
  <w:style w:type="paragraph" w:styleId="1645" w:customStyle="1">
    <w:name w:val="正文文本 21"/>
    <w:basedOn w:val="1095"/>
    <w:uiPriority w:val="0"/>
    <w:qFormat/>
    <w:pPr>
      <w:jc w:val="center"/>
      <w:widowControl/>
    </w:pPr>
    <w:rPr>
      <w:rFonts w:ascii="楷体_GB2312" w:eastAsia="楷体_GB2312"/>
      <w:sz w:val="28"/>
      <w:szCs w:val="28"/>
    </w:rPr>
  </w:style>
  <w:style w:type="paragraph" w:styleId="1646" w:customStyle="1">
    <w:name w:val="HtmlNormal1"/>
    <w:basedOn w:val="1095"/>
    <w:uiPriority w:val="0"/>
    <w:qFormat/>
    <w:pPr>
      <w:jc w:val="left"/>
      <w:spacing w:before="100" w:beforeAutospacing="1" w:after="100" w:afterAutospacing="1"/>
    </w:pPr>
    <w:rPr>
      <w:rFonts w:ascii="宋体" w:hAnsi="宋体"/>
      <w:sz w:val="24"/>
    </w:rPr>
  </w:style>
  <w:style w:type="character" w:styleId="1647" w:customStyle="1">
    <w:name w:val="NormalCharacter11"/>
    <w:link w:val="1095"/>
    <w:uiPriority w:val="0"/>
    <w:semiHidden/>
    <w:qFormat/>
    <w:rPr>
      <w:rFonts w:ascii="Times New Roman" w:hAnsi="Times New Roman" w:eastAsia="宋体" w:cs="Times New Roman"/>
      <w:sz w:val="21"/>
      <w:szCs w:val="24"/>
    </w:rPr>
  </w:style>
  <w:style w:type="numbering" w:styleId="16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 Id="rId30" Type="http://schemas.openxmlformats.org/officeDocument/2006/relationships/image" Target="media/image3.jpg"/><Relationship Id="rId31"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夏海燕</cp:lastModifiedBy>
  <cp:revision>70</cp:revision>
  <dcterms:created xsi:type="dcterms:W3CDTF">2022-12-08T06:37:00Z</dcterms:created>
  <dcterms:modified xsi:type="dcterms:W3CDTF">2025-10-24T04:05:44Z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FBE2A2460DC54DA5B4A737AC05BFE5FB_13</vt:lpwstr>
  </property>
  <property fmtid="{D5CDD505-2E9C-101B-9397-08002B2CF9AE}" pid="4" name="KSOTemplateDocerSaveRecord">
    <vt:lpwstr>eyJoZGlkIjoiMzMzN2IxYzJkNmUyZjE4ZTFjNTM0N2U4YzQ5MjVlYWIiLCJ1c2VySWQiOiI0MjUxNjgzMzYifQ==</vt:lpwstr>
  </property>
</Properties>
</file>