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19"/>
        <w:spacing w:line="360" w:lineRule="auto"/>
        <w:shd w:val="clear" w:color="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spacing w:line="360" w:lineRule="auto"/>
        <w:shd w:val="clear" w:color="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spacing w:line="360" w:lineRule="auto"/>
        <w:shd w:val="clear" w:color="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jc w:val="center"/>
        <w:spacing w:line="360" w:lineRule="auto"/>
        <w:rPr>
          <w:rFonts w:hint="eastAsia" w:ascii="宋体" w:hAnsi="宋体" w:eastAsia="宋体" w:cs="宋体"/>
          <w:color w:val="000000" w:themeColor="text1"/>
          <w:sz w:val="84"/>
          <w:szCs w:val="84"/>
          <w:highlight w:val="none"/>
          <w14:textFill>
            <w14:solidFill>
              <w14:schemeClr w14:val="tx1"/>
            </w14:solidFill>
          </w14:textFill>
        </w:rPr>
      </w:pPr>
      <w:r>
        <w:rPr>
          <w:rFonts w:hint="eastAsia" w:ascii="宋体" w:hAnsi="宋体" w:eastAsia="宋体" w:cs="宋体"/>
          <w:color w:val="000000" w:themeColor="text1"/>
          <w:sz w:val="84"/>
          <w:szCs w:val="84"/>
          <w:highlight w:val="none"/>
          <w14:textFill>
            <w14:solidFill>
              <w14:schemeClr w14:val="tx1"/>
            </w14:solidFill>
          </w14:textFill>
        </w:rPr>
        <w:t xml:space="preserve">苏州市政府采购</w:t>
      </w:r>
      <w:r/>
    </w:p>
    <w:p>
      <w:pPr>
        <w:jc w:val="center"/>
        <w:spacing w:line="360" w:lineRule="auto"/>
        <w:shd w:val="clear" w:color="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84"/>
          <w:szCs w:val="84"/>
          <w:highlight w:val="none"/>
          <w14:textFill>
            <w14:solidFill>
              <w14:schemeClr w14:val="tx1"/>
            </w14:solidFill>
          </w14:textFill>
        </w:rPr>
        <w:t xml:space="preserve">招  标  文  件</w:t>
      </w:r>
      <w:r/>
    </w:p>
    <w:p>
      <w:pPr>
        <w:pStyle w:val="745"/>
        <w:spacing w:line="360" w:lineRule="auto"/>
        <w:shd w:val="clear" w:color="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745"/>
        <w:spacing w:line="360" w:lineRule="auto"/>
        <w:shd w:val="clear" w:color="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jc w:val="center"/>
        <w:spacing w:line="360" w:lineRule="auto"/>
        <w:shd w:val="clear" w:color="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mc:AlternateContent>
          <mc:Choice Requires="wpg">
            <w:drawing>
              <wp:inline xmlns:wp="http://schemas.openxmlformats.org/drawingml/2006/wordprocessingDrawing" distT="0" distB="0" distL="0" distR="0">
                <wp:extent cx="1438275" cy="1438275"/>
                <wp:effectExtent l="0" t="0" r="9525" b="9525"/>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pic:cNvPicPr>
                          <a:picLocks noChangeAspect="1"/>
                        </pic:cNvPicPr>
                        <pic:nvPr/>
                      </pic:nvPicPr>
                      <pic:blipFill>
                        <a:blip r:embed="rId17"/>
                        <a:stretch/>
                      </pic:blipFill>
                      <pic:spPr bwMode="auto">
                        <a:xfrm>
                          <a:off x="0" y="0"/>
                          <a:ext cx="1438275" cy="14382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13.2pt;height:113.2pt;mso-wrap-distance-left:0.0pt;mso-wrap-distance-top:0.0pt;mso-wrap-distance-right:0.0pt;mso-wrap-distance-bottom:0.0pt;" stroked="f">
                <v:path textboxrect="0,0,0,0"/>
                <v:imagedata r:id="rId17" o:title=""/>
              </v:shape>
            </w:pict>
          </mc:Fallback>
        </mc:AlternateContent>
      </w:r>
      <w:r/>
    </w:p>
    <w:p>
      <w:pPr>
        <w:spacing w:line="360" w:lineRule="auto"/>
        <w:shd w:val="clear" w:color="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ind w:firstLine="1600"/>
        <w:jc w:val="both"/>
        <w:spacing w:line="360" w:lineRule="auto"/>
        <w:shd w:val="clear" w:color="auto"/>
        <w:rPr>
          <w:rFonts w:hint="eastAsia" w:ascii="宋体" w:hAnsi="宋体" w:eastAsia="宋体" w:cs="宋体"/>
          <w:bCs/>
          <w:color w:val="000000" w:themeColor="text1"/>
          <w:sz w:val="32"/>
          <w:highlight w:val="none"/>
          <w:lang w:eastAsia="zh-CN"/>
          <w14:textFill>
            <w14:solidFill>
              <w14:schemeClr w14:val="tx1"/>
            </w14:solidFill>
          </w14:textFill>
        </w:rPr>
      </w:pPr>
      <w:r>
        <w:rPr>
          <w:rFonts w:hint="eastAsia" w:ascii="宋体" w:hAnsi="宋体" w:eastAsia="宋体" w:cs="宋体"/>
          <w:bCs/>
          <w:color w:val="000000" w:themeColor="text1"/>
          <w:sz w:val="32"/>
          <w:highlight w:val="none"/>
          <w14:textFill>
            <w14:solidFill>
              <w14:schemeClr w14:val="tx1"/>
            </w14:solidFill>
          </w14:textFill>
        </w:rPr>
        <w:t xml:space="preserve">项目编号：</w:t>
      </w:r>
      <w:r>
        <w:rPr>
          <w:rFonts w:hint="eastAsia" w:ascii="宋体" w:hAnsi="宋体" w:eastAsia="宋体" w:cs="宋体"/>
          <w:color w:val="000000" w:themeColor="text1"/>
          <w:sz w:val="32"/>
          <w:szCs w:val="32"/>
          <w:highlight w:val="none"/>
          <w:lang w:eastAsia="zh-CN"/>
          <w14:textFill>
            <w14:solidFill>
              <w14:schemeClr w14:val="tx1"/>
            </w14:solidFill>
          </w14:textFill>
        </w:rPr>
        <w:t xml:space="preserve">JSZC-320500-SZZJ-G2025-0008</w:t>
      </w:r>
      <w:r/>
    </w:p>
    <w:p>
      <w:pPr>
        <w:ind w:firstLine="1600"/>
        <w:jc w:val="both"/>
        <w:spacing w:line="360" w:lineRule="auto"/>
        <w:shd w:val="clear" w:color="auto"/>
        <w:tabs>
          <w:tab w:val="left" w:pos="1744" w:leader="none"/>
        </w:tabs>
        <w:rPr>
          <w:rFonts w:hint="eastAsia" w:ascii="宋体" w:hAnsi="宋体" w:eastAsia="宋体" w:cs="宋体"/>
          <w:bCs/>
          <w:color w:val="000000" w:themeColor="text1"/>
          <w:sz w:val="32"/>
          <w:highlight w:val="none"/>
          <w:lang w:eastAsia="zh-CN"/>
          <w14:textFill>
            <w14:solidFill>
              <w14:schemeClr w14:val="tx1"/>
            </w14:solidFill>
          </w14:textFill>
        </w:rPr>
      </w:pPr>
      <w:r>
        <w:rPr>
          <w:rFonts w:hint="eastAsia" w:ascii="宋体" w:hAnsi="宋体" w:eastAsia="宋体" w:cs="宋体"/>
          <w:bCs/>
          <w:color w:val="000000" w:themeColor="text1"/>
          <w:sz w:val="32"/>
          <w:highlight w:val="none"/>
          <w14:textFill>
            <w14:solidFill>
              <w14:schemeClr w14:val="tx1"/>
            </w14:solidFill>
          </w14:textFill>
        </w:rPr>
        <w:t xml:space="preserve">采 购 人：</w:t>
      </w:r>
      <w:r>
        <w:rPr>
          <w:rFonts w:hint="eastAsia" w:ascii="宋体" w:hAnsi="宋体" w:eastAsia="宋体" w:cs="宋体"/>
          <w:bCs/>
          <w:color w:val="000000" w:themeColor="text1"/>
          <w:sz w:val="32"/>
          <w:highlight w:val="none"/>
          <w:lang w:eastAsia="zh-CN"/>
          <w14:textFill>
            <w14:solidFill>
              <w14:schemeClr w14:val="tx1"/>
            </w14:solidFill>
          </w14:textFill>
        </w:rPr>
        <w:t xml:space="preserve">苏州市教育考试院</w:t>
      </w:r>
      <w:r/>
    </w:p>
    <w:p>
      <w:pPr>
        <w:ind w:firstLine="1600"/>
        <w:jc w:val="both"/>
        <w:spacing w:line="360" w:lineRule="auto"/>
        <w:shd w:val="clear" w:color="auto"/>
        <w:rPr>
          <w:rFonts w:hint="eastAsia" w:ascii="宋体" w:hAnsi="宋体" w:eastAsia="宋体" w:cs="宋体"/>
          <w:bCs/>
          <w:color w:val="000000" w:themeColor="text1"/>
          <w:sz w:val="32"/>
          <w:highlight w:val="none"/>
          <w:lang w:eastAsia="zh-CN"/>
          <w14:textFill>
            <w14:solidFill>
              <w14:schemeClr w14:val="tx1"/>
            </w14:solidFill>
          </w14:textFill>
        </w:rPr>
      </w:pPr>
      <w:r>
        <w:rPr>
          <w:rFonts w:hint="eastAsia" w:ascii="宋体" w:hAnsi="宋体" w:eastAsia="宋体" w:cs="宋体"/>
          <w:bCs/>
          <w:color w:val="000000" w:themeColor="text1"/>
          <w:sz w:val="32"/>
          <w:highlight w:val="none"/>
          <w14:textFill>
            <w14:solidFill>
              <w14:schemeClr w14:val="tx1"/>
            </w14:solidFill>
          </w14:textFill>
        </w:rPr>
        <w:t xml:space="preserve">项目名称：</w:t>
      </w:r>
      <w:r>
        <w:rPr>
          <w:rFonts w:hint="eastAsia" w:ascii="宋体" w:hAnsi="宋体" w:eastAsia="宋体" w:cs="宋体"/>
          <w:bCs/>
          <w:color w:val="000000" w:themeColor="text1"/>
          <w:sz w:val="32"/>
          <w:highlight w:val="none"/>
          <w:lang w:eastAsia="zh-CN"/>
          <w14:textFill>
            <w14:solidFill>
              <w14:schemeClr w14:val="tx1"/>
            </w14:solidFill>
          </w14:textFill>
        </w:rPr>
        <w:t xml:space="preserve">苏州市教育考试院考试安全设备租赁服务</w:t>
      </w:r>
      <w:r/>
    </w:p>
    <w:p>
      <w:pPr>
        <w:ind w:firstLine="1600"/>
        <w:jc w:val="left"/>
        <w:spacing w:line="360" w:lineRule="auto"/>
        <w:shd w:val="clear" w:color="auto"/>
        <w:rPr>
          <w:rFonts w:hint="eastAsia" w:ascii="宋体" w:hAnsi="宋体" w:eastAsia="宋体" w:cs="宋体"/>
          <w:bCs/>
          <w:color w:val="000000" w:themeColor="text1"/>
          <w:sz w:val="32"/>
          <w:highlight w:val="none"/>
          <w14:textFill>
            <w14:solidFill>
              <w14:schemeClr w14:val="tx1"/>
            </w14:solidFill>
          </w14:textFill>
        </w:rPr>
      </w:pPr>
      <w:r>
        <w:rPr>
          <w:rFonts w:hint="eastAsia" w:ascii="宋体" w:hAnsi="宋体" w:eastAsia="宋体" w:cs="宋体"/>
          <w:bCs/>
          <w:color w:val="000000" w:themeColor="text1"/>
          <w:sz w:val="32"/>
          <w:highlight w:val="none"/>
          <w14:textFill>
            <w14:solidFill>
              <w14:schemeClr w14:val="tx1"/>
            </w14:solidFill>
          </w14:textFill>
        </w:rPr>
        <w:t xml:space="preserve">项目类别：</w:t>
      </w:r>
      <w:r>
        <w:rPr>
          <w:rFonts w:hint="eastAsia" w:ascii="宋体" w:hAnsi="宋体" w:eastAsia="宋体" w:cs="宋体"/>
          <w:bCs/>
          <w:color w:val="000000" w:themeColor="text1"/>
          <w:sz w:val="32"/>
          <w:highlight w:val="none"/>
          <w:lang w:val="en-US" w:eastAsia="zh-CN"/>
          <w14:textFill>
            <w14:solidFill>
              <w14:schemeClr w14:val="tx1"/>
            </w14:solidFill>
          </w14:textFill>
        </w:rPr>
        <w:t xml:space="preserve">服务</w:t>
      </w:r>
      <w:r>
        <w:rPr>
          <w:rFonts w:hint="eastAsia" w:ascii="宋体" w:hAnsi="宋体" w:eastAsia="宋体" w:cs="宋体"/>
          <w:bCs/>
          <w:color w:val="000000" w:themeColor="text1"/>
          <w:sz w:val="32"/>
          <w:highlight w:val="none"/>
          <w14:textFill>
            <w14:solidFill>
              <w14:schemeClr w14:val="tx1"/>
            </w14:solidFill>
          </w14:textFill>
        </w:rPr>
        <w:t xml:space="preserve">类</w:t>
      </w:r>
      <w:r/>
    </w:p>
    <w:p>
      <w:pPr>
        <w:spacing w:line="360" w:lineRule="auto"/>
        <w:shd w:val="clear" w:color="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745"/>
        <w:spacing w:line="360" w:lineRule="auto"/>
        <w:shd w:val="clear" w:color="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jc w:val="center"/>
        <w:spacing w:line="360" w:lineRule="auto"/>
        <w:shd w:val="clear" w:color="auto"/>
        <w:rPr>
          <w:rFonts w:hint="eastAsia" w:ascii="宋体" w:hAnsi="宋体" w:eastAsia="宋体" w:cs="宋体"/>
          <w:color w:val="000000" w:themeColor="text1"/>
          <w:sz w:val="32"/>
          <w:highlight w:val="none"/>
          <w14:textFill>
            <w14:solidFill>
              <w14:schemeClr w14:val="tx1"/>
            </w14:solidFill>
          </w14:textFill>
        </w:rPr>
      </w:pPr>
      <w:r>
        <w:rPr>
          <w:rFonts w:hint="eastAsia" w:ascii="宋体" w:hAnsi="宋体" w:eastAsia="宋体" w:cs="宋体"/>
          <w:color w:val="000000" w:themeColor="text1"/>
          <w:sz w:val="32"/>
          <w:highlight w:val="none"/>
          <w14:textFill>
            <w14:solidFill>
              <w14:schemeClr w14:val="tx1"/>
            </w14:solidFill>
          </w14:textFill>
        </w:rPr>
        <w:t xml:space="preserve">苏州正杰招投标咨询服务有限公司</w:t>
      </w:r>
      <w:r/>
    </w:p>
    <w:p>
      <w:pPr>
        <w:jc w:val="center"/>
        <w:spacing w:line="360" w:lineRule="auto"/>
        <w:shd w:val="clear" w:color="auto"/>
        <w:rPr>
          <w:rFonts w:hint="eastAsia" w:ascii="宋体" w:hAnsi="宋体" w:eastAsia="宋体" w:cs="宋体"/>
          <w:color w:val="000000" w:themeColor="text1"/>
          <w:sz w:val="32"/>
          <w:highlight w:val="none"/>
          <w14:textFill>
            <w14:solidFill>
              <w14:schemeClr w14:val="tx1"/>
            </w14:solidFill>
          </w14:textFill>
        </w:rPr>
      </w:pPr>
      <w:r>
        <w:rPr>
          <w:rFonts w:hint="eastAsia" w:ascii="宋体" w:hAnsi="宋体" w:eastAsia="宋体" w:cs="宋体"/>
          <w:color w:val="000000" w:themeColor="text1"/>
          <w:sz w:val="32"/>
          <w:highlight w:val="none"/>
          <w14:textFill>
            <w14:solidFill>
              <w14:schemeClr w14:val="tx1"/>
            </w14:solidFill>
          </w14:textFill>
        </w:rPr>
        <w:t xml:space="preserve">二○二</w:t>
      </w:r>
      <w:r>
        <w:rPr>
          <w:rFonts w:hint="eastAsia" w:ascii="宋体" w:hAnsi="宋体" w:eastAsia="宋体" w:cs="宋体"/>
          <w:color w:val="000000" w:themeColor="text1"/>
          <w:sz w:val="32"/>
          <w:highlight w:val="none"/>
          <w:lang w:val="en-US" w:eastAsia="zh-CN"/>
          <w14:textFill>
            <w14:solidFill>
              <w14:schemeClr w14:val="tx1"/>
            </w14:solidFill>
          </w14:textFill>
        </w:rPr>
        <w:t xml:space="preserve">五</w:t>
      </w:r>
      <w:r>
        <w:rPr>
          <w:rFonts w:hint="eastAsia" w:ascii="宋体" w:hAnsi="宋体" w:eastAsia="宋体" w:cs="宋体"/>
          <w:color w:val="000000" w:themeColor="text1"/>
          <w:sz w:val="32"/>
          <w:highlight w:val="none"/>
          <w14:textFill>
            <w14:solidFill>
              <w14:schemeClr w14:val="tx1"/>
            </w14:solidFill>
          </w14:textFill>
        </w:rPr>
        <w:t xml:space="preserve">年</w:t>
      </w:r>
      <w:r>
        <w:rPr>
          <w:rFonts w:hint="eastAsia" w:ascii="宋体" w:hAnsi="宋体" w:eastAsia="宋体" w:cs="宋体"/>
          <w:color w:val="000000" w:themeColor="text1"/>
          <w:sz w:val="32"/>
          <w:highlight w:val="none"/>
          <w:lang w:val="en-US" w:eastAsia="zh-CN"/>
          <w14:textFill>
            <w14:solidFill>
              <w14:schemeClr w14:val="tx1"/>
            </w14:solidFill>
          </w14:textFill>
        </w:rPr>
        <w:t xml:space="preserve">四</w:t>
      </w:r>
      <w:r>
        <w:rPr>
          <w:rFonts w:hint="eastAsia" w:ascii="宋体" w:hAnsi="宋体" w:eastAsia="宋体" w:cs="宋体"/>
          <w:color w:val="000000" w:themeColor="text1"/>
          <w:sz w:val="32"/>
          <w:highlight w:val="none"/>
          <w14:textFill>
            <w14:solidFill>
              <w14:schemeClr w14:val="tx1"/>
            </w14:solidFill>
          </w14:textFill>
        </w:rPr>
        <w:t xml:space="preserve">月</w:t>
      </w:r>
      <w:r/>
    </w:p>
    <w:p>
      <w:pPr>
        <w:pStyle w:val="746"/>
        <w:ind w:firstLine="0"/>
        <w:jc w:val="center"/>
        <w:spacing w:line="360" w:lineRule="auto"/>
        <w:shd w:val="clear" w:color="auto"/>
        <w:rPr>
          <w:rFonts w:hint="eastAsia" w:ascii="宋体" w:hAnsi="宋体" w:eastAsia="宋体" w:cs="宋体"/>
          <w:color w:val="000000" w:themeColor="text1"/>
          <w:sz w:val="52"/>
          <w:highlight w:val="none"/>
          <w14:textFill>
            <w14:solidFill>
              <w14:schemeClr w14:val="tx1"/>
            </w14:solidFill>
          </w14:textFill>
        </w:rPr>
        <w:sectPr>
          <w:headerReference w:type="default" r:id="rId9"/>
          <w:footerReference w:type="default" r:id="rId10"/>
          <w:footerReference w:type="even" r:id="rId11"/>
          <w:footnotePr/>
          <w:endnotePr/>
          <w:type w:val="nextPage"/>
          <w:pgSz w:w="11906" w:h="16838" w:orient="portrait"/>
          <w:pgMar w:top="1134" w:right="1134" w:bottom="1134" w:left="1134" w:header="851" w:footer="992" w:gutter="0"/>
          <w:pgNumType w:start="0"/>
          <w:cols w:num="1" w:sep="0" w:space="720" w:equalWidth="1"/>
          <w:docGrid w:linePitch="360"/>
          <w:titlePg/>
        </w:sectPr>
      </w:pPr>
      <w:r>
        <w:rPr>
          <w:rFonts w:hint="eastAsia" w:ascii="宋体" w:hAnsi="宋体" w:eastAsia="宋体" w:cs="宋体"/>
          <w:color w:val="000000" w:themeColor="text1"/>
          <w:sz w:val="52"/>
          <w:highlight w:val="none"/>
          <w14:textFill>
            <w14:solidFill>
              <w14:schemeClr w14:val="tx1"/>
            </w14:solidFill>
          </w14:textFill>
        </w:rPr>
      </w:r>
      <w:r/>
    </w:p>
    <w:p>
      <w:pPr>
        <w:pStyle w:val="746"/>
        <w:ind w:firstLine="0"/>
        <w:jc w:val="center"/>
        <w:spacing w:line="360" w:lineRule="auto"/>
        <w:shd w:val="clear" w:color="auto"/>
        <w:rPr>
          <w:rFonts w:hint="eastAsia" w:ascii="宋体" w:hAnsi="宋体" w:eastAsia="宋体" w:cs="宋体"/>
          <w:color w:val="000000" w:themeColor="text1"/>
          <w:sz w:val="52"/>
          <w:highlight w:val="none"/>
          <w14:textFill>
            <w14:solidFill>
              <w14:schemeClr w14:val="tx1"/>
            </w14:solidFill>
          </w14:textFill>
        </w:rPr>
      </w:pPr>
      <w:r>
        <w:rPr>
          <w:rFonts w:hint="eastAsia" w:ascii="宋体" w:hAnsi="宋体" w:eastAsia="宋体" w:cs="宋体"/>
          <w:color w:val="000000" w:themeColor="text1"/>
          <w:sz w:val="52"/>
          <w:highlight w:val="none"/>
          <w14:textFill>
            <w14:solidFill>
              <w14:schemeClr w14:val="tx1"/>
            </w14:solidFill>
          </w14:textFill>
        </w:rPr>
      </w:r>
      <w:r/>
    </w:p>
    <w:p>
      <w:pPr>
        <w:pStyle w:val="746"/>
        <w:ind w:firstLine="0"/>
        <w:jc w:val="center"/>
        <w:spacing w:line="360" w:lineRule="auto"/>
        <w:shd w:val="clear" w:color="auto"/>
        <w:rPr>
          <w:rFonts w:hint="eastAsia" w:ascii="宋体" w:hAnsi="宋体" w:eastAsia="宋体" w:cs="宋体"/>
          <w:color w:val="000000" w:themeColor="text1"/>
          <w:sz w:val="52"/>
          <w:highlight w:val="none"/>
          <w14:textFill>
            <w14:solidFill>
              <w14:schemeClr w14:val="tx1"/>
            </w14:solidFill>
          </w14:textFill>
        </w:rPr>
      </w:pPr>
      <w:r>
        <w:rPr>
          <w:rFonts w:hint="eastAsia" w:ascii="宋体" w:hAnsi="宋体" w:eastAsia="宋体" w:cs="宋体"/>
          <w:color w:val="000000" w:themeColor="text1"/>
          <w:sz w:val="52"/>
          <w:highlight w:val="none"/>
          <w14:textFill>
            <w14:solidFill>
              <w14:schemeClr w14:val="tx1"/>
            </w14:solidFill>
          </w14:textFill>
        </w:rPr>
        <w:t xml:space="preserve">目录</w:t>
      </w:r>
      <w:r/>
    </w:p>
    <w:p>
      <w:pPr>
        <w:pStyle w:val="746"/>
        <w:ind w:firstLine="0"/>
        <w:jc w:val="center"/>
        <w:spacing w:line="360" w:lineRule="auto"/>
        <w:shd w:val="clear" w:color="auto"/>
        <w:rPr>
          <w:rFonts w:hint="eastAsia" w:ascii="宋体" w:hAnsi="宋体" w:eastAsia="宋体" w:cs="宋体"/>
          <w:color w:val="000000" w:themeColor="text1"/>
          <w:sz w:val="30"/>
          <w:highlight w:val="none"/>
          <w14:textFill>
            <w14:solidFill>
              <w14:schemeClr w14:val="tx1"/>
            </w14:solidFill>
          </w14:textFill>
        </w:rPr>
      </w:pPr>
      <w:r>
        <w:rPr>
          <w:rFonts w:hint="eastAsia" w:ascii="宋体" w:hAnsi="宋体" w:eastAsia="宋体" w:cs="宋体"/>
          <w:color w:val="000000" w:themeColor="text1"/>
          <w:sz w:val="30"/>
          <w:highlight w:val="none"/>
          <w14:textFill>
            <w14:solidFill>
              <w14:schemeClr w14:val="tx1"/>
            </w14:solidFill>
          </w14:textFill>
        </w:rPr>
      </w:r>
      <w:r/>
    </w:p>
    <w:p>
      <w:pPr>
        <w:pStyle w:val="746"/>
        <w:ind w:firstLine="0"/>
        <w:jc w:val="center"/>
        <w:spacing w:line="360" w:lineRule="auto"/>
        <w:shd w:val="clear" w:color="auto"/>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jc w:val="both"/>
        <w:spacing w:line="360" w:lineRule="auto"/>
        <w:widowControl/>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t xml:space="preserve">第一章</w:t>
      </w:r>
      <w:r>
        <w:rPr>
          <w:rFonts w:hint="eastAsia" w:ascii="宋体" w:hAnsi="宋体" w:eastAsia="宋体" w:cs="宋体"/>
          <w:color w:val="000000" w:themeColor="text1"/>
          <w:sz w:val="30"/>
          <w:szCs w:val="30"/>
          <w:highlight w:val="none"/>
          <w:lang w:val="en-US" w:eastAsia="zh-CN"/>
          <w14:textFill>
            <w14:solidFill>
              <w14:schemeClr w14:val="tx1"/>
            </w14:solidFill>
          </w14:textFill>
        </w:rPr>
        <w:t xml:space="preserve"> 投标邀请函</w:t>
      </w:r>
      <w:r>
        <w:rPr>
          <w:rFonts w:hint="eastAsia" w:ascii="宋体" w:hAnsi="宋体" w:eastAsia="宋体" w:cs="宋体"/>
          <w:color w:val="000000" w:themeColor="text1"/>
          <w:sz w:val="30"/>
          <w:szCs w:val="30"/>
          <w:highlight w:val="none"/>
          <w14:textFill>
            <w14:solidFill>
              <w14:schemeClr w14:val="tx1"/>
            </w14:solidFill>
          </w14:textFill>
        </w:rPr>
        <w:t xml:space="preserve">........................................</w:t>
      </w:r>
      <w:r/>
    </w:p>
    <w:p>
      <w:pPr>
        <w:jc w:val="both"/>
        <w:spacing w:line="360" w:lineRule="auto"/>
        <w:widowControl/>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t xml:space="preserve">第二章 投标人须知........................................</w:t>
      </w:r>
      <w:r/>
    </w:p>
    <w:p>
      <w:pPr>
        <w:jc w:val="both"/>
        <w:spacing w:line="360" w:lineRule="auto"/>
        <w:widowControl/>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t xml:space="preserve">第三章 投标文件格式......................................</w:t>
      </w:r>
      <w:r/>
    </w:p>
    <w:p>
      <w:pPr>
        <w:jc w:val="both"/>
        <w:spacing w:line="360" w:lineRule="auto"/>
        <w:widowControl/>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t xml:space="preserve">第四章 </w:t>
      </w:r>
      <w:r>
        <w:rPr>
          <w:rFonts w:hint="eastAsia" w:ascii="宋体" w:hAnsi="宋体" w:eastAsia="宋体" w:cs="宋体"/>
          <w:color w:val="000000" w:themeColor="text1"/>
          <w:sz w:val="30"/>
          <w:szCs w:val="30"/>
          <w:highlight w:val="none"/>
          <w:lang w:val="en-US" w:eastAsia="zh-CN"/>
          <w14:textFill>
            <w14:solidFill>
              <w14:schemeClr w14:val="tx1"/>
            </w14:solidFill>
          </w14:textFill>
        </w:rPr>
        <w:t xml:space="preserve">采购需求</w:t>
      </w:r>
      <w:r>
        <w:rPr>
          <w:rFonts w:hint="eastAsia" w:ascii="宋体" w:hAnsi="宋体" w:eastAsia="宋体" w:cs="宋体"/>
          <w:color w:val="000000" w:themeColor="text1"/>
          <w:sz w:val="30"/>
          <w:szCs w:val="30"/>
          <w:highlight w:val="none"/>
          <w14:textFill>
            <w14:solidFill>
              <w14:schemeClr w14:val="tx1"/>
            </w14:solidFill>
          </w14:textFill>
        </w:rPr>
        <w:t xml:space="preserve">..........................................</w:t>
      </w:r>
      <w:r/>
    </w:p>
    <w:p>
      <w:pPr>
        <w:jc w:val="both"/>
        <w:spacing w:line="360" w:lineRule="auto"/>
        <w:widowControl/>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t xml:space="preserve">第五章 合同</w:t>
      </w:r>
      <w:r>
        <w:rPr>
          <w:rFonts w:hint="eastAsia" w:ascii="宋体" w:hAnsi="宋体" w:eastAsia="宋体" w:cs="宋体"/>
          <w:color w:val="000000" w:themeColor="text1"/>
          <w:sz w:val="30"/>
          <w:szCs w:val="30"/>
          <w:highlight w:val="none"/>
          <w:lang w:val="en-US" w:eastAsia="zh-CN"/>
          <w14:textFill>
            <w14:solidFill>
              <w14:schemeClr w14:val="tx1"/>
            </w14:solidFill>
          </w14:textFill>
        </w:rPr>
        <w:t xml:space="preserve">主要</w:t>
      </w:r>
      <w:r>
        <w:rPr>
          <w:rFonts w:hint="eastAsia" w:ascii="宋体" w:hAnsi="宋体" w:eastAsia="宋体" w:cs="宋体"/>
          <w:color w:val="000000" w:themeColor="text1"/>
          <w:sz w:val="30"/>
          <w:szCs w:val="30"/>
          <w:highlight w:val="none"/>
          <w14:textFill>
            <w14:solidFill>
              <w14:schemeClr w14:val="tx1"/>
            </w14:solidFill>
          </w14:textFill>
        </w:rPr>
        <w:t xml:space="preserve">条款......................................</w:t>
      </w:r>
      <w:r/>
    </w:p>
    <w:p>
      <w:pPr>
        <w:jc w:val="both"/>
        <w:spacing w:line="360" w:lineRule="auto"/>
        <w:widowControl/>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t xml:space="preserve">第六章 </w:t>
      </w:r>
      <w:r>
        <w:rPr>
          <w:rFonts w:hint="eastAsia" w:ascii="宋体" w:hAnsi="宋体" w:eastAsia="宋体" w:cs="宋体"/>
          <w:color w:val="000000" w:themeColor="text1"/>
          <w:sz w:val="30"/>
          <w:szCs w:val="30"/>
          <w:highlight w:val="none"/>
          <w:lang w:val="en-US" w:eastAsia="zh-CN"/>
          <w14:textFill>
            <w14:solidFill>
              <w14:schemeClr w14:val="tx1"/>
            </w14:solidFill>
          </w14:textFill>
        </w:rPr>
        <w:t xml:space="preserve">评分方法和</w:t>
      </w:r>
      <w:r>
        <w:rPr>
          <w:rFonts w:hint="eastAsia" w:ascii="宋体" w:hAnsi="宋体" w:eastAsia="宋体" w:cs="宋体"/>
          <w:color w:val="000000" w:themeColor="text1"/>
          <w:sz w:val="30"/>
          <w:szCs w:val="30"/>
          <w:highlight w:val="none"/>
          <w14:textFill>
            <w14:solidFill>
              <w14:schemeClr w14:val="tx1"/>
            </w14:solidFill>
          </w14:textFill>
        </w:rPr>
        <w:t xml:space="preserve">评分标准................................</w:t>
      </w:r>
      <w:r/>
    </w:p>
    <w:p>
      <w:pPr>
        <w:pStyle w:val="746"/>
        <w:ind w:firstLine="0"/>
        <w:jc w:val="center"/>
        <w:spacing w:line="360" w:lineRule="auto"/>
        <w:shd w:val="clear" w:color="auto"/>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jc w:val="center"/>
        <w:spacing w:line="360" w:lineRule="auto"/>
        <w:shd w:val="clear" w:color="auto"/>
        <w:widowControl/>
        <w:rPr>
          <w:rFonts w:hint="eastAsia" w:ascii="宋体" w:hAnsi="宋体" w:eastAsia="宋体" w:cs="宋体"/>
          <w:color w:val="000000" w:themeColor="text1"/>
          <w:sz w:val="30"/>
          <w:szCs w:val="30"/>
          <w:highlight w:val="none"/>
          <w14:textFill>
            <w14:solidFill>
              <w14:schemeClr w14:val="tx1"/>
            </w14:solidFill>
          </w14:textFill>
        </w:rPr>
        <w:sectPr>
          <w:footerReference w:type="default" r:id="rId12"/>
          <w:footerReference w:type="first" r:id="rId13"/>
          <w:footnotePr/>
          <w:endnotePr/>
          <w:type w:val="nextPage"/>
          <w:pgSz w:w="11906" w:h="16838" w:orient="portrait"/>
          <w:pgMar w:top="1134" w:right="1134" w:bottom="1134" w:left="1134" w:header="851" w:footer="992" w:gutter="0"/>
          <w:pgNumType w:start="1"/>
          <w:cols w:num="1" w:sep="0" w:space="720" w:equalWidth="1"/>
          <w:docGrid w:linePitch="360"/>
        </w:sectPr>
      </w:pPr>
      <w:r>
        <w:rPr>
          <w:rFonts w:hint="eastAsia" w:ascii="宋体" w:hAnsi="宋体" w:eastAsia="宋体" w:cs="宋体"/>
          <w:color w:val="000000" w:themeColor="text1"/>
          <w:sz w:val="30"/>
          <w:szCs w:val="30"/>
          <w:highlight w:val="none"/>
          <w14:textFill>
            <w14:solidFill>
              <w14:schemeClr w14:val="tx1"/>
            </w14:solidFill>
          </w14:textFill>
        </w:rPr>
      </w:r>
      <w:r/>
    </w:p>
    <w:p>
      <w:pPr>
        <w:jc w:val="center"/>
        <w:spacing w:line="360" w:lineRule="auto"/>
        <w:shd w:val="clear" w:color="auto"/>
        <w:widowControl/>
        <w:rPr>
          <w:rFonts w:hint="eastAsia" w:ascii="宋体" w:hAnsi="宋体" w:eastAsia="宋体" w:cs="宋体"/>
          <w:color w:val="000000" w:themeColor="text1"/>
          <w:sz w:val="32"/>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第一章 </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投标邀请函</w:t>
      </w:r>
      <w:r/>
    </w:p>
    <w:p>
      <w:pPr>
        <w:ind w:firstLine="480"/>
        <w:spacing w:line="360" w:lineRule="auto"/>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苏州正杰招投标咨询服务有限公司受</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苏州市教育考试院</w:t>
      </w:r>
      <w:r>
        <w:rPr>
          <w:rFonts w:hint="eastAsia" w:ascii="宋体" w:hAnsi="宋体" w:eastAsia="宋体" w:cs="宋体"/>
          <w:color w:val="000000" w:themeColor="text1"/>
          <w:sz w:val="24"/>
          <w:szCs w:val="24"/>
          <w:highlight w:val="none"/>
          <w14:textFill>
            <w14:solidFill>
              <w14:schemeClr w14:val="tx1"/>
            </w14:solidFill>
          </w14:textFill>
        </w:rPr>
        <w:t xml:space="preserve">的委托</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就其所需的</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苏州市教育考试院考试安全设备租赁服务</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项目</w:t>
      </w:r>
      <w:r>
        <w:rPr>
          <w:rFonts w:hint="eastAsia" w:ascii="宋体" w:hAnsi="宋体" w:eastAsia="宋体" w:cs="宋体"/>
          <w:color w:val="000000" w:themeColor="text1"/>
          <w:sz w:val="24"/>
          <w:szCs w:val="24"/>
          <w:highlight w:val="none"/>
          <w14:textFill>
            <w14:solidFill>
              <w14:schemeClr w14:val="tx1"/>
            </w14:solidFill>
          </w14:textFill>
        </w:rPr>
        <w:t xml:space="preserve">进行公开招标</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欢迎符合资格条件和具备履约能力的供应商单位前来参与。</w:t>
      </w:r>
      <w:r/>
    </w:p>
    <w:p>
      <w:pPr>
        <w:ind w:firstLine="482"/>
        <w:spacing w:line="360" w:lineRule="auto"/>
        <w:shd w:val="clear" w:color="auto"/>
        <w:rPr>
          <w:rFonts w:hint="eastAsia" w:ascii="宋体" w:hAnsi="宋体" w:eastAsia="宋体" w:cs="宋体"/>
          <w:b/>
          <w:bCs/>
          <w:color w:val="000000" w:themeColor="text1"/>
          <w:sz w:val="24"/>
          <w:szCs w:val="24"/>
          <w:highlight w:val="none"/>
          <w:lang w:eastAsia="zh-CN"/>
          <w14:textFill>
            <w14:solidFill>
              <w14:schemeClr w14:val="tx1"/>
            </w14:solidFill>
          </w14:textFill>
        </w:rPr>
        <w:outlineLvl w:val="1"/>
      </w:pPr>
      <w:r>
        <w:rPr>
          <w:rFonts w:hint="eastAsia" w:ascii="宋体" w:hAnsi="宋体" w:eastAsia="宋体" w:cs="宋体"/>
          <w:b/>
          <w:bCs/>
          <w:color w:val="000000" w:themeColor="text1"/>
          <w:sz w:val="24"/>
          <w:szCs w:val="24"/>
          <w:highlight w:val="none"/>
          <w14:textFill>
            <w14:solidFill>
              <w14:schemeClr w14:val="tx1"/>
            </w14:solidFill>
          </w14:textFill>
        </w:rPr>
        <w:t xml:space="preserve">一、项目基本情况</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w:t>
      </w:r>
      <w:r/>
    </w:p>
    <w:p>
      <w:pPr>
        <w:ind w:firstLine="480"/>
        <w:spacing w:line="360" w:lineRule="auto"/>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项目编号：</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JSZC-320500-SZZJ-G2025-0008</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firstLine="480"/>
        <w:spacing w:line="360" w:lineRule="auto"/>
        <w:shd w:val="clear" w:color="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项目名称：</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苏州市教育考试院考试安全设备租赁服务。</w:t>
      </w:r>
      <w:r/>
    </w:p>
    <w:p>
      <w:pPr>
        <w:ind w:firstLine="48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预算金额：人民币</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3550000.00</w:t>
      </w:r>
      <w:r>
        <w:rPr>
          <w:rFonts w:hint="eastAsia" w:ascii="宋体" w:hAnsi="宋体" w:eastAsia="宋体" w:cs="宋体"/>
          <w:color w:val="000000" w:themeColor="text1"/>
          <w:sz w:val="24"/>
          <w:szCs w:val="24"/>
          <w:highlight w:val="none"/>
          <w14:textFill>
            <w14:solidFill>
              <w14:schemeClr w14:val="tx1"/>
            </w14:solidFill>
          </w14:textFill>
        </w:rPr>
        <w:t xml:space="preserve">元</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ind w:firstLine="480"/>
        <w:spacing w:line="360" w:lineRule="auto"/>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最高限价：人民币</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3550000.00</w:t>
      </w:r>
      <w:r>
        <w:rPr>
          <w:rFonts w:hint="eastAsia" w:ascii="宋体" w:hAnsi="宋体" w:eastAsia="宋体" w:cs="宋体"/>
          <w:color w:val="000000" w:themeColor="text1"/>
          <w:sz w:val="24"/>
          <w:szCs w:val="24"/>
          <w:highlight w:val="none"/>
          <w14:textFill>
            <w14:solidFill>
              <w14:schemeClr w14:val="tx1"/>
            </w14:solidFill>
          </w14:textFill>
        </w:rPr>
        <w:t xml:space="preserve">元</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ind w:firstLine="480"/>
        <w:spacing w:line="360" w:lineRule="auto"/>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采购需求：</w:t>
      </w:r>
      <w:r/>
    </w:p>
    <w:p>
      <w:pPr>
        <w:ind w:firstLine="480"/>
        <w:spacing w:line="360" w:lineRule="auto"/>
        <w:shd w:val="clear" w:color="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1、标的的名称：</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苏州市教育考试院考试安全设备租赁服务。</w:t>
      </w:r>
      <w:r/>
    </w:p>
    <w:p>
      <w:pPr>
        <w:ind w:firstLine="480"/>
        <w:spacing w:line="360" w:lineRule="auto"/>
        <w:shd w:val="clear" w:color="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2、数量：1项</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ind w:firstLine="480"/>
        <w:jc w:val="lef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3、简要技术需求或服务要求等：</w:t>
      </w:r>
      <w:r>
        <w:rPr>
          <w:rFonts w:ascii="宋体" w:hAnsi="宋体" w:eastAsia="宋体" w:cs="Times New Roman"/>
          <w:color w:val="000000" w:themeColor="text1"/>
          <w:sz w:val="24"/>
          <w:szCs w:val="24"/>
          <w:highlight w:val="none"/>
          <w:lang w:bidi="ar-SA"/>
          <w14:textFill>
            <w14:solidFill>
              <w14:schemeClr w14:val="tx1"/>
            </w14:solidFill>
          </w14:textFill>
        </w:rPr>
        <w:t xml:space="preserve">在规定时限内，向苏州市范围内的考试活动提供人员入场安全检查、考试过程中的安全检查、试卷安全检查以及视频会议安全保障等全方位服务，并同时承担考生手机、平板等电子设备的保管任务</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具体详见招标文件采购需求。</w:t>
      </w:r>
      <w:r/>
    </w:p>
    <w:p>
      <w:pPr>
        <w:ind w:firstLine="480"/>
        <w:jc w:val="lef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合同履行期限：</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自合同生效之日起壹年，按12个月计。</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本项不接受联合体投标、不接受进口产品、不允许转包。</w:t>
      </w:r>
      <w:r/>
    </w:p>
    <w:p>
      <w:pPr>
        <w:ind w:firstLine="482"/>
        <w:spacing w:line="360" w:lineRule="auto"/>
        <w:shd w:val="clear" w:color="auto"/>
        <w:rPr>
          <w:rFonts w:hint="eastAsia" w:ascii="宋体" w:hAnsi="宋体" w:eastAsia="宋体" w:cs="宋体"/>
          <w:b/>
          <w:bCs/>
          <w:color w:val="000000" w:themeColor="text1"/>
          <w:sz w:val="24"/>
          <w:szCs w:val="24"/>
          <w:highlight w:val="none"/>
          <w14:textFill>
            <w14:solidFill>
              <w14:schemeClr w14:val="tx1"/>
            </w14:solidFill>
          </w14:textFill>
        </w:rPr>
        <w:outlineLvl w:val="1"/>
      </w:pPr>
      <w:r>
        <w:rPr>
          <w:rFonts w:hint="eastAsia" w:ascii="宋体" w:hAnsi="宋体" w:eastAsia="宋体" w:cs="宋体"/>
          <w:b/>
          <w:bCs/>
          <w:color w:val="000000" w:themeColor="text1"/>
          <w:sz w:val="24"/>
          <w:szCs w:val="24"/>
          <w:highlight w:val="none"/>
          <w14:textFill>
            <w14:solidFill>
              <w14:schemeClr w14:val="tx1"/>
            </w14:solidFill>
          </w14:textFill>
        </w:rPr>
        <w:t xml:space="preserve">二、申请人的资格要求：</w:t>
      </w:r>
      <w:r/>
    </w:p>
    <w:p>
      <w:pPr>
        <w:ind w:firstLine="480"/>
        <w:spacing w:line="360" w:lineRule="auto"/>
        <w:shd w:val="clear" w:color="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1、合格供应商的一般条件</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ind w:firstLine="480"/>
        <w:spacing w:line="360" w:lineRule="auto"/>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1.1具有独立承担民事责任的能力。</w:t>
      </w:r>
      <w:r/>
    </w:p>
    <w:p>
      <w:pPr>
        <w:ind w:firstLine="480"/>
        <w:spacing w:line="360" w:lineRule="auto"/>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1.2具有良好的商业信誉和健全的财务会计制度。</w:t>
      </w:r>
      <w:r/>
    </w:p>
    <w:p>
      <w:pPr>
        <w:ind w:firstLine="480"/>
        <w:spacing w:line="360" w:lineRule="auto"/>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1.3具有履行合同所必需的设备和专业技术能力。</w:t>
      </w:r>
      <w:r/>
    </w:p>
    <w:p>
      <w:pPr>
        <w:ind w:firstLine="480"/>
        <w:spacing w:line="360" w:lineRule="auto"/>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1.4有依法缴纳税收和社会保障资金的良好记录。</w:t>
      </w:r>
      <w:r/>
    </w:p>
    <w:p>
      <w:pPr>
        <w:ind w:firstLine="480"/>
        <w:spacing w:line="360" w:lineRule="auto"/>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1.5参加政府采购活动前三年内</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在经营活动中没有重大违法记录。</w:t>
      </w:r>
      <w:r/>
    </w:p>
    <w:p>
      <w:pPr>
        <w:ind w:firstLine="480"/>
        <w:spacing w:line="360" w:lineRule="auto"/>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1.6法律、行政法规规定的其他条件。</w:t>
      </w:r>
      <w:r/>
    </w:p>
    <w:p>
      <w:pPr>
        <w:ind w:firstLine="48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2、落实政府采购政策需满足的资格要求</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w:t>
      </w:r>
      <w:r>
        <w:rPr>
          <w:rFonts w:hint="eastAsia" w:ascii="宋体" w:hAnsi="宋体" w:eastAsia="宋体" w:cs="宋体"/>
          <w:b/>
          <w:bCs/>
          <w:color w:val="000000" w:themeColor="text1"/>
          <w:sz w:val="24"/>
          <w:szCs w:val="24"/>
          <w:highlight w:val="none"/>
          <w14:textFill>
            <w14:solidFill>
              <w14:schemeClr w14:val="tx1"/>
            </w14:solidFill>
          </w14:textFill>
        </w:rPr>
        <w:t xml:space="preserve">根据《政府采购促进中小企业发展管理办法》的相关规定，本项目专门面向中小企业，所属行业为</w:t>
      </w:r>
      <w:r>
        <w:rPr>
          <w:rFonts w:hint="eastAsia" w:ascii="宋体" w:hAnsi="宋体" w:eastAsia="宋体" w:cs="宋体"/>
          <w:b/>
          <w:bCs/>
          <w:color w:val="000000" w:themeColor="text1"/>
          <w:sz w:val="24"/>
          <w:szCs w:val="24"/>
          <w:highlight w:val="none"/>
          <w:u w:val="none"/>
          <w14:textFill>
            <w14:solidFill>
              <w14:schemeClr w14:val="tx1"/>
            </w14:solidFill>
          </w14:textFill>
        </w:rPr>
        <w:t xml:space="preserve">其他未列明行业</w:t>
      </w:r>
      <w:r>
        <w:rPr>
          <w:rFonts w:hint="eastAsia" w:ascii="宋体" w:hAnsi="宋体" w:eastAsia="宋体" w:cs="宋体"/>
          <w:b/>
          <w:bCs/>
          <w:color w:val="000000" w:themeColor="text1"/>
          <w:sz w:val="24"/>
          <w:szCs w:val="24"/>
          <w:highlight w:val="none"/>
          <w14:textFill>
            <w14:solidFill>
              <w14:schemeClr w14:val="tx1"/>
            </w14:solidFill>
          </w14:textFill>
        </w:rPr>
        <w:t xml:space="preserve">，供应商应为中小微企业、监狱企业、残疾人福利性单位。</w:t>
      </w:r>
      <w:r/>
    </w:p>
    <w:p>
      <w:pPr>
        <w:ind w:firstLine="480"/>
        <w:spacing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3、本项目的特定资格要求：</w:t>
      </w:r>
      <w:r>
        <w:rPr>
          <w:rFonts w:hint="eastAsia" w:ascii="宋体" w:hAnsi="宋体" w:eastAsia="宋体"/>
          <w:color w:val="000000" w:themeColor="text1"/>
          <w:sz w:val="24"/>
          <w:szCs w:val="24"/>
          <w:highlight w:val="none"/>
          <w:lang w:val="en-US" w:eastAsia="zh-CN"/>
          <w14:textFill>
            <w14:solidFill>
              <w14:schemeClr w14:val="tx1"/>
            </w14:solidFill>
          </w14:textFill>
        </w:rPr>
        <w:t xml:space="preserve">无</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ind w:firstLine="482"/>
        <w:spacing w:line="360" w:lineRule="auto"/>
        <w:shd w:val="clear" w:color="auto"/>
        <w:rPr>
          <w:rFonts w:hint="eastAsia" w:ascii="宋体" w:hAnsi="宋体" w:eastAsia="宋体" w:cs="宋体"/>
          <w:b/>
          <w:bCs/>
          <w:color w:val="000000" w:themeColor="text1"/>
          <w:sz w:val="24"/>
          <w:szCs w:val="24"/>
          <w:highlight w:val="none"/>
          <w:lang w:eastAsia="zh-CN"/>
          <w14:textFill>
            <w14:solidFill>
              <w14:schemeClr w14:val="tx1"/>
            </w14:solidFill>
          </w14:textFill>
        </w:rPr>
        <w:outlineLvl w:val="1"/>
      </w:pPr>
      <w:r>
        <w:rPr>
          <w:rFonts w:hint="eastAsia" w:ascii="宋体" w:hAnsi="宋体" w:eastAsia="宋体" w:cs="宋体"/>
          <w:b/>
          <w:bCs/>
          <w:color w:val="000000" w:themeColor="text1"/>
          <w:sz w:val="24"/>
          <w:szCs w:val="24"/>
          <w:highlight w:val="none"/>
          <w14:textFill>
            <w14:solidFill>
              <w14:schemeClr w14:val="tx1"/>
            </w14:solidFill>
          </w14:textFill>
        </w:rPr>
        <w:t xml:space="preserve">三、获取招标文件</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时间：自招标文件公告发布之日起5个工作日。</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地点：“苏采云”系统自行下载招标文件。</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方式（网上报名）：</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（1）CA办理：</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供应商通过“苏采云”政府采购交易系统（以下简称苏采云系统，网址：h</w:t>
      </w:r>
      <w:r>
        <w:rPr>
          <w:rFonts w:hint="eastAsia" w:ascii="宋体" w:hAnsi="宋体" w:eastAsia="宋体" w:cs="宋体"/>
          <w:color w:val="000000" w:themeColor="text1"/>
          <w:sz w:val="24"/>
          <w:szCs w:val="24"/>
          <w:highlight w:val="none"/>
          <w14:textFill>
            <w14:solidFill>
              <w14:schemeClr w14:val="tx1"/>
            </w14:solidFill>
          </w14:textFill>
        </w:rPr>
        <w:t xml:space="preserve">ttp：//jszfcg.jsczt.cn/）参与政府采购项目，需办理江苏省电子政务证书认证中心CA证书。CA证书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-69820834。</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（2）依法获取采购文件：</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供应商插入CA证书</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登录</w:t>
      </w:r>
      <w:r>
        <w:rPr>
          <w:rFonts w:hint="eastAsia" w:ascii="宋体" w:hAnsi="宋体" w:eastAsia="宋体" w:cs="宋体"/>
          <w:color w:val="000000" w:themeColor="text1"/>
          <w:sz w:val="24"/>
          <w:szCs w:val="24"/>
          <w:highlight w:val="none"/>
          <w14:textFill>
            <w14:solidFill>
              <w14:schemeClr w14:val="tx1"/>
            </w14:solidFill>
          </w14:textFill>
        </w:rPr>
        <w:t xml:space="preserve">“苏采云”系统后选择具体项目，点击“我要参与”并签章提交《投标供应商确认函》，确认参与后自行免费下载采购文件，提交《投标供应商确认函》日期视同为依法获取采购文件日期。供应商须打印、保留《投标供应商确认函》，质疑时《投标供应商确认函》与质疑函一并提交。</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考虑到熟悉“苏采云”系统、办理CA证书都需要一定的时间，请提早准备以免耽误招标采购活动。</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未依照采购公告要求获取采购文件的供应商，视为未参加该项政府采购活动，不具备对该政府采购项目提出质疑的法定权利。</w:t>
      </w:r>
      <w:r/>
    </w:p>
    <w:p>
      <w:pPr>
        <w:ind w:firstLine="48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更正（补充）公告及附件的获取：供应商应及时关注政府采购信息发布媒体上发布的更正（补充）公告，同时在“苏采云”系统中下载更正（补充）资料，如有遗漏（包括但不限于文件未下载或下载不完整），可能无法解密投标（响应）文件，由此所造成的响应失败或损失由供应商自行负责。</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（3）技术咨询服务电话：</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CA技术咨询服务电话：400-608-6099；</w:t>
      </w:r>
      <w:r/>
    </w:p>
    <w:p>
      <w:pPr>
        <w:ind w:left="5" w:firstLine="518"/>
        <w:spacing w:line="360" w:lineRule="auto"/>
        <w:tabs>
          <w:tab w:val="left" w:pos="851"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电子签章技术咨询服务电话：025-83633811、025-83633812、15380932027、15371015030；</w:t>
      </w:r>
      <w:r/>
    </w:p>
    <w:p>
      <w:pPr>
        <w:ind w:left="5" w:firstLine="518"/>
        <w:spacing w:line="360" w:lineRule="auto"/>
        <w:tabs>
          <w:tab w:val="left" w:pos="851"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苏州市及区县“苏采云”系统使用指导与咨询：联系电话：0512-69820854、18261002950；QQ：3048755361、1315179389、895706745；智能客服：登录苏采云系统后，联系系统右下方智能客服图标进行咨询。</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售价：本项目免费下载电子采购文件。</w:t>
      </w:r>
      <w:r/>
    </w:p>
    <w:p>
      <w:pPr>
        <w:ind w:firstLine="482"/>
        <w:spacing w:line="36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四、提交投标文件截止时间、开标时间和地点</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color w:val="000000" w:themeColor="text1"/>
          <w:sz w:val="24"/>
          <w:szCs w:val="24"/>
          <w:highlight w:val="none"/>
          <w14:textFill>
            <w14:solidFill>
              <w14:schemeClr w14:val="tx1"/>
            </w14:solidFill>
          </w14:textFill>
        </w:rPr>
        <w:t xml:space="preserve"> </w:t>
      </w:r>
      <w:r/>
    </w:p>
    <w:p>
      <w:pPr>
        <w:ind w:firstLine="480"/>
        <w:spacing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1、时间：2025年</w:t>
      </w: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u w:val="none"/>
          <w14:textFill>
            <w14:solidFill>
              <w14:schemeClr w14:val="tx1"/>
            </w14:solidFill>
          </w14:textFill>
        </w:rPr>
        <w:t xml:space="preserve">月</w:t>
      </w: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t xml:space="preserve">21</w:t>
      </w:r>
      <w:r>
        <w:rPr>
          <w:rFonts w:hint="eastAsia" w:ascii="宋体" w:hAnsi="宋体" w:eastAsia="宋体" w:cs="宋体"/>
          <w:color w:val="000000" w:themeColor="text1"/>
          <w:sz w:val="24"/>
          <w:szCs w:val="24"/>
          <w:highlight w:val="none"/>
          <w:u w:val="none"/>
          <w14:textFill>
            <w14:solidFill>
              <w14:schemeClr w14:val="tx1"/>
            </w14:solidFill>
          </w14:textFill>
        </w:rPr>
        <w:t xml:space="preserve">日</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10</w:t>
      </w:r>
      <w:r>
        <w:rPr>
          <w:rFonts w:hint="eastAsia" w:ascii="宋体" w:hAnsi="宋体" w:eastAsia="宋体" w:cs="宋体"/>
          <w:color w:val="000000" w:themeColor="text1"/>
          <w:sz w:val="24"/>
          <w:szCs w:val="24"/>
          <w:highlight w:val="none"/>
          <w14:textFill>
            <w14:solidFill>
              <w14:schemeClr w14:val="tx1"/>
            </w14:solidFill>
          </w14:textFill>
        </w:rPr>
        <w:t xml:space="preserve">点</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0分（北京时间）</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2、地点：“苏采云”系统（网址：</w:t>
      </w:r>
      <w:r>
        <w:rPr>
          <w:rFonts w:hint="eastAsia" w:ascii="宋体" w:hAnsi="宋体" w:eastAsia="宋体" w:cs="宋体"/>
          <w:color w:val="000000" w:themeColor="text1"/>
          <w:sz w:val="24"/>
          <w:szCs w:val="24"/>
          <w:highlight w:val="none"/>
          <w14:textFill>
            <w14:solidFill>
              <w14:schemeClr w14:val="tx1"/>
            </w14:solidFill>
          </w14:textFill>
        </w:rPr>
        <w:fldChar w:fldCharType="begin"/>
      </w:r>
      <w:r>
        <w:rPr>
          <w:rFonts w:hint="eastAsia" w:ascii="宋体" w:hAnsi="宋体" w:eastAsia="宋体" w:cs="宋体"/>
          <w:color w:val="000000" w:themeColor="text1"/>
          <w:sz w:val="24"/>
          <w:szCs w:val="24"/>
          <w:highlight w:val="none"/>
          <w14:textFill>
            <w14:solidFill>
              <w14:schemeClr w14:val="tx1"/>
            </w14:solidFill>
          </w14:textFill>
        </w:rPr>
        <w:instrText xml:space="preserve"> HYPERLINK "http://jszfcg.jsczt.cn/）\“开标大厅\”。" </w:instrText>
      </w:r>
      <w:r>
        <w:rPr>
          <w:rFonts w:hint="eastAsia" w:ascii="宋体" w:hAnsi="宋体" w:eastAsia="宋体" w:cs="宋体"/>
          <w:color w:val="000000" w:themeColor="text1"/>
          <w:sz w:val="24"/>
          <w:szCs w:val="24"/>
          <w:highlight w:val="none"/>
          <w14:textFill>
            <w14:solidFill>
              <w14:schemeClr w14:val="tx1"/>
            </w14:solidFill>
          </w14:textFill>
        </w:rPr>
        <w:fldChar w:fldCharType="separate"/>
      </w:r>
      <w:r>
        <w:rPr>
          <w:rStyle w:val="795"/>
          <w:rFonts w:hint="eastAsia" w:ascii="宋体" w:hAnsi="宋体" w:eastAsia="宋体" w:cs="宋体"/>
          <w:color w:val="000000" w:themeColor="text1"/>
          <w:sz w:val="24"/>
          <w:szCs w:val="24"/>
          <w:highlight w:val="none"/>
          <w14:textFill>
            <w14:solidFill>
              <w14:schemeClr w14:val="tx1"/>
            </w14:solidFill>
          </w14:textFill>
        </w:rPr>
        <w:t xml:space="preserve">http</w:t>
      </w:r>
      <w:r>
        <w:rPr>
          <w:rStyle w:val="795"/>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Style w:val="795"/>
          <w:rFonts w:hint="eastAsia" w:ascii="宋体" w:hAnsi="宋体" w:eastAsia="宋体" w:cs="宋体"/>
          <w:color w:val="000000" w:themeColor="text1"/>
          <w:sz w:val="24"/>
          <w:szCs w:val="24"/>
          <w:highlight w:val="none"/>
          <w14:textFill>
            <w14:solidFill>
              <w14:schemeClr w14:val="tx1"/>
            </w14:solidFill>
          </w14:textFill>
        </w:rPr>
        <w:t xml:space="preserve">//jszfcg.jsczt.cn/）。</w:t>
      </w:r>
      <w:r>
        <w:rPr>
          <w:rFonts w:hint="eastAsia" w:ascii="宋体" w:hAnsi="宋体" w:eastAsia="宋体" w:cs="宋体"/>
          <w:color w:val="000000" w:themeColor="text1"/>
          <w:sz w:val="24"/>
          <w:szCs w:val="24"/>
          <w:highlight w:val="none"/>
          <w14:textFill>
            <w14:solidFill>
              <w14:schemeClr w14:val="tx1"/>
            </w14:solidFill>
          </w14:textFill>
        </w:rPr>
        <w:fldChar w:fldCharType="end"/>
      </w:r>
      <w:r>
        <w:rPr>
          <w:rFonts w:hint="eastAsia" w:ascii="宋体" w:hAnsi="宋体" w:eastAsia="宋体" w:cs="宋体"/>
          <w:color w:val="000000" w:themeColor="text1"/>
          <w:sz w:val="24"/>
          <w:szCs w:val="24"/>
          <w:highlight w:val="none"/>
          <w14:textFill>
            <w14:solidFill>
              <w14:schemeClr w14:val="tx1"/>
            </w14:solidFill>
          </w14:textFill>
        </w:rPr>
        <w:t xml:space="preserve"> </w:t>
      </w:r>
      <w:r/>
    </w:p>
    <w:p>
      <w:pPr>
        <w:ind w:firstLine="480"/>
        <w:spacing w:line="360" w:lineRule="auto"/>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3、方式：投标文件网上递交</w:t>
      </w:r>
      <w:bookmarkStart w:id="0" w:name="_Hlk90650305"/>
      <w:r/>
      <w:bookmarkEnd w:id="0"/>
      <w:r/>
      <w:bookmarkStart w:id="1" w:name="_Hlk90650417"/>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，不需要现场参加采购活动。</w:t>
      </w:r>
      <w:r/>
    </w:p>
    <w:p>
      <w:pPr>
        <w:ind w:firstLine="480"/>
        <w:spacing w:line="360" w:lineRule="auto"/>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线上参加开标（开启）会方式：供应商登录“苏采云”系统，点击“开标大厅”，选择对应项目，点击进入不见面开标系统。 </w:t>
      </w:r>
      <w:r/>
    </w:p>
    <w:p>
      <w:pPr>
        <w:ind w:firstLine="480"/>
        <w:spacing w:line="360" w:lineRule="auto"/>
        <w:shd w:val="clear" w:color="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本项目为不见面开标（开启）项目，</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开启阶段供应商在【解密环节】必须使用 CA证书解密电子投标（响应）文件，如在“苏采云”系统规定的时间内未能成功解密的视为放弃参与本项目，投标无效。 </w:t>
      </w:r>
      <w:r/>
    </w:p>
    <w:p>
      <w:pPr>
        <w:ind w:firstLine="480"/>
        <w:spacing w:line="360" w:lineRule="auto"/>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请供应商确保电脑、系统及其他设备（视频输入输出设备等）无误，且开启直至项目结束始终保持系统在线状态。 </w:t>
      </w:r>
      <w:bookmarkEnd w:id="1"/>
      <w:r/>
      <w:r/>
    </w:p>
    <w:p>
      <w:pPr>
        <w:ind w:firstLine="482"/>
        <w:spacing w:line="360" w:lineRule="auto"/>
        <w:rPr>
          <w:rFonts w:hint="eastAsia" w:ascii="宋体" w:hAnsi="宋体" w:eastAsia="宋体" w:cs="宋体"/>
          <w:b/>
          <w:bCs/>
          <w:color w:val="000000" w:themeColor="text1"/>
          <w:sz w:val="24"/>
          <w:szCs w:val="24"/>
          <w:highlight w:val="none"/>
          <w:lang w:eastAsia="zh-CN"/>
          <w14:textFill>
            <w14:solidFill>
              <w14:schemeClr w14:val="tx1"/>
            </w14:solidFill>
          </w14:textFill>
        </w:rPr>
        <w:outlineLvl w:val="1"/>
      </w:pPr>
      <w:r>
        <w:rPr>
          <w:rFonts w:hint="eastAsia" w:ascii="宋体" w:hAnsi="宋体" w:eastAsia="宋体" w:cs="宋体"/>
          <w:b/>
          <w:bCs/>
          <w:color w:val="000000" w:themeColor="text1"/>
          <w:sz w:val="24"/>
          <w:szCs w:val="24"/>
          <w:highlight w:val="none"/>
          <w14:textFill>
            <w14:solidFill>
              <w14:schemeClr w14:val="tx1"/>
            </w14:solidFill>
          </w14:textFill>
        </w:rPr>
        <w:t xml:space="preserve">五、公告期限</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自本公告发布之日起5个工作日。</w:t>
      </w:r>
      <w:r/>
    </w:p>
    <w:p>
      <w:pPr>
        <w:numPr>
          <w:ilvl w:val="0"/>
          <w:numId w:val="0"/>
        </w:numPr>
        <w:ind w:firstLine="482"/>
        <w:spacing w:line="360" w:lineRule="auto"/>
        <w:shd w:val="clear" w:color="auto"/>
        <w:rPr>
          <w:rFonts w:hint="eastAsia" w:ascii="宋体" w:hAnsi="宋体" w:eastAsia="宋体" w:cs="宋体"/>
          <w:b/>
          <w:bCs/>
          <w:color w:val="000000" w:themeColor="text1"/>
          <w:sz w:val="24"/>
          <w:szCs w:val="24"/>
          <w:highlight w:val="none"/>
          <w:lang w:eastAsia="zh-CN"/>
          <w14:textFill>
            <w14:solidFill>
              <w14:schemeClr w14:val="tx1"/>
            </w14:solidFill>
          </w14:textFill>
        </w:rPr>
        <w:outlineLvl w:val="1"/>
      </w:pP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六、</w:t>
      </w:r>
      <w:r>
        <w:rPr>
          <w:rFonts w:hint="eastAsia" w:ascii="宋体" w:hAnsi="宋体" w:eastAsia="宋体" w:cs="宋体"/>
          <w:b/>
          <w:bCs/>
          <w:color w:val="000000" w:themeColor="text1"/>
          <w:sz w:val="24"/>
          <w:szCs w:val="24"/>
          <w:highlight w:val="none"/>
          <w14:textFill>
            <w14:solidFill>
              <w14:schemeClr w14:val="tx1"/>
            </w14:solidFill>
          </w14:textFill>
        </w:rPr>
        <w:t xml:space="preserve">其他补充事宜</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1、采购项目需要落实的政府采购政策：</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政府采购促进中小企业发展管理办法》（财库〔2020〕46号）、《关于做好政府采购支持企业发展有关事项的通知》（苏财购〔2020〕52号）及《关于印发&lt;苏州市政府采购促进中小企业发展实施意见&gt;的通知》（苏财购〔2022〕16号）的规定。</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《关于政府采购支持监狱企业发展有关问题的通知》（财库〔2014〕68号）。</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《关于促进残疾人就业政府采购政策的通知》（财库〔2017〕141号）。</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开评标过程中如有问题采购代理机构工作人员会及时通过报名时在投标确认函模块留存的手机号与供应商联系。此号码在开标截止之前可修改</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以</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投标文件中</w:t>
      </w:r>
      <w:r>
        <w:rPr>
          <w:rFonts w:hint="eastAsia" w:ascii="宋体" w:hAnsi="宋体" w:eastAsia="宋体" w:cs="宋体"/>
          <w:color w:val="000000" w:themeColor="text1"/>
          <w:sz w:val="24"/>
          <w:szCs w:val="24"/>
          <w:highlight w:val="none"/>
          <w14:textFill>
            <w14:solidFill>
              <w14:schemeClr w14:val="tx1"/>
            </w14:solidFill>
          </w14:textFill>
        </w:rPr>
        <w:t xml:space="preserve">投标函保存的最新号码为准</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请供应商确保该手机号开评标当日通讯畅通</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否则导致的对</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14:textFill>
            <w14:solidFill>
              <w14:schemeClr w14:val="tx1"/>
            </w14:solidFill>
          </w14:textFill>
        </w:rPr>
        <w:t xml:space="preserve">不利的后果由供应商自行承担。</w:t>
      </w:r>
      <w:r/>
    </w:p>
    <w:p>
      <w:pPr>
        <w:ind w:firstLine="480"/>
        <w:spacing w:line="360" w:lineRule="auto"/>
        <w:rPr>
          <w:rFonts w:hint="eastAsia" w:ascii="宋体" w:hAnsi="宋体" w:eastAsia="宋体" w:cs="宋体"/>
          <w:color w:val="000000" w:themeColor="text1"/>
          <w:sz w:val="24"/>
          <w:szCs w:val="24"/>
          <w:highlight w:val="none"/>
          <w:lang w:val="zh-CN"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3、如不同供应商使用同一台电脑制作的电子响应文件的，双方“文件制作机器码”一致的，则其投标文件将被认定为无效响应。</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本项目获取招标文件截止日期之后仍可以下载</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招标</w:t>
      </w:r>
      <w:r>
        <w:rPr>
          <w:rFonts w:hint="eastAsia" w:ascii="宋体" w:hAnsi="宋体" w:eastAsia="宋体" w:cs="宋体"/>
          <w:color w:val="000000" w:themeColor="text1"/>
          <w:sz w:val="24"/>
          <w:szCs w:val="24"/>
          <w:highlight w:val="none"/>
          <w14:textFill>
            <w14:solidFill>
              <w14:schemeClr w14:val="tx1"/>
            </w14:solidFill>
          </w14:textFill>
        </w:rPr>
        <w:t xml:space="preserve">文件</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但截止日期之后下载的招标文件</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视为非有效方式且不作为供应商权益受到损害的证明材料和依据。</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outlineLvl w:val="1"/>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14:textFill>
            <w14:solidFill>
              <w14:schemeClr w14:val="tx1"/>
            </w14:solidFill>
          </w14:textFill>
        </w:rPr>
        <w:t xml:space="preserve">、政府采购监督电话：0512-68616651。</w:t>
      </w:r>
      <w:r/>
    </w:p>
    <w:p>
      <w:pPr>
        <w:ind w:firstLine="482"/>
        <w:spacing w:line="360" w:lineRule="auto"/>
        <w:shd w:val="clear" w:color="auto"/>
        <w:rPr>
          <w:rFonts w:hint="eastAsia" w:ascii="宋体" w:hAnsi="宋体" w:eastAsia="宋体" w:cs="宋体"/>
          <w:b/>
          <w:bCs/>
          <w:color w:val="000000" w:themeColor="text1"/>
          <w:sz w:val="24"/>
          <w:szCs w:val="24"/>
          <w:highlight w:val="none"/>
          <w:lang w:eastAsia="zh-CN"/>
          <w14:textFill>
            <w14:solidFill>
              <w14:schemeClr w14:val="tx1"/>
            </w14:solidFill>
          </w14:textFill>
        </w:rPr>
        <w:outlineLvl w:val="1"/>
      </w:pPr>
      <w:r>
        <w:rPr>
          <w:rFonts w:hint="eastAsia" w:ascii="宋体" w:hAnsi="宋体" w:eastAsia="宋体" w:cs="宋体"/>
          <w:b/>
          <w:bCs/>
          <w:color w:val="000000" w:themeColor="text1"/>
          <w:sz w:val="24"/>
          <w:szCs w:val="24"/>
          <w:highlight w:val="none"/>
          <w14:textFill>
            <w14:solidFill>
              <w14:schemeClr w14:val="tx1"/>
            </w14:solidFill>
          </w14:textFill>
        </w:rPr>
        <w:t xml:space="preserve">七、对本次招标提出询问</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color w:val="000000" w:themeColor="text1"/>
          <w:sz w:val="24"/>
          <w:szCs w:val="24"/>
          <w:highlight w:val="none"/>
          <w14:textFill>
            <w14:solidFill>
              <w14:schemeClr w14:val="tx1"/>
            </w14:solidFill>
          </w14:textFill>
        </w:rPr>
        <w:t xml:space="preserve">请按以下方式联系</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w:t>
      </w:r>
      <w:r/>
    </w:p>
    <w:p>
      <w:pPr>
        <w:ind w:firstLine="480"/>
        <w:spacing w:line="360" w:lineRule="auto"/>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1、采购人信息：</w:t>
      </w:r>
      <w:r/>
    </w:p>
    <w:p>
      <w:pPr>
        <w:ind w:firstLine="480"/>
        <w:spacing w:line="360" w:lineRule="auto"/>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名称：苏州市教育考试院。</w:t>
      </w:r>
      <w:r/>
    </w:p>
    <w:p>
      <w:pPr>
        <w:ind w:firstLine="480"/>
        <w:spacing w:line="360" w:lineRule="auto"/>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地址：江苏省苏州市劳动路359号 。</w:t>
      </w:r>
      <w:r/>
    </w:p>
    <w:p>
      <w:pPr>
        <w:ind w:firstLine="480"/>
        <w:spacing w:line="360" w:lineRule="auto"/>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联系方式：电话0512-68278441。</w:t>
      </w:r>
      <w:r/>
    </w:p>
    <w:p>
      <w:pPr>
        <w:ind w:firstLine="480"/>
        <w:spacing w:line="360" w:lineRule="auto"/>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项目联系人：曹家祺。</w:t>
      </w:r>
      <w:r/>
    </w:p>
    <w:p>
      <w:pPr>
        <w:ind w:firstLine="480"/>
        <w:spacing w:line="360" w:lineRule="auto"/>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2、采购代理机构信息：</w:t>
      </w:r>
      <w:r/>
    </w:p>
    <w:p>
      <w:pPr>
        <w:ind w:firstLine="480"/>
        <w:spacing w:line="360" w:lineRule="auto"/>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名称：苏州正杰招投标咨询服务有限公司。</w:t>
      </w:r>
      <w:r/>
    </w:p>
    <w:p>
      <w:pPr>
        <w:ind w:firstLine="480"/>
        <w:spacing w:line="360" w:lineRule="auto"/>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地址：苏州市平泷路251号苏州城市生活广场B座1557室。</w:t>
      </w:r>
      <w:r/>
    </w:p>
    <w:p>
      <w:pPr>
        <w:ind w:firstLine="480"/>
        <w:spacing w:line="360" w:lineRule="auto"/>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联系方式：电话0512-62826523。</w:t>
      </w:r>
      <w:r/>
    </w:p>
    <w:p>
      <w:pPr>
        <w:ind w:firstLine="480"/>
        <w:spacing w:line="360" w:lineRule="auto"/>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项目联系人：沈鹰、</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陈晓梦</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、刘木兰、</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徐杰</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w:t>
      </w:r>
      <w:r/>
    </w:p>
    <w:p>
      <w:pPr>
        <w:jc w:val="center"/>
        <w:spacing w:before="120" w:line="360" w:lineRule="auto"/>
        <w:shd w:val="clear" w:color="auto"/>
        <w:rPr>
          <w:rFonts w:hint="eastAsia" w:ascii="宋体" w:hAnsi="宋体" w:eastAsia="宋体" w:cs="宋体"/>
          <w:b/>
          <w:color w:val="000000" w:themeColor="text1"/>
          <w:sz w:val="24"/>
          <w:szCs w:val="24"/>
          <w:highlight w:val="none"/>
          <w14:textFill>
            <w14:solidFill>
              <w14:schemeClr w14:val="tx1"/>
            </w14:solidFill>
          </w14:textFill>
        </w:rPr>
        <w:outlineLvl w:val="0"/>
      </w:pPr>
      <w:r>
        <w:rPr>
          <w:rFonts w:hint="eastAsia" w:ascii="宋体" w:hAnsi="宋体" w:eastAsia="宋体" w:cs="宋体"/>
          <w:color w:val="000000" w:themeColor="text1"/>
          <w:sz w:val="24"/>
          <w:highlight w:val="none"/>
          <w14:textFill>
            <w14:solidFill>
              <w14:schemeClr w14:val="tx1"/>
            </w14:solidFill>
          </w14:textFill>
        </w:rPr>
        <w:br w:type="page" w:clear="all"/>
      </w:r>
      <w:r/>
    </w:p>
    <w:p>
      <w:pPr>
        <w:jc w:val="center"/>
        <w:spacing w:line="360" w:lineRule="auto"/>
        <w:shd w:val="clear" w:color="auto"/>
        <w:widowControl/>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第二章 投标人须知</w:t>
      </w:r>
      <w:r/>
    </w:p>
    <w:p>
      <w:pPr>
        <w:ind w:firstLine="426"/>
        <w:spacing w:line="360" w:lineRule="auto"/>
        <w:tabs>
          <w:tab w:val="left" w:pos="540" w:leader="none"/>
          <w:tab w:val="left" w:pos="600" w:leader="none"/>
        </w:tabs>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1、总则</w:t>
      </w:r>
      <w:r/>
    </w:p>
    <w:p>
      <w:pPr>
        <w:ind w:firstLine="426"/>
        <w:spacing w:line="360" w:lineRule="auto"/>
        <w:tabs>
          <w:tab w:val="left" w:pos="540" w:leader="none"/>
          <w:tab w:val="left" w:pos="600" w:leader="none"/>
        </w:tabs>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1.1投标人资格要求</w:t>
      </w:r>
      <w:r/>
    </w:p>
    <w:p>
      <w:pPr>
        <w:ind w:firstLine="426"/>
        <w:spacing w:line="360" w:lineRule="auto"/>
        <w:tabs>
          <w:tab w:val="left" w:pos="540" w:leader="none"/>
          <w:tab w:val="left" w:pos="60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1.1.1详见第一章</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投标邀请函</w:t>
      </w:r>
      <w:r>
        <w:rPr>
          <w:rFonts w:hint="eastAsia" w:ascii="宋体" w:hAnsi="宋体" w:eastAsia="宋体" w:cs="宋体"/>
          <w:color w:val="000000" w:themeColor="text1"/>
          <w:sz w:val="24"/>
          <w:szCs w:val="24"/>
          <w:highlight w:val="none"/>
          <w14:textFill>
            <w14:solidFill>
              <w14:schemeClr w14:val="tx1"/>
            </w14:solidFill>
          </w14:textFill>
        </w:rPr>
        <w:t xml:space="preserve">中“二、申请人的资格要求”。</w:t>
      </w:r>
      <w:r/>
    </w:p>
    <w:p>
      <w:pPr>
        <w:ind w:firstLine="426"/>
        <w:spacing w:line="360" w:lineRule="auto"/>
        <w:tabs>
          <w:tab w:val="left" w:pos="540" w:leader="none"/>
          <w:tab w:val="left" w:pos="60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1.1.2投标人不得存在下列情形之一：</w:t>
      </w:r>
      <w:r/>
    </w:p>
    <w:p>
      <w:pPr>
        <w:ind w:firstLine="426"/>
        <w:spacing w:line="360" w:lineRule="auto"/>
        <w:tabs>
          <w:tab w:val="left" w:pos="540" w:leader="none"/>
          <w:tab w:val="left" w:pos="60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（1）苏州市财政局《关于印发苏州市市级政府采购信用记录查询和使用工作试行办法的通知》（苏财购（2017）11号）文件规定应拒绝的失信信息。</w:t>
      </w:r>
      <w:r/>
    </w:p>
    <w:p>
      <w:pPr>
        <w:ind w:firstLine="426"/>
        <w:spacing w:line="360" w:lineRule="auto"/>
        <w:tabs>
          <w:tab w:val="left" w:pos="540" w:leader="none"/>
          <w:tab w:val="left" w:pos="60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（2）为采购项目提供整体设计、规范编制或者项目管理、监理、监测等服务的供应商</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不得再参加该采购项目的其他采购活动；本项目的此类供应商是：无。</w:t>
      </w:r>
      <w:r/>
    </w:p>
    <w:p>
      <w:pPr>
        <w:ind w:firstLine="426"/>
        <w:spacing w:line="360" w:lineRule="auto"/>
        <w:tabs>
          <w:tab w:val="left" w:pos="540" w:leader="none"/>
          <w:tab w:val="left" w:pos="60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（3）单位负责人为同一人或者存在直接控股、管理关系的不同供应商</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不得参加同一合同项下的政府采购活动。</w:t>
      </w:r>
      <w:r/>
    </w:p>
    <w:p>
      <w:pPr>
        <w:numPr>
          <w:ilvl w:val="2"/>
          <w:numId w:val="0"/>
        </w:numPr>
        <w:ind w:left="0" w:firstLine="484"/>
        <w:spacing w:line="360" w:lineRule="auto"/>
        <w:shd w:val="clear" w:color="auto"/>
        <w:tabs>
          <w:tab w:val="left" w:pos="851" w:leader="none"/>
        </w:tabs>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1.1.3联合体投标：</w:t>
      </w:r>
      <w:r>
        <w:rPr>
          <w:rFonts w:hint="eastAsia" w:ascii="宋体" w:hAnsi="宋体" w:eastAsia="宋体" w:cs="宋体"/>
          <w:b w:val="0"/>
          <w:bCs/>
          <w:color w:val="000000" w:themeColor="text1"/>
          <w:sz w:val="24"/>
          <w:szCs w:val="24"/>
          <w:highlight w:val="none"/>
          <w14:textFill>
            <w14:solidFill>
              <w14:schemeClr w14:val="tx1"/>
            </w14:solidFill>
          </w14:textFill>
        </w:rPr>
        <w:t xml:space="preserve">第一章投标邀请函规定接受联合体投标的</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val="0"/>
          <w:bCs/>
          <w:color w:val="000000" w:themeColor="text1"/>
          <w:sz w:val="24"/>
          <w:szCs w:val="24"/>
          <w:highlight w:val="none"/>
          <w14:textFill>
            <w14:solidFill>
              <w14:schemeClr w14:val="tx1"/>
            </w14:solidFill>
          </w14:textFill>
        </w:rPr>
        <w:t xml:space="preserve">联合体除应符合上述资格要求外</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val="0"/>
          <w:bCs/>
          <w:color w:val="000000" w:themeColor="text1"/>
          <w:sz w:val="24"/>
          <w:szCs w:val="24"/>
          <w:highlight w:val="none"/>
          <w14:textFill>
            <w14:solidFill>
              <w14:schemeClr w14:val="tx1"/>
            </w14:solidFill>
          </w14:textFill>
        </w:rPr>
        <w:t xml:space="preserve">还应遵守以下规定：</w:t>
      </w:r>
      <w:r/>
    </w:p>
    <w:p>
      <w:pPr>
        <w:numPr>
          <w:ilvl w:val="0"/>
          <w:numId w:val="0"/>
        </w:numPr>
        <w:ind w:firstLine="484"/>
        <w:spacing w:line="360" w:lineRule="auto"/>
        <w:shd w:val="clear" w:color="auto"/>
        <w:tabs>
          <w:tab w:val="left" w:pos="851" w:leader="none"/>
        </w:tabs>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bidi="ar-SA"/>
          <w14:textFill>
            <w14:solidFill>
              <w14:schemeClr w14:val="tx1"/>
            </w14:solidFill>
          </w14:textFill>
        </w:rPr>
        <w:t xml:space="preserve">（1）</w:t>
      </w:r>
      <w:r>
        <w:rPr>
          <w:rFonts w:hint="eastAsia" w:ascii="宋体" w:hAnsi="宋体" w:eastAsia="宋体" w:cs="宋体"/>
          <w:b w:val="0"/>
          <w:bCs/>
          <w:color w:val="000000" w:themeColor="text1"/>
          <w:sz w:val="24"/>
          <w:szCs w:val="24"/>
          <w:highlight w:val="none"/>
          <w14:textFill>
            <w14:solidFill>
              <w14:schemeClr w14:val="tx1"/>
            </w14:solidFill>
          </w14:textFill>
        </w:rPr>
        <w:t xml:space="preserve">联合体各方应当向采购人提交联合体协议书</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val="0"/>
          <w:bCs/>
          <w:color w:val="000000" w:themeColor="text1"/>
          <w:sz w:val="24"/>
          <w:szCs w:val="24"/>
          <w:highlight w:val="none"/>
          <w14:textFill>
            <w14:solidFill>
              <w14:schemeClr w14:val="tx1"/>
            </w14:solidFill>
          </w14:textFill>
        </w:rPr>
        <w:t xml:space="preserve">载明联合体各方承担的工作和义务</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val="0"/>
          <w:bCs/>
          <w:color w:val="000000" w:themeColor="text1"/>
          <w:sz w:val="24"/>
          <w:szCs w:val="24"/>
          <w:highlight w:val="none"/>
          <w14:textFill>
            <w14:solidFill>
              <w14:schemeClr w14:val="tx1"/>
            </w14:solidFill>
          </w14:textFill>
        </w:rPr>
        <w:t xml:space="preserve">否则投标无效。</w:t>
      </w:r>
      <w:r/>
    </w:p>
    <w:p>
      <w:pPr>
        <w:numPr>
          <w:ilvl w:val="0"/>
          <w:numId w:val="0"/>
        </w:numPr>
        <w:ind w:firstLine="484"/>
        <w:spacing w:line="360" w:lineRule="auto"/>
        <w:shd w:val="clear" w:color="auto"/>
        <w:tabs>
          <w:tab w:val="left" w:pos="851" w:leader="none"/>
        </w:tabs>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bidi="ar-SA"/>
          <w14:textFill>
            <w14:solidFill>
              <w14:schemeClr w14:val="tx1"/>
            </w14:solidFill>
          </w14:textFill>
        </w:rPr>
        <w:t xml:space="preserve">（2）</w:t>
      </w:r>
      <w:r>
        <w:rPr>
          <w:rFonts w:hint="eastAsia" w:ascii="宋体" w:hAnsi="宋体" w:eastAsia="宋体" w:cs="宋体"/>
          <w:b w:val="0"/>
          <w:bCs/>
          <w:color w:val="000000" w:themeColor="text1"/>
          <w:sz w:val="24"/>
          <w:szCs w:val="24"/>
          <w:highlight w:val="none"/>
          <w14:textFill>
            <w14:solidFill>
              <w14:schemeClr w14:val="tx1"/>
            </w14:solidFill>
          </w14:textFill>
        </w:rPr>
        <w:t xml:space="preserve">本项目接受联合体投标</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val="0"/>
          <w:bCs/>
          <w:color w:val="000000" w:themeColor="text1"/>
          <w:sz w:val="24"/>
          <w:szCs w:val="24"/>
          <w:highlight w:val="none"/>
          <w14:textFill>
            <w14:solidFill>
              <w14:schemeClr w14:val="tx1"/>
            </w14:solidFill>
          </w14:textFill>
        </w:rPr>
        <w:t xml:space="preserve">但一个联合体最多接受两个单位进行联合投标。</w:t>
      </w:r>
      <w:r/>
    </w:p>
    <w:p>
      <w:pPr>
        <w:numPr>
          <w:ilvl w:val="0"/>
          <w:numId w:val="0"/>
        </w:numPr>
        <w:ind w:firstLine="484"/>
        <w:spacing w:line="360" w:lineRule="auto"/>
        <w:shd w:val="clear" w:color="auto"/>
        <w:tabs>
          <w:tab w:val="left" w:pos="851" w:leader="none"/>
        </w:tabs>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bidi="ar-SA"/>
          <w14:textFill>
            <w14:solidFill>
              <w14:schemeClr w14:val="tx1"/>
            </w14:solidFill>
          </w14:textFill>
        </w:rPr>
        <w:t xml:space="preserve">（3）</w:t>
      </w:r>
      <w:r>
        <w:rPr>
          <w:rFonts w:hint="eastAsia" w:ascii="宋体" w:hAnsi="宋体" w:eastAsia="宋体" w:cs="宋体"/>
          <w:b w:val="0"/>
          <w:bCs/>
          <w:color w:val="000000" w:themeColor="text1"/>
          <w:sz w:val="24"/>
          <w:szCs w:val="24"/>
          <w:highlight w:val="none"/>
          <w14:textFill>
            <w14:solidFill>
              <w14:schemeClr w14:val="tx1"/>
            </w14:solidFill>
          </w14:textFill>
        </w:rPr>
        <w:t xml:space="preserve">联合体中有同类资质的供应商按照联合体分工承担相同工作的</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val="0"/>
          <w:bCs/>
          <w:color w:val="000000" w:themeColor="text1"/>
          <w:sz w:val="24"/>
          <w:szCs w:val="24"/>
          <w:highlight w:val="none"/>
          <w14:textFill>
            <w14:solidFill>
              <w14:schemeClr w14:val="tx1"/>
            </w14:solidFill>
          </w14:textFill>
        </w:rPr>
        <w:t xml:space="preserve">应当按照资质等级较低的供应商确定资质等级。</w:t>
      </w:r>
      <w:r/>
    </w:p>
    <w:p>
      <w:pPr>
        <w:numPr>
          <w:ilvl w:val="0"/>
          <w:numId w:val="0"/>
        </w:numPr>
        <w:ind w:firstLine="484"/>
        <w:spacing w:line="360" w:lineRule="auto"/>
        <w:shd w:val="clear" w:color="auto"/>
        <w:tabs>
          <w:tab w:val="left" w:pos="851" w:leader="none"/>
        </w:tabs>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bidi="ar-SA"/>
          <w14:textFill>
            <w14:solidFill>
              <w14:schemeClr w14:val="tx1"/>
            </w14:solidFill>
          </w14:textFill>
        </w:rPr>
        <w:t xml:space="preserve">（4）</w:t>
      </w:r>
      <w:r>
        <w:rPr>
          <w:rFonts w:hint="eastAsia" w:ascii="宋体" w:hAnsi="宋体" w:eastAsia="宋体" w:cs="宋体"/>
          <w:b w:val="0"/>
          <w:bCs/>
          <w:color w:val="000000" w:themeColor="text1"/>
          <w:sz w:val="24"/>
          <w:szCs w:val="24"/>
          <w:highlight w:val="none"/>
          <w14:textFill>
            <w14:solidFill>
              <w14:schemeClr w14:val="tx1"/>
            </w14:solidFill>
          </w14:textFill>
        </w:rPr>
        <w:t xml:space="preserve">联合体各方不得再单独参加或者与其他供应商另外组成联合体参加同一合同项下的政府采购活动</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val="0"/>
          <w:bCs/>
          <w:color w:val="000000" w:themeColor="text1"/>
          <w:sz w:val="24"/>
          <w:szCs w:val="24"/>
          <w:highlight w:val="none"/>
          <w14:textFill>
            <w14:solidFill>
              <w14:schemeClr w14:val="tx1"/>
            </w14:solidFill>
          </w14:textFill>
        </w:rPr>
        <w:t xml:space="preserve">否则各相关投标均无效。</w:t>
      </w:r>
      <w:r/>
    </w:p>
    <w:p>
      <w:pPr>
        <w:numPr>
          <w:ilvl w:val="0"/>
          <w:numId w:val="0"/>
        </w:numPr>
        <w:ind w:firstLine="484"/>
        <w:spacing w:line="360" w:lineRule="auto"/>
        <w:shd w:val="clear" w:color="auto"/>
        <w:tabs>
          <w:tab w:val="left" w:pos="851" w:leader="none"/>
        </w:tabs>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bidi="ar-SA"/>
          <w14:textFill>
            <w14:solidFill>
              <w14:schemeClr w14:val="tx1"/>
            </w14:solidFill>
          </w14:textFill>
        </w:rPr>
        <w:t xml:space="preserve">（5）</w:t>
      </w:r>
      <w:r>
        <w:rPr>
          <w:rFonts w:hint="eastAsia" w:ascii="宋体" w:hAnsi="宋体" w:eastAsia="宋体" w:cs="宋体"/>
          <w:b w:val="0"/>
          <w:bCs/>
          <w:color w:val="000000" w:themeColor="text1"/>
          <w:sz w:val="24"/>
          <w:szCs w:val="24"/>
          <w:highlight w:val="none"/>
          <w14:textFill>
            <w14:solidFill>
              <w14:schemeClr w14:val="tx1"/>
            </w14:solidFill>
          </w14:textFill>
        </w:rPr>
        <w:t xml:space="preserve">联合体各方应当共同与采购人签订采购合同</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val="0"/>
          <w:bCs/>
          <w:color w:val="000000" w:themeColor="text1"/>
          <w:sz w:val="24"/>
          <w:szCs w:val="24"/>
          <w:highlight w:val="none"/>
          <w14:textFill>
            <w14:solidFill>
              <w14:schemeClr w14:val="tx1"/>
            </w14:solidFill>
          </w14:textFill>
        </w:rPr>
        <w:t xml:space="preserve">就采购合同约定的事项对采购人承担连带责任。</w:t>
      </w:r>
      <w:r/>
    </w:p>
    <w:p>
      <w:pPr>
        <w:ind w:left="525"/>
        <w:spacing w:line="360" w:lineRule="auto"/>
        <w:tabs>
          <w:tab w:val="left" w:pos="851" w:leader="none"/>
        </w:tabs>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1.2 分包、转包</w:t>
      </w:r>
      <w:r/>
    </w:p>
    <w:p>
      <w:pPr>
        <w:ind w:left="525"/>
        <w:spacing w:line="360" w:lineRule="auto"/>
        <w:tabs>
          <w:tab w:val="left" w:pos="851" w:leader="none"/>
        </w:tabs>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本项目不允许分包或转包。</w:t>
      </w:r>
      <w:r/>
    </w:p>
    <w:p>
      <w:pPr>
        <w:ind w:left="525"/>
        <w:spacing w:line="360" w:lineRule="auto"/>
        <w:tabs>
          <w:tab w:val="left" w:pos="851" w:leader="none"/>
        </w:tabs>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1.3投标费用</w:t>
      </w:r>
      <w:r/>
    </w:p>
    <w:p>
      <w:pPr>
        <w:ind w:left="525"/>
        <w:spacing w:line="360" w:lineRule="auto"/>
        <w:tabs>
          <w:tab w:val="left" w:pos="851"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（1）投标人应自行承担所有准备及参加投标的相关费用。</w:t>
      </w:r>
      <w:r/>
    </w:p>
    <w:p>
      <w:pPr>
        <w:ind w:left="525"/>
        <w:spacing w:line="360" w:lineRule="auto"/>
        <w:tabs>
          <w:tab w:val="left" w:pos="851" w:leader="none"/>
        </w:tabs>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1.4保密</w:t>
      </w:r>
      <w:r/>
    </w:p>
    <w:p>
      <w:pPr>
        <w:ind w:left="5" w:firstLine="518"/>
        <w:spacing w:line="360" w:lineRule="auto"/>
        <w:tabs>
          <w:tab w:val="left" w:pos="851"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参与采购活动的各方应对招标文件和投标文件中的商业和技术等秘密保密，否则应承担相应的法律责任。</w:t>
      </w:r>
      <w:r/>
    </w:p>
    <w:p>
      <w:pPr>
        <w:ind w:left="525"/>
        <w:spacing w:line="360" w:lineRule="auto"/>
        <w:tabs>
          <w:tab w:val="left" w:pos="851" w:leader="none"/>
        </w:tabs>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1.5语言文字</w:t>
      </w:r>
      <w:r/>
    </w:p>
    <w:p>
      <w:pPr>
        <w:ind w:left="5" w:firstLine="518"/>
        <w:spacing w:line="360" w:lineRule="auto"/>
        <w:tabs>
          <w:tab w:val="left" w:pos="851"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投标文件使用的语言文字为中文。使用外文的，应附有中文注释或译本，对不同文本投标文件的解释发生异议的，以中文文本为准。因未附注释或译本引起的对投标人不利的后果由投标人自行承担。</w:t>
      </w:r>
      <w:r/>
    </w:p>
    <w:p>
      <w:pPr>
        <w:ind w:left="525"/>
        <w:spacing w:line="360" w:lineRule="auto"/>
        <w:tabs>
          <w:tab w:val="left" w:pos="851" w:leader="none"/>
        </w:tabs>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1.6计量单位</w:t>
      </w:r>
      <w:r/>
    </w:p>
    <w:p>
      <w:pPr>
        <w:ind w:left="5" w:firstLine="518"/>
        <w:spacing w:line="360" w:lineRule="auto"/>
        <w:tabs>
          <w:tab w:val="left" w:pos="851"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除招标文件有特殊要求外，所有计量均采用中华人民共和国法定计量单位。</w:t>
      </w:r>
      <w:r/>
    </w:p>
    <w:p>
      <w:pPr>
        <w:ind w:left="525"/>
        <w:spacing w:line="360" w:lineRule="auto"/>
        <w:tabs>
          <w:tab w:val="left" w:pos="851" w:leader="none"/>
        </w:tabs>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1.7知识产权</w:t>
      </w:r>
      <w:r/>
    </w:p>
    <w:p>
      <w:pPr>
        <w:ind w:left="5" w:firstLine="518"/>
        <w:spacing w:line="360" w:lineRule="auto"/>
        <w:tabs>
          <w:tab w:val="left" w:pos="851"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525"/>
        <w:spacing w:line="360" w:lineRule="auto"/>
        <w:tabs>
          <w:tab w:val="left" w:pos="851" w:leader="none"/>
        </w:tabs>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2、招标文件的说明</w:t>
      </w:r>
      <w:r/>
    </w:p>
    <w:p>
      <w:pPr>
        <w:ind w:left="525"/>
        <w:spacing w:line="360" w:lineRule="auto"/>
        <w:tabs>
          <w:tab w:val="left" w:pos="851" w:leader="none"/>
        </w:tabs>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2.1招标文件的获取见第一章</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投标邀请函</w:t>
      </w:r>
      <w:r>
        <w:rPr>
          <w:rFonts w:hint="eastAsia" w:ascii="宋体" w:hAnsi="宋体" w:eastAsia="宋体" w:cs="宋体"/>
          <w:b/>
          <w:bCs/>
          <w:color w:val="000000" w:themeColor="text1"/>
          <w:sz w:val="24"/>
          <w:szCs w:val="24"/>
          <w:highlight w:val="none"/>
          <w14:textFill>
            <w14:solidFill>
              <w14:schemeClr w14:val="tx1"/>
            </w14:solidFill>
          </w14:textFill>
        </w:rPr>
        <w:t xml:space="preserve">。</w:t>
      </w:r>
      <w:r/>
    </w:p>
    <w:p>
      <w:pPr>
        <w:ind w:left="525"/>
        <w:spacing w:line="360" w:lineRule="auto"/>
        <w:tabs>
          <w:tab w:val="left" w:pos="851" w:leader="none"/>
        </w:tabs>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2.2招标文件的询问</w:t>
      </w:r>
      <w:r/>
    </w:p>
    <w:p>
      <w:pPr>
        <w:ind w:firstLine="420"/>
        <w:spacing w:line="360" w:lineRule="auto"/>
        <w:tabs>
          <w:tab w:val="left" w:pos="540" w:leader="none"/>
          <w:tab w:val="left" w:pos="851"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供应商在收到招标文件后，若有问题需要询问，应于下载招标文件后，可通过投标邀请函中的联系方式及时提出，采购人或采购代理机构将予以解答。</w:t>
      </w:r>
      <w:r/>
    </w:p>
    <w:p>
      <w:pPr>
        <w:ind w:left="525"/>
        <w:spacing w:line="360" w:lineRule="auto"/>
        <w:tabs>
          <w:tab w:val="left" w:pos="851" w:leader="none"/>
        </w:tabs>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2.3招标文件的澄清或修改</w:t>
      </w:r>
      <w:r/>
    </w:p>
    <w:p>
      <w:pPr>
        <w:ind w:left="5" w:firstLine="518"/>
        <w:spacing w:line="360" w:lineRule="auto"/>
        <w:tabs>
          <w:tab w:val="left" w:pos="851"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2.3.1采购人或采购代理机构无论出于自己的考虑，还是出于对投标人提问的澄清，均可对已发出的招标文件用补充通知（包括更正公告）的方式进行澄清或者修改，</w:t>
      </w:r>
      <w:r>
        <w:rPr>
          <w:rFonts w:hint="eastAsia" w:ascii="宋体" w:hAnsi="宋体" w:eastAsia="宋体" w:cs="宋体"/>
          <w:color w:val="000000" w:themeColor="text1"/>
          <w:sz w:val="24"/>
          <w:szCs w:val="24"/>
          <w:highlight w:val="none"/>
          <w14:textFill>
            <w14:solidFill>
              <w14:schemeClr w14:val="tx1"/>
            </w14:solidFill>
          </w14:textFill>
        </w:rPr>
        <w:t xml:space="preserve">并通过苏州市政府采购网对外进行发布</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但不得改变采购标的和资格条件。澄清或者修改的内容作为招标文件的组成部分，对所有投标人具有约束力。</w:t>
      </w:r>
      <w:r/>
    </w:p>
    <w:p>
      <w:pPr>
        <w:ind w:left="5" w:firstLine="518"/>
        <w:spacing w:line="360" w:lineRule="auto"/>
        <w:tabs>
          <w:tab w:val="left" w:pos="851"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2.3.2</w:t>
      </w:r>
      <w:r>
        <w:rPr>
          <w:rFonts w:hint="eastAsia" w:ascii="宋体" w:hAnsi="宋体" w:eastAsia="宋体" w:cs="宋体"/>
          <w:color w:val="000000" w:themeColor="text1"/>
          <w:sz w:val="24"/>
          <w:szCs w:val="24"/>
          <w:highlight w:val="none"/>
          <w14:textFill>
            <w14:solidFill>
              <w14:schemeClr w14:val="tx1"/>
            </w14:solidFill>
          </w14:textFill>
        </w:rPr>
        <w:t xml:space="preserve">为保证投标人有足够时间修正投标文件，或出于其他合理原因，</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采购人或</w:t>
      </w:r>
      <w:r>
        <w:rPr>
          <w:rFonts w:hint="eastAsia" w:ascii="宋体" w:hAnsi="宋体" w:eastAsia="宋体" w:cs="宋体"/>
          <w:color w:val="000000" w:themeColor="text1"/>
          <w:sz w:val="24"/>
          <w:szCs w:val="24"/>
          <w:highlight w:val="none"/>
          <w14:textFill>
            <w14:solidFill>
              <w14:schemeClr w14:val="tx1"/>
            </w14:solidFill>
          </w14:textFill>
        </w:rPr>
        <w:t xml:space="preserve">采购代理机构可依法顺延投标截止时间和开标时间。</w:t>
      </w:r>
      <w:r/>
    </w:p>
    <w:p>
      <w:pPr>
        <w:ind w:firstLine="484"/>
        <w:spacing w:line="360" w:lineRule="auto"/>
        <w:tabs>
          <w:tab w:val="left" w:pos="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2.3.3</w:t>
      </w:r>
      <w:r>
        <w:rPr>
          <w:rFonts w:hint="eastAsia" w:ascii="宋体" w:hAnsi="宋体" w:eastAsia="宋体" w:cs="宋体"/>
          <w:color w:val="000000" w:themeColor="text1"/>
          <w:sz w:val="24"/>
          <w:szCs w:val="24"/>
          <w:highlight w:val="none"/>
          <w14:textFill>
            <w14:solidFill>
              <w14:schemeClr w14:val="tx1"/>
            </w14:solidFill>
          </w14:textFill>
        </w:rPr>
        <w:t xml:space="preserve">供应商应及时关注“苏州市政府采购网”发布的补充通知（包括更正公告），同时可以在“苏采云”系统中下载更正（补充）资料，如有遗漏（包括但不限于文件未下载或下载不完整），可能无法解密投标（响应）文件，由此所造成的投标失败或损失由供应商自行负责。</w:t>
      </w:r>
      <w:r/>
    </w:p>
    <w:p>
      <w:pPr>
        <w:ind w:left="5" w:firstLine="518"/>
        <w:spacing w:line="360" w:lineRule="auto"/>
        <w:tabs>
          <w:tab w:val="left" w:pos="851"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2.3.4</w:t>
      </w:r>
      <w:r>
        <w:rPr>
          <w:rFonts w:hint="eastAsia" w:ascii="宋体" w:hAnsi="宋体" w:eastAsia="宋体" w:cs="宋体"/>
          <w:color w:val="000000" w:themeColor="text1"/>
          <w:sz w:val="24"/>
          <w:szCs w:val="24"/>
          <w:highlight w:val="none"/>
          <w14:textFill>
            <w14:solidFill>
              <w14:schemeClr w14:val="tx1"/>
            </w14:solidFill>
          </w14:textFill>
        </w:rPr>
        <w:t xml:space="preserve">招标文件的澄清、修改、补充等内容均以苏州市政府采购网上发布的内容为准。</w:t>
      </w:r>
      <w:r/>
    </w:p>
    <w:p>
      <w:pPr>
        <w:ind w:left="525"/>
        <w:spacing w:line="360" w:lineRule="auto"/>
        <w:tabs>
          <w:tab w:val="left" w:pos="851" w:leader="none"/>
        </w:tabs>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3、投标文件的说明</w:t>
      </w:r>
      <w:r/>
    </w:p>
    <w:p>
      <w:pPr>
        <w:ind w:left="5" w:firstLine="518"/>
        <w:spacing w:line="360" w:lineRule="auto"/>
        <w:tabs>
          <w:tab w:val="left" w:pos="851"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投标人应详细阅读招标文件的全部内容，不按招标文件的要求提供的投标文件和资料，其风险由投标人自行承担，并根据有关条款规定，可能导致投标无效。</w:t>
      </w:r>
      <w:r/>
    </w:p>
    <w:p>
      <w:pPr>
        <w:ind w:left="525"/>
        <w:spacing w:line="360" w:lineRule="auto"/>
        <w:tabs>
          <w:tab w:val="left" w:pos="851" w:leader="none"/>
        </w:tabs>
        <w:rPr>
          <w:rFonts w:hint="eastAsia" w:ascii="宋体" w:hAnsi="宋体" w:eastAsia="宋体" w:cs="宋体"/>
          <w:b/>
          <w:bCs/>
          <w:color w:val="000000" w:themeColor="text1"/>
          <w:sz w:val="24"/>
          <w:szCs w:val="24"/>
          <w:highlight w:val="none"/>
          <w:lang w:eastAsia="zh-CN"/>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3.1</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投标</w:t>
      </w:r>
      <w:r>
        <w:rPr>
          <w:rFonts w:hint="eastAsia" w:ascii="宋体" w:hAnsi="宋体" w:eastAsia="宋体" w:cs="宋体"/>
          <w:b/>
          <w:bCs/>
          <w:color w:val="000000" w:themeColor="text1"/>
          <w:sz w:val="24"/>
          <w:szCs w:val="24"/>
          <w:highlight w:val="none"/>
          <w14:textFill>
            <w14:solidFill>
              <w14:schemeClr w14:val="tx1"/>
            </w14:solidFill>
          </w14:textFill>
        </w:rPr>
        <w:t xml:space="preserve">保证金：无</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w:t>
      </w:r>
      <w:r/>
    </w:p>
    <w:p>
      <w:pPr>
        <w:ind w:left="525"/>
        <w:spacing w:line="360" w:lineRule="auto"/>
        <w:tabs>
          <w:tab w:val="left" w:pos="851" w:leader="none"/>
        </w:tabs>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3.2</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投标</w:t>
      </w:r>
      <w:r>
        <w:rPr>
          <w:rFonts w:hint="eastAsia" w:ascii="宋体" w:hAnsi="宋体" w:eastAsia="宋体" w:cs="宋体"/>
          <w:b/>
          <w:bCs/>
          <w:color w:val="000000" w:themeColor="text1"/>
          <w:sz w:val="24"/>
          <w:szCs w:val="24"/>
          <w:highlight w:val="none"/>
          <w14:textFill>
            <w14:solidFill>
              <w14:schemeClr w14:val="tx1"/>
            </w14:solidFill>
          </w14:textFill>
        </w:rPr>
        <w:t xml:space="preserve">文件的组成</w:t>
      </w:r>
      <w:r/>
    </w:p>
    <w:p>
      <w:pPr>
        <w:ind w:left="525"/>
        <w:spacing w:line="360" w:lineRule="auto"/>
        <w:tabs>
          <w:tab w:val="left" w:pos="851"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3.2.1封面；</w:t>
      </w:r>
      <w:r/>
    </w:p>
    <w:p>
      <w:pPr>
        <w:ind w:left="525"/>
        <w:spacing w:line="360" w:lineRule="auto"/>
        <w:tabs>
          <w:tab w:val="left" w:pos="851"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3.2.2开标一览表（格式见第三章）；</w:t>
      </w:r>
      <w:r/>
    </w:p>
    <w:p>
      <w:pPr>
        <w:ind w:left="5" w:firstLine="518"/>
        <w:spacing w:line="360" w:lineRule="auto"/>
        <w:tabs>
          <w:tab w:val="left" w:pos="851"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3.2.3公开</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分项报价表</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（如有，格式见第三章）；</w:t>
      </w:r>
      <w:r/>
    </w:p>
    <w:p>
      <w:pPr>
        <w:ind w:left="5" w:firstLine="520"/>
        <w:spacing w:line="360" w:lineRule="auto"/>
        <w:tabs>
          <w:tab w:val="left" w:pos="851" w:leader="none"/>
        </w:tabs>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3.2.4资格审查投标文件：</w:t>
      </w:r>
      <w:r/>
    </w:p>
    <w:p>
      <w:pPr>
        <w:ind w:left="5" w:firstLine="518"/>
        <w:spacing w:line="360" w:lineRule="auto"/>
        <w:tabs>
          <w:tab w:val="left" w:pos="851"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3.2.4.1</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供应商</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的资格要求</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w:t>
      </w:r>
      <w:r/>
    </w:p>
    <w:p>
      <w:pPr>
        <w:ind w:left="5" w:firstLine="518"/>
        <w:spacing w:line="360" w:lineRule="auto"/>
        <w:tabs>
          <w:tab w:val="left" w:pos="851"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（1）具有独立承担民事责任的能力的材料复印件：包括法人或者其他组织的营业执照等证明文件，自然人的身份证明；</w:t>
      </w:r>
      <w:r/>
    </w:p>
    <w:p>
      <w:pPr>
        <w:ind w:left="5" w:firstLine="518"/>
        <w:spacing w:line="360" w:lineRule="auto"/>
        <w:tabs>
          <w:tab w:val="left" w:pos="851"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（2）具有良好的商业信誉和健全的财务会计制度的材料：包括但不限于法人提供2023年度或2024年度经审计的财务报告或基本开户银行在本年度内出具的资信证明复印件；</w:t>
      </w:r>
      <w:r/>
    </w:p>
    <w:p>
      <w:pPr>
        <w:ind w:left="5" w:firstLine="518"/>
        <w:spacing w:line="360" w:lineRule="auto"/>
        <w:tabs>
          <w:tab w:val="left" w:pos="851"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（3）具有履行合同所必需的设备和专业技术能力的证明材料复印件或承诺；</w:t>
      </w:r>
      <w:r/>
    </w:p>
    <w:p>
      <w:pPr>
        <w:ind w:left="5" w:firstLine="518"/>
        <w:spacing w:line="360" w:lineRule="auto"/>
        <w:tabs>
          <w:tab w:val="left" w:pos="851"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具有依法缴纳税收和社会保障资金的良好记录的材料：供应商上一税收申报日缴纳增值税或企业所得税的凭据及上一社保申报日缴纳的社会保险的凭据（专用收据或社会保险缴纳清单），依法免税或不需要缴纳的供应商，应提供对应证明文件复印件；</w:t>
      </w:r>
      <w:r/>
    </w:p>
    <w:p>
      <w:pPr>
        <w:ind w:left="5" w:firstLine="518"/>
        <w:spacing w:line="360" w:lineRule="auto"/>
        <w:tabs>
          <w:tab w:val="left" w:pos="851"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（5）参加政府采购活动前三年内，在经营活动中没有出现重大违法记录的书面声明函；</w:t>
      </w:r>
      <w:r/>
    </w:p>
    <w:p>
      <w:pPr>
        <w:ind w:left="5" w:firstLine="518"/>
        <w:spacing w:line="360" w:lineRule="auto"/>
        <w:tabs>
          <w:tab w:val="left" w:pos="851"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（6）按照相关法律法规参与本项目所必须取得国家有关主管部门的行政许可证明资料复印件（如有须提供）。</w:t>
      </w:r>
      <w:r/>
    </w:p>
    <w:p>
      <w:pPr>
        <w:ind w:left="5" w:firstLine="518"/>
        <w:spacing w:line="360" w:lineRule="auto"/>
        <w:tabs>
          <w:tab w:val="left" w:pos="851"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（7）《中小企业声明函》或《残疾人福利性单位声明函》或由省级以上监狱管理局、戒毒管理局（含新疆生产建设兵团）出具的属于监狱企业的证明文件；</w:t>
      </w:r>
      <w:r/>
    </w:p>
    <w:p>
      <w:pPr>
        <w:ind w:left="5" w:firstLine="518"/>
        <w:spacing w:line="360" w:lineRule="auto"/>
        <w:tabs>
          <w:tab w:val="left" w:pos="851" w:leader="none"/>
        </w:tabs>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3.2.4.2</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其他有关资格证明的文件（若有）。</w:t>
      </w:r>
      <w:r/>
    </w:p>
    <w:p>
      <w:pPr>
        <w:ind w:left="5" w:firstLine="520"/>
        <w:spacing w:line="360" w:lineRule="auto"/>
        <w:tabs>
          <w:tab w:val="left" w:pos="851" w:leader="none"/>
        </w:tabs>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3.2.5符合性审查投标文件：</w:t>
      </w:r>
      <w:r/>
    </w:p>
    <w:p>
      <w:pPr>
        <w:ind w:left="5" w:firstLine="518"/>
        <w:spacing w:line="360" w:lineRule="auto"/>
        <w:tabs>
          <w:tab w:val="left" w:pos="851"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3.2.5.1投标函（格式见第三章）；</w:t>
      </w:r>
      <w:r/>
    </w:p>
    <w:p>
      <w:pPr>
        <w:ind w:left="5" w:firstLine="518"/>
        <w:spacing w:line="360" w:lineRule="auto"/>
        <w:tabs>
          <w:tab w:val="left" w:pos="851"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3.2.5.2</w:t>
      </w:r>
      <w:r>
        <w:rPr>
          <w:rFonts w:hint="eastAsia" w:ascii="宋体" w:hAnsi="宋体" w:eastAsia="宋体" w:cs="宋体"/>
          <w:color w:val="000000" w:themeColor="text1"/>
          <w:sz w:val="24"/>
          <w:szCs w:val="24"/>
          <w:highlight w:val="none"/>
          <w14:textFill>
            <w14:solidFill>
              <w14:schemeClr w14:val="tx1"/>
            </w14:solidFill>
          </w14:textFill>
        </w:rPr>
        <w:t xml:space="preserve">关于资格文件的声明函</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（格式见第三章）；</w:t>
      </w:r>
      <w:r/>
    </w:p>
    <w:p>
      <w:pPr>
        <w:ind w:left="5" w:firstLine="518"/>
        <w:spacing w:line="360" w:lineRule="auto"/>
        <w:tabs>
          <w:tab w:val="left" w:pos="851"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3.2.5.3法定代表人身份证复印件；</w:t>
      </w:r>
      <w:r/>
    </w:p>
    <w:p>
      <w:pPr>
        <w:ind w:left="5" w:firstLine="518"/>
        <w:spacing w:line="360" w:lineRule="auto"/>
        <w:tabs>
          <w:tab w:val="left" w:pos="851"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3.2.5.4法定代表人授权委托书及授权委托人身份证复印件（如有授权，格式见第三章）；</w:t>
      </w:r>
      <w:r/>
    </w:p>
    <w:p>
      <w:pPr>
        <w:ind w:left="5" w:firstLine="518"/>
        <w:spacing w:line="360" w:lineRule="auto"/>
        <w:tabs>
          <w:tab w:val="left" w:pos="851"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3.2.5.5未被“信用中国”、“信用江苏”及“中国政府采购网”列入失信被执行人、重大税收违法案件当事人名单、政府采购严重失信行为记录名单的查询记录页面截图；</w:t>
      </w:r>
      <w:r/>
    </w:p>
    <w:p>
      <w:pPr>
        <w:ind w:left="5" w:firstLine="518"/>
        <w:spacing w:line="360" w:lineRule="auto"/>
        <w:tabs>
          <w:tab w:val="left" w:pos="851"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3.2.5.6对属于《节能产品政府采购品目清单》政府强制采购产品的，须提供该产品有效期内的认证等相关证明材料（若有）；</w:t>
      </w:r>
      <w:r/>
    </w:p>
    <w:p>
      <w:pPr>
        <w:ind w:left="5" w:firstLine="518"/>
        <w:spacing w:line="360" w:lineRule="auto"/>
        <w:tabs>
          <w:tab w:val="left" w:pos="851"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3.2.5.7其他有关符合性证明的文件（若有）。</w:t>
      </w:r>
      <w:r/>
    </w:p>
    <w:p>
      <w:pPr>
        <w:ind w:left="5" w:firstLine="520"/>
        <w:spacing w:line="360" w:lineRule="auto"/>
        <w:tabs>
          <w:tab w:val="left" w:pos="851" w:leader="none"/>
        </w:tabs>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3.2.6综合评审投标文件（见</w:t>
      </w:r>
      <w:r>
        <w:rPr>
          <w:rFonts w:hint="eastAsia" w:ascii="宋体" w:hAnsi="宋体" w:eastAsia="宋体" w:cs="宋体"/>
          <w:b/>
          <w:bCs/>
          <w:color w:val="000000" w:themeColor="text1"/>
          <w:sz w:val="24"/>
          <w:szCs w:val="24"/>
          <w:highlight w:val="none"/>
          <w14:textFill>
            <w14:solidFill>
              <w14:schemeClr w14:val="tx1"/>
            </w14:solidFill>
          </w14:textFill>
        </w:rPr>
        <w:t xml:space="preserve">第六章</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w:t>
      </w:r>
      <w:r/>
    </w:p>
    <w:p>
      <w:pPr>
        <w:ind w:left="5" w:firstLine="518"/>
        <w:spacing w:line="360" w:lineRule="auto"/>
        <w:tabs>
          <w:tab w:val="left" w:pos="851"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3.2.7与本次采购相关的其他证明材料。</w:t>
      </w:r>
      <w:r/>
    </w:p>
    <w:p>
      <w:pPr>
        <w:ind w:left="5" w:firstLine="520"/>
        <w:spacing w:line="360" w:lineRule="auto"/>
        <w:tabs>
          <w:tab w:val="left" w:pos="851" w:leader="none"/>
        </w:tabs>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注：</w:t>
      </w:r>
      <w:r/>
    </w:p>
    <w:p>
      <w:pPr>
        <w:ind w:left="5" w:firstLine="520"/>
        <w:spacing w:line="360" w:lineRule="auto"/>
        <w:tabs>
          <w:tab w:val="left" w:pos="851" w:leader="none"/>
        </w:tabs>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以上3.2.2-3.2.3项为供应商报价的依据，投标供应商必须提供并加盖电子公章，</w:t>
      </w: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否则，</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投标</w:t>
      </w: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文件将被认定为未实质性响应。</w:t>
      </w:r>
      <w:r/>
    </w:p>
    <w:p>
      <w:pPr>
        <w:ind w:left="5" w:firstLine="520"/>
        <w:spacing w:line="360" w:lineRule="auto"/>
        <w:tabs>
          <w:tab w:val="left" w:pos="851" w:leader="none"/>
        </w:tabs>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以上3.2.4.1项为资格审查提供的资料，是作为对供应商资格审查、质疑身份认定的依据，响应供应商必须提供并加盖电子公章，否则，投标文件将被认定为不符合资格审查要求。</w:t>
      </w:r>
      <w:r/>
    </w:p>
    <w:p>
      <w:pPr>
        <w:ind w:firstLine="482"/>
        <w:spacing w:line="360" w:lineRule="auto"/>
        <w:shd w:val="clear" w:color="auto"/>
        <w:tabs>
          <w:tab w:val="left" w:pos="0" w:leader="none"/>
          <w:tab w:val="left" w:pos="600" w:leader="none"/>
        </w:tabs>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以上3.2.5.1-3.2.5.4为符合性审查必须提供的资料，</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投标</w:t>
      </w: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供应商必须提供并加盖</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电子公章</w:t>
      </w: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，否则，</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投标</w:t>
      </w: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将被认定为未实质性响应。</w:t>
      </w:r>
      <w:r/>
    </w:p>
    <w:p>
      <w:pPr>
        <w:ind w:left="5" w:firstLine="520"/>
        <w:spacing w:line="360" w:lineRule="auto"/>
        <w:tabs>
          <w:tab w:val="left" w:pos="851" w:leader="none"/>
        </w:tabs>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制作电子投标文件时需与投标文件制作软件目录一一对应，将相关资料上传至相应模块。</w:t>
      </w:r>
      <w:r/>
    </w:p>
    <w:p>
      <w:pPr>
        <w:ind w:left="5" w:firstLine="520"/>
        <w:spacing w:line="360" w:lineRule="auto"/>
        <w:tabs>
          <w:tab w:val="left" w:pos="851" w:leader="none"/>
        </w:tabs>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供应商应保证上传的</w:t>
      </w: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投标</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文件完整、清晰可辨认，若因上传资料过小或模糊不清等无法辨认的都视为该资料未提供。</w:t>
      </w:r>
      <w:r/>
    </w:p>
    <w:p>
      <w:pPr>
        <w:ind w:firstLine="472"/>
        <w:spacing w:line="360" w:lineRule="auto"/>
        <w:tabs>
          <w:tab w:val="left" w:pos="540" w:leader="none"/>
          <w:tab w:val="left" w:pos="851" w:leader="none"/>
        </w:tabs>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如供应商</w:t>
      </w: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投标</w:t>
      </w:r>
      <w:r>
        <w:rPr>
          <w:rFonts w:hint="eastAsia" w:ascii="宋体" w:hAnsi="宋体" w:eastAsia="宋体" w:cs="宋体"/>
          <w:b/>
          <w:bCs/>
          <w:color w:val="000000" w:themeColor="text1"/>
          <w:sz w:val="24"/>
          <w:szCs w:val="24"/>
          <w:highlight w:val="none"/>
          <w14:textFill>
            <w14:solidFill>
              <w14:schemeClr w14:val="tx1"/>
            </w14:solidFill>
          </w14:textFill>
        </w:rPr>
        <w:t xml:space="preserve">文件中某些条款不响应</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招标文件</w:t>
      </w:r>
      <w:r>
        <w:rPr>
          <w:rFonts w:hint="eastAsia" w:ascii="宋体" w:hAnsi="宋体" w:eastAsia="宋体" w:cs="宋体"/>
          <w:b/>
          <w:bCs/>
          <w:color w:val="000000" w:themeColor="text1"/>
          <w:sz w:val="24"/>
          <w:szCs w:val="24"/>
          <w:highlight w:val="none"/>
          <w14:textFill>
            <w14:solidFill>
              <w14:schemeClr w14:val="tx1"/>
            </w14:solidFill>
          </w14:textFill>
        </w:rPr>
        <w:t xml:space="preserve">提出的全部服务内容与要求</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color w:val="000000" w:themeColor="text1"/>
          <w:sz w:val="24"/>
          <w:szCs w:val="24"/>
          <w:highlight w:val="none"/>
          <w14:textFill>
            <w14:solidFill>
              <w14:schemeClr w14:val="tx1"/>
            </w14:solidFill>
          </w14:textFill>
        </w:rPr>
        <w:t xml:space="preserve">须在</w:t>
      </w: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投标</w:t>
      </w:r>
      <w:r>
        <w:rPr>
          <w:rFonts w:hint="eastAsia" w:ascii="宋体" w:hAnsi="宋体" w:eastAsia="宋体" w:cs="宋体"/>
          <w:b/>
          <w:bCs/>
          <w:color w:val="000000" w:themeColor="text1"/>
          <w:sz w:val="24"/>
          <w:szCs w:val="24"/>
          <w:highlight w:val="none"/>
          <w14:textFill>
            <w14:solidFill>
              <w14:schemeClr w14:val="tx1"/>
            </w14:solidFill>
          </w14:textFill>
        </w:rPr>
        <w:t xml:space="preserve">文件中逐条列出</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color w:val="000000" w:themeColor="text1"/>
          <w:sz w:val="24"/>
          <w:szCs w:val="24"/>
          <w:highlight w:val="none"/>
          <w14:textFill>
            <w14:solidFill>
              <w14:schemeClr w14:val="tx1"/>
            </w14:solidFill>
          </w14:textFill>
        </w:rPr>
        <w:t xml:space="preserve">未列出的视同响应。</w:t>
      </w:r>
      <w:r/>
    </w:p>
    <w:p>
      <w:pPr>
        <w:ind w:firstLine="482"/>
        <w:spacing w:line="360" w:lineRule="auto"/>
        <w:tabs>
          <w:tab w:val="left" w:pos="142" w:leader="none"/>
          <w:tab w:val="left" w:pos="600" w:leader="none"/>
        </w:tabs>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color w:val="000000" w:themeColor="text1"/>
          <w:sz w:val="24"/>
          <w:szCs w:val="24"/>
          <w:highlight w:val="none"/>
          <w:lang w:val="en-US" w:eastAsia="zh-CN"/>
          <w14:textFill>
            <w14:solidFill>
              <w14:schemeClr w14:val="tx1"/>
            </w14:solidFill>
          </w14:textFill>
        </w:rPr>
        <w:t xml:space="preserve">如不同供应商使用同一台电脑制作的电子</w:t>
      </w: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投标</w:t>
      </w:r>
      <w:r>
        <w:rPr>
          <w:rFonts w:hint="eastAsia" w:ascii="宋体" w:hAnsi="宋体" w:eastAsia="宋体" w:cs="宋体"/>
          <w:b/>
          <w:color w:val="000000" w:themeColor="text1"/>
          <w:sz w:val="24"/>
          <w:szCs w:val="24"/>
          <w:highlight w:val="none"/>
          <w:lang w:val="en-US" w:eastAsia="zh-CN"/>
          <w14:textFill>
            <w14:solidFill>
              <w14:schemeClr w14:val="tx1"/>
            </w14:solidFill>
          </w14:textFill>
        </w:rPr>
        <w:t xml:space="preserve">文件的，双方“文件制作机器码”一致的，则其</w:t>
      </w: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投标</w:t>
      </w:r>
      <w:r>
        <w:rPr>
          <w:rFonts w:hint="eastAsia" w:ascii="宋体" w:hAnsi="宋体" w:eastAsia="宋体" w:cs="宋体"/>
          <w:b/>
          <w:color w:val="000000" w:themeColor="text1"/>
          <w:sz w:val="24"/>
          <w:szCs w:val="24"/>
          <w:highlight w:val="none"/>
          <w:lang w:val="en-US" w:eastAsia="zh-CN"/>
          <w14:textFill>
            <w14:solidFill>
              <w14:schemeClr w14:val="tx1"/>
            </w14:solidFill>
          </w14:textFill>
        </w:rPr>
        <w:t xml:space="preserve">文件将被认定为无效响应。</w:t>
      </w:r>
      <w:r/>
    </w:p>
    <w:p>
      <w:pPr>
        <w:ind w:left="525"/>
        <w:spacing w:line="360" w:lineRule="auto"/>
        <w:tabs>
          <w:tab w:val="left" w:pos="142" w:leader="none"/>
          <w:tab w:val="left" w:pos="60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3.3</w:t>
      </w:r>
      <w:r>
        <w:rPr>
          <w:rFonts w:hint="eastAsia" w:ascii="宋体" w:hAnsi="宋体" w:eastAsia="宋体" w:cs="宋体"/>
          <w:b/>
          <w:color w:val="000000" w:themeColor="text1"/>
          <w:sz w:val="24"/>
          <w:szCs w:val="24"/>
          <w:highlight w:val="none"/>
          <w:lang w:val="en-US" w:eastAsia="zh-CN"/>
          <w14:textFill>
            <w14:solidFill>
              <w14:schemeClr w14:val="tx1"/>
            </w14:solidFill>
          </w14:textFill>
        </w:rPr>
        <w:t xml:space="preserve">投标报价</w:t>
      </w:r>
      <w:r/>
    </w:p>
    <w:p>
      <w:pPr>
        <w:ind w:left="5" w:firstLine="518"/>
        <w:spacing w:line="360" w:lineRule="auto"/>
        <w:tabs>
          <w:tab w:val="left" w:pos="851"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3.3.1投标报价应包括完成本招标项目全部内容的一切费用，除非合同条款中另有规定，投标人所报价格在合同实施期间不因市场变化因素而变动。</w:t>
      </w:r>
      <w:r/>
    </w:p>
    <w:p>
      <w:pPr>
        <w:ind w:left="5" w:firstLine="518"/>
        <w:spacing w:line="360" w:lineRule="auto"/>
        <w:tabs>
          <w:tab w:val="left" w:pos="851"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3.3.2如果招标文件要求分标段投标的，则投标人可以根据自身经营许可范围，选择投标其中部分或者全部标段，但各标段应分别计算填写单价和总价。</w:t>
      </w:r>
      <w:r/>
    </w:p>
    <w:p>
      <w:pPr>
        <w:ind w:left="5" w:firstLine="518"/>
        <w:spacing w:line="360" w:lineRule="auto"/>
        <w:tabs>
          <w:tab w:val="left" w:pos="851"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3.3.3投标人应对招标文件内所要采购的全部内容进行报价，只对其中部分内容报价的，投标无效。</w:t>
      </w:r>
      <w:r/>
    </w:p>
    <w:p>
      <w:pPr>
        <w:ind w:left="5" w:firstLine="518"/>
        <w:spacing w:line="360" w:lineRule="auto"/>
        <w:tabs>
          <w:tab w:val="left" w:pos="851"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3.3.4投标报价超过招标文件中规定的预算金额或者最高限价的，或者各标的物的单价超过该项预算单价的（针对招标文件标明预算单价的项目），其投标无效。</w:t>
      </w:r>
      <w:r/>
    </w:p>
    <w:p>
      <w:pPr>
        <w:ind w:left="5" w:firstLine="518"/>
        <w:spacing w:line="360" w:lineRule="auto"/>
        <w:tabs>
          <w:tab w:val="left" w:pos="851"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3.2.5一项投标内容只允许一个报价，任何有选择性投标报价的，其投标无效。</w:t>
      </w:r>
      <w:r/>
    </w:p>
    <w:p>
      <w:pPr>
        <w:ind w:left="5" w:firstLine="518"/>
        <w:spacing w:line="360" w:lineRule="auto"/>
        <w:tabs>
          <w:tab w:val="left" w:pos="851"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3.3.6投标文件报价中的单价和总价全部采用人民币表示，除非另有规定。</w:t>
      </w:r>
      <w:r/>
    </w:p>
    <w:p>
      <w:pPr>
        <w:ind w:left="525"/>
        <w:spacing w:line="360" w:lineRule="auto"/>
        <w:tabs>
          <w:tab w:val="left" w:pos="142" w:leader="none"/>
          <w:tab w:val="left" w:pos="600" w:leader="none"/>
        </w:tabs>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3.4电子投标文件的编制与提交</w:t>
      </w:r>
      <w:r/>
    </w:p>
    <w:p>
      <w:pPr>
        <w:ind w:left="5" w:firstLine="518"/>
        <w:spacing w:line="360" w:lineRule="auto"/>
        <w:tabs>
          <w:tab w:val="left" w:pos="851"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pPr>
      <w:r/>
      <w:bookmarkStart w:id="2" w:name="_Hlk154589874"/>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3.4.1投标文件编制要求：本项目为网上招投标项目，请供应商插入CA 证书登录“苏采云”系统下载客户端（参与项目页面可下载客户端及客户端使用说明），在客户端编制电子投标文件并进行CA加密。操作步骤详见“苏采云”系统页面提示和《操作手册》。</w:t>
      </w:r>
      <w:r/>
    </w:p>
    <w:p>
      <w:pPr>
        <w:ind w:left="5" w:firstLine="518"/>
        <w:spacing w:line="360" w:lineRule="auto"/>
        <w:tabs>
          <w:tab w:val="left" w:pos="851"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3.4.2电子投标文件递交：供应商应当按照《操作手册》指引，在投标文件提交截止时间前完成电子投标文件的上传，未按要求成功上传的投标文件视为未递交。供应商应充分考虑到网络环境、网络带宽等风险因素，如因供应商自身原因造成的电子响应文件上传不成功由供应商自行承担全部责任。</w:t>
      </w:r>
      <w:r/>
    </w:p>
    <w:p>
      <w:pPr>
        <w:ind w:left="5" w:firstLine="518"/>
        <w:spacing w:line="360" w:lineRule="auto"/>
        <w:tabs>
          <w:tab w:val="left" w:pos="851"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注：（1）请供应商务必保管好编制递交电子投标文件时使用的CA，如因丢失、损坏等原因更换CA锁时，需重新制作电子投标文件并递交，否则可能无法解密，因此导致的响应失败等不利后果由供应商自行承担。</w:t>
      </w:r>
      <w:r/>
    </w:p>
    <w:p>
      <w:pPr>
        <w:ind w:left="5" w:firstLine="518"/>
        <w:spacing w:line="360" w:lineRule="auto"/>
        <w:tabs>
          <w:tab w:val="left" w:pos="851"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如本项目在政府采购信息发布媒体上发布了更正（补充）公告，请供应商务必在“苏采云”系统中下载更正（补充）资料，根据更正后的招标文件重新编制电子响应文件并递交，否则可能无法解密，因此导致的响应失败等不利后果由供应商自行承担。</w:t>
      </w:r>
      <w:r/>
    </w:p>
    <w:p>
      <w:pPr>
        <w:ind w:left="5" w:firstLine="518"/>
        <w:spacing w:line="360" w:lineRule="auto"/>
        <w:tabs>
          <w:tab w:val="left" w:pos="851"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3.4.3投标文件未按照招标文件要求加盖CA电子公章的，响应无效。</w:t>
      </w:r>
      <w:r/>
    </w:p>
    <w:p>
      <w:pPr>
        <w:ind w:left="5" w:firstLine="518"/>
        <w:spacing w:line="360" w:lineRule="auto"/>
        <w:tabs>
          <w:tab w:val="left" w:pos="851"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3.5投标文件的开启（解密）</w:t>
      </w:r>
      <w:r/>
    </w:p>
    <w:p>
      <w:pPr>
        <w:ind w:left="5" w:firstLine="518"/>
        <w:spacing w:line="360" w:lineRule="auto"/>
        <w:tabs>
          <w:tab w:val="left" w:pos="851"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3.5.1线上参加（观看）开标（开启）会方式：登录苏采云系统，点击“开标大厅”，选择对应项目。</w:t>
      </w:r>
      <w:r/>
    </w:p>
    <w:p>
      <w:pPr>
        <w:ind w:left="5" w:firstLine="518"/>
        <w:spacing w:line="360" w:lineRule="auto"/>
        <w:tabs>
          <w:tab w:val="left" w:pos="851" w:leader="none"/>
        </w:tabs>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3.5.2供应商应当按照《操作手册》规定，在苏采云系统规定的时间内对投标文件进行解密。等待开标流程进入“解锁环境”，点击“点击立即解密”进行标书解密，解锁完成后及时关注开标大厅、答疑澄清等提示，</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否则导致的对供应商不利的后果由供应商自行承担。</w:t>
      </w:r>
      <w:r/>
    </w:p>
    <w:p>
      <w:pPr>
        <w:ind w:left="5" w:firstLine="520"/>
        <w:spacing w:line="360" w:lineRule="auto"/>
        <w:tabs>
          <w:tab w:val="left" w:pos="851" w:leader="none"/>
        </w:tabs>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3.5.3供应商在苏采云系统规定的时间内未成功解密电子投标文件的，投标无效。</w:t>
      </w:r>
      <w:r/>
    </w:p>
    <w:p>
      <w:pPr>
        <w:ind w:left="5" w:firstLine="520"/>
        <w:spacing w:line="360" w:lineRule="auto"/>
        <w:tabs>
          <w:tab w:val="left" w:pos="851" w:leader="none"/>
        </w:tabs>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供应商在制作、上传、解密电子标书过程中若遇到问题，请及时联系CA技术人员或“苏采云”系统客服热线，否则由此产生的后果由供应商自行负责。</w:t>
      </w:r>
      <w:r/>
    </w:p>
    <w:p>
      <w:pPr>
        <w:ind w:left="5" w:firstLine="518"/>
        <w:spacing w:line="360" w:lineRule="auto"/>
        <w:tabs>
          <w:tab w:val="left" w:pos="851"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3.5.4</w:t>
      </w:r>
      <w:bookmarkEnd w:id="2"/>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供应商电脑环境最低要求：谷歌浏览器，版本可直接网上下载最新版本即可。如需收听现场语音需配置放音设备，如视频直播、互动交流使用异常，请刷新网页，如仍无法解决，请联系技术支持。</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3.5.5 </w:t>
      </w:r>
      <w:r>
        <w:rPr>
          <w:rFonts w:hint="eastAsia" w:ascii="宋体" w:hAnsi="宋体" w:eastAsia="宋体" w:cs="宋体"/>
          <w:color w:val="000000" w:themeColor="text1"/>
          <w:sz w:val="24"/>
          <w:szCs w:val="24"/>
          <w:highlight w:val="none"/>
          <w14:textFill>
            <w14:solidFill>
              <w14:schemeClr w14:val="tx1"/>
            </w14:solidFill>
          </w14:textFill>
        </w:rPr>
        <w:t xml:space="preserve">CA技术咨询服务电话：400-608-6099；</w:t>
      </w:r>
      <w:r/>
    </w:p>
    <w:p>
      <w:pPr>
        <w:ind w:left="5" w:firstLine="518"/>
        <w:spacing w:line="360" w:lineRule="auto"/>
        <w:tabs>
          <w:tab w:val="left" w:pos="851"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电子签章技术咨询服务电话：025-83633811、025-83633812、15380932027、15371015030；</w:t>
      </w:r>
      <w:r/>
    </w:p>
    <w:p>
      <w:pPr>
        <w:ind w:left="5" w:firstLine="518"/>
        <w:spacing w:line="360" w:lineRule="auto"/>
        <w:tabs>
          <w:tab w:val="left" w:pos="851"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苏州市及区县“苏采云”系统使用指导与咨询：联系电话：0512-69820854、18261002950；QQ：3048755361、1315179389、895706745；智能客服：登录苏采云系统后，联系系统右下方智能客服图标进行咨询。 </w:t>
      </w:r>
      <w:r/>
    </w:p>
    <w:p>
      <w:pPr>
        <w:ind w:firstLine="482"/>
        <w:spacing w:line="360" w:lineRule="auto"/>
        <w:tabs>
          <w:tab w:val="left" w:pos="142" w:leader="none"/>
          <w:tab w:val="left" w:pos="600" w:leader="none"/>
        </w:tabs>
        <w:rPr>
          <w:rFonts w:hint="eastAsia" w:ascii="宋体" w:hAnsi="宋体" w:eastAsia="宋体" w:cs="宋体"/>
          <w:b/>
          <w:color w:val="000000" w:themeColor="text1"/>
          <w:sz w:val="24"/>
          <w:szCs w:val="24"/>
          <w:highlight w:val="none"/>
          <w:lang w:eastAsia="zh-CN"/>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3.</w:t>
      </w:r>
      <w:r>
        <w:rPr>
          <w:rFonts w:hint="eastAsia" w:ascii="宋体" w:hAnsi="宋体" w:eastAsia="宋体" w:cs="宋体"/>
          <w:b/>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b/>
          <w:color w:val="000000" w:themeColor="text1"/>
          <w:sz w:val="24"/>
          <w:szCs w:val="24"/>
          <w:highlight w:val="none"/>
          <w14:textFill>
            <w14:solidFill>
              <w14:schemeClr w14:val="tx1"/>
            </w14:solidFill>
          </w14:textFill>
        </w:rPr>
        <w:t xml:space="preserve">响应文件的修改和撤回</w:t>
      </w:r>
      <w:r>
        <w:rPr>
          <w:rFonts w:hint="eastAsia" w:ascii="宋体" w:hAnsi="宋体" w:eastAsia="宋体" w:cs="宋体"/>
          <w:b/>
          <w:color w:val="000000" w:themeColor="text1"/>
          <w:sz w:val="24"/>
          <w:szCs w:val="24"/>
          <w:highlight w:val="none"/>
          <w:lang w:eastAsia="zh-CN"/>
          <w14:textFill>
            <w14:solidFill>
              <w14:schemeClr w14:val="tx1"/>
            </w14:solidFill>
          </w14:textFill>
        </w:rPr>
        <w:t xml:space="preserve">：</w:t>
      </w:r>
      <w:r/>
    </w:p>
    <w:p>
      <w:pPr>
        <w:pStyle w:val="829"/>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.1供应商在提交投标文件截止时间前，可以对所递交的投标文件进行补充、修改或者撤回，具体操作方法见《操作手册》。提交投标文件截止时间后供应商不得撤回投标文件。</w:t>
      </w:r>
      <w:r/>
    </w:p>
    <w:p>
      <w:pPr>
        <w:ind w:firstLine="482"/>
        <w:spacing w:line="360" w:lineRule="auto"/>
        <w:tabs>
          <w:tab w:val="left" w:pos="142" w:leader="none"/>
          <w:tab w:val="left" w:pos="600" w:leader="none"/>
        </w:tabs>
        <w:rPr>
          <w:rFonts w:hint="eastAsia" w:ascii="宋体" w:hAnsi="宋体" w:eastAsia="宋体" w:cs="宋体"/>
          <w:b/>
          <w:color w:val="000000" w:themeColor="text1"/>
          <w:sz w:val="24"/>
          <w:szCs w:val="24"/>
          <w:highlight w:val="none"/>
          <w:lang w:eastAsia="zh-CN"/>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4、开标和评标</w:t>
      </w:r>
      <w:r>
        <w:rPr>
          <w:rFonts w:hint="eastAsia" w:ascii="宋体" w:hAnsi="宋体" w:eastAsia="宋体" w:cs="宋体"/>
          <w:b/>
          <w:color w:val="000000" w:themeColor="text1"/>
          <w:sz w:val="24"/>
          <w:szCs w:val="24"/>
          <w:highlight w:val="none"/>
          <w:lang w:eastAsia="zh-CN"/>
          <w14:textFill>
            <w14:solidFill>
              <w14:schemeClr w14:val="tx1"/>
            </w14:solidFill>
          </w14:textFill>
        </w:rPr>
        <w:t xml:space="preserve">：</w:t>
      </w:r>
      <w:r/>
    </w:p>
    <w:p>
      <w:pPr>
        <w:ind w:firstLine="482"/>
        <w:spacing w:line="360" w:lineRule="auto"/>
        <w:tabs>
          <w:tab w:val="left" w:pos="142" w:leader="none"/>
          <w:tab w:val="left" w:pos="600" w:leader="none"/>
        </w:tabs>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4.1开标</w:t>
      </w:r>
      <w:r/>
    </w:p>
    <w:p>
      <w:pPr>
        <w:pStyle w:val="818"/>
        <w:ind w:left="0"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开标由采购代理机构</w:t>
      </w:r>
      <w:r>
        <w:rPr>
          <w:rFonts w:hint="eastAsia" w:ascii="宋体" w:hAnsi="宋体" w:eastAsia="宋体" w:cs="宋体"/>
          <w:color w:val="000000" w:themeColor="text1"/>
          <w:sz w:val="24"/>
          <w:szCs w:val="24"/>
          <w:highlight w:val="none"/>
          <w:lang w:val="en-US"/>
          <w14:textFill>
            <w14:solidFill>
              <w14:schemeClr w14:val="tx1"/>
            </w14:solidFill>
          </w14:textFill>
        </w:rPr>
        <w:t xml:space="preserve">在线</w:t>
      </w:r>
      <w:r>
        <w:rPr>
          <w:rFonts w:hint="eastAsia" w:ascii="宋体" w:hAnsi="宋体" w:eastAsia="宋体" w:cs="宋体"/>
          <w:color w:val="000000" w:themeColor="text1"/>
          <w:sz w:val="24"/>
          <w:szCs w:val="24"/>
          <w:highlight w:val="none"/>
          <w14:textFill>
            <w14:solidFill>
              <w14:schemeClr w14:val="tx1"/>
            </w14:solidFill>
          </w14:textFill>
        </w:rPr>
        <w:t xml:space="preserve">主持，邀请投标人</w:t>
      </w:r>
      <w:r>
        <w:rPr>
          <w:rFonts w:hint="eastAsia" w:ascii="宋体" w:hAnsi="宋体" w:eastAsia="宋体" w:cs="宋体"/>
          <w:color w:val="000000" w:themeColor="text1"/>
          <w:sz w:val="24"/>
          <w:szCs w:val="24"/>
          <w:highlight w:val="none"/>
          <w:lang w:val="en-US"/>
          <w14:textFill>
            <w14:solidFill>
              <w14:schemeClr w14:val="tx1"/>
            </w14:solidFill>
          </w14:textFill>
        </w:rPr>
        <w:t xml:space="preserve">在线</w:t>
      </w:r>
      <w:r>
        <w:rPr>
          <w:rFonts w:hint="eastAsia" w:ascii="宋体" w:hAnsi="宋体" w:eastAsia="宋体" w:cs="宋体"/>
          <w:color w:val="000000" w:themeColor="text1"/>
          <w:sz w:val="24"/>
          <w:szCs w:val="24"/>
          <w:highlight w:val="none"/>
          <w14:textFill>
            <w14:solidFill>
              <w14:schemeClr w14:val="tx1"/>
            </w14:solidFill>
          </w14:textFill>
        </w:rPr>
        <w:t xml:space="preserve">参加。投标人应当按照《苏采云系统供应商操作手册》规定，</w:t>
      </w:r>
      <w:r>
        <w:rPr>
          <w:rFonts w:hint="eastAsia" w:ascii="宋体" w:hAnsi="宋体" w:eastAsia="宋体" w:cs="宋体"/>
          <w:b/>
          <w:color w:val="000000" w:themeColor="text1"/>
          <w:sz w:val="24"/>
          <w:szCs w:val="24"/>
          <w:highlight w:val="none"/>
          <w14:textFill>
            <w14:solidFill>
              <w14:schemeClr w14:val="tx1"/>
            </w14:solidFill>
          </w14:textFill>
        </w:rPr>
        <w:t xml:space="preserve">参加开标活动和在“苏采云”系统规定的时间内对投标文件进行解密</w:t>
      </w:r>
      <w:r>
        <w:rPr>
          <w:rFonts w:hint="eastAsia" w:ascii="宋体" w:hAnsi="宋体" w:eastAsia="宋体" w:cs="宋体"/>
          <w:color w:val="000000" w:themeColor="text1"/>
          <w:sz w:val="24"/>
          <w:szCs w:val="24"/>
          <w:highlight w:val="none"/>
          <w14:textFill>
            <w14:solidFill>
              <w14:schemeClr w14:val="tx1"/>
            </w14:solidFill>
          </w14:textFill>
        </w:rPr>
        <w:t xml:space="preserve">。评标委员会成员不得参加开标活动。</w:t>
      </w:r>
      <w:r/>
    </w:p>
    <w:p>
      <w:pPr>
        <w:ind w:firstLine="480"/>
        <w:spacing w:line="360" w:lineRule="auto"/>
        <w:shd w:val="clear" w:color="auto"/>
        <w:tabs>
          <w:tab w:val="left" w:pos="142" w:leader="none"/>
          <w:tab w:val="left" w:pos="600" w:leader="none"/>
        </w:tabs>
        <w:rPr>
          <w:rFonts w:hint="eastAsia" w:ascii="宋体" w:hAnsi="宋体" w:eastAsia="宋体" w:cs="宋体"/>
          <w:color w:val="000000" w:themeColor="text1"/>
          <w:sz w:val="24"/>
          <w:szCs w:val="24"/>
          <w:highlight w:val="none"/>
          <w:lang w:val="zh-CN" w:eastAsia="zh-CN" w:bidi="ar-SA"/>
          <w14:textFill>
            <w14:solidFill>
              <w14:schemeClr w14:val="tx1"/>
            </w14:solidFill>
          </w14:textFill>
        </w:rPr>
      </w:pPr>
      <w:r>
        <w:rPr>
          <w:rFonts w:hint="eastAsia" w:ascii="宋体" w:hAnsi="宋体" w:eastAsia="宋体" w:cs="宋体"/>
          <w:color w:val="000000" w:themeColor="text1"/>
          <w:sz w:val="24"/>
          <w:szCs w:val="24"/>
          <w:highlight w:val="none"/>
          <w:lang w:val="zh-CN" w:eastAsia="zh-CN" w:bidi="ar-SA"/>
          <w14:textFill>
            <w14:solidFill>
              <w14:schemeClr w14:val="tx1"/>
            </w14:solidFill>
          </w14:textFill>
        </w:rPr>
        <w:t xml:space="preserve">4.1.</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2</w:t>
      </w:r>
      <w:r>
        <w:rPr>
          <w:rFonts w:hint="eastAsia" w:ascii="宋体" w:hAnsi="宋体" w:eastAsia="宋体" w:cs="宋体"/>
          <w:color w:val="000000" w:themeColor="text1"/>
          <w:sz w:val="24"/>
          <w:szCs w:val="24"/>
          <w:highlight w:val="none"/>
          <w:lang w:val="zh-CN" w:eastAsia="zh-CN" w:bidi="ar-SA"/>
          <w14:textFill>
            <w14:solidFill>
              <w14:schemeClr w14:val="tx1"/>
            </w14:solidFill>
          </w14:textFill>
        </w:rPr>
        <w:t xml:space="preserve">开标时，由采购代理机构</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通过“苏采云”系统在线</w:t>
      </w:r>
      <w:r>
        <w:rPr>
          <w:rFonts w:hint="eastAsia" w:ascii="宋体" w:hAnsi="宋体" w:eastAsia="宋体" w:cs="宋体"/>
          <w:color w:val="000000" w:themeColor="text1"/>
          <w:sz w:val="24"/>
          <w:szCs w:val="24"/>
          <w:highlight w:val="none"/>
          <w:lang w:val="zh-CN" w:eastAsia="zh-CN" w:bidi="ar-SA"/>
          <w14:textFill>
            <w14:solidFill>
              <w14:schemeClr w14:val="tx1"/>
            </w14:solidFill>
          </w14:textFill>
        </w:rPr>
        <w:t xml:space="preserve">宣布投标人名称、投标价格和招标文件规定的需要宣布的其他内容。</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投标人在不见面开标系统中确认投标价格，如</w:t>
      </w:r>
      <w:r>
        <w:rPr>
          <w:rFonts w:hint="eastAsia" w:ascii="宋体" w:hAnsi="宋体" w:eastAsia="宋体" w:cs="宋体"/>
          <w:color w:val="000000" w:themeColor="text1"/>
          <w:sz w:val="24"/>
          <w:szCs w:val="24"/>
          <w:highlight w:val="none"/>
          <w:lang w:val="zh-CN" w:eastAsia="zh-CN" w:bidi="ar-SA"/>
          <w14:textFill>
            <w14:solidFill>
              <w14:schemeClr w14:val="tx1"/>
            </w14:solidFill>
          </w14:textFill>
        </w:rPr>
        <w:t xml:space="preserve">投标人未</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在线</w:t>
      </w:r>
      <w:r>
        <w:rPr>
          <w:rFonts w:hint="eastAsia" w:ascii="宋体" w:hAnsi="宋体" w:eastAsia="宋体" w:cs="宋体"/>
          <w:color w:val="000000" w:themeColor="text1"/>
          <w:sz w:val="24"/>
          <w:szCs w:val="24"/>
          <w:highlight w:val="none"/>
          <w:lang w:val="zh-CN" w:eastAsia="zh-CN" w:bidi="ar-SA"/>
          <w14:textFill>
            <w14:solidFill>
              <w14:schemeClr w14:val="tx1"/>
            </w14:solidFill>
          </w14:textFill>
        </w:rPr>
        <w:t xml:space="preserve">参加开标</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或未在规定时间内确认价格</w:t>
      </w:r>
      <w:r>
        <w:rPr>
          <w:rFonts w:hint="eastAsia" w:ascii="宋体" w:hAnsi="宋体" w:eastAsia="宋体" w:cs="宋体"/>
          <w:color w:val="000000" w:themeColor="text1"/>
          <w:sz w:val="24"/>
          <w:szCs w:val="24"/>
          <w:highlight w:val="none"/>
          <w:lang w:val="zh-CN" w:eastAsia="zh-CN" w:bidi="ar-SA"/>
          <w14:textFill>
            <w14:solidFill>
              <w14:schemeClr w14:val="tx1"/>
            </w14:solidFill>
          </w14:textFill>
        </w:rPr>
        <w:t xml:space="preserve">的，视同认可开标结果。</w:t>
      </w:r>
      <w:r/>
    </w:p>
    <w:p>
      <w:pPr>
        <w:ind w:firstLine="482"/>
        <w:spacing w:line="360" w:lineRule="auto"/>
        <w:tabs>
          <w:tab w:val="left" w:pos="142" w:leader="none"/>
          <w:tab w:val="left" w:pos="600" w:leader="none"/>
        </w:tabs>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lang w:val="en-US" w:eastAsia="zh-CN"/>
          <w14:textFill>
            <w14:solidFill>
              <w14:schemeClr w14:val="tx1"/>
            </w14:solidFill>
          </w14:textFill>
        </w:rPr>
        <w:t xml:space="preserve">4.2</w:t>
      </w:r>
      <w:r>
        <w:rPr>
          <w:rFonts w:hint="eastAsia" w:ascii="宋体" w:hAnsi="宋体" w:eastAsia="宋体" w:cs="宋体"/>
          <w:b/>
          <w:color w:val="000000" w:themeColor="text1"/>
          <w:sz w:val="24"/>
          <w:szCs w:val="24"/>
          <w:highlight w:val="none"/>
          <w14:textFill>
            <w14:solidFill>
              <w14:schemeClr w14:val="tx1"/>
            </w14:solidFill>
          </w14:textFill>
        </w:rPr>
        <w:t xml:space="preserve">资格审查</w:t>
      </w:r>
      <w:r/>
    </w:p>
    <w:p>
      <w:pPr>
        <w:numPr>
          <w:ilvl w:val="0"/>
          <w:numId w:val="0"/>
        </w:numPr>
        <w:ind w:firstLine="480"/>
        <w:spacing w:line="360" w:lineRule="auto"/>
        <w:shd w:val="clear" w:color="auto"/>
        <w:tabs>
          <w:tab w:val="left" w:pos="142" w:leader="none"/>
          <w:tab w:val="left" w:pos="60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4.2.1</w:t>
      </w:r>
      <w:r>
        <w:rPr>
          <w:rFonts w:hint="eastAsia" w:ascii="宋体" w:hAnsi="宋体" w:eastAsia="宋体" w:cs="宋体"/>
          <w:color w:val="000000" w:themeColor="text1"/>
          <w:sz w:val="24"/>
          <w:szCs w:val="24"/>
          <w:highlight w:val="none"/>
          <w14:textFill>
            <w14:solidFill>
              <w14:schemeClr w14:val="tx1"/>
            </w14:solidFill>
          </w14:textFill>
        </w:rPr>
        <w:t xml:space="preserve">公开招标采购项目开标结束后，采购人应当依法对投标人的资格进行审查，未通过资格审查的视为无效投标。</w:t>
      </w:r>
      <w:r/>
    </w:p>
    <w:p>
      <w:pPr>
        <w:numPr>
          <w:ilvl w:val="0"/>
          <w:numId w:val="0"/>
        </w:numPr>
        <w:ind w:firstLine="480"/>
        <w:spacing w:line="360" w:lineRule="auto"/>
        <w:shd w:val="clear" w:color="auto"/>
        <w:tabs>
          <w:tab w:val="left" w:pos="142" w:leader="none"/>
          <w:tab w:val="left" w:pos="600"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4.2.2根据政府采购法及相关法规，以及苏州市财政局《关于印发苏州市市级政府采购信用记录查询和使用工作试行办法的通知》（苏财购（2017）11号）文件的规定，采购代理机构将对供应商进行信用查询。</w:t>
      </w:r>
      <w:r/>
    </w:p>
    <w:p>
      <w:pPr>
        <w:numPr>
          <w:ilvl w:val="0"/>
          <w:numId w:val="0"/>
        </w:numPr>
        <w:ind w:firstLine="480"/>
        <w:spacing w:line="360" w:lineRule="auto"/>
        <w:shd w:val="clear" w:color="auto"/>
        <w:tabs>
          <w:tab w:val="left" w:pos="142" w:leader="none"/>
          <w:tab w:val="left" w:pos="600"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4.2.2.1查询时间：投标文件提交截止时间。</w:t>
      </w:r>
      <w:r/>
    </w:p>
    <w:p>
      <w:pPr>
        <w:numPr>
          <w:ilvl w:val="0"/>
          <w:numId w:val="0"/>
        </w:numPr>
        <w:ind w:firstLine="480"/>
        <w:spacing w:line="360" w:lineRule="auto"/>
        <w:shd w:val="clear" w:color="auto"/>
        <w:tabs>
          <w:tab w:val="left" w:pos="142" w:leader="none"/>
          <w:tab w:val="left" w:pos="600"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4.2.2.2查询渠道：通过“信用中国”、“信用江苏”及“中国政府采购网” 上的信用信息查询供应商的信用记录。 </w:t>
      </w:r>
      <w:r/>
    </w:p>
    <w:p>
      <w:pPr>
        <w:numPr>
          <w:ilvl w:val="0"/>
          <w:numId w:val="0"/>
        </w:numPr>
        <w:ind w:firstLine="480"/>
        <w:spacing w:line="360" w:lineRule="auto"/>
        <w:shd w:val="clear" w:color="auto"/>
        <w:tabs>
          <w:tab w:val="left" w:pos="142" w:leader="none"/>
          <w:tab w:val="left" w:pos="600"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4.2.2.3查询证据留存方式：对存在失信信息的供应商，评审小组应填写《苏州市级政府采购供应商失信信息确认函》，由失信供应商应签名确认。</w:t>
      </w: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采购代理机构工作人员应登陆到来源网站页面进行复核并打印，</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作为证据留存。</w:t>
      </w:r>
      <w:r/>
    </w:p>
    <w:p>
      <w:pPr>
        <w:numPr>
          <w:ilvl w:val="0"/>
          <w:numId w:val="0"/>
        </w:numPr>
        <w:ind w:firstLine="480"/>
        <w:spacing w:line="360" w:lineRule="auto"/>
        <w:shd w:val="clear" w:color="auto"/>
        <w:tabs>
          <w:tab w:val="left" w:pos="142" w:leader="none"/>
          <w:tab w:val="left" w:pos="600"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4.2.2.4信用记录使用规则：评审小组在对供应商进行资格性审查时，应根据查询结果对供应商的不良信用记录逐项甄别确认。按照《中华人民共和国政府采购法》第二十二条规定，</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信用记录属于应依法拒绝供应商参加政府采购的失信信息，存在此类失信信息的投标人的投标无效。</w:t>
      </w:r>
      <w:r/>
    </w:p>
    <w:p>
      <w:pPr>
        <w:ind w:firstLine="482"/>
        <w:spacing w:line="360" w:lineRule="auto"/>
        <w:tabs>
          <w:tab w:val="left" w:pos="142" w:leader="none"/>
          <w:tab w:val="left" w:pos="600" w:leader="none"/>
        </w:tabs>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4.3评标委员会</w:t>
      </w:r>
      <w:r/>
    </w:p>
    <w:p>
      <w:pPr>
        <w:ind w:firstLine="480"/>
        <w:spacing w:line="360" w:lineRule="auto"/>
        <w:tabs>
          <w:tab w:val="left" w:pos="142" w:leader="none"/>
          <w:tab w:val="left" w:pos="60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4.3.1采购人或采购代理机构负责组织评标工作，评标委员会由采购人代表和评审专家组成，负责具体评标事务，并独立履行职责。</w:t>
      </w:r>
      <w:r/>
    </w:p>
    <w:p>
      <w:pPr>
        <w:ind w:firstLine="480"/>
        <w:spacing w:line="360" w:lineRule="auto"/>
        <w:tabs>
          <w:tab w:val="left" w:pos="142" w:leader="none"/>
          <w:tab w:val="left" w:pos="60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4.3.2评审专家与参加采购活动的供应商存在下列利害关系之一的，应当回避：</w:t>
      </w:r>
      <w:r/>
    </w:p>
    <w:p>
      <w:pPr>
        <w:ind w:firstLine="480"/>
        <w:spacing w:line="360" w:lineRule="auto"/>
        <w:tabs>
          <w:tab w:val="left" w:pos="142" w:leader="none"/>
          <w:tab w:val="left" w:pos="60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一</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参加采购活动前三年内，与供应商存在劳动关系，或者担任过供应商的董事、监事，或者是供应商的控股股东或实际控制人；</w:t>
      </w:r>
      <w:r/>
    </w:p>
    <w:p>
      <w:pPr>
        <w:ind w:firstLine="480"/>
        <w:spacing w:line="360" w:lineRule="auto"/>
        <w:tabs>
          <w:tab w:val="left" w:pos="142" w:leader="none"/>
          <w:tab w:val="left" w:pos="60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二</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与供应商的法定代表人或者负责人有夫妻、直系血亲、三代以内旁系血亲或者近姻亲关系；</w:t>
      </w:r>
      <w:r/>
    </w:p>
    <w:p>
      <w:pPr>
        <w:ind w:firstLine="480"/>
        <w:spacing w:line="360" w:lineRule="auto"/>
        <w:tabs>
          <w:tab w:val="left" w:pos="142" w:leader="none"/>
          <w:tab w:val="left" w:pos="60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三</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与供应商有其他可能影响政府采购活动公平、公正进行的关系。</w:t>
      </w:r>
      <w:r/>
    </w:p>
    <w:p>
      <w:pPr>
        <w:ind w:firstLine="480"/>
        <w:spacing w:line="360" w:lineRule="auto"/>
        <w:tabs>
          <w:tab w:val="left" w:pos="142" w:leader="none"/>
          <w:tab w:val="left" w:pos="60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评审专家发现本人与参加采购活动的供应商有利害关系的，应当主动提出回避。采购人或者采购代理机构发现评审专家与参加采购活动的供应商有利害关系的，应当要求其回避。</w:t>
      </w:r>
      <w:r/>
    </w:p>
    <w:p>
      <w:pPr>
        <w:ind w:firstLine="480"/>
        <w:spacing w:line="360" w:lineRule="auto"/>
        <w:tabs>
          <w:tab w:val="left" w:pos="142" w:leader="none"/>
          <w:tab w:val="left" w:pos="60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4.3.3评审专家应当遵守评审工作纪律，不得泄露评审文件、评审情况和评审中获悉的商业秘密。评标委员会在评审过程中发现供应商有行贿、提供虚假材料或者串通等违法行为的，应当及时向财政部门报告。政府采购评审专家在评审过程中受到非法干预的，应当及时向财政、监察等部门举报。</w:t>
      </w:r>
      <w:r/>
    </w:p>
    <w:p>
      <w:pPr>
        <w:ind w:firstLine="480"/>
        <w:spacing w:line="360" w:lineRule="auto"/>
        <w:tabs>
          <w:tab w:val="left" w:pos="142" w:leader="none"/>
          <w:tab w:val="left" w:pos="60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4.3.4评标委员会成员应当按照客观、公正、审慎的原则，根据</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招标文件</w:t>
      </w:r>
      <w:r>
        <w:rPr>
          <w:rFonts w:hint="eastAsia" w:ascii="宋体" w:hAnsi="宋体" w:eastAsia="宋体" w:cs="宋体"/>
          <w:color w:val="000000" w:themeColor="text1"/>
          <w:sz w:val="24"/>
          <w:szCs w:val="24"/>
          <w:highlight w:val="none"/>
          <w14:textFill>
            <w14:solidFill>
              <w14:schemeClr w14:val="tx1"/>
            </w14:solidFill>
          </w14:textFill>
        </w:rPr>
        <w:t xml:space="preserve">规定的评审程序、评审方法和评审标准进行独立评审。</w:t>
      </w:r>
      <w:r/>
    </w:p>
    <w:p>
      <w:pPr>
        <w:ind w:firstLine="482"/>
        <w:spacing w:line="360" w:lineRule="auto"/>
        <w:tabs>
          <w:tab w:val="left" w:pos="142" w:leader="none"/>
          <w:tab w:val="left" w:pos="600" w:leader="none"/>
        </w:tabs>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4.4评标</w:t>
      </w:r>
      <w:r/>
    </w:p>
    <w:p>
      <w:pPr>
        <w:ind w:firstLine="480"/>
        <w:spacing w:line="360" w:lineRule="auto"/>
        <w:tabs>
          <w:tab w:val="left" w:pos="142" w:leader="none"/>
          <w:tab w:val="left" w:pos="60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4.4.1符合性审查</w:t>
      </w:r>
      <w:r/>
    </w:p>
    <w:p>
      <w:pPr>
        <w:ind w:firstLine="480"/>
        <w:spacing w:line="360" w:lineRule="auto"/>
        <w:tabs>
          <w:tab w:val="left" w:pos="142" w:leader="none"/>
          <w:tab w:val="left" w:pos="60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评标委员会应当对符合资格的投标人的投标文件进行符合性审查，以确定其是否满足招标文件的实质性要求。未满足本项目实质性要求的认定为无效投标。</w:t>
      </w:r>
      <w:r/>
    </w:p>
    <w:p>
      <w:pPr>
        <w:ind w:firstLine="480"/>
        <w:spacing w:line="360" w:lineRule="auto"/>
        <w:tabs>
          <w:tab w:val="left" w:pos="142" w:leader="none"/>
          <w:tab w:val="left" w:pos="60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4.4.2投标文件的比较和评价</w:t>
      </w:r>
      <w:r/>
    </w:p>
    <w:p>
      <w:pPr>
        <w:ind w:firstLine="480"/>
        <w:spacing w:line="360" w:lineRule="auto"/>
        <w:tabs>
          <w:tab w:val="left" w:pos="142" w:leader="none"/>
          <w:tab w:val="left" w:pos="60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4.4.2.1评标委员会应当按照招标文件中规定的评标方法和标准，对符合性审查合格的投标文件进行商务和技术评估，综合比较与评价。</w:t>
      </w:r>
      <w:r/>
    </w:p>
    <w:p>
      <w:pPr>
        <w:ind w:firstLine="480"/>
        <w:spacing w:line="360" w:lineRule="auto"/>
        <w:tabs>
          <w:tab w:val="left" w:pos="142" w:leader="none"/>
          <w:tab w:val="left" w:pos="60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4.4.2.2本项目采用综合评分法，即指投标文件满足招标文件全部实质性要求，且按照评审因素的量化指标评审得分最高的投标人为中标候选人的评标方法。评标</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方法</w:t>
      </w:r>
      <w:r>
        <w:rPr>
          <w:rFonts w:hint="eastAsia" w:ascii="宋体" w:hAnsi="宋体" w:eastAsia="宋体" w:cs="宋体"/>
          <w:color w:val="000000" w:themeColor="text1"/>
          <w:sz w:val="24"/>
          <w:szCs w:val="24"/>
          <w:highlight w:val="none"/>
          <w14:textFill>
            <w14:solidFill>
              <w14:schemeClr w14:val="tx1"/>
            </w14:solidFill>
          </w14:textFill>
        </w:rPr>
        <w:t xml:space="preserve">和</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评分</w:t>
      </w:r>
      <w:r>
        <w:rPr>
          <w:rFonts w:hint="eastAsia" w:ascii="宋体" w:hAnsi="宋体" w:eastAsia="宋体" w:cs="宋体"/>
          <w:color w:val="000000" w:themeColor="text1"/>
          <w:sz w:val="24"/>
          <w:szCs w:val="24"/>
          <w:highlight w:val="none"/>
          <w14:textFill>
            <w14:solidFill>
              <w14:schemeClr w14:val="tx1"/>
            </w14:solidFill>
          </w14:textFill>
        </w:rPr>
        <w:t xml:space="preserve">标准见第六章。</w:t>
      </w:r>
      <w:r/>
    </w:p>
    <w:p>
      <w:pPr>
        <w:ind w:firstLine="480"/>
        <w:spacing w:line="360" w:lineRule="auto"/>
        <w:tabs>
          <w:tab w:val="left" w:pos="142" w:leader="none"/>
          <w:tab w:val="left" w:pos="60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4.4.2.3价格修正</w:t>
      </w:r>
      <w:r/>
    </w:p>
    <w:p>
      <w:pPr>
        <w:ind w:firstLine="480"/>
        <w:spacing w:line="360" w:lineRule="auto"/>
        <w:tabs>
          <w:tab w:val="left" w:pos="142" w:leader="none"/>
          <w:tab w:val="left" w:pos="60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投标文件报价出现前后不一致的，除招标文件另有规定外，按下列规定修正：</w:t>
      </w:r>
      <w:r/>
    </w:p>
    <w:p>
      <w:pPr>
        <w:ind w:firstLine="480"/>
        <w:spacing w:line="360" w:lineRule="auto"/>
        <w:tabs>
          <w:tab w:val="left" w:pos="142" w:leader="none"/>
          <w:tab w:val="left" w:pos="60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（一）投标文件中开标一览表（报价表）内容与投标文件中相应内容不一致的，以开标一览表（报价表）为准；</w:t>
      </w:r>
      <w:r/>
    </w:p>
    <w:p>
      <w:pPr>
        <w:ind w:firstLine="480"/>
        <w:spacing w:line="360" w:lineRule="auto"/>
        <w:tabs>
          <w:tab w:val="left" w:pos="142" w:leader="none"/>
          <w:tab w:val="left" w:pos="60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（二）大写金额和小写金额不一致的，以大写金额为准；</w:t>
      </w:r>
      <w:r/>
    </w:p>
    <w:p>
      <w:pPr>
        <w:ind w:firstLine="480"/>
        <w:spacing w:line="360" w:lineRule="auto"/>
        <w:tabs>
          <w:tab w:val="left" w:pos="142" w:leader="none"/>
          <w:tab w:val="left" w:pos="60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（三）单价金额小数点或者百分比有明显错位的，以开标一览表的总价为准，并修改单价；</w:t>
      </w:r>
      <w:r/>
    </w:p>
    <w:p>
      <w:pPr>
        <w:ind w:firstLine="480"/>
        <w:spacing w:line="360" w:lineRule="auto"/>
        <w:tabs>
          <w:tab w:val="left" w:pos="142" w:leader="none"/>
          <w:tab w:val="left" w:pos="60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（四）总价金额与按单价汇总金额不一致的，以单价金额计算结果为准。</w:t>
      </w:r>
      <w:r/>
    </w:p>
    <w:p>
      <w:pPr>
        <w:ind w:firstLine="480"/>
        <w:spacing w:line="360" w:lineRule="auto"/>
        <w:tabs>
          <w:tab w:val="left" w:pos="142" w:leader="none"/>
          <w:tab w:val="left" w:pos="60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同时出现两种以上不一致的，按照前款规定的顺序修正。</w:t>
      </w:r>
      <w:r/>
    </w:p>
    <w:p>
      <w:pPr>
        <w:ind w:firstLine="480"/>
        <w:spacing w:line="360" w:lineRule="auto"/>
        <w:tabs>
          <w:tab w:val="left" w:pos="142" w:leader="none"/>
          <w:tab w:val="left" w:pos="60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修正后的报价按照《中华人民共和国财政部令第87号》第五十一条第二款的规定经投标人确认后产生约束力，投标人不确认的，其投标无效。</w:t>
      </w:r>
      <w:r/>
    </w:p>
    <w:p>
      <w:pPr>
        <w:ind w:firstLine="480"/>
        <w:spacing w:line="360" w:lineRule="auto"/>
        <w:tabs>
          <w:tab w:val="left" w:pos="142" w:leader="none"/>
          <w:tab w:val="left" w:pos="60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4.4.2.4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将其作为无效投标处理。</w:t>
      </w:r>
      <w:r/>
    </w:p>
    <w:p>
      <w:pPr>
        <w:ind w:firstLine="480"/>
        <w:spacing w:line="360" w:lineRule="auto"/>
        <w:tabs>
          <w:tab w:val="left" w:pos="142" w:leader="none"/>
          <w:tab w:val="left" w:pos="60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4.4.2.5评标委员会成员对需要共同认定的事项存在争议的，应当按照少数服从多数的原则作出结论。持不同意见的评标委员会成员应当在评标报告上签署不同意见及理由，否则视为同意评标报告。</w:t>
      </w:r>
      <w:r/>
    </w:p>
    <w:p>
      <w:pPr>
        <w:ind w:firstLine="480"/>
        <w:spacing w:line="360" w:lineRule="auto"/>
        <w:tabs>
          <w:tab w:val="left" w:pos="142" w:leader="none"/>
          <w:tab w:val="left" w:pos="60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4.4.3投标的澄清</w:t>
      </w:r>
      <w:r/>
    </w:p>
    <w:p>
      <w:pPr>
        <w:ind w:firstLine="480"/>
        <w:spacing w:line="360" w:lineRule="auto"/>
        <w:tabs>
          <w:tab w:val="left" w:pos="142" w:leader="none"/>
          <w:tab w:val="left" w:pos="60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4.4.3.1评审小组可以要求供应商对于投标文件中含义不明确、同类问题表述不一致或者有明显文字和计算错误的内容等作出必要的澄清、说明或者更正。供应商的澄清、说明或者补正不得超出投标文件的范围或者改变投标文件的实质性内容。</w:t>
      </w:r>
      <w:r/>
    </w:p>
    <w:p>
      <w:pPr>
        <w:ind w:firstLine="480"/>
        <w:spacing w:line="360" w:lineRule="auto"/>
        <w:tabs>
          <w:tab w:val="left" w:pos="142" w:leader="none"/>
          <w:tab w:val="left" w:pos="60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4.4.</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3.2</w:t>
      </w:r>
      <w:r>
        <w:rPr>
          <w:rFonts w:hint="eastAsia" w:ascii="宋体" w:hAnsi="宋体" w:eastAsia="宋体" w:cs="宋体"/>
          <w:color w:val="000000" w:themeColor="text1"/>
          <w:sz w:val="24"/>
          <w:szCs w:val="24"/>
          <w:highlight w:val="none"/>
          <w14:textFill>
            <w14:solidFill>
              <w14:schemeClr w14:val="tx1"/>
            </w14:solidFill>
          </w14:textFill>
        </w:rPr>
        <w:t xml:space="preserve">本项目采用线上澄清。</w:t>
      </w:r>
      <w:r/>
    </w:p>
    <w:p>
      <w:pPr>
        <w:ind w:firstLine="480"/>
        <w:spacing w:line="360" w:lineRule="auto"/>
        <w:tabs>
          <w:tab w:val="left" w:pos="142" w:leader="none"/>
          <w:tab w:val="left" w:pos="60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4.4.</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3.3</w:t>
      </w:r>
      <w:r>
        <w:rPr>
          <w:rFonts w:hint="eastAsia" w:ascii="宋体" w:hAnsi="宋体" w:eastAsia="宋体" w:cs="宋体"/>
          <w:color w:val="000000" w:themeColor="text1"/>
          <w:sz w:val="24"/>
          <w:szCs w:val="24"/>
          <w:highlight w:val="none"/>
          <w14:textFill>
            <w14:solidFill>
              <w14:schemeClr w14:val="tx1"/>
            </w14:solidFill>
          </w14:textFill>
        </w:rPr>
        <w:t xml:space="preserve">线上澄清答复的方式：需要供应商进行澄清、说明和更正的，</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评审</w:t>
      </w:r>
      <w:r>
        <w:rPr>
          <w:rFonts w:hint="eastAsia" w:ascii="宋体" w:hAnsi="宋体" w:eastAsia="宋体" w:cs="宋体"/>
          <w:color w:val="000000" w:themeColor="text1"/>
          <w:sz w:val="24"/>
          <w:szCs w:val="24"/>
          <w:highlight w:val="none"/>
          <w14:textFill>
            <w14:solidFill>
              <w14:schemeClr w14:val="tx1"/>
            </w14:solidFill>
          </w14:textFill>
        </w:rPr>
        <w:t xml:space="preserve">小组将通过苏采云系统向供应商发布“澄清要求函”，接到“澄清要求函”的供应商应当按照要求在苏采云系统中提交“澄清响应函”并加盖CA电子公章。澄清、说明和更正的内容作为响应文件的补充部分，具体操作方式见《操作手册》。未加盖CA电子公章的澄清无效。</w:t>
      </w:r>
      <w:r/>
    </w:p>
    <w:p>
      <w:pPr>
        <w:ind w:firstLine="480"/>
        <w:spacing w:line="360" w:lineRule="auto"/>
        <w:tabs>
          <w:tab w:val="left" w:pos="142" w:leader="none"/>
          <w:tab w:val="left" w:pos="60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4.4.3</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接到</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评审</w:t>
      </w:r>
      <w:r>
        <w:rPr>
          <w:rFonts w:hint="eastAsia" w:ascii="宋体" w:hAnsi="宋体" w:eastAsia="宋体" w:cs="宋体"/>
          <w:color w:val="000000" w:themeColor="text1"/>
          <w:sz w:val="24"/>
          <w:szCs w:val="24"/>
          <w:highlight w:val="none"/>
          <w14:textFill>
            <w14:solidFill>
              <w14:schemeClr w14:val="tx1"/>
            </w14:solidFill>
          </w14:textFill>
        </w:rPr>
        <w:t xml:space="preserve">小组澄清、说明和更正要求的供应商如未按规定做出澄清、说明和更正，其风险由供应商自行承担。</w:t>
      </w:r>
      <w:r/>
    </w:p>
    <w:p>
      <w:pPr>
        <w:ind w:firstLine="482"/>
        <w:spacing w:line="360" w:lineRule="auto"/>
        <w:tabs>
          <w:tab w:val="left" w:pos="142" w:leader="none"/>
          <w:tab w:val="left" w:pos="600" w:leader="none"/>
        </w:tabs>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5、废标</w:t>
      </w:r>
      <w:r/>
    </w:p>
    <w:p>
      <w:pPr>
        <w:ind w:firstLine="482"/>
        <w:spacing w:line="360" w:lineRule="auto"/>
        <w:tabs>
          <w:tab w:val="left" w:pos="142" w:leader="none"/>
          <w:tab w:val="left" w:pos="600" w:leader="none"/>
        </w:tabs>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5.1出现下列情形之一的，应予废标：</w:t>
      </w:r>
      <w:r/>
    </w:p>
    <w:p>
      <w:pPr>
        <w:ind w:firstLine="480"/>
        <w:spacing w:line="360" w:lineRule="auto"/>
        <w:tabs>
          <w:tab w:val="left" w:pos="142" w:leader="none"/>
          <w:tab w:val="left" w:pos="60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（一）符合专业条件的供应商或者对招标文件作实质响应的供应商不足三家的；</w:t>
      </w:r>
      <w:r/>
    </w:p>
    <w:p>
      <w:pPr>
        <w:ind w:firstLine="480"/>
        <w:spacing w:line="360" w:lineRule="auto"/>
        <w:tabs>
          <w:tab w:val="left" w:pos="142" w:leader="none"/>
          <w:tab w:val="left" w:pos="60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（二）出现影响采购公正的违法、违规行为的；</w:t>
      </w:r>
      <w:r/>
    </w:p>
    <w:p>
      <w:pPr>
        <w:ind w:firstLine="480"/>
        <w:spacing w:line="360" w:lineRule="auto"/>
        <w:tabs>
          <w:tab w:val="left" w:pos="142" w:leader="none"/>
          <w:tab w:val="left" w:pos="60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（三）投标人的报价均超过了采购预算，采购人不能支付的；</w:t>
      </w:r>
      <w:r/>
    </w:p>
    <w:p>
      <w:pPr>
        <w:ind w:firstLine="480"/>
        <w:spacing w:line="360" w:lineRule="auto"/>
        <w:tabs>
          <w:tab w:val="left" w:pos="142" w:leader="none"/>
          <w:tab w:val="left" w:pos="60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（四）因重大变故，采购任务取消的。</w:t>
      </w:r>
      <w:r/>
    </w:p>
    <w:p>
      <w:pPr>
        <w:ind w:firstLine="482"/>
        <w:spacing w:line="360" w:lineRule="auto"/>
        <w:tabs>
          <w:tab w:val="left" w:pos="142" w:leader="none"/>
          <w:tab w:val="left" w:pos="600" w:leader="none"/>
        </w:tabs>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5.2废标后，采购人应当将废标理由通知所有投标人。</w:t>
      </w:r>
      <w:r/>
    </w:p>
    <w:p>
      <w:pPr>
        <w:ind w:firstLine="482"/>
        <w:spacing w:line="360" w:lineRule="auto"/>
        <w:tabs>
          <w:tab w:val="left" w:pos="142" w:leader="none"/>
          <w:tab w:val="left" w:pos="600" w:leader="none"/>
        </w:tabs>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b/>
          <w:bCs/>
          <w:color w:val="000000" w:themeColor="text1"/>
          <w:sz w:val="24"/>
          <w:szCs w:val="24"/>
          <w:highlight w:val="none"/>
          <w14:textFill>
            <w14:solidFill>
              <w14:schemeClr w14:val="tx1"/>
            </w14:solidFill>
          </w14:textFill>
        </w:rPr>
        <w:t xml:space="preserve">中标</w:t>
      </w:r>
      <w:r/>
    </w:p>
    <w:p>
      <w:pPr>
        <w:ind w:firstLine="480"/>
        <w:spacing w:line="360" w:lineRule="auto"/>
        <w:tabs>
          <w:tab w:val="left" w:pos="142" w:leader="none"/>
          <w:tab w:val="left" w:pos="60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本项目评标方法</w:t>
      </w:r>
      <w:r>
        <w:rPr>
          <w:rFonts w:hint="eastAsia" w:ascii="宋体" w:hAnsi="宋体" w:eastAsia="宋体" w:cs="宋体"/>
          <w:color w:val="000000" w:themeColor="text1"/>
          <w:sz w:val="24"/>
          <w:szCs w:val="24"/>
          <w:highlight w:val="none"/>
          <w14:textFill>
            <w14:solidFill>
              <w14:schemeClr w14:val="tx1"/>
            </w14:solidFill>
          </w14:textFill>
        </w:rPr>
        <w:t xml:space="preserve">采用综合评分法，即指投标文件满足招标文件全部实质性要求，且按照评审因素的量化指标评审得分最高的投标人为中标候选人的评标方法。</w:t>
      </w:r>
      <w:r/>
    </w:p>
    <w:p>
      <w:pPr>
        <w:ind w:firstLine="480"/>
        <w:spacing w:line="360" w:lineRule="auto"/>
        <w:tabs>
          <w:tab w:val="left" w:pos="142" w:leader="none"/>
          <w:tab w:val="left" w:pos="60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6.2评标结果按评审后得分由高到低顺序排列。得分相同的，按投标报价由低到高顺序排列。得分且投标报价相同的，则由</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评标委员会</w:t>
      </w:r>
      <w:r>
        <w:rPr>
          <w:rFonts w:hint="eastAsia" w:ascii="宋体" w:hAnsi="宋体" w:eastAsia="宋体" w:cs="宋体"/>
          <w:color w:val="000000" w:themeColor="text1"/>
          <w:sz w:val="24"/>
          <w:szCs w:val="24"/>
          <w:highlight w:val="none"/>
          <w14:textFill>
            <w14:solidFill>
              <w14:schemeClr w14:val="tx1"/>
            </w14:solidFill>
          </w14:textFill>
        </w:rPr>
        <w:t xml:space="preserve">组织抽签确定中标</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候选人顺序</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firstLine="480"/>
        <w:spacing w:line="360" w:lineRule="auto"/>
        <w:tabs>
          <w:tab w:val="left" w:pos="142" w:leader="none"/>
          <w:tab w:val="left" w:pos="60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6.3评标委员会在确定的中标候选人名单中按顺序确定中标单位，中标候选人并列的，按照招标文件规定的方式确定中标单位。</w:t>
      </w:r>
      <w:r/>
    </w:p>
    <w:p>
      <w:pPr>
        <w:ind w:firstLine="480"/>
        <w:spacing w:line="360" w:lineRule="auto"/>
        <w:tabs>
          <w:tab w:val="left" w:pos="142" w:leader="none"/>
          <w:tab w:val="left" w:pos="60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6.4采购人或者采购代理机构应当自中标单位确定之日起2个工作日内将中标单位在政府采购信息媒体上发布中标公告，中标公告期限为1个工作日。</w:t>
      </w:r>
      <w:r/>
    </w:p>
    <w:p>
      <w:pPr>
        <w:ind w:firstLine="480"/>
        <w:spacing w:line="360" w:lineRule="auto"/>
        <w:tabs>
          <w:tab w:val="left" w:pos="142" w:leader="none"/>
          <w:tab w:val="left" w:pos="600"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6.5</w:t>
      </w:r>
      <w:r>
        <w:rPr>
          <w:rFonts w:hint="eastAsia" w:ascii="宋体" w:hAnsi="宋体" w:eastAsia="宋体" w:cs="宋体"/>
          <w:color w:val="000000" w:themeColor="text1"/>
          <w:sz w:val="24"/>
          <w:szCs w:val="24"/>
          <w:highlight w:val="none"/>
          <w14:textFill>
            <w14:solidFill>
              <w14:schemeClr w14:val="tx1"/>
            </w14:solidFill>
          </w14:textFill>
        </w:rPr>
        <w:t xml:space="preserve">采购人或采购代理机构根据相关规定发布</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中标</w:t>
      </w:r>
      <w:r>
        <w:rPr>
          <w:rFonts w:hint="eastAsia" w:ascii="宋体" w:hAnsi="宋体" w:eastAsia="宋体" w:cs="宋体"/>
          <w:color w:val="000000" w:themeColor="text1"/>
          <w:sz w:val="24"/>
          <w:szCs w:val="24"/>
          <w:highlight w:val="none"/>
          <w14:textFill>
            <w14:solidFill>
              <w14:schemeClr w14:val="tx1"/>
            </w14:solidFill>
          </w14:textFill>
        </w:rPr>
        <w:t xml:space="preserve">公告，</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中标</w:t>
      </w:r>
      <w:r>
        <w:rPr>
          <w:rFonts w:hint="eastAsia" w:ascii="宋体" w:hAnsi="宋体" w:eastAsia="宋体" w:cs="宋体"/>
          <w:color w:val="000000" w:themeColor="text1"/>
          <w:sz w:val="24"/>
          <w:szCs w:val="24"/>
          <w:highlight w:val="none"/>
          <w14:textFill>
            <w14:solidFill>
              <w14:schemeClr w14:val="tx1"/>
            </w14:solidFill>
          </w14:textFill>
        </w:rPr>
        <w:t xml:space="preserve">公告发出的同时应当向</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中标</w:t>
      </w:r>
      <w:r>
        <w:rPr>
          <w:rFonts w:hint="eastAsia" w:ascii="宋体" w:hAnsi="宋体" w:eastAsia="宋体" w:cs="宋体"/>
          <w:color w:val="000000" w:themeColor="text1"/>
          <w:sz w:val="24"/>
          <w:szCs w:val="24"/>
          <w:highlight w:val="none"/>
          <w14:textFill>
            <w14:solidFill>
              <w14:schemeClr w14:val="tx1"/>
            </w14:solidFill>
          </w14:textFill>
        </w:rPr>
        <w:t xml:space="preserve">供应商发出《</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中标</w:t>
      </w:r>
      <w:r>
        <w:rPr>
          <w:rFonts w:hint="eastAsia" w:ascii="宋体" w:hAnsi="宋体" w:eastAsia="宋体" w:cs="宋体"/>
          <w:color w:val="000000" w:themeColor="text1"/>
          <w:sz w:val="24"/>
          <w:szCs w:val="24"/>
          <w:highlight w:val="none"/>
          <w14:textFill>
            <w14:solidFill>
              <w14:schemeClr w14:val="tx1"/>
            </w14:solidFill>
          </w14:textFill>
        </w:rPr>
        <w:t xml:space="preserve">通知书》</w:t>
      </w:r>
      <w:bookmarkStart w:id="3" w:name="_Hlk132385599"/>
      <w:r/>
      <w:bookmarkStart w:id="4" w:name="_Hlk132389804"/>
      <w:r/>
      <w:bookmarkStart w:id="5" w:name="_Hlk132385577"/>
      <w:r>
        <w:rPr>
          <w:rFonts w:hint="eastAsia" w:ascii="宋体" w:hAnsi="宋体" w:eastAsia="宋体" w:cs="宋体"/>
          <w:color w:val="000000" w:themeColor="text1"/>
          <w:sz w:val="24"/>
          <w:szCs w:val="24"/>
          <w:highlight w:val="none"/>
          <w14:textFill>
            <w14:solidFill>
              <w14:schemeClr w14:val="tx1"/>
            </w14:solidFill>
          </w14:textFill>
        </w:rPr>
        <w:t xml:space="preserve">。请</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中标</w:t>
      </w:r>
      <w:r>
        <w:rPr>
          <w:rFonts w:hint="eastAsia" w:ascii="宋体" w:hAnsi="宋体" w:eastAsia="宋体" w:cs="宋体"/>
          <w:color w:val="000000" w:themeColor="text1"/>
          <w:sz w:val="24"/>
          <w:szCs w:val="24"/>
          <w:highlight w:val="none"/>
          <w14:textFill>
            <w14:solidFill>
              <w14:schemeClr w14:val="tx1"/>
            </w14:solidFill>
          </w14:textFill>
        </w:rPr>
        <w:t xml:space="preserve">供应商在</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中标</w:t>
      </w:r>
      <w:r>
        <w:rPr>
          <w:rFonts w:hint="eastAsia" w:ascii="宋体" w:hAnsi="宋体" w:eastAsia="宋体" w:cs="宋体"/>
          <w:color w:val="000000" w:themeColor="text1"/>
          <w:sz w:val="24"/>
          <w:szCs w:val="24"/>
          <w:highlight w:val="none"/>
          <w14:textFill>
            <w14:solidFill>
              <w14:schemeClr w14:val="tx1"/>
            </w14:solidFill>
          </w14:textFill>
        </w:rPr>
        <w:t xml:space="preserve">结果公告届满之日起30日内</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使用CA数字证书登录苏采云系统及时下载成交通知书。因系统存储空间有限，自</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中标</w:t>
      </w:r>
      <w:r>
        <w:rPr>
          <w:rFonts w:hint="eastAsia" w:ascii="宋体" w:hAnsi="宋体" w:eastAsia="宋体" w:cs="宋体"/>
          <w:color w:val="000000" w:themeColor="text1"/>
          <w:sz w:val="24"/>
          <w:szCs w:val="24"/>
          <w:highlight w:val="none"/>
          <w14:textFill>
            <w14:solidFill>
              <w14:schemeClr w14:val="tx1"/>
            </w14:solidFill>
          </w14:textFill>
        </w:rPr>
        <w:t xml:space="preserve">结果公告届满之日起30日后，苏采云系统不再保证提供下载成交通知书服务</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因未及时下载而造成的不利后果由成交供应商自行承担）；</w:t>
      </w:r>
      <w:bookmarkEnd w:id="3"/>
      <w:r/>
      <w:bookmarkEnd w:id="4"/>
      <w:r/>
      <w:bookmarkEnd w:id="5"/>
      <w:r>
        <w:rPr>
          <w:rFonts w:hint="eastAsia" w:ascii="宋体" w:hAnsi="宋体" w:eastAsia="宋体" w:cs="宋体"/>
          <w:color w:val="000000" w:themeColor="text1"/>
          <w:sz w:val="24"/>
          <w:szCs w:val="24"/>
          <w:highlight w:val="none"/>
          <w14:textFill>
            <w14:solidFill>
              <w14:schemeClr w14:val="tx1"/>
            </w14:solidFill>
          </w14:textFill>
        </w:rPr>
        <w:t xml:space="preserve">对未通过资格性审查的供应商，应当告知其未通过的原因；未</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中标</w:t>
      </w:r>
      <w:r>
        <w:rPr>
          <w:rFonts w:hint="eastAsia" w:ascii="宋体" w:hAnsi="宋体" w:eastAsia="宋体" w:cs="宋体"/>
          <w:color w:val="000000" w:themeColor="text1"/>
          <w:sz w:val="24"/>
          <w:szCs w:val="24"/>
          <w:highlight w:val="none"/>
          <w14:textFill>
            <w14:solidFill>
              <w14:schemeClr w14:val="tx1"/>
            </w14:solidFill>
          </w14:textFill>
        </w:rPr>
        <w:t xml:space="preserve">供应商须在成交公告发出之日起2个工作日内向采购代理机构另行提供用以接收《未</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中标</w:t>
      </w:r>
      <w:r>
        <w:rPr>
          <w:rFonts w:hint="eastAsia" w:ascii="宋体" w:hAnsi="宋体" w:eastAsia="宋体" w:cs="宋体"/>
          <w:color w:val="000000" w:themeColor="text1"/>
          <w:sz w:val="24"/>
          <w:szCs w:val="24"/>
          <w:highlight w:val="none"/>
          <w14:textFill>
            <w14:solidFill>
              <w14:schemeClr w14:val="tx1"/>
            </w14:solidFill>
          </w14:textFill>
        </w:rPr>
        <w:t xml:space="preserve">通知书》的电子邮件地址，未按时提供电子邮件地址或提供信息有误的，视为自动放弃并自行承担相应后果。</w:t>
      </w:r>
      <w:r/>
    </w:p>
    <w:p>
      <w:pPr>
        <w:ind w:firstLine="480"/>
        <w:spacing w:line="360" w:lineRule="auto"/>
        <w:tabs>
          <w:tab w:val="left" w:pos="142" w:leader="none"/>
          <w:tab w:val="left" w:pos="60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6.6中标通知书发出后，采购人不得违法改变中标结果，中标单位无正当理由不得放弃中标。</w:t>
      </w:r>
      <w:r/>
    </w:p>
    <w:p>
      <w:pPr>
        <w:ind w:firstLine="482"/>
        <w:spacing w:line="360" w:lineRule="auto"/>
        <w:tabs>
          <w:tab w:val="left" w:pos="142" w:leader="none"/>
          <w:tab w:val="left" w:pos="600" w:leader="none"/>
        </w:tabs>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7、履约保证金</w:t>
      </w:r>
      <w:r/>
    </w:p>
    <w:p>
      <w:pPr>
        <w:pStyle w:val="829"/>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见第五章合同文本履约保证金条款。</w:t>
      </w:r>
      <w:r/>
    </w:p>
    <w:p>
      <w:pPr>
        <w:ind w:firstLine="482"/>
        <w:spacing w:line="360" w:lineRule="auto"/>
        <w:tabs>
          <w:tab w:val="left" w:pos="142" w:leader="none"/>
          <w:tab w:val="left" w:pos="600" w:leader="none"/>
        </w:tabs>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8、合同的签订</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8.1采购人应当自</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中标</w:t>
      </w:r>
      <w:r>
        <w:rPr>
          <w:rFonts w:hint="eastAsia" w:ascii="宋体" w:hAnsi="宋体" w:eastAsia="宋体" w:cs="宋体"/>
          <w:color w:val="000000" w:themeColor="text1"/>
          <w:sz w:val="24"/>
          <w:szCs w:val="24"/>
          <w:highlight w:val="none"/>
          <w14:textFill>
            <w14:solidFill>
              <w14:schemeClr w14:val="tx1"/>
            </w14:solidFill>
          </w14:textFill>
        </w:rPr>
        <w:t xml:space="preserve">通知书发出之日起</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15</w:t>
      </w:r>
      <w:r>
        <w:rPr>
          <w:rFonts w:hint="eastAsia" w:ascii="宋体" w:hAnsi="宋体" w:eastAsia="宋体" w:cs="宋体"/>
          <w:color w:val="000000" w:themeColor="text1"/>
          <w:sz w:val="24"/>
          <w:szCs w:val="24"/>
          <w:highlight w:val="none"/>
          <w14:textFill>
            <w14:solidFill>
              <w14:schemeClr w14:val="tx1"/>
            </w14:solidFill>
          </w14:textFill>
        </w:rPr>
        <w:t xml:space="preserve">日内</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（最迟30日内</w:t>
      </w:r>
      <w:r>
        <w:rPr>
          <w:rFonts w:hint="eastAsia" w:ascii="宋体" w:hAnsi="宋体" w:eastAsia="宋体" w:cs="宋体"/>
          <w:color w:val="000000" w:themeColor="text1"/>
          <w:szCs w:val="21"/>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按照招标文件及投标文件规定与中标单位签订书面合同。</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8.2</w:t>
      </w:r>
      <w:r>
        <w:rPr>
          <w:rFonts w:hint="eastAsia" w:ascii="宋体" w:hAnsi="宋体" w:eastAsia="宋体" w:cs="宋体"/>
          <w:color w:val="000000" w:themeColor="text1"/>
          <w:sz w:val="24"/>
          <w:szCs w:val="24"/>
          <w:highlight w:val="none"/>
          <w14:textFill>
            <w14:solidFill>
              <w14:schemeClr w14:val="tx1"/>
            </w14:solidFill>
          </w14:textFill>
        </w:rPr>
        <w:t xml:space="preserve">采购合同的双方当事人不得擅自变更、中止或者终止合同。合同继续履行将损害国家利益和社会公共利益的，双方当事人应当变更、中止或者终止合同。有过错的一方应当承担赔偿责任，双方都有过错的，各自承担相应责任。</w:t>
      </w:r>
      <w:r/>
    </w:p>
    <w:p>
      <w:pPr>
        <w:ind w:firstLine="48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8.3 采购人不得向中标供应商提出任何不合理的要求作为签订合同的条件，不得与中标供应商私下订立背离合同实质性内容的协议。</w:t>
      </w:r>
      <w:r/>
    </w:p>
    <w:p>
      <w:pPr>
        <w:ind w:firstLine="48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8.4依据《政府采购促进中小企业发展管理办法》（财库〔2020〕46号）规定，享受扶持政策获得政府采购合同的，小微企业不得将合同分包给大中型企业，中型企业不得将合同分包给大型企业。</w:t>
      </w:r>
      <w:r/>
    </w:p>
    <w:p>
      <w:pPr>
        <w:ind w:firstLine="48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8.5中标供应商无正当理由不得放弃中标。</w:t>
      </w:r>
      <w:r/>
    </w:p>
    <w:p>
      <w:pPr>
        <w:ind w:firstLine="48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8.6采购合同履行中，采购人需追加与合同标的相同货物、工程或者服务的，在不改变合同其他条款的前提下，可以与供应商协商签订补充合同，但所有补充合同的采购金额不得超过原合同采购金额的百分之十。</w:t>
      </w:r>
      <w:r/>
    </w:p>
    <w:p>
      <w:pPr>
        <w:ind w:firstLine="482"/>
        <w:spacing w:line="360" w:lineRule="auto"/>
        <w:tabs>
          <w:tab w:val="left" w:pos="142" w:leader="none"/>
          <w:tab w:val="left" w:pos="600" w:leader="none"/>
        </w:tabs>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9、质疑</w:t>
      </w:r>
      <w:r/>
    </w:p>
    <w:p>
      <w:pPr>
        <w:ind w:firstLine="48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9.1质疑及答复遵守《政府采购质疑和投诉办法》（中华人民共和国财政部令第94号）规定。</w:t>
      </w:r>
      <w:r/>
    </w:p>
    <w:p>
      <w:pPr>
        <w:ind w:firstLine="48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9.2供应商认为招标文件、采购过程和中标、成交结果使自己的权益受到损害的，可以在知道或者应知其权益受到损害之日起七个工作日内，根据《政府采购质疑和投诉办法》（中华人民共和国财政部令第94号）以书面形式向采购人、代理机构提出质疑。采购代理机构应当在收到供应商书面质疑函后七个工作日内作出答复。</w:t>
      </w:r>
      <w:r/>
    </w:p>
    <w:p>
      <w:pPr>
        <w:ind w:firstLine="48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9.3本项目投标人应当在法定质疑期内一次性提出针对同一采购程序环节的质疑。供应商如在法定期限内对同一采购程序环节提出多次质疑的，采购代理机构、采购人将只对供应商第一次质疑作出答复。</w:t>
      </w:r>
      <w:r/>
    </w:p>
    <w:p>
      <w:pPr>
        <w:ind w:firstLine="480"/>
        <w:spacing w:line="360" w:lineRule="auto"/>
        <w:tabs>
          <w:tab w:val="left" w:pos="142" w:leader="none"/>
          <w:tab w:val="left" w:pos="600" w:leader="none"/>
        </w:tabs>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9.4</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对招标</w:t>
      </w:r>
      <w:r>
        <w:rPr>
          <w:rFonts w:hint="eastAsia" w:ascii="宋体" w:hAnsi="宋体" w:eastAsia="宋体" w:cs="宋体"/>
          <w:b w:val="0"/>
          <w:bCs/>
          <w:color w:val="000000" w:themeColor="text1"/>
          <w:sz w:val="24"/>
          <w:szCs w:val="24"/>
          <w:highlight w:val="none"/>
          <w14:textFill>
            <w14:solidFill>
              <w14:schemeClr w14:val="tx1"/>
            </w14:solidFill>
          </w14:textFill>
        </w:rPr>
        <w:t xml:space="preserve">文件内容质疑时，</w:t>
      </w:r>
      <w:r>
        <w:rPr>
          <w:rFonts w:hint="eastAsia" w:ascii="宋体" w:hAnsi="宋体" w:eastAsia="宋体" w:cs="宋体"/>
          <w:b/>
          <w:bCs w:val="0"/>
          <w:color w:val="000000" w:themeColor="text1"/>
          <w:sz w:val="24"/>
          <w:szCs w:val="24"/>
          <w:highlight w:val="none"/>
          <w14:textFill>
            <w14:solidFill>
              <w14:schemeClr w14:val="tx1"/>
            </w14:solidFill>
          </w14:textFill>
        </w:rPr>
        <w:t xml:space="preserve">需提供在苏采云系统中下载本项目</w:t>
      </w: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招标</w:t>
      </w:r>
      <w:r>
        <w:rPr>
          <w:rFonts w:hint="eastAsia" w:ascii="宋体" w:hAnsi="宋体" w:eastAsia="宋体" w:cs="宋体"/>
          <w:b/>
          <w:bCs w:val="0"/>
          <w:color w:val="000000" w:themeColor="text1"/>
          <w:sz w:val="24"/>
          <w:szCs w:val="24"/>
          <w:highlight w:val="none"/>
          <w14:textFill>
            <w14:solidFill>
              <w14:schemeClr w14:val="tx1"/>
            </w14:solidFill>
          </w14:textFill>
        </w:rPr>
        <w:t xml:space="preserve">文件的《投标供应商确认函》，未提供的视为未依照采购公告要求获取</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招标文件</w:t>
      </w:r>
      <w:r>
        <w:rPr>
          <w:rFonts w:hint="eastAsia" w:ascii="宋体" w:hAnsi="宋体" w:eastAsia="宋体" w:cs="宋体"/>
          <w:b/>
          <w:bCs w:val="0"/>
          <w:color w:val="000000" w:themeColor="text1"/>
          <w:sz w:val="24"/>
          <w:szCs w:val="24"/>
          <w:highlight w:val="none"/>
          <w14:textFill>
            <w14:solidFill>
              <w14:schemeClr w14:val="tx1"/>
            </w14:solidFill>
          </w14:textFill>
        </w:rPr>
        <w:t xml:space="preserve">的供应商，不具备对该政府采购项目提出质疑的法定权利。</w:t>
      </w:r>
      <w:r/>
    </w:p>
    <w:p>
      <w:pPr>
        <w:ind w:firstLine="480"/>
        <w:spacing w:line="360" w:lineRule="auto"/>
        <w:tabs>
          <w:tab w:val="left" w:pos="142" w:leader="none"/>
          <w:tab w:val="left" w:pos="60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9.</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14:textFill>
            <w14:solidFill>
              <w14:schemeClr w14:val="tx1"/>
            </w14:solidFill>
          </w14:textFill>
        </w:rPr>
        <w:t xml:space="preserve">接收质疑函的方式为书面形式（当场送达或邮寄方式）</w:t>
      </w:r>
      <w:r>
        <w:rPr>
          <w:rFonts w:hint="eastAsia" w:ascii="宋体" w:hAnsi="宋体" w:eastAsia="宋体" w:cs="宋体"/>
          <w:bCs/>
          <w:color w:val="000000" w:themeColor="text1"/>
          <w:sz w:val="24"/>
          <w:szCs w:val="24"/>
          <w:highlight w:val="none"/>
          <w14:textFill>
            <w14:solidFill>
              <w14:schemeClr w14:val="tx1"/>
            </w14:solidFill>
          </w14:textFill>
        </w:rPr>
        <w:t xml:space="preserve">向采购人、采购代理机构提出质疑，联系人、联系电话和通讯地址等信息以</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招标</w:t>
      </w:r>
      <w:r>
        <w:rPr>
          <w:rFonts w:hint="eastAsia" w:ascii="宋体" w:hAnsi="宋体" w:eastAsia="宋体" w:cs="宋体"/>
          <w:bCs/>
          <w:color w:val="000000" w:themeColor="text1"/>
          <w:sz w:val="24"/>
          <w:szCs w:val="24"/>
          <w:highlight w:val="none"/>
          <w14:textFill>
            <w14:solidFill>
              <w14:schemeClr w14:val="tx1"/>
            </w14:solidFill>
          </w14:textFill>
        </w:rPr>
        <w:t xml:space="preserve">公告中</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对本次招标提出询问</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请按以下方式联系</w:t>
      </w:r>
      <w:r>
        <w:rPr>
          <w:rFonts w:hint="eastAsia" w:ascii="宋体" w:hAnsi="宋体" w:eastAsia="宋体" w:cs="宋体"/>
          <w:bCs/>
          <w:color w:val="000000" w:themeColor="text1"/>
          <w:sz w:val="24"/>
          <w:szCs w:val="24"/>
          <w:highlight w:val="none"/>
          <w14:textFill>
            <w14:solidFill>
              <w14:schemeClr w14:val="tx1"/>
            </w14:solidFill>
          </w14:textFill>
        </w:rPr>
        <w:t xml:space="preserve">为准</w:t>
      </w:r>
      <w:r>
        <w:rPr>
          <w:rFonts w:hint="eastAsia" w:ascii="宋体" w:hAnsi="宋体" w:eastAsia="宋体" w:cs="宋体"/>
          <w:color w:val="000000" w:themeColor="text1"/>
          <w:sz w:val="24"/>
          <w:szCs w:val="24"/>
          <w:highlight w:val="none"/>
          <w14:textFill>
            <w14:solidFill>
              <w14:schemeClr w14:val="tx1"/>
            </w14:solidFill>
          </w14:textFill>
        </w:rPr>
        <w:t xml:space="preserve">。供应商质疑函范本格式请参照“苏州市政府采购”网站——“下载中心”——“</w:t>
      </w:r>
      <w:r>
        <w:rPr>
          <w:rFonts w:hint="eastAsia" w:ascii="宋体" w:hAnsi="宋体" w:eastAsia="宋体" w:cs="宋体"/>
          <w:color w:val="000000" w:themeColor="text1"/>
          <w:sz w:val="24"/>
          <w:szCs w:val="24"/>
          <w:highlight w:val="none"/>
          <w14:textFill>
            <w14:solidFill>
              <w14:schemeClr w14:val="tx1"/>
            </w14:solidFill>
          </w14:textFill>
        </w:rPr>
        <w:fldChar w:fldCharType="begin"/>
      </w:r>
      <w:r>
        <w:rPr>
          <w:rFonts w:hint="eastAsia" w:ascii="宋体" w:hAnsi="宋体" w:eastAsia="宋体" w:cs="宋体"/>
          <w:color w:val="000000" w:themeColor="text1"/>
          <w:sz w:val="24"/>
          <w:szCs w:val="24"/>
          <w:highlight w:val="none"/>
          <w14:textFill>
            <w14:solidFill>
              <w14:schemeClr w14:val="tx1"/>
            </w14:solidFill>
          </w14:textFill>
        </w:rPr>
        <w:instrText xml:space="preserve"> HYPERLINK "http://czju.suzhou.gov.cn/zfcg/html/content/20180305093615738.shtml" \t "http://czju.suzhou.gov.cn/zfcg/html/channel/_blank" \o "政府采购供应商质疑函范本" </w:instrText>
      </w:r>
      <w:r>
        <w:rPr>
          <w:rFonts w:hint="eastAsia" w:ascii="宋体" w:hAnsi="宋体" w:eastAsia="宋体" w:cs="宋体"/>
          <w:color w:val="000000" w:themeColor="text1"/>
          <w:sz w:val="24"/>
          <w:szCs w:val="24"/>
          <w:highlight w:val="none"/>
          <w14:textFill>
            <w14:solidFill>
              <w14:schemeClr w14:val="tx1"/>
            </w14:solidFill>
          </w14:textFill>
        </w:rPr>
        <w:fldChar w:fldCharType="separate"/>
      </w:r>
      <w:r>
        <w:rPr>
          <w:rFonts w:hint="eastAsia" w:ascii="宋体" w:hAnsi="宋体" w:eastAsia="宋体" w:cs="宋体"/>
          <w:color w:val="000000" w:themeColor="text1"/>
          <w:sz w:val="24"/>
          <w:szCs w:val="24"/>
          <w:highlight w:val="none"/>
          <w14:textFill>
            <w14:solidFill>
              <w14:schemeClr w14:val="tx1"/>
            </w14:solidFill>
          </w14:textFill>
        </w:rPr>
        <w:t xml:space="preserve">政府采购供应商质疑函范本</w:t>
      </w:r>
      <w:r>
        <w:rPr>
          <w:rFonts w:hint="eastAsia" w:ascii="宋体" w:hAnsi="宋体" w:eastAsia="宋体" w:cs="宋体"/>
          <w:color w:val="000000" w:themeColor="text1"/>
          <w:sz w:val="24"/>
          <w:szCs w:val="24"/>
          <w:highlight w:val="none"/>
          <w14:textFill>
            <w14:solidFill>
              <w14:schemeClr w14:val="tx1"/>
            </w14:solidFill>
          </w14:textFill>
        </w:rPr>
        <w:fldChar w:fldCharType="end"/>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firstLine="520"/>
        <w:spacing w:line="360" w:lineRule="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10、</w:t>
      </w:r>
      <w:r>
        <w:rPr>
          <w:rFonts w:hint="eastAsia" w:ascii="宋体" w:hAnsi="宋体" w:eastAsia="宋体" w:cs="宋体"/>
          <w:b/>
          <w:color w:val="000000" w:themeColor="text1"/>
          <w:sz w:val="24"/>
          <w:szCs w:val="24"/>
          <w:highlight w:val="none"/>
          <w:lang w:val="en-US" w:eastAsia="zh-CN"/>
          <w14:textFill>
            <w14:solidFill>
              <w14:schemeClr w14:val="tx1"/>
            </w14:solidFill>
          </w14:textFill>
        </w:rPr>
        <w:t xml:space="preserve">投标</w:t>
      </w:r>
      <w:r>
        <w:rPr>
          <w:rFonts w:hint="eastAsia" w:ascii="宋体" w:hAnsi="宋体" w:eastAsia="宋体" w:cs="宋体"/>
          <w:b/>
          <w:color w:val="000000" w:themeColor="text1"/>
          <w:sz w:val="24"/>
          <w:szCs w:val="24"/>
          <w:highlight w:val="none"/>
          <w14:textFill>
            <w14:solidFill>
              <w14:schemeClr w14:val="tx1"/>
            </w14:solidFill>
          </w14:textFill>
        </w:rPr>
        <w:t xml:space="preserve">文件的有效期</w:t>
      </w:r>
      <w:r/>
    </w:p>
    <w:p>
      <w:pPr>
        <w:ind w:firstLine="518"/>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10.1</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投标</w:t>
      </w:r>
      <w:r>
        <w:rPr>
          <w:rFonts w:hint="eastAsia" w:ascii="宋体" w:hAnsi="宋体" w:eastAsia="宋体" w:cs="宋体"/>
          <w:bCs/>
          <w:color w:val="000000" w:themeColor="text1"/>
          <w:sz w:val="24"/>
          <w:szCs w:val="24"/>
          <w:highlight w:val="none"/>
          <w14:textFill>
            <w14:solidFill>
              <w14:schemeClr w14:val="tx1"/>
            </w14:solidFill>
          </w14:textFill>
        </w:rPr>
        <w:t xml:space="preserve">文件的有效期自提交</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投标</w:t>
      </w:r>
      <w:r>
        <w:rPr>
          <w:rFonts w:hint="eastAsia" w:ascii="宋体" w:hAnsi="宋体" w:eastAsia="宋体" w:cs="宋体"/>
          <w:bCs/>
          <w:color w:val="000000" w:themeColor="text1"/>
          <w:sz w:val="24"/>
          <w:szCs w:val="24"/>
          <w:highlight w:val="none"/>
          <w14:textFill>
            <w14:solidFill>
              <w14:schemeClr w14:val="tx1"/>
            </w14:solidFill>
          </w14:textFill>
        </w:rPr>
        <w:t xml:space="preserve">文件的截止之日起</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九十</w:t>
      </w:r>
      <w:r>
        <w:rPr>
          <w:rFonts w:hint="eastAsia" w:ascii="宋体" w:hAnsi="宋体" w:eastAsia="宋体" w:cs="宋体"/>
          <w:bCs/>
          <w:color w:val="000000" w:themeColor="text1"/>
          <w:sz w:val="24"/>
          <w:szCs w:val="24"/>
          <w:highlight w:val="none"/>
          <w14:textFill>
            <w14:solidFill>
              <w14:schemeClr w14:val="tx1"/>
            </w14:solidFill>
          </w14:textFill>
        </w:rPr>
        <w:t xml:space="preserve">天，</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投标</w:t>
      </w:r>
      <w:r>
        <w:rPr>
          <w:rFonts w:hint="eastAsia" w:ascii="宋体" w:hAnsi="宋体" w:eastAsia="宋体" w:cs="宋体"/>
          <w:bCs/>
          <w:color w:val="000000" w:themeColor="text1"/>
          <w:sz w:val="24"/>
          <w:szCs w:val="24"/>
          <w:highlight w:val="none"/>
          <w14:textFill>
            <w14:solidFill>
              <w14:schemeClr w14:val="tx1"/>
            </w14:solidFill>
          </w14:textFill>
        </w:rPr>
        <w:t xml:space="preserve">文件应保持有效。</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投标</w:t>
      </w:r>
      <w:r>
        <w:rPr>
          <w:rFonts w:hint="eastAsia" w:ascii="宋体" w:hAnsi="宋体" w:eastAsia="宋体" w:cs="宋体"/>
          <w:bCs/>
          <w:color w:val="000000" w:themeColor="text1"/>
          <w:sz w:val="24"/>
          <w:szCs w:val="24"/>
          <w:highlight w:val="none"/>
          <w14:textFill>
            <w14:solidFill>
              <w14:schemeClr w14:val="tx1"/>
            </w14:solidFill>
          </w14:textFill>
        </w:rPr>
        <w:t xml:space="preserve">文件的有效期不明确或短于上述规定期限的，</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投标</w:t>
      </w:r>
      <w:r>
        <w:rPr>
          <w:rFonts w:hint="eastAsia" w:ascii="宋体" w:hAnsi="宋体" w:eastAsia="宋体" w:cs="宋体"/>
          <w:bCs/>
          <w:color w:val="000000" w:themeColor="text1"/>
          <w:sz w:val="24"/>
          <w:szCs w:val="24"/>
          <w:highlight w:val="none"/>
          <w14:textFill>
            <w14:solidFill>
              <w14:schemeClr w14:val="tx1"/>
            </w14:solidFill>
          </w14:textFill>
        </w:rPr>
        <w:t xml:space="preserve">文件无效。</w:t>
      </w:r>
      <w:r/>
    </w:p>
    <w:p>
      <w:pPr>
        <w:ind w:firstLine="518"/>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10.2在特殊情况下，采购人可与供应商协商延长响应文件的有效期，这种要求和答复都应以书面形式进行。</w:t>
      </w:r>
      <w:r/>
    </w:p>
    <w:p>
      <w:pPr>
        <w:ind w:firstLine="520"/>
        <w:spacing w:line="360" w:lineRule="auto"/>
        <w:rPr>
          <w:rFonts w:hint="eastAsia" w:ascii="宋体" w:hAnsi="宋体" w:eastAsia="宋体" w:cs="宋体"/>
          <w:b/>
          <w:color w:val="000000" w:themeColor="text1"/>
          <w:sz w:val="24"/>
          <w:szCs w:val="24"/>
          <w:highlight w:val="none"/>
          <w:lang w:val="en-US" w:eastAsia="zh-CN"/>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1</w:t>
      </w:r>
      <w:r>
        <w:rPr>
          <w:rFonts w:hint="eastAsia" w:ascii="宋体" w:hAnsi="宋体" w:eastAsia="宋体" w:cs="宋体"/>
          <w:b/>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b/>
          <w:color w:val="000000" w:themeColor="text1"/>
          <w:sz w:val="24"/>
          <w:szCs w:val="24"/>
          <w:highlight w:val="none"/>
          <w14:textFill>
            <w14:solidFill>
              <w14:schemeClr w14:val="tx1"/>
            </w14:solidFill>
          </w14:textFill>
        </w:rPr>
        <w:t xml:space="preserve">、代理服务费</w:t>
      </w:r>
      <w:r>
        <w:rPr>
          <w:rFonts w:hint="eastAsia" w:ascii="宋体" w:hAnsi="宋体" w:eastAsia="宋体" w:cs="宋体"/>
          <w:b/>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color w:val="000000" w:themeColor="text1"/>
          <w:sz w:val="24"/>
          <w:szCs w:val="24"/>
          <w:highlight w:val="none"/>
          <w:lang w:val="en-US" w:eastAsia="zh-CN"/>
          <w14:textFill>
            <w14:solidFill>
              <w14:schemeClr w14:val="tx1"/>
            </w14:solidFill>
          </w14:textFill>
        </w:rPr>
        <w:t xml:space="preserve">由中标单位承担。</w:t>
      </w:r>
      <w:r/>
    </w:p>
    <w:p>
      <w:pPr>
        <w:ind w:firstLine="518"/>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bCs/>
          <w:color w:val="000000" w:themeColor="text1"/>
          <w:sz w:val="24"/>
          <w:szCs w:val="24"/>
          <w:highlight w:val="none"/>
          <w14:textFill>
            <w14:solidFill>
              <w14:schemeClr w14:val="tx1"/>
            </w14:solidFill>
          </w14:textFill>
        </w:rPr>
        <w:t xml:space="preserve">.1代理服务费以采购预算金额为基数依据</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按如下规定的标准和差额定率累进法进行计算收取：</w:t>
      </w:r>
      <w:r/>
    </w:p>
    <w:p>
      <w:pPr>
        <w:ind w:firstLine="518"/>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预算金额100万元以下部分</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费率为该部分预算金额的1.5％；</w:t>
      </w:r>
      <w:r/>
    </w:p>
    <w:p>
      <w:pPr>
        <w:ind w:firstLine="518"/>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预算金额100万元（含）－500万元部分</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费率为该部分预算金额的1.1％；</w:t>
      </w:r>
      <w:r/>
    </w:p>
    <w:p>
      <w:pPr>
        <w:ind w:firstLine="518"/>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预算金额500万元（含）-1000万元部分</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费率为该部分预算金额的0.8％；</w:t>
      </w:r>
      <w:r/>
    </w:p>
    <w:p>
      <w:pPr>
        <w:ind w:firstLine="518"/>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预算金额1000万元（含）-5000万元部分</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费率为该部分预算金额的0.5％；</w:t>
      </w:r>
      <w:r/>
    </w:p>
    <w:p>
      <w:pPr>
        <w:ind w:firstLine="518"/>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预算金额5000万元以上部分</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费率为该部分预算金额的0.25％。</w:t>
      </w:r>
      <w:r/>
    </w:p>
    <w:p>
      <w:pPr>
        <w:ind w:firstLine="518"/>
        <w:spacing w:line="360" w:lineRule="auto"/>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bCs/>
          <w:color w:val="000000" w:themeColor="text1"/>
          <w:sz w:val="24"/>
          <w:szCs w:val="24"/>
          <w:highlight w:val="none"/>
          <w14:textFill>
            <w14:solidFill>
              <w14:schemeClr w14:val="tx1"/>
            </w14:solidFill>
          </w14:textFill>
        </w:rPr>
        <w:t xml:space="preserve">.2本项目代理服务费（人民币）：</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43050.00元。</w:t>
      </w:r>
      <w:r/>
    </w:p>
    <w:p>
      <w:pPr>
        <w:ind w:firstLine="518"/>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bCs/>
          <w:color w:val="000000" w:themeColor="text1"/>
          <w:sz w:val="24"/>
          <w:szCs w:val="24"/>
          <w:highlight w:val="none"/>
          <w14:textFill>
            <w14:solidFill>
              <w14:schemeClr w14:val="tx1"/>
            </w14:solidFill>
          </w14:textFill>
        </w:rPr>
        <w:t xml:space="preserve">.3代理服务费由中标</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单位</w:t>
      </w:r>
      <w:r>
        <w:rPr>
          <w:rFonts w:hint="eastAsia" w:ascii="宋体" w:hAnsi="宋体" w:eastAsia="宋体" w:cs="宋体"/>
          <w:bCs/>
          <w:color w:val="000000" w:themeColor="text1"/>
          <w:sz w:val="24"/>
          <w:szCs w:val="24"/>
          <w:highlight w:val="none"/>
          <w14:textFill>
            <w14:solidFill>
              <w14:schemeClr w14:val="tx1"/>
            </w14:solidFill>
          </w14:textFill>
        </w:rPr>
        <w:t xml:space="preserve">在领取中标通知书时一次性付清并含在其投标报价中。</w:t>
      </w:r>
      <w:r/>
    </w:p>
    <w:p>
      <w:pPr>
        <w:ind w:firstLine="518"/>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bCs/>
          <w:color w:val="000000" w:themeColor="text1"/>
          <w:sz w:val="24"/>
          <w:szCs w:val="24"/>
          <w:highlight w:val="none"/>
          <w14:textFill>
            <w14:solidFill>
              <w14:schemeClr w14:val="tx1"/>
            </w14:solidFill>
          </w14:textFill>
        </w:rPr>
        <w:t xml:space="preserve">.4中标</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单位</w:t>
      </w:r>
      <w:r>
        <w:rPr>
          <w:rFonts w:hint="eastAsia" w:ascii="宋体" w:hAnsi="宋体" w:eastAsia="宋体" w:cs="宋体"/>
          <w:bCs/>
          <w:color w:val="000000" w:themeColor="text1"/>
          <w:sz w:val="24"/>
          <w:szCs w:val="24"/>
          <w:highlight w:val="none"/>
          <w14:textFill>
            <w14:solidFill>
              <w14:schemeClr w14:val="tx1"/>
            </w14:solidFill>
          </w14:textFill>
        </w:rPr>
        <w:t xml:space="preserve">如果未按上述规定缴纳中标服务费</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采购代理机构将保留诉讼的权利。</w:t>
      </w:r>
      <w:r/>
    </w:p>
    <w:p>
      <w:pPr>
        <w:ind w:firstLine="518"/>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bCs/>
          <w:color w:val="000000" w:themeColor="text1"/>
          <w:sz w:val="24"/>
          <w:szCs w:val="24"/>
          <w:highlight w:val="none"/>
          <w14:textFill>
            <w14:solidFill>
              <w14:schemeClr w14:val="tx1"/>
            </w14:solidFill>
          </w14:textFill>
        </w:rPr>
        <w:t xml:space="preserve">.5采购代理机构服务费账号如下：</w:t>
      </w:r>
      <w:r/>
    </w:p>
    <w:p>
      <w:pPr>
        <w:ind w:firstLine="518"/>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收款单位：苏州正杰招投标咨询服务有限公司。</w:t>
      </w:r>
      <w:r>
        <w:rPr>
          <w:rFonts w:hint="eastAsia" w:ascii="宋体" w:hAnsi="宋体" w:eastAsia="宋体" w:cs="宋体"/>
          <w:bCs/>
          <w:color w:val="000000" w:themeColor="text1"/>
          <w:sz w:val="24"/>
          <w:szCs w:val="24"/>
          <w:highlight w:val="none"/>
          <w14:textFill>
            <w14:solidFill>
              <w14:schemeClr w14:val="tx1"/>
            </w14:solidFill>
          </w14:textFill>
        </w:rPr>
        <w:tab/>
      </w:r>
      <w:r/>
    </w:p>
    <w:p>
      <w:pPr>
        <w:ind w:firstLine="518"/>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银行账号：89190154740002582。</w:t>
      </w:r>
      <w:r/>
    </w:p>
    <w:p>
      <w:pPr>
        <w:ind w:firstLine="518"/>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开户银行：上海浦东发展银行苏州姑苏支行。</w:t>
      </w:r>
      <w:r/>
    </w:p>
    <w:p>
      <w:pPr>
        <w:ind w:firstLine="520"/>
        <w:spacing w:line="36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1</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
          <w:bCs/>
          <w:color w:val="000000" w:themeColor="text1"/>
          <w:sz w:val="24"/>
          <w:szCs w:val="24"/>
          <w:highlight w:val="none"/>
          <w14:textFill>
            <w14:solidFill>
              <w14:schemeClr w14:val="tx1"/>
            </w14:solidFill>
          </w14:textFill>
        </w:rPr>
        <w:t xml:space="preserve">、其他事项</w:t>
      </w:r>
      <w:r/>
    </w:p>
    <w:p>
      <w:pPr>
        <w:ind w:firstLine="518"/>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14:textFill>
            <w14:solidFill>
              <w14:schemeClr w14:val="tx1"/>
            </w14:solidFill>
          </w14:textFill>
        </w:rPr>
        <w:t xml:space="preserve">.1未尽事宜按《中华人民共和国政府采购法》及其他有关法律法规文件的规定执行。</w:t>
      </w:r>
      <w:r/>
    </w:p>
    <w:p>
      <w:pPr>
        <w:pStyle w:val="746"/>
        <w:ind w:firstLine="502"/>
        <w:jc w:val="both"/>
        <w:spacing w:line="360" w:lineRule="auto"/>
        <w:shd w:val="clear" w:color="auto"/>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br w:type="page" w:clear="all"/>
      </w:r>
      <w:r/>
    </w:p>
    <w:p>
      <w:pPr>
        <w:pStyle w:val="746"/>
        <w:ind w:firstLine="482"/>
        <w:jc w:val="center"/>
        <w:spacing w:line="360" w:lineRule="auto"/>
        <w:shd w:val="clear" w:color="auto"/>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 xml:space="preserve">第三章 投标文件格式</w:t>
      </w:r>
      <w:r/>
    </w:p>
    <w:p>
      <w:pPr>
        <w:pStyle w:val="819"/>
        <w:spacing w:line="360" w:lineRule="auto"/>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1、投标函</w:t>
      </w:r>
      <w:r/>
    </w:p>
    <w:p>
      <w:pPr>
        <w:pStyle w:val="819"/>
        <w:spacing w:line="360" w:lineRule="auto"/>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苏州正杰招投标咨询服务有限公司：</w:t>
      </w:r>
      <w:r/>
    </w:p>
    <w:p>
      <w:pPr>
        <w:pStyle w:val="819"/>
        <w:spacing w:line="360" w:lineRule="auto"/>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我们收到贵公司</w:t>
      </w:r>
      <w:r>
        <w:rPr>
          <w:rFonts w:hint="eastAsia" w:ascii="宋体" w:hAnsi="宋体" w:eastAsia="宋体" w:cs="宋体"/>
          <w:color w:val="000000" w:themeColor="text1"/>
          <w:szCs w:val="24"/>
          <w:highlight w:val="none"/>
          <w14:textFill>
            <w14:solidFill>
              <w14:schemeClr w14:val="tx1"/>
            </w14:solidFill>
          </w14:textFill>
        </w:rPr>
        <w:t xml:space="preserve">________</w:t>
      </w:r>
      <w:r>
        <w:rPr>
          <w:rFonts w:hint="eastAsia" w:ascii="宋体" w:hAnsi="宋体" w:eastAsia="宋体" w:cs="宋体"/>
          <w:color w:val="000000" w:themeColor="text1"/>
          <w:sz w:val="24"/>
          <w:szCs w:val="24"/>
          <w:highlight w:val="none"/>
          <w14:textFill>
            <w14:solidFill>
              <w14:schemeClr w14:val="tx1"/>
            </w14:solidFill>
          </w14:textFill>
        </w:rPr>
        <w:t xml:space="preserve">号招标文件</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经仔细阅读和研究</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我们决定参加采购活动。</w:t>
      </w:r>
      <w:r/>
    </w:p>
    <w:p>
      <w:pPr>
        <w:pStyle w:val="819"/>
        <w:numPr>
          <w:ilvl w:val="0"/>
          <w:numId w:val="0"/>
        </w:numPr>
        <w:ind w:firstLine="480"/>
        <w:spacing w:line="360" w:lineRule="auto"/>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我们愿意按照招标文件的一切要求</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提供完成该项目的全部内容</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我们的投标报价包括完成所有采购内容以及本项目所需的劳务支出、保险、配套费用、税费及服务相关等所发生的全部费用以及企业利润、税金和政策性文件规定及合同包含的所有风险、责任等各项应有费用。</w:t>
      </w:r>
      <w:r/>
    </w:p>
    <w:p>
      <w:pPr>
        <w:pStyle w:val="819"/>
        <w:ind w:firstLine="480"/>
        <w:spacing w:line="360" w:lineRule="auto"/>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2、如果我们的投标被接受</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我们将严格履行招标文件中规定的每一项要求</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严格履行合同的责任和义务</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保证按期、按质履行合同</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完成合同内容所规定的全部工作。</w:t>
      </w:r>
      <w:r/>
    </w:p>
    <w:p>
      <w:pPr>
        <w:pStyle w:val="819"/>
        <w:spacing w:line="360" w:lineRule="auto"/>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3、我们同意按招标文件规定</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本投标书的有效期限自提交投标文件的截止之日起</w:t>
      </w:r>
      <w:r>
        <w:rPr>
          <w:rFonts w:hint="eastAsia" w:ascii="宋体" w:hAnsi="宋体" w:eastAsia="宋体" w:cs="宋体"/>
          <w:color w:val="000000" w:themeColor="text1"/>
          <w:szCs w:val="24"/>
          <w:highlight w:val="none"/>
          <w14:textFill>
            <w14:solidFill>
              <w14:schemeClr w14:val="tx1"/>
            </w14:solidFill>
          </w14:textFill>
        </w:rPr>
        <w:t xml:space="preserve">___</w:t>
      </w:r>
      <w:r>
        <w:rPr>
          <w:rFonts w:hint="eastAsia" w:ascii="宋体" w:hAnsi="宋体" w:eastAsia="宋体" w:cs="宋体"/>
          <w:color w:val="000000" w:themeColor="text1"/>
          <w:sz w:val="24"/>
          <w:szCs w:val="24"/>
          <w:highlight w:val="none"/>
          <w14:textFill>
            <w14:solidFill>
              <w14:schemeClr w14:val="tx1"/>
            </w14:solidFill>
          </w14:textFill>
        </w:rPr>
        <w:t xml:space="preserve">天。如果我们在开标后规定的投标有效期内撤回投标</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我们愿承担由此造成的一切后果。</w:t>
      </w:r>
      <w:r/>
    </w:p>
    <w:p>
      <w:pPr>
        <w:pStyle w:val="819"/>
        <w:ind w:firstLine="480"/>
        <w:spacing w:line="360" w:lineRule="auto"/>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4、我们愿意提供招标文件中要求的所有资料</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也同意向贵方提供贵方可能另外要求的与其投标有关的任何证据或资料</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并保证所提供的资料全部是真实的、有效的</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若有虚假</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我们愿承担由此造成的一切后果。</w:t>
      </w:r>
      <w:r/>
    </w:p>
    <w:p>
      <w:pPr>
        <w:pStyle w:val="819"/>
        <w:ind w:firstLine="480"/>
        <w:spacing w:line="360" w:lineRule="auto"/>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5、我们认为你们有权决定中标单位</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还认为你们有权接受或拒绝投标人。</w:t>
      </w:r>
      <w:r/>
    </w:p>
    <w:p>
      <w:pPr>
        <w:pStyle w:val="819"/>
        <w:spacing w:line="360" w:lineRule="auto"/>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6、我们愿意遵守招标公告及招标文件中所列的收费标准。</w:t>
      </w:r>
      <w:r/>
    </w:p>
    <w:p>
      <w:pPr>
        <w:pStyle w:val="819"/>
        <w:ind w:firstLine="480"/>
        <w:spacing w:line="360" w:lineRule="auto"/>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7、我们承诺本项投标文件在开标后的全过程中保持有效。我们同意中标后若不履行投标文件的内容要求和各项承诺及义务的即被视为违约</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我们愿承担由此造成的一切后果。</w:t>
      </w:r>
      <w:r/>
    </w:p>
    <w:p>
      <w:pPr>
        <w:pStyle w:val="819"/>
        <w:ind w:firstLine="480"/>
        <w:spacing w:line="360" w:lineRule="auto"/>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8、如果我们中标，我们愿意在签订合同时按招标文件规定支付中标服务费。</w:t>
      </w:r>
      <w:r/>
    </w:p>
    <w:p>
      <w:pPr>
        <w:pStyle w:val="819"/>
        <w:ind w:firstLine="480"/>
        <w:spacing w:line="360" w:lineRule="auto"/>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9</w:t>
      </w:r>
      <w:r>
        <w:rPr>
          <w:rFonts w:hint="eastAsia" w:ascii="宋体" w:hAnsi="宋体" w:eastAsia="宋体" w:cs="宋体"/>
          <w:color w:val="000000" w:themeColor="text1"/>
          <w:sz w:val="24"/>
          <w:szCs w:val="24"/>
          <w:highlight w:val="none"/>
          <w14:textFill>
            <w14:solidFill>
              <w14:schemeClr w14:val="tx1"/>
            </w14:solidFill>
          </w14:textFill>
        </w:rPr>
        <w:t xml:space="preserve">、与本次招标有关的通讯地址：</w:t>
      </w:r>
      <w:r/>
    </w:p>
    <w:p>
      <w:pPr>
        <w:pStyle w:val="819"/>
        <w:spacing w:line="360" w:lineRule="auto"/>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单位名称：                                 联系人员：</w:t>
      </w:r>
      <w:r/>
    </w:p>
    <w:p>
      <w:pPr>
        <w:pStyle w:val="819"/>
        <w:spacing w:line="360" w:lineRule="auto"/>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单位地址：                                 邮政编码：</w:t>
      </w:r>
      <w:r/>
    </w:p>
    <w:p>
      <w:pPr>
        <w:pStyle w:val="819"/>
        <w:spacing w:line="360" w:lineRule="auto"/>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联系电话：                                 传真号码：</w:t>
      </w:r>
      <w:r/>
    </w:p>
    <w:p>
      <w:pPr>
        <w:pStyle w:val="746"/>
        <w:ind w:right="420" w:firstLine="480"/>
        <w:spacing w:line="360" w:lineRule="auto"/>
        <w:shd w:val="clear" w:color="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lang w:val="en-US" w:eastAsia="zh-CN"/>
          <w14:textFill>
            <w14:solidFill>
              <w14:schemeClr w14:val="tx1"/>
            </w14:solidFill>
          </w14:textFill>
        </w:rPr>
        <w:t xml:space="preserve">投标人</w:t>
      </w:r>
      <w:r>
        <w:rPr>
          <w:rFonts w:hint="eastAsia" w:ascii="宋体" w:hAnsi="宋体" w:eastAsia="宋体" w:cs="宋体"/>
          <w:color w:val="000000" w:themeColor="text1"/>
          <w:sz w:val="24"/>
          <w:szCs w:val="24"/>
          <w:highlight w:val="none"/>
          <w14:textFill>
            <w14:solidFill>
              <w14:schemeClr w14:val="tx1"/>
            </w14:solidFill>
          </w14:textFill>
        </w:rPr>
        <w:t xml:space="preserve">（单位盖章）</w:t>
      </w:r>
      <w:r>
        <w:rPr>
          <w:rFonts w:hint="eastAsia" w:ascii="宋体" w:hAnsi="宋体" w:eastAsia="宋体" w:cs="宋体"/>
          <w:color w:val="000000" w:themeColor="text1"/>
          <w:szCs w:val="24"/>
          <w:highlight w:val="none"/>
          <w14:textFill>
            <w14:solidFill>
              <w14:schemeClr w14:val="tx1"/>
            </w14:solidFill>
          </w14:textFill>
        </w:rPr>
        <w:t xml:space="preserve">：</w:t>
      </w:r>
      <w:r>
        <w:rPr>
          <w:rFonts w:hint="eastAsia" w:ascii="宋体" w:hAnsi="宋体" w:eastAsia="宋体" w:cs="宋体"/>
          <w:color w:val="000000" w:themeColor="text1"/>
          <w:szCs w:val="24"/>
          <w:highlight w:val="none"/>
          <w:lang w:val="en-US" w:eastAsia="zh-CN"/>
          <w14:textFill>
            <w14:solidFill>
              <w14:schemeClr w14:val="tx1"/>
            </w14:solidFill>
          </w14:textFill>
        </w:rPr>
        <w:t xml:space="preserve">                       </w:t>
      </w:r>
      <w:r/>
    </w:p>
    <w:p>
      <w:pPr>
        <w:pStyle w:val="746"/>
        <w:ind w:right="420" w:firstLine="480"/>
        <w:spacing w:line="360" w:lineRule="auto"/>
        <w:shd w:val="clear" w:color="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 xml:space="preserve">法定代表人或代理人</w:t>
      </w:r>
      <w:r>
        <w:rPr>
          <w:rFonts w:hint="eastAsia" w:ascii="宋体" w:hAnsi="宋体" w:eastAsia="宋体" w:cs="宋体"/>
          <w:color w:val="000000" w:themeColor="text1"/>
          <w:sz w:val="24"/>
          <w:szCs w:val="24"/>
          <w:highlight w:val="none"/>
          <w14:textFill>
            <w14:solidFill>
              <w14:schemeClr w14:val="tx1"/>
            </w14:solidFill>
          </w14:textFill>
        </w:rPr>
        <w:t xml:space="preserve">（签字或盖章）</w:t>
      </w:r>
      <w:r>
        <w:rPr>
          <w:rFonts w:hint="eastAsia" w:ascii="宋体" w:hAnsi="宋体" w:eastAsia="宋体" w:cs="宋体"/>
          <w:color w:val="000000" w:themeColor="text1"/>
          <w:szCs w:val="24"/>
          <w:highlight w:val="none"/>
          <w14:textFill>
            <w14:solidFill>
              <w14:schemeClr w14:val="tx1"/>
            </w14:solidFill>
          </w14:textFill>
        </w:rPr>
        <w:t xml:space="preserve">：</w:t>
      </w:r>
      <w:r/>
    </w:p>
    <w:p>
      <w:pPr>
        <w:pStyle w:val="746"/>
        <w:ind w:right="420" w:firstLine="480"/>
        <w:spacing w:line="360" w:lineRule="auto"/>
        <w:shd w:val="clear" w:color="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 xml:space="preserve">日期：     年     月     日</w:t>
      </w:r>
      <w:r/>
    </w:p>
    <w:p>
      <w:pPr>
        <w:pStyle w:val="746"/>
        <w:ind w:right="420" w:firstLine="0"/>
        <w:spacing w:line="360" w:lineRule="auto"/>
        <w:shd w:val="clear" w:color="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r>
      <w:r/>
    </w:p>
    <w:p>
      <w:pPr>
        <w:pStyle w:val="746"/>
        <w:ind w:right="420" w:firstLine="0"/>
        <w:spacing w:line="360" w:lineRule="auto"/>
        <w:shd w:val="clear" w:color="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r>
      <w:r/>
    </w:p>
    <w:p>
      <w:pPr>
        <w:spacing w:line="360" w:lineRule="auto"/>
        <w:shd w:val="clear" w:color="auto"/>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r>
      <w:r/>
    </w:p>
    <w:p>
      <w:pPr>
        <w:spacing w:line="360" w:lineRule="auto"/>
        <w:shd w:val="clear" w:color="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w:t>
      </w: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法定代表人授权委托书</w:t>
      </w:r>
      <w:r/>
    </w:p>
    <w:p>
      <w:pPr>
        <w:pStyle w:val="746"/>
        <w:ind w:firstLine="480"/>
        <w:jc w:val="both"/>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本授权委托书声明：我</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（姓名）系</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（单位名称）的法定代表人</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现授权委托</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u w:val="none"/>
          <w14:textFill>
            <w14:solidFill>
              <w14:schemeClr w14:val="tx1"/>
            </w14:solidFill>
          </w14:textFill>
        </w:rPr>
        <w:t xml:space="preserve">（单位名称）</w:t>
      </w:r>
      <w:r>
        <w:rPr>
          <w:rFonts w:hint="eastAsia" w:ascii="宋体" w:hAnsi="宋体" w:eastAsia="宋体" w:cs="宋体"/>
          <w:color w:val="000000" w:themeColor="text1"/>
          <w:sz w:val="24"/>
          <w:szCs w:val="24"/>
          <w:highlight w:val="none"/>
          <w14:textFill>
            <w14:solidFill>
              <w14:schemeClr w14:val="tx1"/>
            </w14:solidFill>
          </w14:textFill>
        </w:rPr>
        <w:t xml:space="preserve">的</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（姓名）为我公司代理人</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并以本公司的名义在</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号（</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项目</w:t>
      </w:r>
      <w:r>
        <w:rPr>
          <w:rFonts w:hint="eastAsia" w:ascii="宋体" w:hAnsi="宋体" w:eastAsia="宋体" w:cs="宋体"/>
          <w:color w:val="000000" w:themeColor="text1"/>
          <w:sz w:val="24"/>
          <w:szCs w:val="24"/>
          <w:highlight w:val="none"/>
          <w14:textFill>
            <w14:solidFill>
              <w14:schemeClr w14:val="tx1"/>
            </w14:solidFill>
          </w14:textFill>
        </w:rPr>
        <w:t xml:space="preserve">编号）采购项目的开标、评标和合同签订过程中所签署的一切文件和处理与这有关的一切事务</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我公司均予以承认。</w:t>
      </w:r>
      <w:r/>
    </w:p>
    <w:p>
      <w:pPr>
        <w:pStyle w:val="746"/>
        <w:ind w:firstLine="0"/>
        <w:jc w:val="both"/>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代理人在授权委托书有效期内签署的所有文件不因授权委托的撤销而失效</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除非有撤销授权委托的书面通知</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本授权委托书有效期自投标文件提交开始至合同履行完毕止。</w:t>
      </w:r>
      <w:r/>
    </w:p>
    <w:p>
      <w:pPr>
        <w:pStyle w:val="746"/>
        <w:ind w:firstLine="0"/>
        <w:jc w:val="both"/>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代理人无转委托权。特此委托。</w:t>
      </w:r>
      <w:r/>
    </w:p>
    <w:p>
      <w:pPr>
        <w:pStyle w:val="819"/>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w:t>
      </w:r>
      <w:r/>
    </w:p>
    <w:p>
      <w:pPr>
        <w:pStyle w:val="819"/>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投标人（单位盖章）：</w:t>
      </w:r>
      <w:r/>
    </w:p>
    <w:p>
      <w:pPr>
        <w:pStyle w:val="746"/>
        <w:ind w:firstLine="0"/>
        <w:jc w:val="both"/>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法定代表人：（签字或盖章）</w:t>
      </w:r>
      <w:r/>
    </w:p>
    <w:p>
      <w:pPr>
        <w:pStyle w:val="746"/>
        <w:ind w:firstLine="0"/>
        <w:jc w:val="both"/>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代理人：（签字或盖章）</w:t>
      </w:r>
      <w:r/>
    </w:p>
    <w:p>
      <w:pPr>
        <w:pStyle w:val="819"/>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日期：     年     月     日</w:t>
      </w:r>
      <w:r/>
    </w:p>
    <w:p>
      <w:pPr>
        <w:pStyle w:val="746"/>
        <w:ind w:firstLine="482"/>
        <w:spacing w:line="360" w:lineRule="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r>
      <w:r/>
    </w:p>
    <w:p>
      <w:pPr>
        <w:pStyle w:val="746"/>
        <w:ind w:firstLine="482"/>
        <w:spacing w:line="360" w:lineRule="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注：本授权委托书仅限于法人性质投标人投标</w:t>
      </w:r>
      <w:r>
        <w:rPr>
          <w:rFonts w:hint="eastAsia" w:ascii="宋体" w:hAnsi="宋体" w:eastAsia="宋体" w:cs="宋体"/>
          <w:b/>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color w:val="000000" w:themeColor="text1"/>
          <w:sz w:val="24"/>
          <w:szCs w:val="24"/>
          <w:highlight w:val="none"/>
          <w14:textFill>
            <w14:solidFill>
              <w14:schemeClr w14:val="tx1"/>
            </w14:solidFill>
          </w14:textFill>
        </w:rPr>
        <w:t xml:space="preserve">投标文件中必须提供法定代表人和代理人身份证复印件。非法人性质投标人投标</w:t>
      </w:r>
      <w:r>
        <w:rPr>
          <w:rFonts w:hint="eastAsia" w:ascii="宋体" w:hAnsi="宋体" w:eastAsia="宋体" w:cs="宋体"/>
          <w:b/>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color w:val="000000" w:themeColor="text1"/>
          <w:sz w:val="24"/>
          <w:szCs w:val="24"/>
          <w:highlight w:val="none"/>
          <w14:textFill>
            <w14:solidFill>
              <w14:schemeClr w14:val="tx1"/>
            </w14:solidFill>
          </w14:textFill>
        </w:rPr>
        <w:t xml:space="preserve">授权委托书格式自拟</w:t>
      </w:r>
      <w:r>
        <w:rPr>
          <w:rFonts w:hint="eastAsia" w:ascii="宋体" w:hAnsi="宋体" w:eastAsia="宋体" w:cs="宋体"/>
          <w:b/>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color w:val="000000" w:themeColor="text1"/>
          <w:sz w:val="24"/>
          <w:szCs w:val="24"/>
          <w:highlight w:val="none"/>
          <w14:textFill>
            <w14:solidFill>
              <w14:schemeClr w14:val="tx1"/>
            </w14:solidFill>
          </w14:textFill>
        </w:rPr>
        <w:t xml:space="preserve">但必须同时提供受托双方身份证复印件。</w:t>
      </w:r>
      <w:r/>
    </w:p>
    <w:p>
      <w:pPr>
        <w:pStyle w:val="780"/>
        <w:ind w:firstLine="480"/>
        <w:jc w:val="both"/>
        <w:spacing w:line="360" w:lineRule="auto"/>
        <w:shd w:val="clear" w:color="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746"/>
        <w:ind w:right="420" w:firstLine="0"/>
        <w:spacing w:line="360" w:lineRule="auto"/>
        <w:shd w:val="clear" w:color="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r>
      <w:r/>
    </w:p>
    <w:p>
      <w:pPr>
        <w:pStyle w:val="746"/>
        <w:ind w:right="420" w:firstLine="0"/>
        <w:spacing w:line="360" w:lineRule="auto"/>
        <w:shd w:val="clear" w:color="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r>
      <w:r/>
    </w:p>
    <w:p>
      <w:pPr>
        <w:pStyle w:val="746"/>
        <w:ind w:right="420" w:firstLine="0"/>
        <w:spacing w:line="360" w:lineRule="auto"/>
        <w:shd w:val="clear" w:color="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r>
      <w:r/>
    </w:p>
    <w:p>
      <w:pPr>
        <w:pStyle w:val="746"/>
        <w:ind w:right="420" w:firstLine="0"/>
        <w:spacing w:line="360" w:lineRule="auto"/>
        <w:shd w:val="clear" w:color="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r>
      <w:r/>
    </w:p>
    <w:p>
      <w:pPr>
        <w:pStyle w:val="746"/>
        <w:ind w:right="420" w:firstLine="0"/>
        <w:spacing w:line="360" w:lineRule="auto"/>
        <w:shd w:val="clear" w:color="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r>
      <w:r/>
    </w:p>
    <w:p>
      <w:pPr>
        <w:pStyle w:val="746"/>
        <w:ind w:right="420" w:firstLine="0"/>
        <w:spacing w:line="360" w:lineRule="auto"/>
        <w:shd w:val="clear" w:color="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r>
      <w:r/>
    </w:p>
    <w:p>
      <w:pPr>
        <w:pStyle w:val="746"/>
        <w:ind w:right="420" w:firstLine="0"/>
        <w:spacing w:line="360" w:lineRule="auto"/>
        <w:shd w:val="clear" w:color="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r>
      <w:r/>
    </w:p>
    <w:p>
      <w:pPr>
        <w:pStyle w:val="746"/>
        <w:ind w:firstLine="0"/>
        <w:jc w:val="center"/>
        <w:spacing w:line="360" w:lineRule="auto"/>
        <w:shd w:val="clear" w:color="auto"/>
        <w:rPr>
          <w:rFonts w:hint="eastAsia" w:ascii="宋体" w:hAnsi="宋体" w:eastAsia="宋体" w:cs="宋体"/>
          <w:color w:val="000000" w:themeColor="text1"/>
          <w:szCs w:val="24"/>
          <w:highlight w:val="none"/>
          <w14:textFill>
            <w14:solidFill>
              <w14:schemeClr w14:val="tx1"/>
            </w14:solidFill>
          </w14:textFill>
        </w:rPr>
        <w:sectPr>
          <w:footerReference w:type="default" r:id="rId14"/>
          <w:footnotePr/>
          <w:endnotePr/>
          <w:type w:val="nextPage"/>
          <w:pgSz w:w="11906" w:h="16838" w:orient="portrait"/>
          <w:pgMar w:top="1134" w:right="1134" w:bottom="1134" w:left="1134" w:header="851" w:footer="992" w:gutter="0"/>
          <w:pgNumType w:start="1"/>
          <w:cols w:num="1" w:sep="0" w:space="720" w:equalWidth="1"/>
          <w:docGrid w:linePitch="360"/>
        </w:sectPr>
        <w:outlineLvl w:val="1"/>
      </w:pPr>
      <w:r>
        <w:rPr>
          <w:rFonts w:hint="eastAsia" w:ascii="宋体" w:hAnsi="宋体" w:eastAsia="宋体" w:cs="宋体"/>
          <w:color w:val="000000" w:themeColor="text1"/>
          <w:szCs w:val="24"/>
          <w:highlight w:val="none"/>
          <w14:textFill>
            <w14:solidFill>
              <w14:schemeClr w14:val="tx1"/>
            </w14:solidFill>
          </w14:textFill>
        </w:rPr>
      </w:r>
      <w:r/>
    </w:p>
    <w:p>
      <w:pPr>
        <w:pStyle w:val="746"/>
        <w:ind w:right="420" w:firstLine="0"/>
        <w:spacing w:line="360" w:lineRule="auto"/>
        <w:shd w:val="clear" w:color="auto"/>
        <w:rPr>
          <w:rFonts w:hint="eastAsia" w:ascii="宋体" w:hAnsi="宋体" w:eastAsia="宋体" w:cs="宋体"/>
          <w:bCs/>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 xml:space="preserve">3</w:t>
      </w:r>
      <w:r>
        <w:rPr>
          <w:rFonts w:hint="eastAsia" w:ascii="宋体" w:hAnsi="宋体" w:eastAsia="宋体" w:cs="宋体"/>
          <w:bCs/>
          <w:color w:val="000000" w:themeColor="text1"/>
          <w:szCs w:val="24"/>
          <w:highlight w:val="none"/>
          <w14:textFill>
            <w14:solidFill>
              <w14:schemeClr w14:val="tx1"/>
            </w14:solidFill>
          </w14:textFill>
        </w:rPr>
        <w:t xml:space="preserve">、关于资格文件的声明函</w:t>
      </w:r>
      <w:r/>
    </w:p>
    <w:p>
      <w:pPr>
        <w:pStyle w:val="819"/>
        <w:spacing w:line="360" w:lineRule="auto"/>
        <w:shd w:val="clear" w:color="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苏州正杰招投标咨询服务有限公司：</w:t>
      </w:r>
      <w:r/>
    </w:p>
    <w:p>
      <w:pPr>
        <w:pStyle w:val="819"/>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本公司愿就由贵公司组织实施的</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项目</w:t>
      </w:r>
      <w:r>
        <w:rPr>
          <w:rFonts w:hint="eastAsia" w:ascii="宋体" w:hAnsi="宋体" w:eastAsia="宋体" w:cs="宋体"/>
          <w:color w:val="000000" w:themeColor="text1"/>
          <w:sz w:val="24"/>
          <w:szCs w:val="24"/>
          <w:highlight w:val="none"/>
          <w14:textFill>
            <w14:solidFill>
              <w14:schemeClr w14:val="tx1"/>
            </w14:solidFill>
          </w14:textFill>
        </w:rPr>
        <w:t xml:space="preserve">编号为</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号的招标活动进行投标。本公司所提交的投标文件中所有关于投标资格的文件、证明和陈述均是真实的、准确的和有效的。若与事实情况不符</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本公司愿意承担由此而产生的一切后果。</w:t>
      </w:r>
      <w:r/>
    </w:p>
    <w:p>
      <w:pPr>
        <w:pStyle w:val="819"/>
        <w:spacing w:line="360" w:lineRule="auto"/>
        <w:shd w:val="clear" w:color="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pStyle w:val="819"/>
        <w:ind w:firstLine="480"/>
        <w:spacing w:line="360" w:lineRule="auto"/>
        <w:shd w:val="clear" w:color="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投标人</w:t>
      </w:r>
      <w:r>
        <w:rPr>
          <w:rFonts w:hint="eastAsia" w:ascii="宋体" w:hAnsi="宋体" w:eastAsia="宋体" w:cs="宋体"/>
          <w:color w:val="000000" w:themeColor="text1"/>
          <w:sz w:val="24"/>
          <w:szCs w:val="24"/>
          <w:highlight w:val="none"/>
          <w14:textFill>
            <w14:solidFill>
              <w14:schemeClr w14:val="tx1"/>
            </w14:solidFill>
          </w14:textFill>
        </w:rPr>
        <w:t xml:space="preserve">（单位盖章）</w:t>
      </w:r>
      <w:r>
        <w:rPr>
          <w:rFonts w:hint="eastAsia" w:ascii="宋体" w:hAnsi="宋体" w:eastAsia="宋体" w:cs="宋体"/>
          <w:bCs/>
          <w:color w:val="000000" w:themeColor="text1"/>
          <w:sz w:val="24"/>
          <w:szCs w:val="24"/>
          <w:highlight w:val="none"/>
          <w14:textFill>
            <w14:solidFill>
              <w14:schemeClr w14:val="tx1"/>
            </w14:solidFill>
          </w14:textFill>
        </w:rPr>
        <w:t xml:space="preserve">：</w:t>
      </w:r>
      <w:r/>
    </w:p>
    <w:p>
      <w:pPr>
        <w:pStyle w:val="819"/>
        <w:spacing w:line="360" w:lineRule="auto"/>
        <w:shd w:val="clear" w:color="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    法定代表人或代理人</w:t>
      </w:r>
      <w:r>
        <w:rPr>
          <w:rFonts w:hint="eastAsia" w:ascii="宋体" w:hAnsi="宋体" w:eastAsia="宋体" w:cs="宋体"/>
          <w:color w:val="000000" w:themeColor="text1"/>
          <w:sz w:val="24"/>
          <w:szCs w:val="24"/>
          <w:highlight w:val="none"/>
          <w14:textFill>
            <w14:solidFill>
              <w14:schemeClr w14:val="tx1"/>
            </w14:solidFill>
          </w14:textFill>
        </w:rPr>
        <w:t xml:space="preserve">（签字或盖章）</w:t>
      </w:r>
      <w:r>
        <w:rPr>
          <w:rFonts w:hint="eastAsia" w:ascii="宋体" w:hAnsi="宋体" w:eastAsia="宋体" w:cs="宋体"/>
          <w:bCs/>
          <w:color w:val="000000" w:themeColor="text1"/>
          <w:sz w:val="24"/>
          <w:szCs w:val="24"/>
          <w:highlight w:val="none"/>
          <w14:textFill>
            <w14:solidFill>
              <w14:schemeClr w14:val="tx1"/>
            </w14:solidFill>
          </w14:textFill>
        </w:rPr>
        <w:t xml:space="preserve">：</w:t>
      </w:r>
      <w:r/>
    </w:p>
    <w:p>
      <w:pPr>
        <w:pStyle w:val="819"/>
        <w:ind w:firstLine="480"/>
        <w:spacing w:line="360" w:lineRule="auto"/>
        <w:shd w:val="clear" w:color="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日期：     年     月     日</w:t>
      </w:r>
      <w:r/>
    </w:p>
    <w:p>
      <w:pPr>
        <w:pStyle w:val="746"/>
        <w:ind w:right="420" w:firstLine="0"/>
        <w:spacing w:line="360" w:lineRule="auto"/>
        <w:shd w:val="clear" w:color="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r>
      <w:r/>
    </w:p>
    <w:p>
      <w:pPr>
        <w:pStyle w:val="833"/>
        <w:spacing w:line="360" w:lineRule="auto"/>
        <w:shd w:val="clear" w:color="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r>
      <w:r/>
    </w:p>
    <w:p>
      <w:pPr>
        <w:pStyle w:val="833"/>
        <w:spacing w:line="360" w:lineRule="auto"/>
        <w:shd w:val="clear" w:color="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r>
      <w:r/>
    </w:p>
    <w:p>
      <w:pPr>
        <w:pStyle w:val="833"/>
        <w:spacing w:line="360" w:lineRule="auto"/>
        <w:shd w:val="clear" w:color="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r>
      <w:r/>
    </w:p>
    <w:p>
      <w:pPr>
        <w:pStyle w:val="833"/>
        <w:spacing w:line="360" w:lineRule="auto"/>
        <w:shd w:val="clear" w:color="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r>
      <w:r/>
    </w:p>
    <w:p>
      <w:pPr>
        <w:pStyle w:val="746"/>
        <w:ind w:right="420" w:firstLine="0"/>
        <w:spacing w:line="360" w:lineRule="auto"/>
        <w:shd w:val="clear" w:color="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r>
      <w:r/>
    </w:p>
    <w:p>
      <w:pPr>
        <w:pStyle w:val="746"/>
        <w:ind w:right="420" w:firstLine="0"/>
        <w:spacing w:line="360" w:lineRule="auto"/>
        <w:shd w:val="clear" w:color="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r>
      <w:r/>
    </w:p>
    <w:p>
      <w:pPr>
        <w:pStyle w:val="746"/>
        <w:ind w:right="420" w:firstLine="0"/>
        <w:spacing w:line="360" w:lineRule="auto"/>
        <w:shd w:val="clear" w:color="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r>
      <w:r/>
    </w:p>
    <w:p>
      <w:pPr>
        <w:pStyle w:val="746"/>
        <w:ind w:right="420" w:firstLine="0"/>
        <w:spacing w:line="360" w:lineRule="auto"/>
        <w:shd w:val="clear" w:color="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r>
      <w:r/>
    </w:p>
    <w:p>
      <w:pPr>
        <w:pStyle w:val="746"/>
        <w:ind w:right="420" w:firstLine="0"/>
        <w:spacing w:line="360" w:lineRule="auto"/>
        <w:shd w:val="clear" w:color="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r>
      <w:r/>
    </w:p>
    <w:p>
      <w:pPr>
        <w:pStyle w:val="746"/>
        <w:ind w:right="420" w:firstLine="0"/>
        <w:spacing w:line="360" w:lineRule="auto"/>
        <w:shd w:val="clear" w:color="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r>
      <w:r/>
    </w:p>
    <w:p>
      <w:pPr>
        <w:pStyle w:val="746"/>
        <w:ind w:right="420" w:firstLine="0"/>
        <w:spacing w:line="360" w:lineRule="auto"/>
        <w:shd w:val="clear" w:color="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r>
      <w:r/>
    </w:p>
    <w:p>
      <w:pPr>
        <w:pStyle w:val="746"/>
        <w:ind w:right="420" w:firstLine="0"/>
        <w:spacing w:line="360" w:lineRule="auto"/>
        <w:shd w:val="clear" w:color="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r>
      <w:r/>
    </w:p>
    <w:p>
      <w:pPr>
        <w:pStyle w:val="746"/>
        <w:ind w:right="420" w:firstLine="0"/>
        <w:spacing w:line="360" w:lineRule="auto"/>
        <w:shd w:val="clear" w:color="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r>
      <w:r/>
    </w:p>
    <w:p>
      <w:pPr>
        <w:pStyle w:val="746"/>
        <w:ind w:right="420" w:firstLine="0"/>
        <w:spacing w:line="360" w:lineRule="auto"/>
        <w:shd w:val="clear" w:color="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r>
      <w:r/>
    </w:p>
    <w:p>
      <w:pPr>
        <w:pStyle w:val="746"/>
        <w:ind w:right="420" w:firstLine="0"/>
        <w:spacing w:line="360" w:lineRule="auto"/>
        <w:shd w:val="clear" w:color="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r>
      <w:r/>
    </w:p>
    <w:p>
      <w:pPr>
        <w:pStyle w:val="746"/>
        <w:ind w:right="420" w:firstLine="0"/>
        <w:spacing w:line="360" w:lineRule="auto"/>
        <w:shd w:val="clear" w:color="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r>
      <w:r/>
    </w:p>
    <w:p>
      <w:pPr>
        <w:pStyle w:val="746"/>
        <w:ind w:right="420" w:firstLine="0"/>
        <w:spacing w:line="360" w:lineRule="auto"/>
        <w:shd w:val="clear" w:color="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r>
      <w:r/>
    </w:p>
    <w:p>
      <w:pPr>
        <w:pStyle w:val="746"/>
        <w:ind w:right="420" w:firstLine="0"/>
        <w:spacing w:line="360" w:lineRule="auto"/>
        <w:shd w:val="clear" w:color="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r>
      <w:r/>
    </w:p>
    <w:p>
      <w:pPr>
        <w:pStyle w:val="746"/>
        <w:ind w:right="420" w:firstLine="0"/>
        <w:spacing w:line="360" w:lineRule="auto"/>
        <w:shd w:val="clear" w:color="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r>
      <w:r/>
    </w:p>
    <w:p>
      <w:pPr>
        <w:pStyle w:val="746"/>
        <w:ind w:right="420" w:firstLine="0"/>
        <w:spacing w:line="360" w:lineRule="auto"/>
        <w:shd w:val="clear" w:color="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r>
      <w:r/>
    </w:p>
    <w:p>
      <w:pPr>
        <w:pStyle w:val="746"/>
        <w:ind w:right="420" w:firstLine="0"/>
        <w:spacing w:line="360" w:lineRule="auto"/>
        <w:shd w:val="clear" w:color="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 xml:space="preserve">4、开标一览表</w:t>
      </w:r>
      <w:r/>
    </w:p>
    <w:tbl>
      <w:tblPr>
        <w:tblStyle w:val="744"/>
        <w:tblW w:w="96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52"/>
        <w:gridCol w:w="3061"/>
        <w:gridCol w:w="2293"/>
        <w:gridCol w:w="1801"/>
        <w:gridCol w:w="1331"/>
      </w:tblGrid>
      <w:tr>
        <w:trPr>
          <w:jc w:val="center"/>
          <w:trHeight w:val="567"/>
        </w:trPr>
        <w:tc>
          <w:tcPr>
            <w:tcW w:w="1152" w:type="dxa"/>
            <w:vAlign w:val="center"/>
            <w:textDirection w:val="lrTb"/>
            <w:noWrap w:val="false"/>
          </w:tcPr>
          <w:p>
            <w:pPr>
              <w:pStyle w:val="758"/>
              <w:jc w:val="cente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序号</w:t>
            </w:r>
            <w:r/>
          </w:p>
        </w:tc>
        <w:tc>
          <w:tcPr>
            <w:tcW w:w="3061" w:type="dxa"/>
            <w:vAlign w:val="center"/>
            <w:textDirection w:val="lrTb"/>
            <w:noWrap w:val="false"/>
          </w:tcPr>
          <w:p>
            <w:pPr>
              <w:pStyle w:val="758"/>
              <w:jc w:val="cente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项目名称</w:t>
            </w:r>
            <w:r/>
          </w:p>
        </w:tc>
        <w:tc>
          <w:tcPr>
            <w:tcW w:w="2293" w:type="dxa"/>
            <w:vAlign w:val="center"/>
            <w:textDirection w:val="lrTb"/>
            <w:noWrap w:val="false"/>
          </w:tcPr>
          <w:p>
            <w:pPr>
              <w:pStyle w:val="758"/>
              <w:jc w:val="center"/>
              <w:spacing w:line="360" w:lineRule="auto"/>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投标总价（元）</w:t>
            </w:r>
            <w:r/>
          </w:p>
        </w:tc>
        <w:tc>
          <w:tcPr>
            <w:tcW w:w="1801" w:type="dxa"/>
            <w:vAlign w:val="center"/>
            <w:textDirection w:val="lrTb"/>
            <w:noWrap w:val="false"/>
          </w:tcPr>
          <w:p>
            <w:pPr>
              <w:pStyle w:val="758"/>
              <w:jc w:val="cente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合同履行期限</w:t>
            </w:r>
            <w:r/>
          </w:p>
        </w:tc>
        <w:tc>
          <w:tcPr>
            <w:tcW w:w="1331" w:type="dxa"/>
            <w:vAlign w:val="center"/>
            <w:textDirection w:val="lrTb"/>
            <w:noWrap w:val="false"/>
          </w:tcPr>
          <w:p>
            <w:pPr>
              <w:pStyle w:val="758"/>
              <w:jc w:val="cente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备注</w:t>
            </w:r>
            <w:r/>
          </w:p>
        </w:tc>
      </w:tr>
      <w:tr>
        <w:trPr>
          <w:jc w:val="center"/>
          <w:trHeight w:val="567"/>
        </w:trPr>
        <w:tc>
          <w:tcPr>
            <w:tcW w:w="1152" w:type="dxa"/>
            <w:vAlign w:val="center"/>
            <w:textDirection w:val="lrTb"/>
            <w:noWrap w:val="false"/>
          </w:tcPr>
          <w:p>
            <w:pPr>
              <w:jc w:val="cente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w:t>
            </w:r>
            <w:r/>
          </w:p>
        </w:tc>
        <w:tc>
          <w:tcPr>
            <w:tcW w:w="3061" w:type="dxa"/>
            <w:vAlign w:val="center"/>
            <w:textDirection w:val="lrTb"/>
            <w:noWrap w:val="false"/>
          </w:tcPr>
          <w:p>
            <w:pPr>
              <w:jc w:val="center"/>
              <w:spacing w:line="360" w:lineRule="auto"/>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r>
            <w:r/>
          </w:p>
        </w:tc>
        <w:tc>
          <w:tcPr>
            <w:tcW w:w="2293" w:type="dxa"/>
            <w:vAlign w:val="center"/>
            <w:textDirection w:val="lrTb"/>
            <w:noWrap w:val="false"/>
          </w:tcPr>
          <w:p>
            <w:pPr>
              <w:pStyle w:val="758"/>
              <w:jc w:val="cente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1801" w:type="dxa"/>
            <w:vAlign w:val="center"/>
            <w:textDirection w:val="lrTb"/>
            <w:noWrap w:val="false"/>
          </w:tcPr>
          <w:p>
            <w:pPr>
              <w:pStyle w:val="758"/>
              <w:jc w:val="cente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1331" w:type="dxa"/>
            <w:vAlign w:val="center"/>
            <w:textDirection w:val="lrTb"/>
            <w:noWrap w:val="false"/>
          </w:tcPr>
          <w:p>
            <w:pPr>
              <w:pStyle w:val="758"/>
              <w:jc w:val="cente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r>
    </w:tbl>
    <w:p>
      <w:pPr>
        <w:pStyle w:val="758"/>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w:t>
      </w:r>
      <w:r/>
    </w:p>
    <w:p>
      <w:pPr>
        <w:pStyle w:val="819"/>
        <w:ind w:firstLine="480"/>
        <w:spacing w:line="360" w:lineRule="auto"/>
        <w:shd w:val="clear" w:color="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投标人</w:t>
      </w:r>
      <w:r>
        <w:rPr>
          <w:rFonts w:hint="eastAsia" w:ascii="宋体" w:hAnsi="宋体" w:eastAsia="宋体" w:cs="宋体"/>
          <w:color w:val="000000" w:themeColor="text1"/>
          <w:sz w:val="24"/>
          <w:szCs w:val="24"/>
          <w:highlight w:val="none"/>
          <w14:textFill>
            <w14:solidFill>
              <w14:schemeClr w14:val="tx1"/>
            </w14:solidFill>
          </w14:textFill>
        </w:rPr>
        <w:t xml:space="preserve">（单位盖章）</w:t>
      </w:r>
      <w:r>
        <w:rPr>
          <w:rFonts w:hint="eastAsia" w:ascii="宋体" w:hAnsi="宋体" w:eastAsia="宋体" w:cs="宋体"/>
          <w:bCs/>
          <w:color w:val="000000" w:themeColor="text1"/>
          <w:sz w:val="24"/>
          <w:szCs w:val="24"/>
          <w:highlight w:val="none"/>
          <w14:textFill>
            <w14:solidFill>
              <w14:schemeClr w14:val="tx1"/>
            </w14:solidFill>
          </w14:textFill>
        </w:rPr>
        <w:t xml:space="preserve">：</w:t>
      </w:r>
      <w:r/>
    </w:p>
    <w:p>
      <w:pPr>
        <w:pStyle w:val="819"/>
        <w:spacing w:line="360" w:lineRule="auto"/>
        <w:shd w:val="clear" w:color="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    法定代表人或代理人</w:t>
      </w:r>
      <w:r>
        <w:rPr>
          <w:rFonts w:hint="eastAsia" w:ascii="宋体" w:hAnsi="宋体" w:eastAsia="宋体" w:cs="宋体"/>
          <w:color w:val="000000" w:themeColor="text1"/>
          <w:sz w:val="24"/>
          <w:szCs w:val="24"/>
          <w:highlight w:val="none"/>
          <w14:textFill>
            <w14:solidFill>
              <w14:schemeClr w14:val="tx1"/>
            </w14:solidFill>
          </w14:textFill>
        </w:rPr>
        <w:t xml:space="preserve">（签字或盖章）</w:t>
      </w:r>
      <w:r>
        <w:rPr>
          <w:rFonts w:hint="eastAsia" w:ascii="宋体" w:hAnsi="宋体" w:eastAsia="宋体" w:cs="宋体"/>
          <w:bCs/>
          <w:color w:val="000000" w:themeColor="text1"/>
          <w:sz w:val="24"/>
          <w:szCs w:val="24"/>
          <w:highlight w:val="none"/>
          <w14:textFill>
            <w14:solidFill>
              <w14:schemeClr w14:val="tx1"/>
            </w14:solidFill>
          </w14:textFill>
        </w:rPr>
        <w:t xml:space="preserve">：</w:t>
      </w:r>
      <w:r/>
    </w:p>
    <w:p>
      <w:pPr>
        <w:pStyle w:val="819"/>
        <w:ind w:firstLine="480"/>
        <w:spacing w:line="360" w:lineRule="auto"/>
        <w:shd w:val="clear" w:color="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日期：     年     月     日</w:t>
      </w:r>
      <w:r/>
    </w:p>
    <w:p>
      <w:pPr>
        <w:keepLines w:val="0"/>
        <w:keepNext w:val="0"/>
        <w:pageBreakBefore w:val="0"/>
        <w:spacing w:line="360" w:lineRule="auto"/>
        <w:widowControl w:val="off"/>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r>
      <w:r/>
    </w:p>
    <w:p>
      <w:pPr>
        <w:pStyle w:val="746"/>
        <w:ind w:right="420" w:firstLine="0"/>
        <w:spacing w:line="360" w:lineRule="auto"/>
        <w:shd w:val="clear" w:color="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r>
      <w:r/>
    </w:p>
    <w:p>
      <w:pPr>
        <w:pStyle w:val="746"/>
        <w:ind w:right="420" w:firstLine="0"/>
        <w:spacing w:line="360" w:lineRule="auto"/>
        <w:shd w:val="clear" w:color="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r>
      <w:r/>
    </w:p>
    <w:p>
      <w:pPr>
        <w:pStyle w:val="746"/>
        <w:ind w:right="420" w:firstLine="0"/>
        <w:spacing w:line="360" w:lineRule="auto"/>
        <w:shd w:val="clear" w:color="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r>
      <w:r/>
    </w:p>
    <w:p>
      <w:pPr>
        <w:pStyle w:val="746"/>
        <w:ind w:right="420" w:firstLine="0"/>
        <w:spacing w:line="360" w:lineRule="auto"/>
        <w:shd w:val="clear" w:color="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r>
      <w:r/>
    </w:p>
    <w:p>
      <w:pPr>
        <w:pStyle w:val="746"/>
        <w:ind w:right="420" w:firstLine="0"/>
        <w:spacing w:line="360" w:lineRule="auto"/>
        <w:shd w:val="clear" w:color="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r>
      <w:r/>
    </w:p>
    <w:p>
      <w:pPr>
        <w:pStyle w:val="746"/>
        <w:ind w:right="420" w:firstLine="0"/>
        <w:spacing w:line="360" w:lineRule="auto"/>
        <w:shd w:val="clear" w:color="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r>
      <w:r/>
    </w:p>
    <w:p>
      <w:pPr>
        <w:pStyle w:val="746"/>
        <w:ind w:right="420" w:firstLine="0"/>
        <w:spacing w:line="360" w:lineRule="auto"/>
        <w:shd w:val="clear" w:color="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r>
      <w:r/>
    </w:p>
    <w:p>
      <w:pPr>
        <w:pStyle w:val="746"/>
        <w:ind w:right="420" w:firstLine="0"/>
        <w:spacing w:line="360" w:lineRule="auto"/>
        <w:shd w:val="clear" w:color="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r>
      <w:r/>
    </w:p>
    <w:p>
      <w:pPr>
        <w:pStyle w:val="746"/>
        <w:ind w:right="420" w:firstLine="0"/>
        <w:spacing w:line="360" w:lineRule="auto"/>
        <w:shd w:val="clear" w:color="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r>
      <w:r/>
    </w:p>
    <w:p>
      <w:pPr>
        <w:pStyle w:val="746"/>
        <w:ind w:right="420" w:firstLine="0"/>
        <w:spacing w:line="360" w:lineRule="auto"/>
        <w:shd w:val="clear" w:color="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r>
      <w:r/>
    </w:p>
    <w:p>
      <w:pPr>
        <w:pStyle w:val="746"/>
        <w:ind w:right="420" w:firstLine="0"/>
        <w:spacing w:line="360" w:lineRule="auto"/>
        <w:shd w:val="clear" w:color="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r>
      <w:r/>
    </w:p>
    <w:p>
      <w:pPr>
        <w:pStyle w:val="746"/>
        <w:ind w:right="420" w:firstLine="0"/>
        <w:spacing w:line="360" w:lineRule="auto"/>
        <w:shd w:val="clear" w:color="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r>
      <w:r/>
    </w:p>
    <w:p>
      <w:pPr>
        <w:pStyle w:val="746"/>
        <w:ind w:right="420" w:firstLine="0"/>
        <w:spacing w:line="360" w:lineRule="auto"/>
        <w:shd w:val="clear" w:color="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r>
      <w:r/>
    </w:p>
    <w:p>
      <w:pPr>
        <w:pStyle w:val="746"/>
        <w:ind w:right="420" w:firstLine="0"/>
        <w:spacing w:line="360" w:lineRule="auto"/>
        <w:shd w:val="clear" w:color="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r>
      <w:r/>
    </w:p>
    <w:p>
      <w:pPr>
        <w:pStyle w:val="746"/>
        <w:ind w:right="420" w:firstLine="0"/>
        <w:spacing w:line="360" w:lineRule="auto"/>
        <w:shd w:val="clear" w:color="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r>
      <w:r/>
    </w:p>
    <w:p>
      <w:pPr>
        <w:pStyle w:val="746"/>
        <w:ind w:right="420" w:firstLine="0"/>
        <w:spacing w:line="360" w:lineRule="auto"/>
        <w:shd w:val="clear" w:color="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r>
      <w:r/>
    </w:p>
    <w:p>
      <w:pPr>
        <w:pStyle w:val="746"/>
        <w:ind w:right="420" w:firstLine="0"/>
        <w:spacing w:line="360" w:lineRule="auto"/>
        <w:shd w:val="clear" w:color="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r>
      <w:r/>
    </w:p>
    <w:p>
      <w:pPr>
        <w:pStyle w:val="746"/>
        <w:ind w:right="420" w:firstLine="0"/>
        <w:spacing w:line="360" w:lineRule="auto"/>
        <w:shd w:val="clear" w:color="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r>
      <w:r/>
    </w:p>
    <w:p>
      <w:pPr>
        <w:pStyle w:val="746"/>
        <w:ind w:right="420" w:firstLine="0"/>
        <w:spacing w:line="360" w:lineRule="auto"/>
        <w:shd w:val="clear" w:color="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r>
      <w:r/>
    </w:p>
    <w:p>
      <w:pPr>
        <w:pStyle w:val="746"/>
        <w:ind w:right="420" w:firstLine="0"/>
        <w:spacing w:line="360" w:lineRule="auto"/>
        <w:shd w:val="clear" w:color="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r>
      <w:r/>
    </w:p>
    <w:p>
      <w:pPr>
        <w:pStyle w:val="746"/>
        <w:ind w:right="420" w:firstLine="0"/>
        <w:spacing w:line="360" w:lineRule="auto"/>
        <w:shd w:val="clear" w:color="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r>
      <w:r/>
    </w:p>
    <w:p>
      <w:pPr>
        <w:pStyle w:val="746"/>
        <w:ind w:right="420" w:firstLine="0"/>
        <w:spacing w:line="360" w:lineRule="auto"/>
        <w:shd w:val="clear" w:color="auto"/>
        <w:rPr>
          <w:rFonts w:hint="eastAsia" w:ascii="宋体" w:hAnsi="宋体" w:eastAsia="宋体" w:cs="宋体"/>
          <w:b w:val="0"/>
          <w:bCs w:val="0"/>
          <w:color w:val="000000" w:themeColor="text1"/>
          <w:sz w:val="24"/>
          <w:szCs w:val="24"/>
          <w:highlight w:val="none"/>
          <w14:textFill>
            <w14:solidFill>
              <w14:schemeClr w14:val="tx1"/>
            </w14:solidFill>
          </w14:textFill>
        </w:rPr>
      </w:pPr>
      <w:r/>
      <w:bookmarkStart w:id="6" w:name="_Toc142194269"/>
      <w:r>
        <w:rPr>
          <w:rFonts w:hint="eastAsia" w:ascii="宋体" w:hAnsi="宋体" w:eastAsia="宋体" w:cs="宋体"/>
          <w:color w:val="000000" w:themeColor="text1"/>
          <w:szCs w:val="24"/>
          <w:highlight w:val="none"/>
          <w14:textFill>
            <w14:solidFill>
              <w14:schemeClr w14:val="tx1"/>
            </w14:solidFill>
          </w14:textFill>
        </w:rPr>
        <w:br/>
      </w:r>
      <w:r>
        <w:rPr>
          <w:rFonts w:hint="eastAsia" w:ascii="宋体" w:hAnsi="宋体" w:eastAsia="宋体" w:cs="宋体"/>
          <w:b w:val="0"/>
          <w:bCs w:val="0"/>
          <w:color w:val="000000" w:themeColor="text1"/>
          <w:szCs w:val="24"/>
          <w:highlight w:val="none"/>
          <w14:textFill>
            <w14:solidFill>
              <w14:schemeClr w14:val="tx1"/>
            </w14:solidFill>
          </w14:textFill>
        </w:rPr>
        <w:t xml:space="preserve">5、</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公开</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分项报价表</w:t>
      </w:r>
      <w:r/>
    </w:p>
    <w:tbl>
      <w:tblPr>
        <w:tblStyle w:val="744"/>
        <w:tblW w:w="96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93"/>
        <w:gridCol w:w="986"/>
        <w:gridCol w:w="1241"/>
        <w:gridCol w:w="1255"/>
        <w:gridCol w:w="1023"/>
        <w:gridCol w:w="859"/>
        <w:gridCol w:w="941"/>
        <w:gridCol w:w="1091"/>
        <w:gridCol w:w="1165"/>
      </w:tblGrid>
      <w:tr>
        <w:trPr>
          <w:jc w:val="center"/>
          <w:trHeight w:val="567"/>
        </w:trPr>
        <w:tc>
          <w:tcPr>
            <w:tcW w:w="1093" w:type="dxa"/>
            <w:vAlign w:val="center"/>
            <w:textDirection w:val="lrTb"/>
            <w:noWrap w:val="false"/>
          </w:tcPr>
          <w:p>
            <w:pPr>
              <w:jc w:val="center"/>
              <w:spacing w:line="360" w:lineRule="auto"/>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序号</w:t>
            </w:r>
            <w:r/>
          </w:p>
        </w:tc>
        <w:tc>
          <w:tcPr>
            <w:tcW w:w="986" w:type="dxa"/>
            <w:vAlign w:val="center"/>
            <w:textDirection w:val="lrTb"/>
            <w:noWrap w:val="false"/>
          </w:tcPr>
          <w:p>
            <w:pPr>
              <w:jc w:val="center"/>
              <w:spacing w:line="360" w:lineRule="auto"/>
              <w:shd w:val="clear" w:color="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内容</w:t>
            </w:r>
            <w:r/>
          </w:p>
        </w:tc>
        <w:tc>
          <w:tcPr>
            <w:tcW w:w="1241" w:type="dxa"/>
            <w:vAlign w:val="center"/>
            <w:textDirection w:val="lrTb"/>
            <w:noWrap w:val="false"/>
          </w:tcPr>
          <w:p>
            <w:pPr>
              <w:jc w:val="center"/>
              <w:spacing w:line="360" w:lineRule="auto"/>
              <w:shd w:val="clear" w:color="auto"/>
              <w:rPr>
                <w:rFonts w:hint="default"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品牌型号</w:t>
            </w:r>
            <w:r/>
          </w:p>
        </w:tc>
        <w:tc>
          <w:tcPr>
            <w:tcW w:w="1255" w:type="dxa"/>
            <w:vAlign w:val="center"/>
            <w:textDirection w:val="lrTb"/>
            <w:noWrap w:val="false"/>
          </w:tcPr>
          <w:p>
            <w:pPr>
              <w:jc w:val="center"/>
              <w:spacing w:line="360" w:lineRule="auto"/>
              <w:shd w:val="clear" w:color="auto"/>
              <w:rPr>
                <w:rFonts w:hint="default"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参数要求</w:t>
            </w:r>
            <w:r/>
          </w:p>
        </w:tc>
        <w:tc>
          <w:tcPr>
            <w:tcW w:w="1023" w:type="dxa"/>
            <w:vAlign w:val="center"/>
            <w:textDirection w:val="lrTb"/>
            <w:noWrap w:val="false"/>
          </w:tcPr>
          <w:p>
            <w:pPr>
              <w:jc w:val="center"/>
              <w:spacing w:line="360" w:lineRule="auto"/>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单位</w:t>
            </w:r>
            <w:r/>
          </w:p>
        </w:tc>
        <w:tc>
          <w:tcPr>
            <w:tcW w:w="859" w:type="dxa"/>
            <w:vAlign w:val="center"/>
            <w:textDirection w:val="lrTb"/>
            <w:noWrap w:val="false"/>
          </w:tcPr>
          <w:p>
            <w:pPr>
              <w:jc w:val="center"/>
              <w:spacing w:line="360" w:lineRule="auto"/>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数量</w:t>
            </w:r>
            <w:r/>
          </w:p>
        </w:tc>
        <w:tc>
          <w:tcPr>
            <w:tcW w:w="941" w:type="dxa"/>
            <w:vAlign w:val="center"/>
            <w:textDirection w:val="lrTb"/>
            <w:noWrap w:val="false"/>
          </w:tcPr>
          <w:p>
            <w:pPr>
              <w:jc w:val="center"/>
              <w:spacing w:line="360" w:lineRule="auto"/>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单价</w:t>
            </w:r>
            <w:r/>
          </w:p>
        </w:tc>
        <w:tc>
          <w:tcPr>
            <w:tcW w:w="1091" w:type="dxa"/>
            <w:vAlign w:val="center"/>
            <w:textDirection w:val="lrTb"/>
            <w:noWrap w:val="false"/>
          </w:tcPr>
          <w:p>
            <w:pPr>
              <w:jc w:val="center"/>
              <w:spacing w:line="360" w:lineRule="auto"/>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总价</w:t>
            </w:r>
            <w:r/>
          </w:p>
        </w:tc>
        <w:tc>
          <w:tcPr>
            <w:tcW w:w="1165" w:type="dxa"/>
            <w:vAlign w:val="center"/>
            <w:textDirection w:val="lrTb"/>
            <w:noWrap w:val="false"/>
          </w:tcPr>
          <w:p>
            <w:pPr>
              <w:jc w:val="center"/>
              <w:spacing w:line="360" w:lineRule="auto"/>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备注</w:t>
            </w:r>
            <w:r/>
          </w:p>
        </w:tc>
      </w:tr>
      <w:tr>
        <w:trPr>
          <w:jc w:val="center"/>
          <w:trHeight w:val="567"/>
        </w:trPr>
        <w:tc>
          <w:tcPr>
            <w:tcW w:w="1093" w:type="dxa"/>
            <w:vAlign w:val="center"/>
            <w:textDirection w:val="lrTb"/>
            <w:noWrap w:val="false"/>
          </w:tcPr>
          <w:p>
            <w:pPr>
              <w:pStyle w:val="746"/>
              <w:ind w:right="21" w:firstLine="0"/>
              <w:jc w:val="center"/>
              <w:spacing w:line="360" w:lineRule="auto"/>
              <w:shd w:val="clear" w:color="auto" w:fill="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p>
        </w:tc>
        <w:tc>
          <w:tcPr>
            <w:tcW w:w="986" w:type="dxa"/>
            <w:vAlign w:val="center"/>
            <w:textDirection w:val="lrTb"/>
            <w:noWrap w:val="false"/>
          </w:tcPr>
          <w:p>
            <w:pPr>
              <w:spacing w:line="360" w:lineRule="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r>
            <w:r/>
          </w:p>
        </w:tc>
        <w:tc>
          <w:tcPr>
            <w:tcW w:w="1241" w:type="dxa"/>
            <w:vAlign w:val="center"/>
            <w:textDirection w:val="lrTb"/>
            <w:noWrap w:val="false"/>
          </w:tcPr>
          <w:p>
            <w:pPr>
              <w:spacing w:line="360" w:lineRule="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r>
            <w:r/>
          </w:p>
        </w:tc>
        <w:tc>
          <w:tcPr>
            <w:tcW w:w="1255" w:type="dxa"/>
            <w:vAlign w:val="center"/>
            <w:textDirection w:val="lrTb"/>
            <w:noWrap w:val="false"/>
          </w:tcPr>
          <w:p>
            <w:pPr>
              <w:spacing w:line="360" w:lineRule="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r>
            <w:r/>
          </w:p>
        </w:tc>
        <w:tc>
          <w:tcPr>
            <w:tcW w:w="1023" w:type="dxa"/>
            <w:vAlign w:val="center"/>
            <w:textDirection w:val="lrTb"/>
            <w:noWrap w:val="false"/>
          </w:tcPr>
          <w:p>
            <w:pPr>
              <w:pStyle w:val="746"/>
              <w:ind w:right="420" w:firstLine="0"/>
              <w:spacing w:line="360" w:lineRule="auto"/>
              <w:shd w:val="clear" w:color="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r>
            <w:r/>
          </w:p>
        </w:tc>
        <w:tc>
          <w:tcPr>
            <w:tcW w:w="859" w:type="dxa"/>
            <w:vAlign w:val="center"/>
            <w:textDirection w:val="lrTb"/>
            <w:noWrap w:val="false"/>
          </w:tcPr>
          <w:p>
            <w:pPr>
              <w:pStyle w:val="746"/>
              <w:ind w:right="420" w:firstLine="0"/>
              <w:spacing w:line="360" w:lineRule="auto"/>
              <w:shd w:val="clear" w:color="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r>
            <w:r/>
          </w:p>
        </w:tc>
        <w:tc>
          <w:tcPr>
            <w:tcW w:w="941" w:type="dxa"/>
            <w:vAlign w:val="center"/>
            <w:textDirection w:val="lrTb"/>
            <w:noWrap w:val="false"/>
          </w:tcPr>
          <w:p>
            <w:pPr>
              <w:pStyle w:val="746"/>
              <w:ind w:right="420" w:firstLine="0"/>
              <w:spacing w:line="360" w:lineRule="auto"/>
              <w:shd w:val="clear" w:color="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r>
            <w:r/>
          </w:p>
        </w:tc>
        <w:tc>
          <w:tcPr>
            <w:tcW w:w="1091" w:type="dxa"/>
            <w:vAlign w:val="center"/>
            <w:textDirection w:val="lrTb"/>
            <w:noWrap w:val="false"/>
          </w:tcPr>
          <w:p>
            <w:pPr>
              <w:pStyle w:val="746"/>
              <w:ind w:right="420" w:firstLine="0"/>
              <w:spacing w:line="360" w:lineRule="auto"/>
              <w:shd w:val="clear" w:color="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r>
            <w:r/>
          </w:p>
        </w:tc>
        <w:tc>
          <w:tcPr>
            <w:tcW w:w="1165" w:type="dxa"/>
            <w:vAlign w:val="center"/>
            <w:textDirection w:val="lrTb"/>
            <w:noWrap w:val="false"/>
          </w:tcPr>
          <w:p>
            <w:pPr>
              <w:pStyle w:val="746"/>
              <w:ind w:right="420" w:firstLine="0"/>
              <w:spacing w:line="360" w:lineRule="auto"/>
              <w:shd w:val="clear" w:color="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r>
            <w:r/>
          </w:p>
        </w:tc>
      </w:tr>
      <w:tr>
        <w:trPr>
          <w:jc w:val="center"/>
          <w:trHeight w:val="567"/>
        </w:trPr>
        <w:tc>
          <w:tcPr>
            <w:tcW w:w="1093" w:type="dxa"/>
            <w:vAlign w:val="center"/>
            <w:textDirection w:val="lrTb"/>
            <w:noWrap w:val="false"/>
          </w:tcPr>
          <w:p>
            <w:pPr>
              <w:pStyle w:val="746"/>
              <w:ind w:right="21" w:firstLine="0"/>
              <w:jc w:val="center"/>
              <w:spacing w:line="360" w:lineRule="auto"/>
              <w:shd w:val="clear" w:color="auto" w:fill="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p>
        </w:tc>
        <w:tc>
          <w:tcPr>
            <w:tcW w:w="986" w:type="dxa"/>
            <w:vAlign w:val="center"/>
            <w:textDirection w:val="lrTb"/>
            <w:noWrap w:val="false"/>
          </w:tcPr>
          <w:p>
            <w:pPr>
              <w:spacing w:line="360" w:lineRule="auto"/>
              <w:rPr>
                <w:rStyle w:val="788"/>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c>
          <w:tcPr>
            <w:tcW w:w="1241" w:type="dxa"/>
            <w:vAlign w:val="center"/>
            <w:textDirection w:val="lrTb"/>
            <w:noWrap w:val="false"/>
          </w:tcPr>
          <w:p>
            <w:pPr>
              <w:spacing w:line="360" w:lineRule="auto"/>
              <w:rPr>
                <w:rStyle w:val="788"/>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c>
          <w:tcPr>
            <w:tcW w:w="1255" w:type="dxa"/>
            <w:vAlign w:val="center"/>
            <w:textDirection w:val="lrTb"/>
            <w:noWrap w:val="false"/>
          </w:tcPr>
          <w:p>
            <w:pPr>
              <w:spacing w:line="360" w:lineRule="auto"/>
              <w:rPr>
                <w:rStyle w:val="788"/>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c>
          <w:tcPr>
            <w:tcW w:w="1023" w:type="dxa"/>
            <w:vAlign w:val="center"/>
            <w:textDirection w:val="lrTb"/>
            <w:noWrap w:val="false"/>
          </w:tcPr>
          <w:p>
            <w:pPr>
              <w:pStyle w:val="746"/>
              <w:ind w:right="420" w:firstLine="0"/>
              <w:spacing w:line="360" w:lineRule="auto"/>
              <w:shd w:val="clear" w:color="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r>
            <w:r/>
          </w:p>
        </w:tc>
        <w:tc>
          <w:tcPr>
            <w:tcW w:w="859" w:type="dxa"/>
            <w:vAlign w:val="center"/>
            <w:textDirection w:val="lrTb"/>
            <w:noWrap w:val="false"/>
          </w:tcPr>
          <w:p>
            <w:pPr>
              <w:pStyle w:val="746"/>
              <w:ind w:right="420" w:firstLine="0"/>
              <w:spacing w:line="360" w:lineRule="auto"/>
              <w:shd w:val="clear" w:color="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r>
            <w:r/>
          </w:p>
        </w:tc>
        <w:tc>
          <w:tcPr>
            <w:tcW w:w="941" w:type="dxa"/>
            <w:vAlign w:val="center"/>
            <w:textDirection w:val="lrTb"/>
            <w:noWrap w:val="false"/>
          </w:tcPr>
          <w:p>
            <w:pPr>
              <w:pStyle w:val="746"/>
              <w:ind w:right="420" w:firstLine="0"/>
              <w:spacing w:line="360" w:lineRule="auto"/>
              <w:shd w:val="clear" w:color="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r>
            <w:r/>
          </w:p>
        </w:tc>
        <w:tc>
          <w:tcPr>
            <w:tcW w:w="1091" w:type="dxa"/>
            <w:vAlign w:val="center"/>
            <w:textDirection w:val="lrTb"/>
            <w:noWrap w:val="false"/>
          </w:tcPr>
          <w:p>
            <w:pPr>
              <w:pStyle w:val="746"/>
              <w:ind w:right="420" w:firstLine="0"/>
              <w:spacing w:line="360" w:lineRule="auto"/>
              <w:shd w:val="clear" w:color="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r>
            <w:r/>
          </w:p>
        </w:tc>
        <w:tc>
          <w:tcPr>
            <w:tcW w:w="1165" w:type="dxa"/>
            <w:vAlign w:val="center"/>
            <w:textDirection w:val="lrTb"/>
            <w:noWrap w:val="false"/>
          </w:tcPr>
          <w:p>
            <w:pPr>
              <w:pStyle w:val="746"/>
              <w:ind w:right="420" w:firstLine="0"/>
              <w:spacing w:line="360" w:lineRule="auto"/>
              <w:shd w:val="clear" w:color="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r>
            <w:r/>
          </w:p>
        </w:tc>
      </w:tr>
      <w:tr>
        <w:trPr>
          <w:jc w:val="center"/>
          <w:trHeight w:val="567"/>
        </w:trPr>
        <w:tc>
          <w:tcPr>
            <w:tcW w:w="1093" w:type="dxa"/>
            <w:vAlign w:val="center"/>
            <w:textDirection w:val="lrTb"/>
            <w:noWrap w:val="false"/>
          </w:tcPr>
          <w:p>
            <w:pPr>
              <w:pStyle w:val="746"/>
              <w:ind w:right="21" w:firstLine="0"/>
              <w:jc w:val="center"/>
              <w:spacing w:line="360" w:lineRule="auto"/>
              <w:shd w:val="clear" w:color="auto" w:fill="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p>
        </w:tc>
        <w:tc>
          <w:tcPr>
            <w:tcW w:w="986" w:type="dxa"/>
            <w:vAlign w:val="center"/>
            <w:textDirection w:val="lrTb"/>
            <w:noWrap w:val="false"/>
          </w:tcPr>
          <w:p>
            <w:pPr>
              <w:spacing w:line="360" w:lineRule="auto"/>
              <w:rPr>
                <w:rStyle w:val="788"/>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c>
          <w:tcPr>
            <w:tcW w:w="1241" w:type="dxa"/>
            <w:vAlign w:val="center"/>
            <w:textDirection w:val="lrTb"/>
            <w:noWrap w:val="false"/>
          </w:tcPr>
          <w:p>
            <w:pPr>
              <w:spacing w:line="360" w:lineRule="auto"/>
              <w:rPr>
                <w:rStyle w:val="788"/>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c>
          <w:tcPr>
            <w:tcW w:w="1255" w:type="dxa"/>
            <w:vAlign w:val="center"/>
            <w:textDirection w:val="lrTb"/>
            <w:noWrap w:val="false"/>
          </w:tcPr>
          <w:p>
            <w:pPr>
              <w:spacing w:line="360" w:lineRule="auto"/>
              <w:rPr>
                <w:rStyle w:val="788"/>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c>
          <w:tcPr>
            <w:tcW w:w="1023" w:type="dxa"/>
            <w:vAlign w:val="center"/>
            <w:textDirection w:val="lrTb"/>
            <w:noWrap w:val="false"/>
          </w:tcPr>
          <w:p>
            <w:pPr>
              <w:pStyle w:val="746"/>
              <w:ind w:right="420" w:firstLine="0"/>
              <w:spacing w:line="360" w:lineRule="auto"/>
              <w:shd w:val="clear" w:color="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r>
            <w:r/>
          </w:p>
        </w:tc>
        <w:tc>
          <w:tcPr>
            <w:tcW w:w="859" w:type="dxa"/>
            <w:vAlign w:val="center"/>
            <w:textDirection w:val="lrTb"/>
            <w:noWrap w:val="false"/>
          </w:tcPr>
          <w:p>
            <w:pPr>
              <w:pStyle w:val="746"/>
              <w:ind w:right="420" w:firstLine="0"/>
              <w:spacing w:line="360" w:lineRule="auto"/>
              <w:shd w:val="clear" w:color="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r>
            <w:r/>
          </w:p>
        </w:tc>
        <w:tc>
          <w:tcPr>
            <w:tcW w:w="941" w:type="dxa"/>
            <w:vAlign w:val="center"/>
            <w:textDirection w:val="lrTb"/>
            <w:noWrap w:val="false"/>
          </w:tcPr>
          <w:p>
            <w:pPr>
              <w:pStyle w:val="746"/>
              <w:ind w:right="420" w:firstLine="0"/>
              <w:spacing w:line="360" w:lineRule="auto"/>
              <w:shd w:val="clear" w:color="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r>
            <w:r/>
          </w:p>
        </w:tc>
        <w:tc>
          <w:tcPr>
            <w:tcW w:w="1091" w:type="dxa"/>
            <w:vAlign w:val="center"/>
            <w:textDirection w:val="lrTb"/>
            <w:noWrap w:val="false"/>
          </w:tcPr>
          <w:p>
            <w:pPr>
              <w:pStyle w:val="746"/>
              <w:ind w:right="420" w:firstLine="0"/>
              <w:spacing w:line="360" w:lineRule="auto"/>
              <w:shd w:val="clear" w:color="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r>
            <w:r/>
          </w:p>
        </w:tc>
        <w:tc>
          <w:tcPr>
            <w:tcW w:w="1165" w:type="dxa"/>
            <w:vAlign w:val="center"/>
            <w:textDirection w:val="lrTb"/>
            <w:noWrap w:val="false"/>
          </w:tcPr>
          <w:p>
            <w:pPr>
              <w:pStyle w:val="746"/>
              <w:ind w:right="420" w:firstLine="0"/>
              <w:spacing w:line="360" w:lineRule="auto"/>
              <w:shd w:val="clear" w:color="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r>
            <w:r/>
          </w:p>
        </w:tc>
      </w:tr>
      <w:tr>
        <w:trPr>
          <w:jc w:val="center"/>
          <w:trHeight w:val="567"/>
        </w:trPr>
        <w:tc>
          <w:tcPr>
            <w:tcW w:w="1093" w:type="dxa"/>
            <w:vAlign w:val="center"/>
            <w:textDirection w:val="lrTb"/>
            <w:noWrap w:val="false"/>
          </w:tcPr>
          <w:p>
            <w:pPr>
              <w:pStyle w:val="746"/>
              <w:ind w:right="21" w:firstLine="0"/>
              <w:jc w:val="center"/>
              <w:spacing w:line="360" w:lineRule="auto"/>
              <w:shd w:val="clear" w:color="auto" w:fill="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p>
        </w:tc>
        <w:tc>
          <w:tcPr>
            <w:tcW w:w="986" w:type="dxa"/>
            <w:vAlign w:val="center"/>
            <w:textDirection w:val="lrTb"/>
            <w:noWrap w:val="false"/>
          </w:tcPr>
          <w:p>
            <w:pPr>
              <w:spacing w:line="360" w:lineRule="auto"/>
              <w:rPr>
                <w:rStyle w:val="788"/>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c>
          <w:tcPr>
            <w:tcW w:w="1241" w:type="dxa"/>
            <w:vAlign w:val="center"/>
            <w:textDirection w:val="lrTb"/>
            <w:noWrap w:val="false"/>
          </w:tcPr>
          <w:p>
            <w:pPr>
              <w:spacing w:line="360" w:lineRule="auto"/>
              <w:rPr>
                <w:rStyle w:val="788"/>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c>
          <w:tcPr>
            <w:tcW w:w="1255" w:type="dxa"/>
            <w:vAlign w:val="center"/>
            <w:textDirection w:val="lrTb"/>
            <w:noWrap w:val="false"/>
          </w:tcPr>
          <w:p>
            <w:pPr>
              <w:spacing w:line="360" w:lineRule="auto"/>
              <w:rPr>
                <w:rStyle w:val="788"/>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c>
          <w:tcPr>
            <w:tcW w:w="1023" w:type="dxa"/>
            <w:vAlign w:val="center"/>
            <w:textDirection w:val="lrTb"/>
            <w:noWrap w:val="false"/>
          </w:tcPr>
          <w:p>
            <w:pPr>
              <w:pStyle w:val="746"/>
              <w:ind w:right="420" w:firstLine="0"/>
              <w:spacing w:line="360" w:lineRule="auto"/>
              <w:shd w:val="clear" w:color="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r>
            <w:r/>
          </w:p>
        </w:tc>
        <w:tc>
          <w:tcPr>
            <w:tcW w:w="859" w:type="dxa"/>
            <w:vAlign w:val="center"/>
            <w:textDirection w:val="lrTb"/>
            <w:noWrap w:val="false"/>
          </w:tcPr>
          <w:p>
            <w:pPr>
              <w:pStyle w:val="746"/>
              <w:ind w:right="420" w:firstLine="0"/>
              <w:spacing w:line="360" w:lineRule="auto"/>
              <w:shd w:val="clear" w:color="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r>
            <w:r/>
          </w:p>
        </w:tc>
        <w:tc>
          <w:tcPr>
            <w:tcW w:w="941" w:type="dxa"/>
            <w:vAlign w:val="center"/>
            <w:textDirection w:val="lrTb"/>
            <w:noWrap w:val="false"/>
          </w:tcPr>
          <w:p>
            <w:pPr>
              <w:pStyle w:val="746"/>
              <w:ind w:right="420" w:firstLine="0"/>
              <w:spacing w:line="360" w:lineRule="auto"/>
              <w:shd w:val="clear" w:color="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r>
            <w:r/>
          </w:p>
        </w:tc>
        <w:tc>
          <w:tcPr>
            <w:tcW w:w="1091" w:type="dxa"/>
            <w:vAlign w:val="center"/>
            <w:textDirection w:val="lrTb"/>
            <w:noWrap w:val="false"/>
          </w:tcPr>
          <w:p>
            <w:pPr>
              <w:pStyle w:val="746"/>
              <w:ind w:right="420" w:firstLine="0"/>
              <w:spacing w:line="360" w:lineRule="auto"/>
              <w:shd w:val="clear" w:color="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r>
            <w:r/>
          </w:p>
        </w:tc>
        <w:tc>
          <w:tcPr>
            <w:tcW w:w="1165" w:type="dxa"/>
            <w:vAlign w:val="center"/>
            <w:textDirection w:val="lrTb"/>
            <w:noWrap w:val="false"/>
          </w:tcPr>
          <w:p>
            <w:pPr>
              <w:pStyle w:val="746"/>
              <w:ind w:right="420" w:firstLine="0"/>
              <w:spacing w:line="360" w:lineRule="auto"/>
              <w:shd w:val="clear" w:color="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r>
            <w:r/>
          </w:p>
        </w:tc>
      </w:tr>
      <w:tr>
        <w:trPr>
          <w:jc w:val="center"/>
          <w:trHeight w:val="567"/>
        </w:trPr>
        <w:tc>
          <w:tcPr>
            <w:tcW w:w="1093" w:type="dxa"/>
            <w:vAlign w:val="center"/>
            <w:textDirection w:val="lrTb"/>
            <w:noWrap w:val="false"/>
          </w:tcPr>
          <w:p>
            <w:pPr>
              <w:pStyle w:val="746"/>
              <w:ind w:right="-94" w:firstLine="0"/>
              <w:jc w:val="both"/>
              <w:spacing w:line="360" w:lineRule="auto"/>
              <w:shd w:val="clear" w:color="auto" w:fill="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p>
        </w:tc>
        <w:tc>
          <w:tcPr>
            <w:tcW w:w="986" w:type="dxa"/>
            <w:vAlign w:val="center"/>
            <w:textDirection w:val="lrTb"/>
            <w:noWrap w:val="false"/>
          </w:tcPr>
          <w:p>
            <w:pPr>
              <w:pStyle w:val="746"/>
              <w:ind w:right="420" w:firstLine="0"/>
              <w:spacing w:line="360" w:lineRule="auto"/>
              <w:shd w:val="clear" w:color="auto" w:fill="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r>
            <w:r/>
          </w:p>
        </w:tc>
        <w:tc>
          <w:tcPr>
            <w:tcW w:w="1241" w:type="dxa"/>
            <w:vAlign w:val="center"/>
            <w:textDirection w:val="lrTb"/>
            <w:noWrap w:val="false"/>
          </w:tcPr>
          <w:p>
            <w:pPr>
              <w:pStyle w:val="746"/>
              <w:ind w:right="420" w:firstLine="0"/>
              <w:spacing w:line="360" w:lineRule="auto"/>
              <w:shd w:val="clear" w:color="auto" w:fill="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r>
            <w:r/>
          </w:p>
        </w:tc>
        <w:tc>
          <w:tcPr>
            <w:tcW w:w="1255" w:type="dxa"/>
            <w:vAlign w:val="center"/>
            <w:textDirection w:val="lrTb"/>
            <w:noWrap w:val="false"/>
          </w:tcPr>
          <w:p>
            <w:pPr>
              <w:pStyle w:val="746"/>
              <w:ind w:right="420" w:firstLine="0"/>
              <w:spacing w:line="360" w:lineRule="auto"/>
              <w:shd w:val="clear" w:color="auto" w:fill="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r>
            <w:r/>
          </w:p>
        </w:tc>
        <w:tc>
          <w:tcPr>
            <w:tcW w:w="1023" w:type="dxa"/>
            <w:vAlign w:val="center"/>
            <w:textDirection w:val="lrTb"/>
            <w:noWrap w:val="false"/>
          </w:tcPr>
          <w:p>
            <w:pPr>
              <w:pStyle w:val="746"/>
              <w:ind w:right="420" w:firstLine="0"/>
              <w:spacing w:line="360" w:lineRule="auto"/>
              <w:shd w:val="clear" w:color="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r>
            <w:r/>
          </w:p>
        </w:tc>
        <w:tc>
          <w:tcPr>
            <w:tcW w:w="859" w:type="dxa"/>
            <w:vAlign w:val="center"/>
            <w:textDirection w:val="lrTb"/>
            <w:noWrap w:val="false"/>
          </w:tcPr>
          <w:p>
            <w:pPr>
              <w:pStyle w:val="746"/>
              <w:ind w:right="420" w:firstLine="0"/>
              <w:spacing w:line="360" w:lineRule="auto"/>
              <w:shd w:val="clear" w:color="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r>
            <w:r/>
          </w:p>
        </w:tc>
        <w:tc>
          <w:tcPr>
            <w:tcW w:w="941" w:type="dxa"/>
            <w:vAlign w:val="center"/>
            <w:textDirection w:val="lrTb"/>
            <w:noWrap w:val="false"/>
          </w:tcPr>
          <w:p>
            <w:pPr>
              <w:pStyle w:val="746"/>
              <w:ind w:right="420" w:firstLine="0"/>
              <w:spacing w:line="360" w:lineRule="auto"/>
              <w:shd w:val="clear" w:color="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r>
            <w:r/>
          </w:p>
        </w:tc>
        <w:tc>
          <w:tcPr>
            <w:tcW w:w="1091" w:type="dxa"/>
            <w:vAlign w:val="center"/>
            <w:textDirection w:val="lrTb"/>
            <w:noWrap w:val="false"/>
          </w:tcPr>
          <w:p>
            <w:pPr>
              <w:pStyle w:val="746"/>
              <w:ind w:right="420" w:firstLine="0"/>
              <w:spacing w:line="360" w:lineRule="auto"/>
              <w:shd w:val="clear" w:color="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r>
            <w:r/>
          </w:p>
        </w:tc>
        <w:tc>
          <w:tcPr>
            <w:tcW w:w="1165" w:type="dxa"/>
            <w:vAlign w:val="center"/>
            <w:textDirection w:val="lrTb"/>
            <w:noWrap w:val="false"/>
          </w:tcPr>
          <w:p>
            <w:pPr>
              <w:pStyle w:val="746"/>
              <w:ind w:right="420" w:firstLine="0"/>
              <w:spacing w:line="360" w:lineRule="auto"/>
              <w:shd w:val="clear" w:color="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r>
            <w:r/>
          </w:p>
        </w:tc>
      </w:tr>
      <w:tr>
        <w:trPr>
          <w:jc w:val="center"/>
          <w:trHeight w:val="567"/>
        </w:trPr>
        <w:tc>
          <w:tcPr>
            <w:gridSpan w:val="4"/>
            <w:tcW w:w="4575" w:type="dxa"/>
            <w:vAlign w:val="center"/>
            <w:textDirection w:val="lrTb"/>
            <w:noWrap w:val="false"/>
          </w:tcPr>
          <w:p>
            <w:pPr>
              <w:pStyle w:val="746"/>
              <w:ind w:right="420" w:firstLine="0"/>
              <w:spacing w:line="360" w:lineRule="auto"/>
              <w:shd w:val="clear" w:color="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 xml:space="preserve">合计金额</w:t>
            </w:r>
            <w:r/>
          </w:p>
        </w:tc>
        <w:tc>
          <w:tcPr>
            <w:gridSpan w:val="5"/>
            <w:tcW w:w="5079" w:type="dxa"/>
            <w:vAlign w:val="center"/>
            <w:textDirection w:val="lrTb"/>
            <w:noWrap w:val="false"/>
          </w:tcPr>
          <w:p>
            <w:pPr>
              <w:pStyle w:val="746"/>
              <w:ind w:right="420" w:firstLine="0"/>
              <w:spacing w:line="360" w:lineRule="auto"/>
              <w:shd w:val="clear" w:color="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 xml:space="preserve">人民币（大写）</w:t>
            </w:r>
            <w:r>
              <w:rPr>
                <w:rFonts w:hint="eastAsia" w:ascii="宋体" w:hAnsi="宋体" w:eastAsia="宋体" w:cs="宋体"/>
                <w:color w:val="000000" w:themeColor="text1"/>
                <w:szCs w:val="24"/>
                <w:highlight w:val="none"/>
                <w:u w:val="single"/>
                <w14:textFill>
                  <w14:solidFill>
                    <w14:schemeClr w14:val="tx1"/>
                  </w14:solidFill>
                </w14:textFill>
              </w:rPr>
              <w:t xml:space="preserve">      </w:t>
            </w:r>
            <w:r>
              <w:rPr>
                <w:rFonts w:hint="eastAsia" w:ascii="宋体" w:hAnsi="宋体" w:eastAsia="宋体" w:cs="宋体"/>
                <w:color w:val="000000" w:themeColor="text1"/>
                <w:szCs w:val="24"/>
                <w:highlight w:val="none"/>
                <w14:textFill>
                  <w14:solidFill>
                    <w14:schemeClr w14:val="tx1"/>
                  </w14:solidFill>
                </w14:textFill>
              </w:rPr>
              <w:t xml:space="preserve">圆（¥（小写）</w:t>
            </w:r>
            <w:r>
              <w:rPr>
                <w:rFonts w:hint="eastAsia" w:ascii="宋体" w:hAnsi="宋体" w:eastAsia="宋体" w:cs="宋体"/>
                <w:color w:val="000000" w:themeColor="text1"/>
                <w:szCs w:val="24"/>
                <w:highlight w:val="none"/>
                <w:u w:val="single"/>
                <w14:textFill>
                  <w14:solidFill>
                    <w14:schemeClr w14:val="tx1"/>
                  </w14:solidFill>
                </w14:textFill>
              </w:rPr>
              <w:t xml:space="preserve">      </w:t>
            </w:r>
            <w:r>
              <w:rPr>
                <w:rFonts w:hint="eastAsia" w:ascii="宋体" w:hAnsi="宋体" w:eastAsia="宋体" w:cs="宋体"/>
                <w:color w:val="000000" w:themeColor="text1"/>
                <w:szCs w:val="24"/>
                <w:highlight w:val="none"/>
                <w14:textFill>
                  <w14:solidFill>
                    <w14:schemeClr w14:val="tx1"/>
                  </w14:solidFill>
                </w14:textFill>
              </w:rPr>
              <w:t xml:space="preserve">元）</w:t>
            </w:r>
            <w:r/>
          </w:p>
        </w:tc>
      </w:tr>
    </w:tbl>
    <w:p>
      <w:pPr>
        <w:pStyle w:val="746"/>
        <w:ind w:left="0" w:right="420" w:firstLine="480"/>
        <w:spacing w:line="360" w:lineRule="auto"/>
        <w:shd w:val="clear" w:color="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r>
      <w:r/>
    </w:p>
    <w:p>
      <w:pPr>
        <w:pStyle w:val="746"/>
        <w:ind w:left="0" w:right="420" w:firstLine="480"/>
        <w:spacing w:line="360" w:lineRule="auto"/>
        <w:shd w:val="clear" w:color="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 xml:space="preserve">注：</w:t>
      </w:r>
      <w:r/>
    </w:p>
    <w:p>
      <w:pPr>
        <w:pStyle w:val="746"/>
        <w:ind w:left="0" w:right="420" w:firstLine="480"/>
        <w:spacing w:line="360" w:lineRule="auto"/>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各投标人应根据此表格式按项目</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服务内容清单</w:t>
      </w:r>
      <w:r>
        <w:rPr>
          <w:rFonts w:hint="eastAsia" w:ascii="宋体" w:hAnsi="宋体" w:eastAsia="宋体" w:cs="宋体"/>
          <w:color w:val="000000" w:themeColor="text1"/>
          <w:sz w:val="24"/>
          <w:szCs w:val="24"/>
          <w:highlight w:val="none"/>
          <w14:textFill>
            <w14:solidFill>
              <w14:schemeClr w14:val="tx1"/>
            </w14:solidFill>
          </w14:textFill>
        </w:rPr>
        <w:t xml:space="preserve">分别填写详细</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的</w:t>
      </w:r>
      <w:r>
        <w:rPr>
          <w:rFonts w:hint="eastAsia" w:ascii="宋体" w:hAnsi="宋体" w:eastAsia="宋体" w:cs="宋体"/>
          <w:color w:val="000000" w:themeColor="text1"/>
          <w:sz w:val="24"/>
          <w:szCs w:val="24"/>
          <w:highlight w:val="none"/>
          <w14:textFill>
            <w14:solidFill>
              <w14:schemeClr w14:val="tx1"/>
            </w14:solidFill>
          </w14:textFill>
        </w:rPr>
        <w:t xml:space="preserve">清单</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报价</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如</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表格内容不够</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可自行添加。</w:t>
      </w:r>
      <w:r/>
    </w:p>
    <w:p>
      <w:pPr>
        <w:pStyle w:val="746"/>
        <w:numPr>
          <w:ilvl w:val="0"/>
          <w:numId w:val="0"/>
        </w:numPr>
        <w:ind w:right="420" w:firstLine="480"/>
        <w:spacing w:line="360" w:lineRule="auto"/>
        <w:shd w:val="clear" w:color="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Cs w:val="24"/>
          <w:highlight w:val="none"/>
          <w14:textFill>
            <w14:solidFill>
              <w14:schemeClr w14:val="tx1"/>
            </w14:solidFill>
          </w14:textFill>
        </w:rPr>
        <w:t xml:space="preserve">投标人须对全部采购内容进行报价。如未按照本表规定提供或本表中合计金额与“开标一览表”投标总价不一致的按无效投标报价的投标文件处理。</w:t>
      </w:r>
      <w:r/>
    </w:p>
    <w:p>
      <w:pPr>
        <w:pStyle w:val="746"/>
        <w:ind w:left="0" w:right="420" w:firstLine="480"/>
        <w:spacing w:line="360" w:lineRule="auto"/>
        <w:shd w:val="clear" w:color="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r>
      <w:r/>
    </w:p>
    <w:p>
      <w:pPr>
        <w:pStyle w:val="819"/>
        <w:ind w:firstLine="480"/>
        <w:spacing w:line="360" w:lineRule="auto"/>
        <w:shd w:val="clear" w:color="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投标人</w:t>
      </w:r>
      <w:r>
        <w:rPr>
          <w:rFonts w:hint="eastAsia" w:ascii="宋体" w:hAnsi="宋体" w:eastAsia="宋体" w:cs="宋体"/>
          <w:color w:val="000000" w:themeColor="text1"/>
          <w:sz w:val="24"/>
          <w:szCs w:val="24"/>
          <w:highlight w:val="none"/>
          <w14:textFill>
            <w14:solidFill>
              <w14:schemeClr w14:val="tx1"/>
            </w14:solidFill>
          </w14:textFill>
        </w:rPr>
        <w:t xml:space="preserve">（单位盖章）</w:t>
      </w:r>
      <w:r>
        <w:rPr>
          <w:rFonts w:hint="eastAsia" w:ascii="宋体" w:hAnsi="宋体" w:eastAsia="宋体" w:cs="宋体"/>
          <w:bCs/>
          <w:color w:val="000000" w:themeColor="text1"/>
          <w:sz w:val="24"/>
          <w:szCs w:val="24"/>
          <w:highlight w:val="none"/>
          <w14:textFill>
            <w14:solidFill>
              <w14:schemeClr w14:val="tx1"/>
            </w14:solidFill>
          </w14:textFill>
        </w:rPr>
        <w:t xml:space="preserve">：</w:t>
      </w:r>
      <w:r/>
    </w:p>
    <w:p>
      <w:pPr>
        <w:pStyle w:val="819"/>
        <w:spacing w:line="360" w:lineRule="auto"/>
        <w:shd w:val="clear" w:color="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    法定代表人或代理人</w:t>
      </w:r>
      <w:r>
        <w:rPr>
          <w:rFonts w:hint="eastAsia" w:ascii="宋体" w:hAnsi="宋体" w:eastAsia="宋体" w:cs="宋体"/>
          <w:color w:val="000000" w:themeColor="text1"/>
          <w:sz w:val="24"/>
          <w:szCs w:val="24"/>
          <w:highlight w:val="none"/>
          <w14:textFill>
            <w14:solidFill>
              <w14:schemeClr w14:val="tx1"/>
            </w14:solidFill>
          </w14:textFill>
        </w:rPr>
        <w:t xml:space="preserve">（签字或盖章）</w:t>
      </w:r>
      <w:r>
        <w:rPr>
          <w:rFonts w:hint="eastAsia" w:ascii="宋体" w:hAnsi="宋体" w:eastAsia="宋体" w:cs="宋体"/>
          <w:bCs/>
          <w:color w:val="000000" w:themeColor="text1"/>
          <w:sz w:val="24"/>
          <w:szCs w:val="24"/>
          <w:highlight w:val="none"/>
          <w14:textFill>
            <w14:solidFill>
              <w14:schemeClr w14:val="tx1"/>
            </w14:solidFill>
          </w14:textFill>
        </w:rPr>
        <w:t xml:space="preserve">：</w:t>
      </w:r>
      <w:r/>
    </w:p>
    <w:p>
      <w:pPr>
        <w:pStyle w:val="819"/>
        <w:ind w:firstLine="480"/>
        <w:spacing w:line="360" w:lineRule="auto"/>
        <w:shd w:val="clear" w:color="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日期：     年     月     日</w:t>
      </w:r>
      <w:bookmarkEnd w:id="6"/>
      <w:r/>
    </w:p>
    <w:p>
      <w:pPr>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br w:type="page" w:clear="all"/>
      </w:r>
      <w:r/>
    </w:p>
    <w:p>
      <w:pPr>
        <w:pStyle w:val="819"/>
        <w:numPr>
          <w:ilvl w:val="0"/>
          <w:numId w:val="3"/>
        </w:numPr>
        <w:spacing w:line="360" w:lineRule="auto"/>
        <w:rPr>
          <w:rFonts w:hint="eastAsia"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hAnsi="宋体" w:eastAsia="宋体" w:cs="宋体"/>
          <w:b w:val="0"/>
          <w:bCs w:val="0"/>
          <w:color w:val="000000" w:themeColor="text1"/>
          <w:sz w:val="24"/>
          <w:szCs w:val="24"/>
          <w:highlight w:val="none"/>
          <w:lang w:val="en-US" w:eastAsia="zh-CN"/>
          <w14:textFill>
            <w14:solidFill>
              <w14:schemeClr w14:val="tx1"/>
            </w14:solidFill>
          </w14:textFill>
        </w:rPr>
        <w:t xml:space="preserve">偏离表</w:t>
      </w:r>
      <w:r/>
    </w:p>
    <w:p>
      <w:pPr>
        <w:jc w:val="center"/>
        <w:spacing w:line="360" w:lineRule="auto"/>
        <w:rPr>
          <w:rFonts w:hint="eastAsia" w:ascii="宋体" w:hAnsi="宋体" w:eastAsia="宋体" w:cs="宋体"/>
          <w:b/>
          <w:color w:val="000000" w:themeColor="text1"/>
          <w:spacing w:val="6"/>
          <w:sz w:val="24"/>
          <w:szCs w:val="24"/>
          <w:highlight w:val="none"/>
          <w14:textFill>
            <w14:solidFill>
              <w14:schemeClr w14:val="tx1"/>
            </w14:solidFill>
          </w14:textFill>
        </w:rPr>
      </w:pPr>
      <w:r>
        <w:rPr>
          <w:rFonts w:hint="eastAsia" w:ascii="宋体" w:hAnsi="宋体" w:eastAsia="宋体" w:cs="宋体"/>
          <w:b/>
          <w:color w:val="000000" w:themeColor="text1"/>
          <w:spacing w:val="6"/>
          <w:sz w:val="24"/>
          <w:szCs w:val="24"/>
          <w:highlight w:val="none"/>
          <w14:textFill>
            <w14:solidFill>
              <w14:schemeClr w14:val="tx1"/>
            </w14:solidFill>
          </w14:textFill>
        </w:rPr>
        <w:t xml:space="preserve">服务要求偏离表</w:t>
      </w:r>
      <w:r/>
    </w:p>
    <w:p>
      <w:pPr>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bl>
      <w:tblPr>
        <w:tblStyle w:val="744"/>
        <w:tblW w:w="0" w:type="auto"/>
        <w:jc w:val="center"/>
        <w:tblLayout w:type="fixed"/>
        <w:tblCellMar>
          <w:left w:w="108" w:type="dxa"/>
          <w:top w:w="0" w:type="dxa"/>
          <w:right w:w="108" w:type="dxa"/>
          <w:bottom w:w="0" w:type="dxa"/>
        </w:tblCellMar>
        <w:tblLook w:val="04A0" w:firstRow="1" w:lastRow="0" w:firstColumn="1" w:lastColumn="0" w:noHBand="0" w:noVBand="1"/>
      </w:tblPr>
      <w:tblGrid>
        <w:gridCol w:w="784"/>
        <w:gridCol w:w="1744"/>
        <w:gridCol w:w="1744"/>
        <w:gridCol w:w="1744"/>
        <w:gridCol w:w="1703"/>
        <w:gridCol w:w="1801"/>
      </w:tblGrid>
      <w:tr>
        <w:trPr>
          <w:jc w:val="center"/>
          <w:trHeight w:val="558"/>
        </w:trPr>
        <w:tc>
          <w:tcPr>
            <w:tcBorders>
              <w:top w:val="single" w:color="000000" w:sz="4" w:space="0"/>
              <w:left w:val="single" w:color="000000" w:sz="4" w:space="0"/>
              <w:bottom w:val="single" w:color="000000" w:sz="6" w:space="0"/>
              <w:right w:val="single" w:color="000000" w:sz="6" w:space="0"/>
            </w:tcBorders>
            <w:tcW w:w="784" w:type="dxa"/>
            <w:vAlign w:val="center"/>
            <w:textDirection w:val="lrTb"/>
            <w:noWrap w:val="false"/>
          </w:tcPr>
          <w:p>
            <w:pPr>
              <w:jc w:val="center"/>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序号</w:t>
            </w:r>
            <w:r/>
          </w:p>
        </w:tc>
        <w:tc>
          <w:tcPr>
            <w:tcBorders>
              <w:top w:val="single" w:color="000000" w:sz="4" w:space="0"/>
              <w:left w:val="none" w:color="000000" w:sz="4" w:space="0"/>
              <w:bottom w:val="single" w:color="000000" w:sz="6" w:space="0"/>
              <w:right w:val="single" w:color="000000" w:sz="6" w:space="0"/>
            </w:tcBorders>
            <w:tcW w:w="1744" w:type="dxa"/>
            <w:vAlign w:val="center"/>
            <w:textDirection w:val="lrTb"/>
            <w:noWrap w:val="false"/>
          </w:tcPr>
          <w:p>
            <w:pPr>
              <w:jc w:val="center"/>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服务内容</w:t>
            </w:r>
            <w:r/>
          </w:p>
        </w:tc>
        <w:tc>
          <w:tcPr>
            <w:tcBorders>
              <w:top w:val="single" w:color="000000" w:sz="4" w:space="0"/>
              <w:left w:val="none" w:color="000000" w:sz="4" w:space="0"/>
              <w:bottom w:val="single" w:color="000000" w:sz="6" w:space="0"/>
              <w:right w:val="single" w:color="000000" w:sz="6" w:space="0"/>
            </w:tcBorders>
            <w:tcW w:w="1744" w:type="dxa"/>
            <w:vAlign w:val="center"/>
            <w:textDirection w:val="lrTb"/>
            <w:noWrap w:val="false"/>
          </w:tcPr>
          <w:p>
            <w:pPr>
              <w:jc w:val="center"/>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招标要求</w:t>
            </w:r>
            <w:r/>
          </w:p>
        </w:tc>
        <w:tc>
          <w:tcPr>
            <w:tcBorders>
              <w:top w:val="single" w:color="000000" w:sz="4" w:space="0"/>
              <w:left w:val="none" w:color="000000" w:sz="4" w:space="0"/>
              <w:bottom w:val="single" w:color="000000" w:sz="6" w:space="0"/>
              <w:right w:val="single" w:color="000000" w:sz="6" w:space="0"/>
            </w:tcBorders>
            <w:tcW w:w="1744" w:type="dxa"/>
            <w:vAlign w:val="center"/>
            <w:textDirection w:val="lrTb"/>
            <w:noWrap w:val="false"/>
          </w:tcPr>
          <w:p>
            <w:pPr>
              <w:jc w:val="center"/>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投标</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响应</w:t>
            </w:r>
            <w:r/>
          </w:p>
        </w:tc>
        <w:tc>
          <w:tcPr>
            <w:tcBorders>
              <w:top w:val="single" w:color="000000" w:sz="4" w:space="0"/>
              <w:left w:val="none" w:color="000000" w:sz="4" w:space="0"/>
              <w:bottom w:val="single" w:color="000000" w:sz="6" w:space="0"/>
              <w:right w:val="single" w:color="000000" w:sz="6" w:space="0"/>
            </w:tcBorders>
            <w:tcW w:w="1703" w:type="dxa"/>
            <w:vAlign w:val="center"/>
            <w:textDirection w:val="lrTb"/>
            <w:noWrap w:val="false"/>
          </w:tcPr>
          <w:p>
            <w:pPr>
              <w:jc w:val="center"/>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偏离/响应</w:t>
            </w:r>
            <w:r/>
          </w:p>
        </w:tc>
        <w:tc>
          <w:tcPr>
            <w:tcBorders>
              <w:top w:val="single" w:color="000000" w:sz="4" w:space="0"/>
              <w:left w:val="none" w:color="000000" w:sz="4" w:space="0"/>
              <w:bottom w:val="single" w:color="000000" w:sz="6" w:space="0"/>
              <w:right w:val="single" w:color="000000" w:sz="4" w:space="0"/>
            </w:tcBorders>
            <w:tcW w:w="1801" w:type="dxa"/>
            <w:vAlign w:val="center"/>
            <w:textDirection w:val="lrTb"/>
            <w:noWrap w:val="false"/>
          </w:tcPr>
          <w:p>
            <w:pPr>
              <w:jc w:val="center"/>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说明</w:t>
            </w:r>
            <w:r/>
          </w:p>
        </w:tc>
      </w:tr>
      <w:tr>
        <w:trPr>
          <w:jc w:val="center"/>
          <w:trHeight w:val="563"/>
        </w:trPr>
        <w:tc>
          <w:tcPr>
            <w:tcBorders>
              <w:top w:val="single" w:color="000000" w:sz="6" w:space="0"/>
              <w:left w:val="single" w:color="000000" w:sz="4" w:space="0"/>
              <w:bottom w:val="single" w:color="000000" w:sz="6" w:space="0"/>
              <w:right w:val="single" w:color="000000" w:sz="6" w:space="0"/>
            </w:tcBorders>
            <w:tcW w:w="784" w:type="dxa"/>
            <w:vAlign w:val="top"/>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000000" w:sz="6" w:space="0"/>
              <w:left w:val="none" w:color="000000" w:sz="4" w:space="0"/>
              <w:bottom w:val="single" w:color="000000" w:sz="6" w:space="0"/>
              <w:right w:val="single" w:color="000000" w:sz="6" w:space="0"/>
            </w:tcBorders>
            <w:tcW w:w="1744" w:type="dxa"/>
            <w:vAlign w:val="top"/>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000000" w:sz="6" w:space="0"/>
              <w:left w:val="none" w:color="000000" w:sz="4" w:space="0"/>
              <w:bottom w:val="single" w:color="000000" w:sz="6" w:space="0"/>
              <w:right w:val="single" w:color="000000" w:sz="6" w:space="0"/>
            </w:tcBorders>
            <w:tcW w:w="1744" w:type="dxa"/>
            <w:vAlign w:val="top"/>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000000" w:sz="6" w:space="0"/>
              <w:left w:val="none" w:color="000000" w:sz="4" w:space="0"/>
              <w:bottom w:val="single" w:color="000000" w:sz="6" w:space="0"/>
              <w:right w:val="single" w:color="000000" w:sz="6" w:space="0"/>
            </w:tcBorders>
            <w:tcW w:w="1744" w:type="dxa"/>
            <w:vAlign w:val="top"/>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000000" w:sz="6" w:space="0"/>
              <w:left w:val="none" w:color="000000" w:sz="4" w:space="0"/>
              <w:bottom w:val="single" w:color="000000" w:sz="6" w:space="0"/>
              <w:right w:val="single" w:color="000000" w:sz="6" w:space="0"/>
            </w:tcBorders>
            <w:tcW w:w="1703" w:type="dxa"/>
            <w:vAlign w:val="top"/>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000000" w:sz="6" w:space="0"/>
              <w:left w:val="none" w:color="000000" w:sz="4" w:space="0"/>
              <w:bottom w:val="single" w:color="000000" w:sz="6" w:space="0"/>
              <w:right w:val="single" w:color="000000" w:sz="4" w:space="0"/>
            </w:tcBorders>
            <w:tcW w:w="1801" w:type="dxa"/>
            <w:vAlign w:val="top"/>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jc w:val="center"/>
          <w:trHeight w:val="563"/>
        </w:trPr>
        <w:tc>
          <w:tcPr>
            <w:tcBorders>
              <w:top w:val="single" w:color="000000" w:sz="6" w:space="0"/>
              <w:left w:val="single" w:color="000000" w:sz="4" w:space="0"/>
              <w:bottom w:val="single" w:color="000000" w:sz="6" w:space="0"/>
              <w:right w:val="single" w:color="000000" w:sz="6" w:space="0"/>
            </w:tcBorders>
            <w:tcW w:w="784" w:type="dxa"/>
            <w:vAlign w:val="top"/>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000000" w:sz="6" w:space="0"/>
              <w:left w:val="none" w:color="000000" w:sz="4" w:space="0"/>
              <w:bottom w:val="single" w:color="000000" w:sz="6" w:space="0"/>
              <w:right w:val="single" w:color="000000" w:sz="6" w:space="0"/>
            </w:tcBorders>
            <w:tcW w:w="1744" w:type="dxa"/>
            <w:vAlign w:val="top"/>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000000" w:sz="6" w:space="0"/>
              <w:left w:val="none" w:color="000000" w:sz="4" w:space="0"/>
              <w:bottom w:val="single" w:color="000000" w:sz="6" w:space="0"/>
              <w:right w:val="single" w:color="000000" w:sz="6" w:space="0"/>
            </w:tcBorders>
            <w:tcW w:w="1744" w:type="dxa"/>
            <w:vAlign w:val="top"/>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000000" w:sz="6" w:space="0"/>
              <w:left w:val="none" w:color="000000" w:sz="4" w:space="0"/>
              <w:bottom w:val="single" w:color="000000" w:sz="6" w:space="0"/>
              <w:right w:val="single" w:color="000000" w:sz="6" w:space="0"/>
            </w:tcBorders>
            <w:tcW w:w="1744" w:type="dxa"/>
            <w:vAlign w:val="top"/>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000000" w:sz="6" w:space="0"/>
              <w:left w:val="none" w:color="000000" w:sz="4" w:space="0"/>
              <w:bottom w:val="single" w:color="000000" w:sz="6" w:space="0"/>
              <w:right w:val="single" w:color="000000" w:sz="6" w:space="0"/>
            </w:tcBorders>
            <w:tcW w:w="1703" w:type="dxa"/>
            <w:vAlign w:val="top"/>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000000" w:sz="6" w:space="0"/>
              <w:left w:val="none" w:color="000000" w:sz="4" w:space="0"/>
              <w:bottom w:val="single" w:color="000000" w:sz="6" w:space="0"/>
              <w:right w:val="single" w:color="000000" w:sz="4" w:space="0"/>
            </w:tcBorders>
            <w:tcW w:w="1801" w:type="dxa"/>
            <w:vAlign w:val="top"/>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jc w:val="center"/>
          <w:trHeight w:val="563"/>
        </w:trPr>
        <w:tc>
          <w:tcPr>
            <w:tcBorders>
              <w:top w:val="single" w:color="000000" w:sz="6" w:space="0"/>
              <w:left w:val="single" w:color="000000" w:sz="4" w:space="0"/>
              <w:bottom w:val="single" w:color="000000" w:sz="6" w:space="0"/>
              <w:right w:val="single" w:color="000000" w:sz="6" w:space="0"/>
            </w:tcBorders>
            <w:tcW w:w="784" w:type="dxa"/>
            <w:vAlign w:val="top"/>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000000" w:sz="6" w:space="0"/>
              <w:left w:val="none" w:color="000000" w:sz="4" w:space="0"/>
              <w:bottom w:val="single" w:color="000000" w:sz="6" w:space="0"/>
              <w:right w:val="single" w:color="000000" w:sz="6" w:space="0"/>
            </w:tcBorders>
            <w:tcW w:w="1744" w:type="dxa"/>
            <w:vAlign w:val="top"/>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000000" w:sz="6" w:space="0"/>
              <w:left w:val="none" w:color="000000" w:sz="4" w:space="0"/>
              <w:bottom w:val="single" w:color="000000" w:sz="6" w:space="0"/>
              <w:right w:val="single" w:color="000000" w:sz="6" w:space="0"/>
            </w:tcBorders>
            <w:tcW w:w="1744" w:type="dxa"/>
            <w:vAlign w:val="top"/>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000000" w:sz="6" w:space="0"/>
              <w:left w:val="none" w:color="000000" w:sz="4" w:space="0"/>
              <w:bottom w:val="single" w:color="000000" w:sz="6" w:space="0"/>
              <w:right w:val="single" w:color="000000" w:sz="6" w:space="0"/>
            </w:tcBorders>
            <w:tcW w:w="1744" w:type="dxa"/>
            <w:vAlign w:val="top"/>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000000" w:sz="6" w:space="0"/>
              <w:left w:val="none" w:color="000000" w:sz="4" w:space="0"/>
              <w:bottom w:val="single" w:color="000000" w:sz="6" w:space="0"/>
              <w:right w:val="single" w:color="000000" w:sz="6" w:space="0"/>
            </w:tcBorders>
            <w:tcW w:w="1703" w:type="dxa"/>
            <w:vAlign w:val="top"/>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000000" w:sz="6" w:space="0"/>
              <w:left w:val="none" w:color="000000" w:sz="4" w:space="0"/>
              <w:bottom w:val="single" w:color="000000" w:sz="6" w:space="0"/>
              <w:right w:val="single" w:color="000000" w:sz="4" w:space="0"/>
            </w:tcBorders>
            <w:tcW w:w="1801" w:type="dxa"/>
            <w:vAlign w:val="top"/>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jc w:val="center"/>
          <w:trHeight w:val="563"/>
        </w:trPr>
        <w:tc>
          <w:tcPr>
            <w:tcBorders>
              <w:top w:val="single" w:color="000000" w:sz="6" w:space="0"/>
              <w:left w:val="single" w:color="000000" w:sz="4" w:space="0"/>
              <w:bottom w:val="single" w:color="000000" w:sz="6" w:space="0"/>
              <w:right w:val="single" w:color="000000" w:sz="6" w:space="0"/>
            </w:tcBorders>
            <w:tcW w:w="784" w:type="dxa"/>
            <w:vAlign w:val="top"/>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000000" w:sz="6" w:space="0"/>
              <w:left w:val="none" w:color="000000" w:sz="4" w:space="0"/>
              <w:bottom w:val="single" w:color="000000" w:sz="6" w:space="0"/>
              <w:right w:val="single" w:color="000000" w:sz="6" w:space="0"/>
            </w:tcBorders>
            <w:tcW w:w="1744" w:type="dxa"/>
            <w:vAlign w:val="top"/>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000000" w:sz="6" w:space="0"/>
              <w:left w:val="none" w:color="000000" w:sz="4" w:space="0"/>
              <w:bottom w:val="single" w:color="000000" w:sz="6" w:space="0"/>
              <w:right w:val="single" w:color="000000" w:sz="6" w:space="0"/>
            </w:tcBorders>
            <w:tcW w:w="1744" w:type="dxa"/>
            <w:vAlign w:val="top"/>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000000" w:sz="6" w:space="0"/>
              <w:left w:val="none" w:color="000000" w:sz="4" w:space="0"/>
              <w:bottom w:val="single" w:color="000000" w:sz="6" w:space="0"/>
              <w:right w:val="single" w:color="000000" w:sz="6" w:space="0"/>
            </w:tcBorders>
            <w:tcW w:w="1744" w:type="dxa"/>
            <w:vAlign w:val="top"/>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000000" w:sz="6" w:space="0"/>
              <w:left w:val="none" w:color="000000" w:sz="4" w:space="0"/>
              <w:bottom w:val="single" w:color="000000" w:sz="6" w:space="0"/>
              <w:right w:val="single" w:color="000000" w:sz="6" w:space="0"/>
            </w:tcBorders>
            <w:tcW w:w="1703" w:type="dxa"/>
            <w:vAlign w:val="top"/>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000000" w:sz="6" w:space="0"/>
              <w:left w:val="none" w:color="000000" w:sz="4" w:space="0"/>
              <w:bottom w:val="single" w:color="000000" w:sz="6" w:space="0"/>
              <w:right w:val="single" w:color="000000" w:sz="4" w:space="0"/>
            </w:tcBorders>
            <w:tcW w:w="1801" w:type="dxa"/>
            <w:vAlign w:val="top"/>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jc w:val="center"/>
          <w:trHeight w:val="563"/>
        </w:trPr>
        <w:tc>
          <w:tcPr>
            <w:tcBorders>
              <w:top w:val="single" w:color="000000" w:sz="6" w:space="0"/>
              <w:left w:val="single" w:color="000000" w:sz="4" w:space="0"/>
              <w:bottom w:val="single" w:color="000000" w:sz="6" w:space="0"/>
              <w:right w:val="single" w:color="000000" w:sz="6" w:space="0"/>
            </w:tcBorders>
            <w:tcW w:w="784" w:type="dxa"/>
            <w:vAlign w:val="top"/>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000000" w:sz="6" w:space="0"/>
              <w:left w:val="none" w:color="000000" w:sz="4" w:space="0"/>
              <w:bottom w:val="single" w:color="000000" w:sz="6" w:space="0"/>
              <w:right w:val="single" w:color="000000" w:sz="6" w:space="0"/>
            </w:tcBorders>
            <w:tcW w:w="1744" w:type="dxa"/>
            <w:vAlign w:val="top"/>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000000" w:sz="6" w:space="0"/>
              <w:left w:val="none" w:color="000000" w:sz="4" w:space="0"/>
              <w:bottom w:val="single" w:color="000000" w:sz="6" w:space="0"/>
              <w:right w:val="single" w:color="000000" w:sz="6" w:space="0"/>
            </w:tcBorders>
            <w:tcW w:w="1744" w:type="dxa"/>
            <w:vAlign w:val="top"/>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000000" w:sz="6" w:space="0"/>
              <w:left w:val="none" w:color="000000" w:sz="4" w:space="0"/>
              <w:bottom w:val="single" w:color="000000" w:sz="6" w:space="0"/>
              <w:right w:val="single" w:color="000000" w:sz="6" w:space="0"/>
            </w:tcBorders>
            <w:tcW w:w="1744" w:type="dxa"/>
            <w:vAlign w:val="top"/>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000000" w:sz="6" w:space="0"/>
              <w:left w:val="none" w:color="000000" w:sz="4" w:space="0"/>
              <w:bottom w:val="single" w:color="000000" w:sz="6" w:space="0"/>
              <w:right w:val="single" w:color="000000" w:sz="6" w:space="0"/>
            </w:tcBorders>
            <w:tcW w:w="1703" w:type="dxa"/>
            <w:vAlign w:val="top"/>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000000" w:sz="6" w:space="0"/>
              <w:left w:val="none" w:color="000000" w:sz="4" w:space="0"/>
              <w:bottom w:val="single" w:color="000000" w:sz="6" w:space="0"/>
              <w:right w:val="single" w:color="000000" w:sz="4" w:space="0"/>
            </w:tcBorders>
            <w:tcW w:w="1801" w:type="dxa"/>
            <w:vAlign w:val="top"/>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jc w:val="center"/>
          <w:trHeight w:val="563"/>
        </w:trPr>
        <w:tc>
          <w:tcPr>
            <w:tcBorders>
              <w:top w:val="single" w:color="000000" w:sz="6" w:space="0"/>
              <w:left w:val="single" w:color="000000" w:sz="4" w:space="0"/>
              <w:bottom w:val="single" w:color="000000" w:sz="6" w:space="0"/>
              <w:right w:val="single" w:color="000000" w:sz="6" w:space="0"/>
            </w:tcBorders>
            <w:tcW w:w="784" w:type="dxa"/>
            <w:vAlign w:val="top"/>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000000" w:sz="6" w:space="0"/>
              <w:left w:val="none" w:color="000000" w:sz="4" w:space="0"/>
              <w:bottom w:val="single" w:color="000000" w:sz="6" w:space="0"/>
              <w:right w:val="single" w:color="000000" w:sz="6" w:space="0"/>
            </w:tcBorders>
            <w:tcW w:w="1744" w:type="dxa"/>
            <w:vAlign w:val="top"/>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000000" w:sz="6" w:space="0"/>
              <w:left w:val="none" w:color="000000" w:sz="4" w:space="0"/>
              <w:bottom w:val="single" w:color="000000" w:sz="6" w:space="0"/>
              <w:right w:val="single" w:color="000000" w:sz="6" w:space="0"/>
            </w:tcBorders>
            <w:tcW w:w="1744" w:type="dxa"/>
            <w:vAlign w:val="top"/>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000000" w:sz="6" w:space="0"/>
              <w:left w:val="none" w:color="000000" w:sz="4" w:space="0"/>
              <w:bottom w:val="single" w:color="000000" w:sz="6" w:space="0"/>
              <w:right w:val="single" w:color="000000" w:sz="6" w:space="0"/>
            </w:tcBorders>
            <w:tcW w:w="1744" w:type="dxa"/>
            <w:vAlign w:val="top"/>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000000" w:sz="6" w:space="0"/>
              <w:left w:val="none" w:color="000000" w:sz="4" w:space="0"/>
              <w:bottom w:val="single" w:color="000000" w:sz="6" w:space="0"/>
              <w:right w:val="single" w:color="000000" w:sz="6" w:space="0"/>
            </w:tcBorders>
            <w:tcW w:w="1703" w:type="dxa"/>
            <w:vAlign w:val="top"/>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000000" w:sz="6" w:space="0"/>
              <w:left w:val="none" w:color="000000" w:sz="4" w:space="0"/>
              <w:bottom w:val="single" w:color="000000" w:sz="6" w:space="0"/>
              <w:right w:val="single" w:color="000000" w:sz="4" w:space="0"/>
            </w:tcBorders>
            <w:tcW w:w="1801" w:type="dxa"/>
            <w:vAlign w:val="top"/>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jc w:val="center"/>
          <w:trHeight w:val="563"/>
        </w:trPr>
        <w:tc>
          <w:tcPr>
            <w:tcBorders>
              <w:top w:val="single" w:color="000000" w:sz="6" w:space="0"/>
              <w:left w:val="single" w:color="000000" w:sz="4" w:space="0"/>
              <w:bottom w:val="single" w:color="000000" w:sz="6" w:space="0"/>
              <w:right w:val="single" w:color="000000" w:sz="6" w:space="0"/>
            </w:tcBorders>
            <w:tcW w:w="784" w:type="dxa"/>
            <w:vAlign w:val="top"/>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000000" w:sz="6" w:space="0"/>
              <w:left w:val="none" w:color="000000" w:sz="4" w:space="0"/>
              <w:bottom w:val="single" w:color="000000" w:sz="6" w:space="0"/>
              <w:right w:val="single" w:color="000000" w:sz="6" w:space="0"/>
            </w:tcBorders>
            <w:tcW w:w="1744" w:type="dxa"/>
            <w:vAlign w:val="top"/>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000000" w:sz="6" w:space="0"/>
              <w:left w:val="none" w:color="000000" w:sz="4" w:space="0"/>
              <w:bottom w:val="single" w:color="000000" w:sz="6" w:space="0"/>
              <w:right w:val="single" w:color="000000" w:sz="6" w:space="0"/>
            </w:tcBorders>
            <w:tcW w:w="1744" w:type="dxa"/>
            <w:vAlign w:val="top"/>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000000" w:sz="6" w:space="0"/>
              <w:left w:val="none" w:color="000000" w:sz="4" w:space="0"/>
              <w:bottom w:val="single" w:color="000000" w:sz="6" w:space="0"/>
              <w:right w:val="single" w:color="000000" w:sz="6" w:space="0"/>
            </w:tcBorders>
            <w:tcW w:w="1744" w:type="dxa"/>
            <w:vAlign w:val="top"/>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000000" w:sz="6" w:space="0"/>
              <w:left w:val="none" w:color="000000" w:sz="4" w:space="0"/>
              <w:bottom w:val="single" w:color="000000" w:sz="6" w:space="0"/>
              <w:right w:val="single" w:color="000000" w:sz="6" w:space="0"/>
            </w:tcBorders>
            <w:tcW w:w="1703" w:type="dxa"/>
            <w:vAlign w:val="top"/>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000000" w:sz="6" w:space="0"/>
              <w:left w:val="none" w:color="000000" w:sz="4" w:space="0"/>
              <w:bottom w:val="single" w:color="000000" w:sz="6" w:space="0"/>
              <w:right w:val="single" w:color="000000" w:sz="4" w:space="0"/>
            </w:tcBorders>
            <w:tcW w:w="1801" w:type="dxa"/>
            <w:vAlign w:val="top"/>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jc w:val="center"/>
          <w:trHeight w:val="572"/>
        </w:trPr>
        <w:tc>
          <w:tcPr>
            <w:tcBorders>
              <w:top w:val="single" w:color="000000" w:sz="6" w:space="0"/>
              <w:left w:val="single" w:color="000000" w:sz="4" w:space="0"/>
              <w:bottom w:val="single" w:color="000000" w:sz="4" w:space="0"/>
              <w:right w:val="single" w:color="000000" w:sz="6" w:space="0"/>
            </w:tcBorders>
            <w:tcW w:w="784" w:type="dxa"/>
            <w:vAlign w:val="top"/>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000000" w:sz="6" w:space="0"/>
              <w:left w:val="none" w:color="000000" w:sz="4" w:space="0"/>
              <w:bottom w:val="single" w:color="000000" w:sz="4" w:space="0"/>
              <w:right w:val="single" w:color="000000" w:sz="6" w:space="0"/>
            </w:tcBorders>
            <w:tcW w:w="1744" w:type="dxa"/>
            <w:vAlign w:val="top"/>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000000" w:sz="6" w:space="0"/>
              <w:left w:val="none" w:color="000000" w:sz="4" w:space="0"/>
              <w:bottom w:val="single" w:color="000000" w:sz="4" w:space="0"/>
              <w:right w:val="single" w:color="000000" w:sz="6" w:space="0"/>
            </w:tcBorders>
            <w:tcW w:w="1744" w:type="dxa"/>
            <w:vAlign w:val="top"/>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000000" w:sz="6" w:space="0"/>
              <w:left w:val="none" w:color="000000" w:sz="4" w:space="0"/>
              <w:bottom w:val="single" w:color="000000" w:sz="4" w:space="0"/>
              <w:right w:val="single" w:color="000000" w:sz="6" w:space="0"/>
            </w:tcBorders>
            <w:tcW w:w="1744" w:type="dxa"/>
            <w:vAlign w:val="top"/>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000000" w:sz="6" w:space="0"/>
              <w:left w:val="none" w:color="000000" w:sz="4" w:space="0"/>
              <w:bottom w:val="single" w:color="000000" w:sz="4" w:space="0"/>
              <w:right w:val="single" w:color="000000" w:sz="6" w:space="0"/>
            </w:tcBorders>
            <w:tcW w:w="1703" w:type="dxa"/>
            <w:vAlign w:val="top"/>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000000" w:sz="6" w:space="0"/>
              <w:left w:val="none" w:color="000000" w:sz="4" w:space="0"/>
              <w:bottom w:val="single" w:color="000000" w:sz="4" w:space="0"/>
              <w:right w:val="single" w:color="000000" w:sz="4" w:space="0"/>
            </w:tcBorders>
            <w:tcW w:w="1801" w:type="dxa"/>
            <w:vAlign w:val="top"/>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bl>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w:t>
      </w:r>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w:t>
      </w:r>
      <w:r/>
    </w:p>
    <w:p>
      <w:pPr>
        <w:pStyle w:val="819"/>
        <w:ind w:firstLine="480"/>
        <w:spacing w:line="360" w:lineRule="auto"/>
        <w:shd w:val="clear" w:color="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投标人</w:t>
      </w:r>
      <w:r>
        <w:rPr>
          <w:rFonts w:hint="eastAsia" w:ascii="宋体" w:hAnsi="宋体" w:eastAsia="宋体" w:cs="宋体"/>
          <w:color w:val="000000" w:themeColor="text1"/>
          <w:sz w:val="24"/>
          <w:szCs w:val="24"/>
          <w:highlight w:val="none"/>
          <w14:textFill>
            <w14:solidFill>
              <w14:schemeClr w14:val="tx1"/>
            </w14:solidFill>
          </w14:textFill>
        </w:rPr>
        <w:t xml:space="preserve">（单位盖章）</w:t>
      </w:r>
      <w:r>
        <w:rPr>
          <w:rFonts w:hint="eastAsia" w:ascii="宋体" w:hAnsi="宋体" w:eastAsia="宋体" w:cs="宋体"/>
          <w:bCs/>
          <w:color w:val="000000" w:themeColor="text1"/>
          <w:sz w:val="24"/>
          <w:szCs w:val="24"/>
          <w:highlight w:val="none"/>
          <w14:textFill>
            <w14:solidFill>
              <w14:schemeClr w14:val="tx1"/>
            </w14:solidFill>
          </w14:textFill>
        </w:rPr>
        <w:t xml:space="preserve">：</w:t>
      </w:r>
      <w:r/>
    </w:p>
    <w:p>
      <w:pPr>
        <w:pStyle w:val="819"/>
        <w:spacing w:line="360" w:lineRule="auto"/>
        <w:shd w:val="clear" w:color="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    法定代表人或代理人</w:t>
      </w:r>
      <w:r>
        <w:rPr>
          <w:rFonts w:hint="eastAsia" w:ascii="宋体" w:hAnsi="宋体" w:eastAsia="宋体" w:cs="宋体"/>
          <w:color w:val="000000" w:themeColor="text1"/>
          <w:sz w:val="24"/>
          <w:szCs w:val="24"/>
          <w:highlight w:val="none"/>
          <w14:textFill>
            <w14:solidFill>
              <w14:schemeClr w14:val="tx1"/>
            </w14:solidFill>
          </w14:textFill>
        </w:rPr>
        <w:t xml:space="preserve">（签字或盖章）</w:t>
      </w:r>
      <w:r>
        <w:rPr>
          <w:rFonts w:hint="eastAsia" w:ascii="宋体" w:hAnsi="宋体" w:eastAsia="宋体" w:cs="宋体"/>
          <w:bCs/>
          <w:color w:val="000000" w:themeColor="text1"/>
          <w:sz w:val="24"/>
          <w:szCs w:val="24"/>
          <w:highlight w:val="none"/>
          <w14:textFill>
            <w14:solidFill>
              <w14:schemeClr w14:val="tx1"/>
            </w14:solidFill>
          </w14:textFill>
        </w:rPr>
        <w:t xml:space="preserve">：</w:t>
      </w:r>
      <w:r/>
    </w:p>
    <w:p>
      <w:pPr>
        <w:pStyle w:val="819"/>
        <w:ind w:firstLine="480"/>
        <w:spacing w:line="360" w:lineRule="auto"/>
        <w:shd w:val="clear" w:color="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日期：     年     月     日</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w:t>
      </w:r>
      <w:r/>
    </w:p>
    <w:p>
      <w:pPr>
        <w:spacing w:line="400" w:lineRule="exact"/>
        <w:rPr>
          <w:rFonts w:hint="eastAsia" w:ascii="宋体" w:hAnsi="宋体" w:eastAsia="楷体_GB2312"/>
          <w:b/>
          <w:color w:val="000000" w:themeColor="text1"/>
          <w:sz w:val="24"/>
          <w:highlight w:val="none"/>
          <w14:textFill>
            <w14:solidFill>
              <w14:schemeClr w14:val="tx1"/>
            </w14:solidFill>
          </w14:textFill>
        </w:rPr>
      </w:pPr>
      <w:r>
        <w:rPr>
          <w:rFonts w:hint="eastAsia" w:ascii="宋体" w:hAnsi="宋体" w:eastAsia="楷体_GB2312"/>
          <w:b/>
          <w:color w:val="000000" w:themeColor="text1"/>
          <w:sz w:val="24"/>
          <w:highlight w:val="none"/>
          <w14:textFill>
            <w14:solidFill>
              <w14:schemeClr w14:val="tx1"/>
            </w14:solidFill>
          </w14:textFill>
        </w:rPr>
        <w:t xml:space="preserve"> </w:t>
      </w:r>
      <w:r/>
    </w:p>
    <w:p>
      <w:pPr>
        <w:spacing w:line="400" w:lineRule="exact"/>
        <w:rPr>
          <w:rFonts w:hint="eastAsia" w:ascii="宋体" w:hAnsi="宋体" w:eastAsia="楷体_GB2312"/>
          <w:b/>
          <w:color w:val="000000" w:themeColor="text1"/>
          <w:sz w:val="24"/>
          <w:highlight w:val="none"/>
          <w14:textFill>
            <w14:solidFill>
              <w14:schemeClr w14:val="tx1"/>
            </w14:solidFill>
          </w14:textFill>
        </w:rPr>
      </w:pPr>
      <w:r>
        <w:rPr>
          <w:rFonts w:hint="eastAsia" w:ascii="宋体" w:hAnsi="宋体" w:eastAsia="楷体_GB2312"/>
          <w:b/>
          <w:color w:val="000000" w:themeColor="text1"/>
          <w:sz w:val="24"/>
          <w:highlight w:val="none"/>
          <w14:textFill>
            <w14:solidFill>
              <w14:schemeClr w14:val="tx1"/>
            </w14:solidFill>
          </w14:textFill>
        </w:rPr>
        <w:t xml:space="preserve"> </w:t>
      </w:r>
      <w:r/>
    </w:p>
    <w:p>
      <w:pPr>
        <w:spacing w:line="400" w:lineRule="exact"/>
        <w:rPr>
          <w:rFonts w:hint="eastAsia" w:ascii="宋体" w:hAnsi="宋体" w:eastAsia="楷体_GB2312"/>
          <w:b/>
          <w:color w:val="000000" w:themeColor="text1"/>
          <w:sz w:val="24"/>
          <w:highlight w:val="none"/>
          <w14:textFill>
            <w14:solidFill>
              <w14:schemeClr w14:val="tx1"/>
            </w14:solidFill>
          </w14:textFill>
        </w:rPr>
      </w:pPr>
      <w:r>
        <w:rPr>
          <w:rFonts w:hint="eastAsia" w:ascii="宋体" w:hAnsi="宋体" w:eastAsia="楷体_GB2312"/>
          <w:b/>
          <w:color w:val="000000" w:themeColor="text1"/>
          <w:sz w:val="24"/>
          <w:highlight w:val="none"/>
          <w14:textFill>
            <w14:solidFill>
              <w14:schemeClr w14:val="tx1"/>
            </w14:solidFill>
          </w14:textFill>
        </w:rPr>
        <w:t xml:space="preserve"> </w:t>
      </w:r>
      <w:r/>
    </w:p>
    <w:p>
      <w:pPr>
        <w:spacing w:line="400" w:lineRule="exact"/>
        <w:rPr>
          <w:rFonts w:hint="eastAsia" w:ascii="宋体" w:hAnsi="宋体" w:eastAsia="楷体_GB2312"/>
          <w:b/>
          <w:color w:val="000000" w:themeColor="text1"/>
          <w:sz w:val="24"/>
          <w:highlight w:val="none"/>
          <w14:textFill>
            <w14:solidFill>
              <w14:schemeClr w14:val="tx1"/>
            </w14:solidFill>
          </w14:textFill>
        </w:rPr>
      </w:pPr>
      <w:r>
        <w:rPr>
          <w:rFonts w:hint="eastAsia" w:ascii="宋体" w:hAnsi="宋体" w:eastAsia="楷体_GB2312"/>
          <w:b/>
          <w:color w:val="000000" w:themeColor="text1"/>
          <w:sz w:val="24"/>
          <w:highlight w:val="none"/>
          <w14:textFill>
            <w14:solidFill>
              <w14:schemeClr w14:val="tx1"/>
            </w14:solidFill>
          </w14:textFill>
        </w:rPr>
        <w:t xml:space="preserve"> </w:t>
      </w:r>
      <w:r/>
    </w:p>
    <w:p>
      <w:pPr>
        <w:spacing w:line="400" w:lineRule="exact"/>
        <w:rPr>
          <w:rFonts w:hint="eastAsia" w:ascii="宋体" w:hAnsi="宋体" w:eastAsia="楷体_GB2312"/>
          <w:b/>
          <w:color w:val="000000" w:themeColor="text1"/>
          <w:sz w:val="24"/>
          <w:highlight w:val="none"/>
          <w14:textFill>
            <w14:solidFill>
              <w14:schemeClr w14:val="tx1"/>
            </w14:solidFill>
          </w14:textFill>
        </w:rPr>
      </w:pPr>
      <w:r>
        <w:rPr>
          <w:rFonts w:hint="eastAsia" w:ascii="宋体" w:hAnsi="宋体" w:eastAsia="楷体_GB2312"/>
          <w:b/>
          <w:color w:val="000000" w:themeColor="text1"/>
          <w:sz w:val="24"/>
          <w:highlight w:val="none"/>
          <w14:textFill>
            <w14:solidFill>
              <w14:schemeClr w14:val="tx1"/>
            </w14:solidFill>
          </w14:textFill>
        </w:rPr>
        <w:t xml:space="preserve"> </w:t>
      </w:r>
      <w:r/>
    </w:p>
    <w:p>
      <w:pPr>
        <w:spacing w:line="400" w:lineRule="exact"/>
        <w:rPr>
          <w:rFonts w:hint="eastAsia" w:ascii="宋体" w:hAnsi="宋体" w:eastAsia="楷体_GB2312"/>
          <w:b/>
          <w:color w:val="000000" w:themeColor="text1"/>
          <w:sz w:val="24"/>
          <w:highlight w:val="none"/>
          <w14:textFill>
            <w14:solidFill>
              <w14:schemeClr w14:val="tx1"/>
            </w14:solidFill>
          </w14:textFill>
        </w:rPr>
      </w:pPr>
      <w:r>
        <w:rPr>
          <w:rFonts w:hint="eastAsia" w:ascii="宋体" w:hAnsi="宋体" w:eastAsia="楷体_GB2312"/>
          <w:b/>
          <w:color w:val="000000" w:themeColor="text1"/>
          <w:sz w:val="24"/>
          <w:highlight w:val="none"/>
          <w14:textFill>
            <w14:solidFill>
              <w14:schemeClr w14:val="tx1"/>
            </w14:solidFill>
          </w14:textFill>
        </w:rPr>
        <w:t xml:space="preserve"> </w:t>
      </w:r>
      <w:r/>
    </w:p>
    <w:p>
      <w:pPr>
        <w:spacing w:line="400" w:lineRule="exact"/>
        <w:rPr>
          <w:rFonts w:hint="eastAsia" w:ascii="宋体" w:hAnsi="宋体" w:eastAsia="楷体_GB2312"/>
          <w:b/>
          <w:color w:val="000000" w:themeColor="text1"/>
          <w:sz w:val="24"/>
          <w:highlight w:val="none"/>
          <w14:textFill>
            <w14:solidFill>
              <w14:schemeClr w14:val="tx1"/>
            </w14:solidFill>
          </w14:textFill>
        </w:rPr>
      </w:pPr>
      <w:r>
        <w:rPr>
          <w:rFonts w:hint="eastAsia" w:ascii="宋体" w:hAnsi="宋体" w:eastAsia="楷体_GB2312"/>
          <w:b/>
          <w:color w:val="000000" w:themeColor="text1"/>
          <w:sz w:val="24"/>
          <w:highlight w:val="none"/>
          <w14:textFill>
            <w14:solidFill>
              <w14:schemeClr w14:val="tx1"/>
            </w14:solidFill>
          </w14:textFill>
        </w:rPr>
        <w:t xml:space="preserve"> </w:t>
      </w:r>
      <w:r/>
    </w:p>
    <w:p>
      <w:pPr>
        <w:spacing w:line="400" w:lineRule="exact"/>
        <w:rPr>
          <w:rFonts w:hint="eastAsia" w:ascii="宋体" w:hAnsi="宋体" w:eastAsia="楷体_GB2312"/>
          <w:b/>
          <w:color w:val="000000" w:themeColor="text1"/>
          <w:sz w:val="24"/>
          <w:highlight w:val="none"/>
          <w14:textFill>
            <w14:solidFill>
              <w14:schemeClr w14:val="tx1"/>
            </w14:solidFill>
          </w14:textFill>
        </w:rPr>
      </w:pPr>
      <w:r>
        <w:rPr>
          <w:rFonts w:hint="eastAsia" w:ascii="宋体" w:hAnsi="宋体" w:eastAsia="楷体_GB2312"/>
          <w:b/>
          <w:color w:val="000000" w:themeColor="text1"/>
          <w:sz w:val="24"/>
          <w:highlight w:val="none"/>
          <w14:textFill>
            <w14:solidFill>
              <w14:schemeClr w14:val="tx1"/>
            </w14:solidFill>
          </w14:textFill>
        </w:rPr>
        <w:t xml:space="preserve"> </w:t>
      </w:r>
      <w:r/>
    </w:p>
    <w:p>
      <w:pPr>
        <w:spacing w:line="400" w:lineRule="exact"/>
        <w:rPr>
          <w:rFonts w:hint="eastAsia" w:ascii="宋体" w:hAnsi="宋体" w:eastAsia="楷体_GB2312"/>
          <w:b/>
          <w:color w:val="000000" w:themeColor="text1"/>
          <w:sz w:val="24"/>
          <w:highlight w:val="none"/>
          <w14:textFill>
            <w14:solidFill>
              <w14:schemeClr w14:val="tx1"/>
            </w14:solidFill>
          </w14:textFill>
        </w:rPr>
      </w:pPr>
      <w:r>
        <w:rPr>
          <w:rFonts w:hint="eastAsia" w:ascii="宋体" w:hAnsi="宋体" w:eastAsia="楷体_GB2312"/>
          <w:b/>
          <w:color w:val="000000" w:themeColor="text1"/>
          <w:sz w:val="24"/>
          <w:highlight w:val="none"/>
          <w14:textFill>
            <w14:solidFill>
              <w14:schemeClr w14:val="tx1"/>
            </w14:solidFill>
          </w14:textFill>
        </w:rPr>
        <w:t xml:space="preserve"> </w:t>
      </w:r>
      <w:r/>
    </w:p>
    <w:p>
      <w:pPr>
        <w:spacing w:line="400" w:lineRule="exact"/>
        <w:rPr>
          <w:rFonts w:hint="eastAsia" w:ascii="宋体" w:hAnsi="宋体" w:eastAsia="楷体_GB2312"/>
          <w:b/>
          <w:color w:val="000000" w:themeColor="text1"/>
          <w:sz w:val="24"/>
          <w:highlight w:val="none"/>
          <w14:textFill>
            <w14:solidFill>
              <w14:schemeClr w14:val="tx1"/>
            </w14:solidFill>
          </w14:textFill>
        </w:rPr>
      </w:pPr>
      <w:r>
        <w:rPr>
          <w:rFonts w:hint="eastAsia" w:ascii="宋体" w:hAnsi="宋体" w:eastAsia="楷体_GB2312"/>
          <w:b/>
          <w:color w:val="000000" w:themeColor="text1"/>
          <w:sz w:val="24"/>
          <w:highlight w:val="none"/>
          <w14:textFill>
            <w14:solidFill>
              <w14:schemeClr w14:val="tx1"/>
            </w14:solidFill>
          </w14:textFill>
        </w:rPr>
        <w:t xml:space="preserve"> </w:t>
      </w:r>
      <w:r/>
    </w:p>
    <w:p>
      <w:pPr>
        <w:spacing w:line="400" w:lineRule="exact"/>
        <w:rPr>
          <w:rFonts w:hint="eastAsia" w:ascii="宋体" w:hAnsi="宋体" w:eastAsia="楷体_GB2312"/>
          <w:b/>
          <w:color w:val="000000" w:themeColor="text1"/>
          <w:sz w:val="24"/>
          <w:highlight w:val="none"/>
          <w14:textFill>
            <w14:solidFill>
              <w14:schemeClr w14:val="tx1"/>
            </w14:solidFill>
          </w14:textFill>
        </w:rPr>
      </w:pPr>
      <w:r>
        <w:rPr>
          <w:rFonts w:hint="eastAsia" w:ascii="宋体" w:hAnsi="宋体" w:eastAsia="楷体_GB2312"/>
          <w:b/>
          <w:color w:val="000000" w:themeColor="text1"/>
          <w:sz w:val="24"/>
          <w:highlight w:val="none"/>
          <w14:textFill>
            <w14:solidFill>
              <w14:schemeClr w14:val="tx1"/>
            </w14:solidFill>
          </w14:textFill>
        </w:rPr>
        <w:t xml:space="preserve"> </w:t>
      </w:r>
      <w:r/>
    </w:p>
    <w:p>
      <w:pPr>
        <w:spacing w:line="400" w:lineRule="exact"/>
        <w:rPr>
          <w:rFonts w:hint="eastAsia" w:ascii="宋体" w:hAnsi="宋体" w:eastAsia="楷体_GB2312"/>
          <w:b/>
          <w:color w:val="000000" w:themeColor="text1"/>
          <w:sz w:val="24"/>
          <w:highlight w:val="none"/>
          <w14:textFill>
            <w14:solidFill>
              <w14:schemeClr w14:val="tx1"/>
            </w14:solidFill>
          </w14:textFill>
        </w:rPr>
      </w:pPr>
      <w:r>
        <w:rPr>
          <w:rFonts w:hint="eastAsia" w:ascii="宋体" w:hAnsi="宋体" w:eastAsia="楷体_GB2312"/>
          <w:b/>
          <w:color w:val="000000" w:themeColor="text1"/>
          <w:sz w:val="24"/>
          <w:highlight w:val="none"/>
          <w14:textFill>
            <w14:solidFill>
              <w14:schemeClr w14:val="tx1"/>
            </w14:solidFill>
          </w14:textFill>
        </w:rPr>
      </w:r>
      <w:r/>
    </w:p>
    <w:p>
      <w:pPr>
        <w:jc w:val="center"/>
        <w:spacing w:line="40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pacing w:val="6"/>
          <w:sz w:val="24"/>
          <w:szCs w:val="24"/>
          <w:highlight w:val="none"/>
          <w14:textFill>
            <w14:solidFill>
              <w14:schemeClr w14:val="tx1"/>
            </w14:solidFill>
          </w14:textFill>
        </w:rPr>
        <w:t xml:space="preserve">商务条款偏离表</w:t>
      </w:r>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bl>
      <w:tblPr>
        <w:tblStyle w:val="744"/>
        <w:tblW w:w="996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9"/>
        <w:gridCol w:w="1971"/>
        <w:gridCol w:w="2520"/>
        <w:gridCol w:w="2490"/>
        <w:gridCol w:w="1305"/>
        <w:gridCol w:w="900"/>
      </w:tblGrid>
      <w:tr>
        <w:trPr>
          <w:jc w:val="center"/>
          <w:trHeight w:val="580"/>
        </w:trPr>
        <w:tc>
          <w:tcPr>
            <w:tcW w:w="779" w:type="dxa"/>
            <w:vAlign w:val="center"/>
            <w:textDirection w:val="lrTb"/>
            <w:noWrap w:val="false"/>
          </w:tcPr>
          <w:p>
            <w:pPr>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序号</w:t>
            </w:r>
            <w:r/>
          </w:p>
        </w:tc>
        <w:tc>
          <w:tcPr>
            <w:tcW w:w="1971" w:type="dxa"/>
            <w:vAlign w:val="center"/>
            <w:textDirection w:val="lrTb"/>
            <w:noWrap w:val="false"/>
          </w:tcPr>
          <w:p>
            <w:pPr>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招标文件条款号</w:t>
            </w:r>
            <w:r/>
          </w:p>
        </w:tc>
        <w:tc>
          <w:tcPr>
            <w:tcW w:w="2520" w:type="dxa"/>
            <w:vAlign w:val="center"/>
            <w:textDirection w:val="lrTb"/>
            <w:noWrap w:val="false"/>
          </w:tcPr>
          <w:p>
            <w:pPr>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招标文件的商务条款</w:t>
            </w:r>
            <w:r/>
          </w:p>
        </w:tc>
        <w:tc>
          <w:tcPr>
            <w:tcW w:w="2490" w:type="dxa"/>
            <w:vAlign w:val="center"/>
            <w:textDirection w:val="lrTb"/>
            <w:noWrap w:val="false"/>
          </w:tcPr>
          <w:p>
            <w:pPr>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投标文件的商务条款</w:t>
            </w:r>
            <w:r/>
          </w:p>
        </w:tc>
        <w:tc>
          <w:tcPr>
            <w:tcW w:w="1305" w:type="dxa"/>
            <w:vAlign w:val="center"/>
            <w:textDirection w:val="lrTb"/>
            <w:noWrap w:val="false"/>
          </w:tcPr>
          <w:p>
            <w:pPr>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偏离/响应</w:t>
            </w:r>
            <w:r/>
          </w:p>
        </w:tc>
        <w:tc>
          <w:tcPr>
            <w:tcW w:w="900" w:type="dxa"/>
            <w:vAlign w:val="center"/>
            <w:textDirection w:val="lrTb"/>
            <w:noWrap w:val="false"/>
          </w:tcPr>
          <w:p>
            <w:pPr>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说明</w:t>
            </w:r>
            <w:r/>
          </w:p>
        </w:tc>
      </w:tr>
      <w:tr>
        <w:trPr>
          <w:jc w:val="center"/>
          <w:trHeight w:val="485"/>
        </w:trPr>
        <w:tc>
          <w:tcPr>
            <w:tcW w:w="779" w:type="dxa"/>
            <w:vAlign w:val="top"/>
            <w:textDirection w:val="lrTb"/>
            <w:noWrap w:val="false"/>
          </w:tcPr>
          <w:p>
            <w:pPr>
              <w:ind w:left="1080" w:hanging="54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971" w:type="dxa"/>
            <w:vAlign w:val="top"/>
            <w:textDirection w:val="lrTb"/>
            <w:noWrap w:val="false"/>
          </w:tcPr>
          <w:p>
            <w:pPr>
              <w:ind w:left="1080" w:hanging="54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2520" w:type="dxa"/>
            <w:vAlign w:val="top"/>
            <w:textDirection w:val="lrTb"/>
            <w:noWrap w:val="false"/>
          </w:tcPr>
          <w:p>
            <w:pPr>
              <w:ind w:left="1080" w:hanging="540"/>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2490" w:type="dxa"/>
            <w:vAlign w:val="top"/>
            <w:textDirection w:val="lrTb"/>
            <w:noWrap w:val="false"/>
          </w:tcPr>
          <w:p>
            <w:pPr>
              <w:ind w:left="1080" w:hanging="540"/>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305" w:type="dxa"/>
            <w:vAlign w:val="top"/>
            <w:textDirection w:val="lrTb"/>
            <w:noWrap w:val="false"/>
          </w:tcPr>
          <w:p>
            <w:pPr>
              <w:ind w:left="1080" w:hanging="54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900" w:type="dxa"/>
            <w:vAlign w:val="top"/>
            <w:textDirection w:val="lrTb"/>
            <w:noWrap w:val="false"/>
          </w:tcPr>
          <w:p>
            <w:pPr>
              <w:ind w:left="1080" w:hanging="54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jc w:val="center"/>
          <w:trHeight w:val="485"/>
        </w:trPr>
        <w:tc>
          <w:tcPr>
            <w:tcW w:w="779" w:type="dxa"/>
            <w:vAlign w:val="top"/>
            <w:textDirection w:val="lrTb"/>
            <w:noWrap w:val="false"/>
          </w:tcPr>
          <w:p>
            <w:pPr>
              <w:ind w:left="1080" w:hanging="54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971" w:type="dxa"/>
            <w:vAlign w:val="top"/>
            <w:textDirection w:val="lrTb"/>
            <w:noWrap w:val="false"/>
          </w:tcPr>
          <w:p>
            <w:pPr>
              <w:ind w:left="1080" w:hanging="54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2520" w:type="dxa"/>
            <w:vAlign w:val="top"/>
            <w:textDirection w:val="lrTb"/>
            <w:noWrap w:val="false"/>
          </w:tcPr>
          <w:p>
            <w:pPr>
              <w:ind w:left="1080" w:hanging="54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2490" w:type="dxa"/>
            <w:vAlign w:val="top"/>
            <w:textDirection w:val="lrTb"/>
            <w:noWrap w:val="false"/>
          </w:tcPr>
          <w:p>
            <w:pPr>
              <w:ind w:left="1080" w:hanging="54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305" w:type="dxa"/>
            <w:vAlign w:val="top"/>
            <w:textDirection w:val="lrTb"/>
            <w:noWrap w:val="false"/>
          </w:tcPr>
          <w:p>
            <w:pPr>
              <w:ind w:left="1080" w:hanging="54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900" w:type="dxa"/>
            <w:vAlign w:val="top"/>
            <w:textDirection w:val="lrTb"/>
            <w:noWrap w:val="false"/>
          </w:tcPr>
          <w:p>
            <w:pPr>
              <w:ind w:left="1080" w:hanging="54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jc w:val="center"/>
          <w:trHeight w:val="485"/>
        </w:trPr>
        <w:tc>
          <w:tcPr>
            <w:tcW w:w="779" w:type="dxa"/>
            <w:vAlign w:val="top"/>
            <w:textDirection w:val="lrTb"/>
            <w:noWrap w:val="false"/>
          </w:tcPr>
          <w:p>
            <w:pPr>
              <w:ind w:left="1080" w:hanging="54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971" w:type="dxa"/>
            <w:vAlign w:val="top"/>
            <w:textDirection w:val="lrTb"/>
            <w:noWrap w:val="false"/>
          </w:tcPr>
          <w:p>
            <w:pPr>
              <w:ind w:left="1080" w:hanging="54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2520" w:type="dxa"/>
            <w:vAlign w:val="top"/>
            <w:textDirection w:val="lrTb"/>
            <w:noWrap w:val="false"/>
          </w:tcPr>
          <w:p>
            <w:pPr>
              <w:ind w:left="1080" w:hanging="54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2490" w:type="dxa"/>
            <w:vAlign w:val="top"/>
            <w:textDirection w:val="lrTb"/>
            <w:noWrap w:val="false"/>
          </w:tcPr>
          <w:p>
            <w:pPr>
              <w:ind w:left="1080" w:hanging="54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305" w:type="dxa"/>
            <w:vAlign w:val="top"/>
            <w:textDirection w:val="lrTb"/>
            <w:noWrap w:val="false"/>
          </w:tcPr>
          <w:p>
            <w:pPr>
              <w:ind w:left="1080" w:hanging="54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900" w:type="dxa"/>
            <w:vAlign w:val="top"/>
            <w:textDirection w:val="lrTb"/>
            <w:noWrap w:val="false"/>
          </w:tcPr>
          <w:p>
            <w:pPr>
              <w:ind w:left="1080" w:hanging="54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jc w:val="center"/>
          <w:trHeight w:val="485"/>
        </w:trPr>
        <w:tc>
          <w:tcPr>
            <w:tcW w:w="779" w:type="dxa"/>
            <w:vAlign w:val="top"/>
            <w:textDirection w:val="lrTb"/>
            <w:noWrap w:val="false"/>
          </w:tcPr>
          <w:p>
            <w:pPr>
              <w:ind w:left="1080" w:hanging="54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971" w:type="dxa"/>
            <w:vAlign w:val="top"/>
            <w:textDirection w:val="lrTb"/>
            <w:noWrap w:val="false"/>
          </w:tcPr>
          <w:p>
            <w:pPr>
              <w:ind w:left="1080" w:hanging="54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2520" w:type="dxa"/>
            <w:vAlign w:val="top"/>
            <w:textDirection w:val="lrTb"/>
            <w:noWrap w:val="false"/>
          </w:tcPr>
          <w:p>
            <w:pPr>
              <w:ind w:left="1080" w:hanging="54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2490" w:type="dxa"/>
            <w:vAlign w:val="top"/>
            <w:textDirection w:val="lrTb"/>
            <w:noWrap w:val="false"/>
          </w:tcPr>
          <w:p>
            <w:pPr>
              <w:ind w:left="1080" w:hanging="54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305" w:type="dxa"/>
            <w:vAlign w:val="top"/>
            <w:textDirection w:val="lrTb"/>
            <w:noWrap w:val="false"/>
          </w:tcPr>
          <w:p>
            <w:pPr>
              <w:ind w:left="1080" w:hanging="54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900" w:type="dxa"/>
            <w:vAlign w:val="top"/>
            <w:textDirection w:val="lrTb"/>
            <w:noWrap w:val="false"/>
          </w:tcPr>
          <w:p>
            <w:pPr>
              <w:ind w:left="1080" w:hanging="54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jc w:val="center"/>
          <w:trHeight w:val="485"/>
        </w:trPr>
        <w:tc>
          <w:tcPr>
            <w:tcW w:w="779" w:type="dxa"/>
            <w:vAlign w:val="top"/>
            <w:textDirection w:val="lrTb"/>
            <w:noWrap w:val="false"/>
          </w:tcPr>
          <w:p>
            <w:pPr>
              <w:ind w:left="1080" w:hanging="54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971" w:type="dxa"/>
            <w:vAlign w:val="top"/>
            <w:textDirection w:val="lrTb"/>
            <w:noWrap w:val="false"/>
          </w:tcPr>
          <w:p>
            <w:pPr>
              <w:ind w:left="1080" w:hanging="54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2520" w:type="dxa"/>
            <w:vAlign w:val="top"/>
            <w:textDirection w:val="lrTb"/>
            <w:noWrap w:val="false"/>
          </w:tcPr>
          <w:p>
            <w:pPr>
              <w:ind w:left="1080" w:hanging="54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2490" w:type="dxa"/>
            <w:vAlign w:val="top"/>
            <w:textDirection w:val="lrTb"/>
            <w:noWrap w:val="false"/>
          </w:tcPr>
          <w:p>
            <w:pPr>
              <w:ind w:left="1080" w:hanging="54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305" w:type="dxa"/>
            <w:vAlign w:val="top"/>
            <w:textDirection w:val="lrTb"/>
            <w:noWrap w:val="false"/>
          </w:tcPr>
          <w:p>
            <w:pPr>
              <w:ind w:left="1080" w:hanging="54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900" w:type="dxa"/>
            <w:vAlign w:val="top"/>
            <w:textDirection w:val="lrTb"/>
            <w:noWrap w:val="false"/>
          </w:tcPr>
          <w:p>
            <w:pPr>
              <w:ind w:left="1080" w:hanging="54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jc w:val="center"/>
          <w:trHeight w:val="485"/>
        </w:trPr>
        <w:tc>
          <w:tcPr>
            <w:tcW w:w="779" w:type="dxa"/>
            <w:vAlign w:val="top"/>
            <w:textDirection w:val="lrTb"/>
            <w:noWrap w:val="false"/>
          </w:tcPr>
          <w:p>
            <w:pPr>
              <w:ind w:left="1080" w:hanging="54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971" w:type="dxa"/>
            <w:vAlign w:val="top"/>
            <w:textDirection w:val="lrTb"/>
            <w:noWrap w:val="false"/>
          </w:tcPr>
          <w:p>
            <w:pPr>
              <w:ind w:left="1080" w:hanging="54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2520" w:type="dxa"/>
            <w:vAlign w:val="top"/>
            <w:textDirection w:val="lrTb"/>
            <w:noWrap w:val="false"/>
          </w:tcPr>
          <w:p>
            <w:pPr>
              <w:ind w:left="1080" w:hanging="54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2490" w:type="dxa"/>
            <w:vAlign w:val="top"/>
            <w:textDirection w:val="lrTb"/>
            <w:noWrap w:val="false"/>
          </w:tcPr>
          <w:p>
            <w:pPr>
              <w:ind w:left="1080" w:hanging="54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305" w:type="dxa"/>
            <w:vAlign w:val="top"/>
            <w:textDirection w:val="lrTb"/>
            <w:noWrap w:val="false"/>
          </w:tcPr>
          <w:p>
            <w:pPr>
              <w:ind w:left="1080" w:hanging="54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900" w:type="dxa"/>
            <w:vAlign w:val="top"/>
            <w:textDirection w:val="lrTb"/>
            <w:noWrap w:val="false"/>
          </w:tcPr>
          <w:p>
            <w:pPr>
              <w:ind w:left="1080" w:hanging="54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jc w:val="center"/>
          <w:trHeight w:val="485"/>
        </w:trPr>
        <w:tc>
          <w:tcPr>
            <w:tcW w:w="779" w:type="dxa"/>
            <w:vAlign w:val="top"/>
            <w:textDirection w:val="lrTb"/>
            <w:noWrap w:val="false"/>
          </w:tcPr>
          <w:p>
            <w:pPr>
              <w:ind w:left="1080" w:hanging="54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971" w:type="dxa"/>
            <w:vAlign w:val="top"/>
            <w:textDirection w:val="lrTb"/>
            <w:noWrap w:val="false"/>
          </w:tcPr>
          <w:p>
            <w:pPr>
              <w:ind w:left="1080" w:hanging="54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2520" w:type="dxa"/>
            <w:vAlign w:val="top"/>
            <w:textDirection w:val="lrTb"/>
            <w:noWrap w:val="false"/>
          </w:tcPr>
          <w:p>
            <w:pPr>
              <w:ind w:left="1080" w:hanging="54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2490" w:type="dxa"/>
            <w:vAlign w:val="top"/>
            <w:textDirection w:val="lrTb"/>
            <w:noWrap w:val="false"/>
          </w:tcPr>
          <w:p>
            <w:pPr>
              <w:ind w:left="1080" w:hanging="54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305" w:type="dxa"/>
            <w:vAlign w:val="top"/>
            <w:textDirection w:val="lrTb"/>
            <w:noWrap w:val="false"/>
          </w:tcPr>
          <w:p>
            <w:pPr>
              <w:ind w:left="1080" w:hanging="54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900" w:type="dxa"/>
            <w:vAlign w:val="top"/>
            <w:textDirection w:val="lrTb"/>
            <w:noWrap w:val="false"/>
          </w:tcPr>
          <w:p>
            <w:pPr>
              <w:ind w:left="1080" w:hanging="54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jc w:val="center"/>
          <w:trHeight w:val="485"/>
        </w:trPr>
        <w:tc>
          <w:tcPr>
            <w:tcW w:w="779" w:type="dxa"/>
            <w:vAlign w:val="top"/>
            <w:textDirection w:val="lrTb"/>
            <w:noWrap w:val="false"/>
          </w:tcPr>
          <w:p>
            <w:pPr>
              <w:ind w:left="1080" w:hanging="54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971" w:type="dxa"/>
            <w:vAlign w:val="top"/>
            <w:textDirection w:val="lrTb"/>
            <w:noWrap w:val="false"/>
          </w:tcPr>
          <w:p>
            <w:pPr>
              <w:ind w:left="1080" w:hanging="54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2520" w:type="dxa"/>
            <w:vAlign w:val="top"/>
            <w:textDirection w:val="lrTb"/>
            <w:noWrap w:val="false"/>
          </w:tcPr>
          <w:p>
            <w:pPr>
              <w:ind w:left="1080" w:hanging="54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2490" w:type="dxa"/>
            <w:vAlign w:val="top"/>
            <w:textDirection w:val="lrTb"/>
            <w:noWrap w:val="false"/>
          </w:tcPr>
          <w:p>
            <w:pPr>
              <w:ind w:left="1080" w:hanging="54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305" w:type="dxa"/>
            <w:vAlign w:val="top"/>
            <w:textDirection w:val="lrTb"/>
            <w:noWrap w:val="false"/>
          </w:tcPr>
          <w:p>
            <w:pPr>
              <w:ind w:left="1080" w:hanging="54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900" w:type="dxa"/>
            <w:vAlign w:val="top"/>
            <w:textDirection w:val="lrTb"/>
            <w:noWrap w:val="false"/>
          </w:tcPr>
          <w:p>
            <w:pPr>
              <w:ind w:left="1080" w:hanging="54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jc w:val="center"/>
          <w:trHeight w:val="485"/>
        </w:trPr>
        <w:tc>
          <w:tcPr>
            <w:tcW w:w="779" w:type="dxa"/>
            <w:vAlign w:val="top"/>
            <w:textDirection w:val="lrTb"/>
            <w:noWrap w:val="false"/>
          </w:tcPr>
          <w:p>
            <w:pPr>
              <w:ind w:left="1080" w:hanging="54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971" w:type="dxa"/>
            <w:vAlign w:val="top"/>
            <w:textDirection w:val="lrTb"/>
            <w:noWrap w:val="false"/>
          </w:tcPr>
          <w:p>
            <w:pPr>
              <w:ind w:left="1080" w:hanging="54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2520" w:type="dxa"/>
            <w:vAlign w:val="top"/>
            <w:textDirection w:val="lrTb"/>
            <w:noWrap w:val="false"/>
          </w:tcPr>
          <w:p>
            <w:pPr>
              <w:ind w:left="1080" w:hanging="54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2490" w:type="dxa"/>
            <w:vAlign w:val="top"/>
            <w:textDirection w:val="lrTb"/>
            <w:noWrap w:val="false"/>
          </w:tcPr>
          <w:p>
            <w:pPr>
              <w:ind w:left="1080" w:hanging="54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305" w:type="dxa"/>
            <w:vAlign w:val="top"/>
            <w:textDirection w:val="lrTb"/>
            <w:noWrap w:val="false"/>
          </w:tcPr>
          <w:p>
            <w:pPr>
              <w:ind w:left="1080" w:hanging="54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900" w:type="dxa"/>
            <w:vAlign w:val="top"/>
            <w:textDirection w:val="lrTb"/>
            <w:noWrap w:val="false"/>
          </w:tcPr>
          <w:p>
            <w:pPr>
              <w:ind w:left="1080" w:hanging="54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bl>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w:t>
      </w:r>
      <w:r/>
    </w:p>
    <w:p>
      <w:pPr>
        <w:ind w:firstLine="24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w:t>
      </w:r>
      <w:r/>
    </w:p>
    <w:p>
      <w:pPr>
        <w:pStyle w:val="819"/>
        <w:ind w:firstLine="480"/>
        <w:spacing w:line="360" w:lineRule="auto"/>
        <w:shd w:val="clear" w:color="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投标人</w:t>
      </w:r>
      <w:r>
        <w:rPr>
          <w:rFonts w:hint="eastAsia" w:ascii="宋体" w:hAnsi="宋体" w:eastAsia="宋体" w:cs="宋体"/>
          <w:color w:val="000000" w:themeColor="text1"/>
          <w:sz w:val="24"/>
          <w:szCs w:val="24"/>
          <w:highlight w:val="none"/>
          <w14:textFill>
            <w14:solidFill>
              <w14:schemeClr w14:val="tx1"/>
            </w14:solidFill>
          </w14:textFill>
        </w:rPr>
        <w:t xml:space="preserve">（单位盖章）</w:t>
      </w:r>
      <w:r>
        <w:rPr>
          <w:rFonts w:hint="eastAsia" w:ascii="宋体" w:hAnsi="宋体" w:eastAsia="宋体" w:cs="宋体"/>
          <w:bCs/>
          <w:color w:val="000000" w:themeColor="text1"/>
          <w:sz w:val="24"/>
          <w:szCs w:val="24"/>
          <w:highlight w:val="none"/>
          <w14:textFill>
            <w14:solidFill>
              <w14:schemeClr w14:val="tx1"/>
            </w14:solidFill>
          </w14:textFill>
        </w:rPr>
        <w:t xml:space="preserve">：</w:t>
      </w:r>
      <w:r/>
    </w:p>
    <w:p>
      <w:pPr>
        <w:pStyle w:val="819"/>
        <w:spacing w:line="360" w:lineRule="auto"/>
        <w:shd w:val="clear" w:color="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    法定代表人或代理人</w:t>
      </w:r>
      <w:r>
        <w:rPr>
          <w:rFonts w:hint="eastAsia" w:ascii="宋体" w:hAnsi="宋体" w:eastAsia="宋体" w:cs="宋体"/>
          <w:color w:val="000000" w:themeColor="text1"/>
          <w:sz w:val="24"/>
          <w:szCs w:val="24"/>
          <w:highlight w:val="none"/>
          <w14:textFill>
            <w14:solidFill>
              <w14:schemeClr w14:val="tx1"/>
            </w14:solidFill>
          </w14:textFill>
        </w:rPr>
        <w:t xml:space="preserve">（签字或盖章）</w:t>
      </w:r>
      <w:r>
        <w:rPr>
          <w:rFonts w:hint="eastAsia" w:ascii="宋体" w:hAnsi="宋体" w:eastAsia="宋体" w:cs="宋体"/>
          <w:bCs/>
          <w:color w:val="000000" w:themeColor="text1"/>
          <w:sz w:val="24"/>
          <w:szCs w:val="24"/>
          <w:highlight w:val="none"/>
          <w14:textFill>
            <w14:solidFill>
              <w14:schemeClr w14:val="tx1"/>
            </w14:solidFill>
          </w14:textFill>
        </w:rPr>
        <w:t xml:space="preserve">：</w:t>
      </w:r>
      <w:r/>
    </w:p>
    <w:p>
      <w:pPr>
        <w:pStyle w:val="819"/>
        <w:ind w:firstLine="480"/>
        <w:spacing w:line="360" w:lineRule="auto"/>
        <w:shd w:val="clear" w:color="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日期：     年     月     日</w:t>
      </w:r>
      <w:r/>
    </w:p>
    <w:p>
      <w:pPr>
        <w:pStyle w:val="819"/>
        <w:numPr>
          <w:ilvl w:val="0"/>
          <w:numId w:val="0"/>
        </w:numPr>
        <w:spacing w:line="360" w:lineRule="auto"/>
        <w:rPr>
          <w:rFonts w:hint="eastAsia"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hAnsi="宋体" w:eastAsia="宋体" w:cs="宋体"/>
          <w:b w:val="0"/>
          <w:bCs w:val="0"/>
          <w:color w:val="000000" w:themeColor="text1"/>
          <w:sz w:val="24"/>
          <w:szCs w:val="24"/>
          <w:highlight w:val="none"/>
          <w:lang w:val="en-US" w:eastAsia="zh-CN"/>
          <w14:textFill>
            <w14:solidFill>
              <w14:schemeClr w14:val="tx1"/>
            </w14:solidFill>
          </w14:textFill>
        </w:rPr>
      </w:r>
      <w:r/>
    </w:p>
    <w:p>
      <w:pPr>
        <w:pStyle w:val="819"/>
        <w:numPr>
          <w:ilvl w:val="0"/>
          <w:numId w:val="0"/>
        </w:numPr>
        <w:spacing w:line="360" w:lineRule="auto"/>
        <w:rPr>
          <w:rFonts w:hint="eastAsia"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hAnsi="宋体" w:eastAsia="宋体" w:cs="宋体"/>
          <w:b w:val="0"/>
          <w:bCs w:val="0"/>
          <w:color w:val="000000" w:themeColor="text1"/>
          <w:sz w:val="24"/>
          <w:szCs w:val="24"/>
          <w:highlight w:val="none"/>
          <w:lang w:val="en-US" w:eastAsia="zh-CN"/>
          <w14:textFill>
            <w14:solidFill>
              <w14:schemeClr w14:val="tx1"/>
            </w14:solidFill>
          </w14:textFill>
        </w:rPr>
      </w:r>
      <w:r/>
    </w:p>
    <w:p>
      <w:pPr>
        <w:pStyle w:val="819"/>
        <w:numPr>
          <w:ilvl w:val="0"/>
          <w:numId w:val="0"/>
        </w:numPr>
        <w:spacing w:line="360" w:lineRule="auto"/>
        <w:rPr>
          <w:rFonts w:hint="eastAsia"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hAnsi="宋体" w:eastAsia="宋体" w:cs="宋体"/>
          <w:b w:val="0"/>
          <w:bCs w:val="0"/>
          <w:color w:val="000000" w:themeColor="text1"/>
          <w:sz w:val="24"/>
          <w:szCs w:val="24"/>
          <w:highlight w:val="none"/>
          <w:lang w:val="en-US" w:eastAsia="zh-CN"/>
          <w14:textFill>
            <w14:solidFill>
              <w14:schemeClr w14:val="tx1"/>
            </w14:solidFill>
          </w14:textFill>
        </w:rPr>
      </w:r>
      <w:r/>
    </w:p>
    <w:p>
      <w:pPr>
        <w:pStyle w:val="819"/>
        <w:numPr>
          <w:ilvl w:val="0"/>
          <w:numId w:val="0"/>
        </w:numPr>
        <w:spacing w:line="360" w:lineRule="auto"/>
        <w:rPr>
          <w:rFonts w:hint="eastAsia"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hAnsi="宋体" w:eastAsia="宋体" w:cs="宋体"/>
          <w:b w:val="0"/>
          <w:bCs w:val="0"/>
          <w:color w:val="000000" w:themeColor="text1"/>
          <w:sz w:val="24"/>
          <w:szCs w:val="24"/>
          <w:highlight w:val="none"/>
          <w:lang w:val="en-US" w:eastAsia="zh-CN"/>
          <w14:textFill>
            <w14:solidFill>
              <w14:schemeClr w14:val="tx1"/>
            </w14:solidFill>
          </w14:textFill>
        </w:rPr>
      </w:r>
      <w:r/>
    </w:p>
    <w:p>
      <w:pPr>
        <w:pStyle w:val="819"/>
        <w:numPr>
          <w:ilvl w:val="0"/>
          <w:numId w:val="0"/>
        </w:numPr>
        <w:spacing w:line="360" w:lineRule="auto"/>
        <w:rPr>
          <w:rFonts w:hint="eastAsia"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hAnsi="宋体" w:eastAsia="宋体" w:cs="宋体"/>
          <w:b w:val="0"/>
          <w:bCs w:val="0"/>
          <w:color w:val="000000" w:themeColor="text1"/>
          <w:sz w:val="24"/>
          <w:szCs w:val="24"/>
          <w:highlight w:val="none"/>
          <w:lang w:val="en-US" w:eastAsia="zh-CN"/>
          <w14:textFill>
            <w14:solidFill>
              <w14:schemeClr w14:val="tx1"/>
            </w14:solidFill>
          </w14:textFill>
        </w:rPr>
      </w:r>
      <w:r/>
    </w:p>
    <w:p>
      <w:pPr>
        <w:pStyle w:val="819"/>
        <w:numPr>
          <w:ilvl w:val="0"/>
          <w:numId w:val="0"/>
        </w:numPr>
        <w:spacing w:line="360" w:lineRule="auto"/>
        <w:rPr>
          <w:rFonts w:hint="eastAsia"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hAnsi="宋体" w:eastAsia="宋体" w:cs="宋体"/>
          <w:b w:val="0"/>
          <w:bCs w:val="0"/>
          <w:color w:val="000000" w:themeColor="text1"/>
          <w:sz w:val="24"/>
          <w:szCs w:val="24"/>
          <w:highlight w:val="none"/>
          <w:lang w:val="en-US" w:eastAsia="zh-CN"/>
          <w14:textFill>
            <w14:solidFill>
              <w14:schemeClr w14:val="tx1"/>
            </w14:solidFill>
          </w14:textFill>
        </w:rPr>
      </w:r>
      <w:r/>
    </w:p>
    <w:p>
      <w:pPr>
        <w:pStyle w:val="819"/>
        <w:numPr>
          <w:ilvl w:val="0"/>
          <w:numId w:val="0"/>
        </w:numPr>
        <w:spacing w:line="360" w:lineRule="auto"/>
        <w:rPr>
          <w:rFonts w:hint="eastAsia"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hAnsi="宋体" w:eastAsia="宋体" w:cs="宋体"/>
          <w:b w:val="0"/>
          <w:bCs w:val="0"/>
          <w:color w:val="000000" w:themeColor="text1"/>
          <w:sz w:val="24"/>
          <w:szCs w:val="24"/>
          <w:highlight w:val="none"/>
          <w:lang w:val="en-US" w:eastAsia="zh-CN"/>
          <w14:textFill>
            <w14:solidFill>
              <w14:schemeClr w14:val="tx1"/>
            </w14:solidFill>
          </w14:textFill>
        </w:rPr>
      </w:r>
      <w:r/>
    </w:p>
    <w:p>
      <w:pPr>
        <w:pStyle w:val="819"/>
        <w:numPr>
          <w:ilvl w:val="0"/>
          <w:numId w:val="0"/>
        </w:numPr>
        <w:spacing w:line="360" w:lineRule="auto"/>
        <w:rPr>
          <w:rFonts w:hint="eastAsia"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hAnsi="宋体" w:eastAsia="宋体" w:cs="宋体"/>
          <w:b w:val="0"/>
          <w:bCs w:val="0"/>
          <w:color w:val="000000" w:themeColor="text1"/>
          <w:sz w:val="24"/>
          <w:szCs w:val="24"/>
          <w:highlight w:val="none"/>
          <w:lang w:val="en-US" w:eastAsia="zh-CN"/>
          <w14:textFill>
            <w14:solidFill>
              <w14:schemeClr w14:val="tx1"/>
            </w14:solidFill>
          </w14:textFill>
        </w:rPr>
      </w:r>
      <w:r/>
    </w:p>
    <w:p>
      <w:pPr>
        <w:pStyle w:val="819"/>
        <w:numPr>
          <w:ilvl w:val="0"/>
          <w:numId w:val="0"/>
        </w:numPr>
        <w:spacing w:line="360" w:lineRule="auto"/>
        <w:rPr>
          <w:rFonts w:hint="eastAsia"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hAnsi="宋体" w:eastAsia="宋体" w:cs="宋体"/>
          <w:b w:val="0"/>
          <w:bCs w:val="0"/>
          <w:color w:val="000000" w:themeColor="text1"/>
          <w:sz w:val="24"/>
          <w:szCs w:val="24"/>
          <w:highlight w:val="none"/>
          <w:lang w:val="en-US" w:eastAsia="zh-CN"/>
          <w14:textFill>
            <w14:solidFill>
              <w14:schemeClr w14:val="tx1"/>
            </w14:solidFill>
          </w14:textFill>
        </w:rPr>
      </w:r>
      <w:r/>
    </w:p>
    <w:p>
      <w:pPr>
        <w:pStyle w:val="819"/>
        <w:numPr>
          <w:ilvl w:val="0"/>
          <w:numId w:val="0"/>
        </w:numPr>
        <w:spacing w:line="360" w:lineRule="auto"/>
        <w:rPr>
          <w:rFonts w:hint="eastAsia"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hAnsi="宋体" w:eastAsia="宋体" w:cs="宋体"/>
          <w:b w:val="0"/>
          <w:bCs w:val="0"/>
          <w:color w:val="000000" w:themeColor="text1"/>
          <w:sz w:val="24"/>
          <w:szCs w:val="24"/>
          <w:highlight w:val="none"/>
          <w:lang w:val="en-US" w:eastAsia="zh-CN"/>
          <w14:textFill>
            <w14:solidFill>
              <w14:schemeClr w14:val="tx1"/>
            </w14:solidFill>
          </w14:textFill>
        </w:rPr>
      </w:r>
      <w:r/>
    </w:p>
    <w:p>
      <w:pPr>
        <w:pStyle w:val="819"/>
        <w:numPr>
          <w:ilvl w:val="0"/>
          <w:numId w:val="0"/>
        </w:numPr>
        <w:spacing w:line="360" w:lineRule="auto"/>
        <w:rPr>
          <w:rFonts w:hint="eastAsia"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hAnsi="宋体" w:eastAsia="宋体" w:cs="宋体"/>
          <w:b w:val="0"/>
          <w:bCs w:val="0"/>
          <w:color w:val="000000" w:themeColor="text1"/>
          <w:sz w:val="24"/>
          <w:szCs w:val="24"/>
          <w:highlight w:val="none"/>
          <w:lang w:val="en-US" w:eastAsia="zh-CN"/>
          <w14:textFill>
            <w14:solidFill>
              <w14:schemeClr w14:val="tx1"/>
            </w14:solidFill>
          </w14:textFill>
        </w:rPr>
      </w:r>
      <w:r/>
    </w:p>
    <w:p>
      <w:pPr>
        <w:pStyle w:val="819"/>
        <w:numPr>
          <w:ilvl w:val="0"/>
          <w:numId w:val="0"/>
        </w:numPr>
        <w:spacing w:line="360" w:lineRule="auto"/>
        <w:rPr>
          <w:rFonts w:hint="eastAsia"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hAnsi="宋体" w:eastAsia="宋体" w:cs="宋体"/>
          <w:b w:val="0"/>
          <w:bCs w:val="0"/>
          <w:color w:val="000000" w:themeColor="text1"/>
          <w:sz w:val="24"/>
          <w:szCs w:val="24"/>
          <w:highlight w:val="none"/>
          <w:lang w:val="en-US" w:eastAsia="zh-CN"/>
          <w14:textFill>
            <w14:solidFill>
              <w14:schemeClr w14:val="tx1"/>
            </w14:solidFill>
          </w14:textFill>
        </w:rPr>
      </w:r>
      <w:r/>
    </w:p>
    <w:p>
      <w:pPr>
        <w:pStyle w:val="819"/>
        <w:numPr>
          <w:ilvl w:val="0"/>
          <w:numId w:val="0"/>
        </w:numPr>
        <w:spacing w:line="360" w:lineRule="auto"/>
        <w:rPr>
          <w:rFonts w:hint="eastAsia"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hAnsi="宋体" w:eastAsia="宋体" w:cs="宋体"/>
          <w:b w:val="0"/>
          <w:bCs w:val="0"/>
          <w:color w:val="000000" w:themeColor="text1"/>
          <w:sz w:val="24"/>
          <w:szCs w:val="24"/>
          <w:highlight w:val="none"/>
          <w:lang w:val="en-US" w:eastAsia="zh-CN"/>
          <w14:textFill>
            <w14:solidFill>
              <w14:schemeClr w14:val="tx1"/>
            </w14:solidFill>
          </w14:textFill>
        </w:rPr>
      </w:r>
      <w:r/>
    </w:p>
    <w:p>
      <w:pPr>
        <w:pStyle w:val="819"/>
        <w:numPr>
          <w:ilvl w:val="0"/>
          <w:numId w:val="0"/>
        </w:numPr>
        <w:spacing w:line="360" w:lineRule="auto"/>
        <w:rPr>
          <w:rFonts w:hint="eastAsia" w:ascii="宋体" w:hAnsi="宋体" w:eastAsia="宋体" w:cs="宋体"/>
          <w:b/>
          <w:color w:val="000000" w:themeColor="text1"/>
          <w:sz w:val="24"/>
          <w:szCs w:val="24"/>
          <w:highlight w:val="none"/>
          <w:lang w:val="zh-CN"/>
          <w14:textFill>
            <w14:solidFill>
              <w14:schemeClr w14:val="tx1"/>
            </w14:solidFill>
          </w14:textFill>
        </w:rPr>
      </w:pPr>
      <w:r>
        <w:rPr>
          <w:rFonts w:hint="eastAsia" w:hAnsi="宋体" w:eastAsia="宋体" w:cs="宋体"/>
          <w:b w:val="0"/>
          <w:bCs w:val="0"/>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、中小企业声明函</w:t>
      </w:r>
      <w:r/>
    </w:p>
    <w:p>
      <w:pPr>
        <w:pStyle w:val="753"/>
        <w:ind w:left="0" w:right="130"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本公司</w:t>
      </w:r>
      <w:r>
        <w:rPr>
          <w:rFonts w:hint="eastAsia" w:ascii="宋体" w:hAnsi="宋体" w:eastAsia="宋体" w:cs="宋体"/>
          <w:color w:val="000000" w:themeColor="text1"/>
          <w:sz w:val="24"/>
          <w:szCs w:val="24"/>
          <w:highlight w:val="none"/>
          <w:u w:val="single"/>
          <w:lang w:val="zh-CN"/>
          <w14:textFill>
            <w14:solidFill>
              <w14:schemeClr w14:val="tx1"/>
            </w14:solidFill>
          </w14:textFill>
        </w:rPr>
        <w:t xml:space="preserve">（联合体）</w:t>
      </w:r>
      <w:r>
        <w:rPr>
          <w:rFonts w:hint="eastAsia" w:ascii="宋体" w:hAnsi="宋体" w:eastAsia="宋体" w:cs="宋体"/>
          <w:color w:val="000000" w:themeColor="text1"/>
          <w:sz w:val="24"/>
          <w:szCs w:val="24"/>
          <w:highlight w:val="none"/>
          <w14:textFill>
            <w14:solidFill>
              <w14:schemeClr w14:val="tx1"/>
            </w14:solidFill>
          </w14:textFill>
        </w:rPr>
        <w:t xml:space="preserve">郑重声明</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根据《政府采购促进中小企业发展管理办法》（财库﹝2020﹞46 号）的规定</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本公司</w:t>
      </w:r>
      <w:r>
        <w:rPr>
          <w:rFonts w:hint="eastAsia" w:ascii="宋体" w:hAnsi="宋体" w:eastAsia="宋体" w:cs="宋体"/>
          <w:color w:val="000000" w:themeColor="text1"/>
          <w:sz w:val="24"/>
          <w:szCs w:val="24"/>
          <w:highlight w:val="none"/>
          <w:u w:val="single"/>
          <w:lang w:val="zh-CN"/>
          <w14:textFill>
            <w14:solidFill>
              <w14:schemeClr w14:val="tx1"/>
            </w14:solidFill>
          </w14:textFill>
        </w:rPr>
        <w:t xml:space="preserve">（联合体）</w:t>
      </w:r>
      <w:r>
        <w:rPr>
          <w:rFonts w:hint="eastAsia" w:ascii="宋体" w:hAnsi="宋体" w:eastAsia="宋体" w:cs="宋体"/>
          <w:color w:val="000000" w:themeColor="text1"/>
          <w:sz w:val="24"/>
          <w:szCs w:val="24"/>
          <w:highlight w:val="none"/>
          <w14:textFill>
            <w14:solidFill>
              <w14:schemeClr w14:val="tx1"/>
            </w14:solidFill>
          </w14:textFill>
        </w:rPr>
        <w:t xml:space="preserve">参加</w:t>
      </w:r>
      <w:r>
        <w:rPr>
          <w:rFonts w:hint="eastAsia" w:ascii="宋体" w:hAnsi="宋体" w:eastAsia="宋体" w:cs="宋体"/>
          <w:color w:val="000000" w:themeColor="text1"/>
          <w:sz w:val="24"/>
          <w:szCs w:val="24"/>
          <w:highlight w:val="none"/>
          <w:u w:val="single"/>
          <w14:textFill>
            <w14:solidFill>
              <w14:schemeClr w14:val="tx1"/>
            </w14:solidFill>
          </w14:textFill>
        </w:rPr>
        <w:t xml:space="preserve"> （单位名称）  </w:t>
      </w:r>
      <w:r>
        <w:rPr>
          <w:rFonts w:hint="eastAsia" w:ascii="宋体" w:hAnsi="宋体" w:eastAsia="宋体" w:cs="宋体"/>
          <w:color w:val="000000" w:themeColor="text1"/>
          <w:sz w:val="24"/>
          <w:szCs w:val="24"/>
          <w:highlight w:val="none"/>
          <w14:textFill>
            <w14:solidFill>
              <w14:schemeClr w14:val="tx1"/>
            </w14:solidFill>
          </w14:textFill>
        </w:rPr>
        <w:t xml:space="preserve">的</w:t>
      </w:r>
      <w:r>
        <w:rPr>
          <w:rFonts w:hint="eastAsia" w:ascii="宋体" w:hAnsi="宋体" w:eastAsia="宋体" w:cs="宋体"/>
          <w:color w:val="000000" w:themeColor="text1"/>
          <w:sz w:val="24"/>
          <w:szCs w:val="24"/>
          <w:highlight w:val="none"/>
          <w:u w:val="single"/>
          <w14:textFill>
            <w14:solidFill>
              <w14:schemeClr w14:val="tx1"/>
            </w14:solidFill>
          </w14:textFill>
        </w:rPr>
        <w:t xml:space="preserve">（项目名称）  </w:t>
      </w:r>
      <w:r>
        <w:rPr>
          <w:rFonts w:hint="eastAsia" w:ascii="宋体" w:hAnsi="宋体" w:eastAsia="宋体" w:cs="宋体"/>
          <w:color w:val="000000" w:themeColor="text1"/>
          <w:sz w:val="24"/>
          <w:szCs w:val="24"/>
          <w:highlight w:val="none"/>
          <w14:textFill>
            <w14:solidFill>
              <w14:schemeClr w14:val="tx1"/>
            </w14:solidFill>
          </w14:textFill>
        </w:rPr>
        <w:t xml:space="preserve">采购活动</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服务全部由符合政策要求的中小企业承接。相关企业（含联合体中的中小企业、签订分包意向协议的中小企业）的具体情况如下：</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eastAsia="宋体" w:cs="宋体"/>
          <w:color w:val="000000" w:themeColor="text1"/>
          <w:sz w:val="24"/>
          <w:szCs w:val="24"/>
          <w:highlight w:val="none"/>
          <w:u w:val="single"/>
          <w14:textFill>
            <w14:solidFill>
              <w14:schemeClr w14:val="tx1"/>
            </w14:solidFill>
          </w14:textFill>
        </w:rPr>
        <w:t xml:space="preserve">（标的名称）</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属于</w:t>
      </w:r>
      <w:r>
        <w:rPr>
          <w:rFonts w:hint="eastAsia" w:ascii="宋体" w:hAnsi="宋体" w:eastAsia="宋体" w:cs="宋体"/>
          <w:color w:val="000000" w:themeColor="text1"/>
          <w:sz w:val="24"/>
          <w:szCs w:val="24"/>
          <w:highlight w:val="none"/>
          <w:u w:val="single"/>
          <w14:textFill>
            <w14:solidFill>
              <w14:schemeClr w14:val="tx1"/>
            </w14:solidFill>
          </w14:textFill>
        </w:rPr>
        <w:t xml:space="preserve">（招标文件中明确的所属行业）</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承接</w:t>
      </w:r>
      <w:r>
        <w:rPr>
          <w:rFonts w:hint="eastAsia" w:ascii="宋体" w:hAnsi="宋体" w:eastAsia="宋体" w:cs="宋体"/>
          <w:color w:val="000000" w:themeColor="text1"/>
          <w:sz w:val="24"/>
          <w:szCs w:val="24"/>
          <w:highlight w:val="none"/>
          <w14:textFill>
            <w14:solidFill>
              <w14:schemeClr w14:val="tx1"/>
            </w14:solidFill>
          </w14:textFill>
        </w:rPr>
        <w:t xml:space="preserve">企业为</w:t>
      </w:r>
      <w:r>
        <w:rPr>
          <w:rFonts w:hint="eastAsia" w:ascii="宋体" w:hAnsi="宋体" w:eastAsia="宋体" w:cs="宋体"/>
          <w:color w:val="000000" w:themeColor="text1"/>
          <w:sz w:val="24"/>
          <w:szCs w:val="24"/>
          <w:highlight w:val="none"/>
          <w:u w:val="single"/>
          <w14:textFill>
            <w14:solidFill>
              <w14:schemeClr w14:val="tx1"/>
            </w14:solidFill>
          </w14:textFill>
        </w:rPr>
        <w:t xml:space="preserve">（企业名称）</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从业人员</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人</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营业收入为</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万元</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资产总额为</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万元（注）</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属于</w:t>
      </w:r>
      <w:r>
        <w:rPr>
          <w:rFonts w:hint="eastAsia" w:ascii="宋体" w:hAnsi="宋体" w:eastAsia="宋体" w:cs="宋体"/>
          <w:color w:val="000000" w:themeColor="text1"/>
          <w:sz w:val="24"/>
          <w:szCs w:val="24"/>
          <w:highlight w:val="none"/>
          <w:u w:val="single"/>
          <w14:textFill>
            <w14:solidFill>
              <w14:schemeClr w14:val="tx1"/>
            </w14:solidFill>
          </w14:textFill>
        </w:rPr>
        <w:t xml:space="preserve">（中型企业、小型企业、微型企业）</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w:t>
      </w:r>
      <w:r>
        <w:rPr>
          <w:rFonts w:hint="eastAsia" w:ascii="宋体" w:hAnsi="宋体" w:eastAsia="宋体" w:cs="宋体"/>
          <w:color w:val="000000" w:themeColor="text1"/>
          <w:sz w:val="24"/>
          <w:szCs w:val="24"/>
          <w:highlight w:val="none"/>
          <w:u w:val="single"/>
          <w14:textFill>
            <w14:solidFill>
              <w14:schemeClr w14:val="tx1"/>
            </w14:solidFill>
          </w14:textFill>
        </w:rPr>
        <w:t xml:space="preserve">（标的名称）</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属于</w:t>
      </w:r>
      <w:r>
        <w:rPr>
          <w:rFonts w:hint="eastAsia" w:ascii="宋体" w:hAnsi="宋体" w:eastAsia="宋体" w:cs="宋体"/>
          <w:color w:val="000000" w:themeColor="text1"/>
          <w:sz w:val="24"/>
          <w:szCs w:val="24"/>
          <w:highlight w:val="none"/>
          <w:u w:val="single"/>
          <w14:textFill>
            <w14:solidFill>
              <w14:schemeClr w14:val="tx1"/>
            </w14:solidFill>
          </w14:textFill>
        </w:rPr>
        <w:t xml:space="preserve">（招标文件中明确的所属行业）</w:t>
      </w:r>
      <w:r>
        <w:rPr>
          <w:rFonts w:hint="eastAsia" w:ascii="宋体" w:hAnsi="宋体" w:eastAsia="宋体" w:cs="宋体"/>
          <w:color w:val="000000" w:themeColor="text1"/>
          <w:sz w:val="24"/>
          <w:szCs w:val="24"/>
          <w:highlight w:val="none"/>
          <w14:textFill>
            <w14:solidFill>
              <w14:schemeClr w14:val="tx1"/>
            </w14:solidFill>
          </w14:textFill>
        </w:rPr>
        <w:t xml:space="preserve">；承</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接</w:t>
      </w:r>
      <w:r>
        <w:rPr>
          <w:rFonts w:hint="eastAsia" w:ascii="宋体" w:hAnsi="宋体" w:eastAsia="宋体" w:cs="宋体"/>
          <w:color w:val="000000" w:themeColor="text1"/>
          <w:sz w:val="24"/>
          <w:szCs w:val="24"/>
          <w:highlight w:val="none"/>
          <w14:textFill>
            <w14:solidFill>
              <w14:schemeClr w14:val="tx1"/>
            </w14:solidFill>
          </w14:textFill>
        </w:rPr>
        <w:t xml:space="preserve">企业为</w:t>
      </w:r>
      <w:r>
        <w:rPr>
          <w:rFonts w:hint="eastAsia" w:ascii="宋体" w:hAnsi="宋体" w:eastAsia="宋体" w:cs="宋体"/>
          <w:color w:val="000000" w:themeColor="text1"/>
          <w:sz w:val="24"/>
          <w:szCs w:val="24"/>
          <w:highlight w:val="none"/>
          <w:u w:val="single"/>
          <w14:textFill>
            <w14:solidFill>
              <w14:schemeClr w14:val="tx1"/>
            </w14:solidFill>
          </w14:textFill>
        </w:rPr>
        <w:t xml:space="preserve">（企业名称）</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从业人员</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人</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营业收入为</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万元</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资产总额为</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万元</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属于</w:t>
      </w:r>
      <w:r>
        <w:rPr>
          <w:rFonts w:hint="eastAsia" w:ascii="宋体" w:hAnsi="宋体" w:eastAsia="宋体" w:cs="宋体"/>
          <w:color w:val="000000" w:themeColor="text1"/>
          <w:sz w:val="24"/>
          <w:szCs w:val="24"/>
          <w:highlight w:val="none"/>
          <w:u w:val="single"/>
          <w14:textFill>
            <w14:solidFill>
              <w14:schemeClr w14:val="tx1"/>
            </w14:solidFill>
          </w14:textFill>
        </w:rPr>
        <w:t xml:space="preserve">（中型企业、小型企业、微型企业）</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以上企业</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不属于大企业的分支机构</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不存在控股股东为大企业的情形</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也不存在与大企业的负责人为同一人的情形。</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本企业对上述声明内容的真实性负责。如有虚假</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将依法承担相应责任。</w:t>
      </w:r>
      <w:r/>
    </w:p>
    <w:p>
      <w:pPr>
        <w:ind w:firstLine="480"/>
        <w:jc w:val="lef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企业名称（盖章）：</w:t>
      </w:r>
      <w:r/>
    </w:p>
    <w:p>
      <w:pPr>
        <w:ind w:firstLine="480"/>
        <w:jc w:val="lef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日 期：</w:t>
      </w:r>
      <w:r/>
    </w:p>
    <w:p>
      <w:pPr>
        <w:ind w:firstLine="482"/>
        <w:jc w:val="left"/>
        <w:keepLines w:val="0"/>
        <w:keepNext w:val="0"/>
        <w:pageBreakBefore w:val="0"/>
        <w:spacing w:line="360" w:lineRule="auto"/>
        <w:widowControl w:val="off"/>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备注：</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lang w:val="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lang w:val="zh-CN"/>
          <w14:textFill>
            <w14:solidFill>
              <w14:schemeClr w14:val="tx1"/>
            </w14:solidFill>
          </w14:textFill>
        </w:rPr>
        <w:t xml:space="preserve">从业人员、营业收入、资产总额填报上一年度数据，无上一年度数据的新成立企业可不填报；</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lang w:val="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lang w:val="zh-CN"/>
          <w14:textFill>
            <w14:solidFill>
              <w14:schemeClr w14:val="tx1"/>
            </w14:solidFill>
          </w14:textFill>
        </w:rPr>
        <w:t xml:space="preserve">若供应商未在此函中对（中型企业、小型企业、微型企业）明确选择，视为非中小企业，不享受中小企业扶持政策；</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lang w:val="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lang w:val="zh-CN"/>
          <w14:textFill>
            <w14:solidFill>
              <w14:schemeClr w14:val="tx1"/>
            </w14:solidFill>
          </w14:textFill>
        </w:rPr>
        <w:t xml:space="preserve">若供应商提供的“中小企业声明函”内容不实的，属于提供虚假材料谋取中标、成交，依照《中华人民共和国政府采购法》等国家有关规定追究相应责任。</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lang w:val="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lang w:val="zh-CN"/>
          <w14:textFill>
            <w14:solidFill>
              <w14:schemeClr w14:val="tx1"/>
            </w14:solidFill>
          </w14:textFill>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r/>
    </w:p>
    <w:p>
      <w:pPr>
        <w:ind w:firstLine="480"/>
        <w:keepLines w:val="0"/>
        <w:keepNext w:val="0"/>
        <w:pageBreakBefore w:val="0"/>
        <w:spacing w:line="440" w:lineRule="exact"/>
        <w:shd w:val="clear" w:color="auto"/>
        <w:widowControl w:val="off"/>
        <w:rPr>
          <w:rFonts w:hint="eastAsia" w:ascii="宋体" w:hAnsi="宋体" w:eastAsia="宋体" w:cs="宋体"/>
          <w:b/>
          <w:color w:val="000000" w:themeColor="text1"/>
          <w:sz w:val="24"/>
          <w:szCs w:val="24"/>
          <w:highlight w:val="none"/>
          <w14:textFill>
            <w14:solidFill>
              <w14:schemeClr w14:val="tx1"/>
            </w14:solidFill>
          </w14:textFill>
        </w:rPr>
        <w:outlineLvl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5、中标供应商为中小企业的，《中小企业声明函》将随中标结果同时公告。</w:t>
      </w:r>
      <w:r>
        <w:rPr>
          <w:rFonts w:hint="eastAsia" w:ascii="宋体" w:hAnsi="宋体" w:eastAsia="宋体" w:cs="宋体"/>
          <w:color w:val="000000" w:themeColor="text1"/>
          <w:sz w:val="24"/>
          <w:szCs w:val="24"/>
          <w:highlight w:val="none"/>
          <w:lang w:val="en-US" w:eastAsia="zh-CN"/>
          <w14:textFill>
            <w14:solidFill>
              <w14:schemeClr w14:val="tx1"/>
            </w14:solidFill>
          </w14:textFill>
        </w:rPr>
        <w:br w:type="page" w:clear="all"/>
      </w:r>
      <w:r>
        <w:rPr>
          <w:rFonts w:hint="eastAsia" w:ascii="宋体" w:hAnsi="宋体" w:eastAsia="宋体" w:cs="宋体"/>
          <w:b/>
          <w:color w:val="000000" w:themeColor="text1"/>
          <w:sz w:val="24"/>
          <w:szCs w:val="24"/>
          <w:highlight w:val="none"/>
          <w14:textFill>
            <w14:solidFill>
              <w14:schemeClr w14:val="tx1"/>
            </w14:solidFill>
          </w14:textFill>
        </w:rPr>
        <w:t xml:space="preserve">附：中小企业划型标准规定</w:t>
      </w:r>
      <w:r/>
    </w:p>
    <w:p>
      <w:pPr>
        <w:ind w:left="0" w:firstLine="482"/>
        <w:keepLines w:val="0"/>
        <w:keepNext w:val="0"/>
        <w:pageBreakBefore w:val="0"/>
        <w:spacing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（一）农、林、牧、渔业。</w:t>
      </w:r>
      <w:r>
        <w:rPr>
          <w:rFonts w:hint="eastAsia" w:ascii="宋体" w:hAnsi="宋体" w:eastAsia="宋体" w:cs="宋体"/>
          <w:color w:val="000000" w:themeColor="text1"/>
          <w:sz w:val="24"/>
          <w:szCs w:val="24"/>
          <w:highlight w:val="none"/>
          <w14:textFill>
            <w14:solidFill>
              <w14:schemeClr w14:val="tx1"/>
            </w14:solidFill>
          </w14:textFill>
        </w:rPr>
        <w:t xml:space="preserve">营业收入20000万元以下的为中小微型企业。其中</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营业收入500万元及以上的为中型企业</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营业收入50万元及以上的为小型企业</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营业收入50万元以下的为微型企业。</w:t>
      </w:r>
      <w:r/>
    </w:p>
    <w:p>
      <w:pPr>
        <w:ind w:left="0" w:firstLine="482"/>
        <w:keepLines w:val="0"/>
        <w:keepNext w:val="0"/>
        <w:pageBreakBefore w:val="0"/>
        <w:spacing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（二）工业。</w:t>
      </w:r>
      <w:r>
        <w:rPr>
          <w:rFonts w:hint="eastAsia" w:ascii="宋体" w:hAnsi="宋体" w:eastAsia="宋体" w:cs="宋体"/>
          <w:color w:val="000000" w:themeColor="text1"/>
          <w:sz w:val="24"/>
          <w:szCs w:val="24"/>
          <w:highlight w:val="none"/>
          <w14:textFill>
            <w14:solidFill>
              <w14:schemeClr w14:val="tx1"/>
            </w14:solidFill>
          </w14:textFill>
        </w:rPr>
        <w:t xml:space="preserve">从业人员1000人以下或营业收入40000万元以下的为中小微型企业。其中</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从业人员300人及以上</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且营业收入2000万元及以上的为中型企业；从业人员20人及以上</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且营业收入300万元及以上的为小型企业；从业人员20人以下或营业收入300万元以下的为微型企业。</w:t>
      </w:r>
      <w:r/>
    </w:p>
    <w:p>
      <w:pPr>
        <w:ind w:left="0" w:firstLine="482"/>
        <w:keepLines w:val="0"/>
        <w:keepNext w:val="0"/>
        <w:pageBreakBefore w:val="0"/>
        <w:spacing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（三）建筑业。</w:t>
      </w:r>
      <w:r>
        <w:rPr>
          <w:rFonts w:hint="eastAsia" w:ascii="宋体" w:hAnsi="宋体" w:eastAsia="宋体" w:cs="宋体"/>
          <w:color w:val="000000" w:themeColor="text1"/>
          <w:sz w:val="24"/>
          <w:szCs w:val="24"/>
          <w:highlight w:val="none"/>
          <w14:textFill>
            <w14:solidFill>
              <w14:schemeClr w14:val="tx1"/>
            </w14:solidFill>
          </w14:textFill>
        </w:rPr>
        <w:t xml:space="preserve">营业收入80000万元以下或资产总额80000万元以下的为中小微型企业。其中</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营业收入6000万元及以上</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且资产总额5000万元及以上的为中型企业；营业收入300万元及以上</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且资产总额300万元及以上的为小型企业；营业收入300万元以下或资产总额300万元以下的为微型企业。</w:t>
      </w:r>
      <w:r/>
    </w:p>
    <w:p>
      <w:pPr>
        <w:ind w:left="0" w:firstLine="482"/>
        <w:keepLines w:val="0"/>
        <w:keepNext w:val="0"/>
        <w:pageBreakBefore w:val="0"/>
        <w:spacing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（四）批发业。</w:t>
      </w:r>
      <w:r>
        <w:rPr>
          <w:rFonts w:hint="eastAsia" w:ascii="宋体" w:hAnsi="宋体" w:eastAsia="宋体" w:cs="宋体"/>
          <w:color w:val="000000" w:themeColor="text1"/>
          <w:sz w:val="24"/>
          <w:szCs w:val="24"/>
          <w:highlight w:val="none"/>
          <w14:textFill>
            <w14:solidFill>
              <w14:schemeClr w14:val="tx1"/>
            </w14:solidFill>
          </w14:textFill>
        </w:rPr>
        <w:t xml:space="preserve">从业人员200人以下或营业收入40000万元以下的为中小微型企业。其中</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从业人员20人及以上</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且营业收入5000万元及以上的为中型企业；从业人员5人及以上</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且营业收入1000万元及以上的为小型企业；从业人员5人以下或营业收入1000万元以下的为微型企业。</w:t>
      </w:r>
      <w:r/>
    </w:p>
    <w:p>
      <w:pPr>
        <w:ind w:left="0" w:firstLine="482"/>
        <w:keepLines w:val="0"/>
        <w:keepNext w:val="0"/>
        <w:pageBreakBefore w:val="0"/>
        <w:spacing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（五）零售业。</w:t>
      </w:r>
      <w:r>
        <w:rPr>
          <w:rFonts w:hint="eastAsia" w:ascii="宋体" w:hAnsi="宋体" w:eastAsia="宋体" w:cs="宋体"/>
          <w:color w:val="000000" w:themeColor="text1"/>
          <w:sz w:val="24"/>
          <w:szCs w:val="24"/>
          <w:highlight w:val="none"/>
          <w14:textFill>
            <w14:solidFill>
              <w14:schemeClr w14:val="tx1"/>
            </w14:solidFill>
          </w14:textFill>
        </w:rPr>
        <w:t xml:space="preserve">从业人员300人以下或营业收入20000万元以下的为中小微型企业。其中</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从业人员50人及以上</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且营业收入500万元及以上的为中型企业；从业人员10人及以上</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且营业收入100万元及以上的为小型企业；从业人员10人以下或营业收入100万元以下的为微型企业。</w:t>
      </w:r>
      <w:r/>
    </w:p>
    <w:p>
      <w:pPr>
        <w:ind w:left="0" w:firstLine="482"/>
        <w:keepLines w:val="0"/>
        <w:keepNext w:val="0"/>
        <w:pageBreakBefore w:val="0"/>
        <w:spacing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（六）交通运输业。</w:t>
      </w:r>
      <w:r>
        <w:rPr>
          <w:rFonts w:hint="eastAsia" w:ascii="宋体" w:hAnsi="宋体" w:eastAsia="宋体" w:cs="宋体"/>
          <w:color w:val="000000" w:themeColor="text1"/>
          <w:sz w:val="24"/>
          <w:szCs w:val="24"/>
          <w:highlight w:val="none"/>
          <w14:textFill>
            <w14:solidFill>
              <w14:schemeClr w14:val="tx1"/>
            </w14:solidFill>
          </w14:textFill>
        </w:rPr>
        <w:t xml:space="preserve">从业人员1000人以下或营业收入30000万元以下的为中小微型企业。其中</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从业人员300人及以上</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且营业收入3000万元及以上的为中型企业；从业人员20人及以上</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且营业收入200万元及以上的为小型企业；从业人员20人以下或营业收入200万元以下的为微型企业。</w:t>
      </w:r>
      <w:r/>
    </w:p>
    <w:p>
      <w:pPr>
        <w:ind w:left="0" w:firstLine="482"/>
        <w:keepLines w:val="0"/>
        <w:keepNext w:val="0"/>
        <w:pageBreakBefore w:val="0"/>
        <w:spacing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（七）仓储业。</w:t>
      </w:r>
      <w:r>
        <w:rPr>
          <w:rFonts w:hint="eastAsia" w:ascii="宋体" w:hAnsi="宋体" w:eastAsia="宋体" w:cs="宋体"/>
          <w:color w:val="000000" w:themeColor="text1"/>
          <w:sz w:val="24"/>
          <w:szCs w:val="24"/>
          <w:highlight w:val="none"/>
          <w14:textFill>
            <w14:solidFill>
              <w14:schemeClr w14:val="tx1"/>
            </w14:solidFill>
          </w14:textFill>
        </w:rPr>
        <w:t xml:space="preserve">从业人员200人以下或营业收入30000万元以下的为中小微型企业。其中</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从业人员100人及以上</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且营业收入1000万元及以上的为中型企业；从业人员20人及以上</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且营业收入100万元及以上的为小型企业；从业人员20人以下或营业收入100万元以下的为微型企业。</w:t>
      </w:r>
      <w:r/>
    </w:p>
    <w:p>
      <w:pPr>
        <w:ind w:left="0" w:firstLine="482"/>
        <w:keepLines w:val="0"/>
        <w:keepNext w:val="0"/>
        <w:pageBreakBefore w:val="0"/>
        <w:spacing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（八）邮政业。</w:t>
      </w:r>
      <w:r>
        <w:rPr>
          <w:rFonts w:hint="eastAsia" w:ascii="宋体" w:hAnsi="宋体" w:eastAsia="宋体" w:cs="宋体"/>
          <w:color w:val="000000" w:themeColor="text1"/>
          <w:sz w:val="24"/>
          <w:szCs w:val="24"/>
          <w:highlight w:val="none"/>
          <w14:textFill>
            <w14:solidFill>
              <w14:schemeClr w14:val="tx1"/>
            </w14:solidFill>
          </w14:textFill>
        </w:rPr>
        <w:t xml:space="preserve">从业人员1000人以下或营业收入30000万元以下的为中小微型企业。其中</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从业人员300人及以上</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且营业收入2000万元及以上的为中型企业；从业人员20人及以上</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且营业收入100万元及以上的为小型企业；从业人员20人以下或营业收入100万元以下的为微型企业。</w:t>
      </w:r>
      <w:r/>
    </w:p>
    <w:p>
      <w:pPr>
        <w:ind w:left="0" w:firstLine="482"/>
        <w:keepLines w:val="0"/>
        <w:keepNext w:val="0"/>
        <w:pageBreakBefore w:val="0"/>
        <w:spacing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（九）住宿业。</w:t>
      </w:r>
      <w:r>
        <w:rPr>
          <w:rFonts w:hint="eastAsia" w:ascii="宋体" w:hAnsi="宋体" w:eastAsia="宋体" w:cs="宋体"/>
          <w:color w:val="000000" w:themeColor="text1"/>
          <w:sz w:val="24"/>
          <w:szCs w:val="24"/>
          <w:highlight w:val="none"/>
          <w14:textFill>
            <w14:solidFill>
              <w14:schemeClr w14:val="tx1"/>
            </w14:solidFill>
          </w14:textFill>
        </w:rPr>
        <w:t xml:space="preserve">从业人员300人以下或营业收入10000万元以下的为中小微型企业。其中</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从业人员100人及以上</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且营业收入2000万元及以上的为中型企业；从业人员10人及以上</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且营业收入100万元及以上的为小型企业；从业人员10人以下或营业收入100万元以下的为微型企业。</w:t>
      </w:r>
      <w:r/>
    </w:p>
    <w:p>
      <w:pPr>
        <w:ind w:left="0" w:firstLine="482"/>
        <w:keepLines w:val="0"/>
        <w:keepNext w:val="0"/>
        <w:pageBreakBefore w:val="0"/>
        <w:spacing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（十）餐饮业。</w:t>
      </w:r>
      <w:r>
        <w:rPr>
          <w:rFonts w:hint="eastAsia" w:ascii="宋体" w:hAnsi="宋体" w:eastAsia="宋体" w:cs="宋体"/>
          <w:color w:val="000000" w:themeColor="text1"/>
          <w:sz w:val="24"/>
          <w:szCs w:val="24"/>
          <w:highlight w:val="none"/>
          <w14:textFill>
            <w14:solidFill>
              <w14:schemeClr w14:val="tx1"/>
            </w14:solidFill>
          </w14:textFill>
        </w:rPr>
        <w:t xml:space="preserve">从业人员300人以下或营业收入10000万元以下的为中小微型企业。其中</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从业人员100人及以上</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且营业收入2000万元及以上的为中型企业；从业人员10人及以上</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且营业收入100万元及以上的为小型企业；从业人员10人以下或营业收入100万元以下的为微型企业。</w:t>
      </w:r>
      <w:r/>
    </w:p>
    <w:p>
      <w:pPr>
        <w:ind w:left="0" w:firstLine="482"/>
        <w:keepLines w:val="0"/>
        <w:keepNext w:val="0"/>
        <w:pageBreakBefore w:val="0"/>
        <w:spacing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（十一）信息传输业。</w:t>
      </w:r>
      <w:r>
        <w:rPr>
          <w:rFonts w:hint="eastAsia" w:ascii="宋体" w:hAnsi="宋体" w:eastAsia="宋体" w:cs="宋体"/>
          <w:color w:val="000000" w:themeColor="text1"/>
          <w:sz w:val="24"/>
          <w:szCs w:val="24"/>
          <w:highlight w:val="none"/>
          <w14:textFill>
            <w14:solidFill>
              <w14:schemeClr w14:val="tx1"/>
            </w14:solidFill>
          </w14:textFill>
        </w:rPr>
        <w:t xml:space="preserve">从业人员2000人以下或营业收入100000万元以下的为中小微型企业。其中</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从业人员100人及以上</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且营业收入1000万元及以上的为中型企业；从业人员10人及以上</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且营业收入100万元及以上的为小型企业；从业人员10人以下或营业收入100万元以下的为微型企业。</w:t>
      </w:r>
      <w:r/>
    </w:p>
    <w:p>
      <w:pPr>
        <w:ind w:left="0" w:firstLine="482"/>
        <w:keepLines w:val="0"/>
        <w:keepNext w:val="0"/>
        <w:pageBreakBefore w:val="0"/>
        <w:spacing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（十二）软件和信息技术服务业。</w:t>
      </w:r>
      <w:r>
        <w:rPr>
          <w:rFonts w:hint="eastAsia" w:ascii="宋体" w:hAnsi="宋体" w:eastAsia="宋体" w:cs="宋体"/>
          <w:color w:val="000000" w:themeColor="text1"/>
          <w:sz w:val="24"/>
          <w:szCs w:val="24"/>
          <w:highlight w:val="none"/>
          <w14:textFill>
            <w14:solidFill>
              <w14:schemeClr w14:val="tx1"/>
            </w14:solidFill>
          </w14:textFill>
        </w:rPr>
        <w:t xml:space="preserve">从业人员300人以下或营业收入10000万元以下的为中小微型企业。其中</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从业人员100人及以上</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且营业收入1000万元及以上的为中型企业；从业人员10人及以上</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且营业收入50万元及以上的为小型企业；从业人员10人以下或营业收入50万元以下的为微型企业。</w:t>
      </w:r>
      <w:r/>
    </w:p>
    <w:p>
      <w:pPr>
        <w:ind w:left="0" w:firstLine="482"/>
        <w:keepLines w:val="0"/>
        <w:keepNext w:val="0"/>
        <w:pageBreakBefore w:val="0"/>
        <w:spacing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（十三）房地产开发经营。</w:t>
      </w:r>
      <w:r>
        <w:rPr>
          <w:rFonts w:hint="eastAsia" w:ascii="宋体" w:hAnsi="宋体" w:eastAsia="宋体" w:cs="宋体"/>
          <w:color w:val="000000" w:themeColor="text1"/>
          <w:sz w:val="24"/>
          <w:szCs w:val="24"/>
          <w:highlight w:val="none"/>
          <w14:textFill>
            <w14:solidFill>
              <w14:schemeClr w14:val="tx1"/>
            </w14:solidFill>
          </w14:textFill>
        </w:rPr>
        <w:t xml:space="preserve">营业收入200000万元以下或资产总额10000万元以下的为中小微型企业。其中</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营业收入1000万元及以上</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且资产总额5000万元及以上的为中型企业；营业收入100万元及以上</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且资产总额2000万元及以上的为小型企业；营业收入100万元以下或资产总额2000万元以下的为微型企业。</w:t>
      </w:r>
      <w:r/>
    </w:p>
    <w:p>
      <w:pPr>
        <w:ind w:left="0" w:firstLine="482"/>
        <w:keepLines w:val="0"/>
        <w:keepNext w:val="0"/>
        <w:pageBreakBefore w:val="0"/>
        <w:spacing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（十四）物业管理。</w:t>
      </w:r>
      <w:r>
        <w:rPr>
          <w:rFonts w:hint="eastAsia" w:ascii="宋体" w:hAnsi="宋体" w:eastAsia="宋体" w:cs="宋体"/>
          <w:color w:val="000000" w:themeColor="text1"/>
          <w:sz w:val="24"/>
          <w:szCs w:val="24"/>
          <w:highlight w:val="none"/>
          <w14:textFill>
            <w14:solidFill>
              <w14:schemeClr w14:val="tx1"/>
            </w14:solidFill>
          </w14:textFill>
        </w:rPr>
        <w:t xml:space="preserve">从业人员1000人以下或营业收入5000万元以下的为中小微型企业。其中</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从业人员</w:t>
      </w:r>
      <w:r/>
    </w:p>
    <w:p>
      <w:pPr>
        <w:ind w:left="0"/>
        <w:keepLines w:val="0"/>
        <w:keepNext w:val="0"/>
        <w:pageBreakBefore w:val="0"/>
        <w:spacing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300人及以上</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且营业收入1000万元及以上的为中型企业；从业人员100人及以上</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且营业收入500万元及以上的为小型企业；从业人员100人以下或营业收入500万元以下的为微型企业。</w:t>
      </w:r>
      <w:r/>
    </w:p>
    <w:p>
      <w:pPr>
        <w:ind w:left="0" w:firstLine="482"/>
        <w:keepLines w:val="0"/>
        <w:keepNext w:val="0"/>
        <w:pageBreakBefore w:val="0"/>
        <w:spacing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（十五）租赁和商务服务业。</w:t>
      </w:r>
      <w:r>
        <w:rPr>
          <w:rFonts w:hint="eastAsia" w:ascii="宋体" w:hAnsi="宋体" w:eastAsia="宋体" w:cs="宋体"/>
          <w:color w:val="000000" w:themeColor="text1"/>
          <w:sz w:val="24"/>
          <w:szCs w:val="24"/>
          <w:highlight w:val="none"/>
          <w14:textFill>
            <w14:solidFill>
              <w14:schemeClr w14:val="tx1"/>
            </w14:solidFill>
          </w14:textFill>
        </w:rPr>
        <w:t xml:space="preserve">从业人员300人以下或资产总额120000万元以下的为中小微型企业。其中</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从业人员100人及以上</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且资产总额8000万元及以上的为中型企业；从业人员10人及以上</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且资产总额100万元及以上的为小型企业；从业人员10人以下或资产总额100万元以下的为微型企业。</w:t>
      </w:r>
      <w:r/>
    </w:p>
    <w:p>
      <w:pPr>
        <w:ind w:left="0" w:firstLine="482"/>
        <w:keepLines w:val="0"/>
        <w:keepNext w:val="0"/>
        <w:pageBreakBefore w:val="0"/>
        <w:spacing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（十六）其他未列明行业。</w:t>
      </w:r>
      <w:r>
        <w:rPr>
          <w:rFonts w:hint="eastAsia" w:ascii="宋体" w:hAnsi="宋体" w:eastAsia="宋体" w:cs="宋体"/>
          <w:color w:val="000000" w:themeColor="text1"/>
          <w:sz w:val="24"/>
          <w:szCs w:val="24"/>
          <w:highlight w:val="none"/>
          <w14:textFill>
            <w14:solidFill>
              <w14:schemeClr w14:val="tx1"/>
            </w14:solidFill>
          </w14:textFill>
        </w:rPr>
        <w:t xml:space="preserve">从业人员300人以下的为中小微型企业。其中</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从业人员100人及以上的为中型企业；从业人员10人及以上的为小型企业；从业人员10人以下的为微型企业。</w:t>
      </w:r>
      <w:r/>
    </w:p>
    <w:p>
      <w:pPr>
        <w:spacing w:line="360" w:lineRule="auto"/>
        <w:shd w:val="clear" w:color="auto"/>
        <w:rPr>
          <w:rFonts w:hint="eastAsia" w:ascii="宋体" w:hAnsi="宋体" w:eastAsia="宋体" w:cs="宋体"/>
          <w:b/>
          <w:bCs/>
          <w:color w:val="000000" w:themeColor="text1"/>
          <w:sz w:val="24"/>
          <w:szCs w:val="24"/>
          <w:highlight w:val="none"/>
          <w14:textFill>
            <w14:solidFill>
              <w14:schemeClr w14:val="tx1"/>
            </w14:solidFill>
          </w14:textFill>
        </w:rPr>
        <w:outlineLvl w:val="0"/>
      </w:pPr>
      <w:r>
        <w:rPr>
          <w:rFonts w:hint="eastAsia" w:ascii="宋体" w:hAnsi="宋体" w:eastAsia="宋体" w:cs="宋体"/>
          <w:b/>
          <w:bCs/>
          <w:color w:val="000000" w:themeColor="text1"/>
          <w:sz w:val="24"/>
          <w:szCs w:val="24"/>
          <w:highlight w:val="none"/>
          <w14:textFill>
            <w14:solidFill>
              <w14:schemeClr w14:val="tx1"/>
            </w14:solidFill>
          </w14:textFill>
        </w:rPr>
      </w:r>
      <w:r/>
    </w:p>
    <w:p>
      <w:pPr>
        <w:spacing w:line="360" w:lineRule="auto"/>
        <w:shd w:val="clear" w:color="auto"/>
        <w:rPr>
          <w:rFonts w:hint="eastAsia" w:ascii="宋体" w:hAnsi="宋体" w:eastAsia="宋体" w:cs="宋体"/>
          <w:b/>
          <w:bCs/>
          <w:color w:val="000000" w:themeColor="text1"/>
          <w:sz w:val="24"/>
          <w:szCs w:val="24"/>
          <w:highlight w:val="none"/>
          <w:lang w:val="en-US" w:eastAsia="zh-CN"/>
          <w14:textFill>
            <w14:solidFill>
              <w14:schemeClr w14:val="tx1"/>
            </w14:solidFill>
          </w14:textFill>
        </w:rPr>
        <w:sectPr>
          <w:footnotePr/>
          <w:endnotePr/>
          <w:type w:val="nextPage"/>
          <w:pgSz w:w="11906" w:h="16838" w:orient="portrait"/>
          <w:pgMar w:top="1134" w:right="1134" w:bottom="1134" w:left="1134" w:header="851" w:footer="992" w:gutter="0"/>
          <w:cols w:num="1" w:sep="0" w:space="720" w:equalWidth="1"/>
          <w:docGrid w:linePitch="360"/>
        </w:sectPr>
        <w:outlineLvl w:val="0"/>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r>
      <w:r/>
    </w:p>
    <w:p>
      <w:pPr>
        <w:spacing w:line="360" w:lineRule="auto"/>
        <w:shd w:val="clear" w:color="auto"/>
        <w:rPr>
          <w:rFonts w:hint="eastAsia" w:ascii="宋体" w:hAnsi="宋体" w:eastAsia="宋体" w:cs="宋体"/>
          <w:b w:val="0"/>
          <w:bCs w:val="0"/>
          <w:color w:val="000000" w:themeColor="text1"/>
          <w:sz w:val="24"/>
          <w:szCs w:val="24"/>
          <w:highlight w:val="none"/>
          <w14:textFill>
            <w14:solidFill>
              <w14:schemeClr w14:val="tx1"/>
            </w14:solidFill>
          </w14:textFill>
        </w:rPr>
        <w:outlineLvl w:val="0"/>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、残疾人福利性单位声明函</w:t>
      </w:r>
      <w:r/>
    </w:p>
    <w:p>
      <w:pPr>
        <w:spacing w:line="360" w:lineRule="auto"/>
        <w:shd w:val="clear" w:color="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本单位郑重声明</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根据《财政部  民政部  中国残疾人联合会关于促进残疾人就业政府采购政策的通知》（财库〔2017〕141号）的规定</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本单位为符合条件的残疾人福利性单位</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且本单位参加</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单位的</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项目采购活动提供本单位制造的货物（由本单位承担工程/提供服务）</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或者提供其他残疾人福利性单位制造的货物（不包括使用非残疾人福利性单位注册商标的货物）。</w:t>
      </w:r>
      <w:r/>
    </w:p>
    <w:p>
      <w:pPr>
        <w:spacing w:line="360" w:lineRule="auto"/>
        <w:shd w:val="clear" w:color="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spacing w:line="360" w:lineRule="auto"/>
        <w:shd w:val="clear" w:color="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本单位对上述声明的真实性负责。如有虚假</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将依法承担相应责任。</w:t>
      </w:r>
      <w:r/>
    </w:p>
    <w:p>
      <w:pPr>
        <w:spacing w:line="360" w:lineRule="auto"/>
        <w:shd w:val="clear" w:color="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ind w:firstLine="420"/>
        <w:spacing w:line="360" w:lineRule="auto"/>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投标人</w:t>
      </w:r>
      <w:r>
        <w:rPr>
          <w:rFonts w:hint="eastAsia" w:ascii="宋体" w:hAnsi="宋体" w:eastAsia="宋体" w:cs="宋体"/>
          <w:color w:val="000000" w:themeColor="text1"/>
          <w:sz w:val="24"/>
          <w:szCs w:val="24"/>
          <w:highlight w:val="none"/>
          <w14:textFill>
            <w14:solidFill>
              <w14:schemeClr w14:val="tx1"/>
            </w14:solidFill>
          </w14:textFill>
        </w:rPr>
        <w:t xml:space="preserve">（单位公章）：</w:t>
      </w:r>
      <w:r/>
    </w:p>
    <w:p>
      <w:pPr>
        <w:ind w:firstLine="420"/>
        <w:spacing w:line="360" w:lineRule="auto"/>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日期：    年  月  日</w:t>
      </w:r>
      <w:r/>
    </w:p>
    <w:p>
      <w:pPr>
        <w:spacing w:line="360" w:lineRule="auto"/>
        <w:shd w:val="clear" w:color="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spacing w:line="360" w:lineRule="auto"/>
        <w:shd w:val="clear" w:color="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819"/>
        <w:spacing w:line="360" w:lineRule="auto"/>
        <w:rPr>
          <w:rFonts w:hint="eastAsia" w:ascii="宋体" w:hAnsi="宋体" w:eastAsia="宋体" w:cs="宋体"/>
          <w:b/>
          <w:bCs/>
          <w:color w:val="000000" w:themeColor="text1"/>
          <w:sz w:val="24"/>
          <w:szCs w:val="24"/>
          <w:highlight w:val="none"/>
          <w:lang w:val="en-US" w:eastAsia="zh-CN"/>
          <w14:textFill>
            <w14:solidFill>
              <w14:schemeClr w14:val="tx1"/>
            </w14:solidFill>
          </w14:textFill>
        </w:rPr>
        <w:sectPr>
          <w:footnotePr/>
          <w:endnotePr/>
          <w:type w:val="nextPage"/>
          <w:pgSz w:w="11906" w:h="16838" w:orient="portrait"/>
          <w:pgMar w:top="1134" w:right="1134" w:bottom="1134" w:left="1134" w:header="851" w:footer="992" w:gutter="0"/>
          <w:cols w:num="1" w:sep="0" w:space="720" w:equalWidth="1"/>
          <w:docGrid w:linePitch="360"/>
        </w:sect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r>
      <w:r/>
    </w:p>
    <w:p>
      <w:pPr>
        <w:jc w:val="center"/>
        <w:spacing w:line="360" w:lineRule="auto"/>
        <w:shd w:val="clear" w:color="auto"/>
        <w:rPr>
          <w:rFonts w:hint="eastAsia" w:ascii="宋体" w:hAnsi="宋体" w:eastAsia="宋体" w:cs="宋体"/>
          <w:b/>
          <w:color w:val="000000" w:themeColor="text1"/>
          <w:sz w:val="24"/>
          <w:szCs w:val="24"/>
          <w:highlight w:val="none"/>
          <w:lang w:val="en-US" w:eastAsia="zh-CN"/>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第四章 </w:t>
      </w:r>
      <w:r>
        <w:rPr>
          <w:rFonts w:hint="eastAsia" w:ascii="宋体" w:hAnsi="宋体" w:eastAsia="宋体" w:cs="宋体"/>
          <w:b/>
          <w:color w:val="000000" w:themeColor="text1"/>
          <w:sz w:val="24"/>
          <w:szCs w:val="24"/>
          <w:highlight w:val="none"/>
          <w:lang w:val="en-US" w:eastAsia="zh-CN"/>
          <w14:textFill>
            <w14:solidFill>
              <w14:schemeClr w14:val="tx1"/>
            </w14:solidFill>
          </w14:textFill>
        </w:rPr>
        <w:t xml:space="preserve">采购需求</w:t>
      </w:r>
      <w:r/>
    </w:p>
    <w:p>
      <w:pPr>
        <w:ind w:firstLine="480"/>
        <w:spacing w:line="360" w:lineRule="auto"/>
        <w:shd w:val="clear" w:color="auto"/>
        <w:rPr>
          <w:rFonts w:hint="eastAsia" w:ascii="宋体" w:hAnsi="宋体" w:eastAsia="宋体" w:cs="宋体"/>
          <w:color w:val="000000" w:themeColor="text1"/>
          <w:sz w:val="24"/>
          <w:szCs w:val="24"/>
          <w:highlight w:val="none"/>
          <w14:textFill>
            <w14:solidFill>
              <w14:schemeClr w14:val="tx1"/>
            </w14:solidFill>
          </w14:textFill>
        </w:rPr>
      </w:pPr>
      <w:r/>
      <w:bookmarkStart w:id="7" w:name="_Toc13642116"/>
      <w:r>
        <w:rPr>
          <w:rFonts w:hint="eastAsia" w:ascii="宋体" w:hAnsi="宋体" w:eastAsia="宋体" w:cs="宋体"/>
          <w:color w:val="000000" w:themeColor="text1"/>
          <w:sz w:val="24"/>
          <w:szCs w:val="24"/>
          <w:highlight w:val="none"/>
          <w14:textFill>
            <w14:solidFill>
              <w14:schemeClr w14:val="tx1"/>
            </w14:solidFill>
          </w14:textFill>
        </w:rPr>
        <w:t xml:space="preserve">苏州正杰招投标咨询服务有限公司受</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苏州市教育考试院</w:t>
      </w:r>
      <w:r>
        <w:rPr>
          <w:rFonts w:hint="eastAsia" w:ascii="宋体" w:hAnsi="宋体" w:eastAsia="宋体" w:cs="宋体"/>
          <w:color w:val="000000" w:themeColor="text1"/>
          <w:sz w:val="24"/>
          <w:szCs w:val="24"/>
          <w:highlight w:val="none"/>
          <w14:textFill>
            <w14:solidFill>
              <w14:schemeClr w14:val="tx1"/>
            </w14:solidFill>
          </w14:textFill>
        </w:rPr>
        <w:t xml:space="preserve">的委托</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就其所需的</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苏州市教育考试院考试安全设备租赁服务</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项目</w:t>
      </w:r>
      <w:r>
        <w:rPr>
          <w:rFonts w:hint="eastAsia" w:ascii="宋体" w:hAnsi="宋体" w:eastAsia="宋体" w:cs="宋体"/>
          <w:color w:val="000000" w:themeColor="text1"/>
          <w:sz w:val="24"/>
          <w:szCs w:val="24"/>
          <w:highlight w:val="none"/>
          <w14:textFill>
            <w14:solidFill>
              <w14:schemeClr w14:val="tx1"/>
            </w14:solidFill>
          </w14:textFill>
        </w:rPr>
        <w:t xml:space="preserve">的采购进行公开招标</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欢迎有资格的供应商前来参加投标。</w:t>
      </w:r>
      <w:r/>
    </w:p>
    <w:p>
      <w:pPr>
        <w:ind w:firstLine="480"/>
        <w:spacing w:line="360" w:lineRule="auto"/>
        <w:shd w:val="clear" w:color="auto"/>
        <w:rPr>
          <w:rFonts w:hint="eastAsia" w:ascii="宋体" w:hAnsi="宋体" w:eastAsia="宋体" w:cs="宋体"/>
          <w:b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val="0"/>
          <w:color w:val="000000" w:themeColor="text1"/>
          <w:sz w:val="24"/>
          <w:szCs w:val="24"/>
          <w:highlight w:val="none"/>
          <w:lang w:val="en-US" w:eastAsia="zh-CN" w:bidi="ar-SA"/>
          <w14:textFill>
            <w14:solidFill>
              <w14:schemeClr w14:val="tx1"/>
            </w14:solidFill>
          </w14:textFill>
        </w:rPr>
        <w:t xml:space="preserve">一、项目编号：JSZC-320500-SZZJ-G2025-0008号。</w:t>
      </w:r>
      <w:r/>
    </w:p>
    <w:p>
      <w:pPr>
        <w:ind w:firstLine="480"/>
        <w:jc w:val="left"/>
        <w:spacing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二、</w:t>
      </w:r>
      <w:bookmarkEnd w:id="7"/>
      <w:r/>
      <w:bookmarkStart w:id="8" w:name="_Toc13543213"/>
      <w:r>
        <w:rPr>
          <w:rFonts w:hint="eastAsia" w:ascii="宋体" w:hAnsi="宋体" w:eastAsia="宋体" w:cs="宋体"/>
          <w:color w:val="000000" w:themeColor="text1"/>
          <w:sz w:val="24"/>
          <w:szCs w:val="24"/>
          <w:highlight w:val="none"/>
          <w14:textFill>
            <w14:solidFill>
              <w14:schemeClr w14:val="tx1"/>
            </w14:solidFill>
          </w14:textFill>
        </w:rPr>
        <w:t xml:space="preserve">采购需求</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ind w:right="39" w:firstLine="482"/>
        <w:keepLines w:val="0"/>
        <w:keepNext w:val="0"/>
        <w:pageBreakBefore w:val="0"/>
        <w:spacing w:line="360" w:lineRule="auto"/>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（一）项目背景及目标</w:t>
      </w:r>
      <w:r/>
    </w:p>
    <w:p>
      <w:pPr>
        <w:ind w:right="39" w:firstLine="480"/>
        <w:keepLines w:val="0"/>
        <w:keepNext w:val="0"/>
        <w:pageBreakBefore w:val="0"/>
        <w:spacing w:line="360" w:lineRule="auto"/>
        <w:rPr>
          <w:rFonts w:hint="eastAsia" w:ascii="宋体" w:hAnsi="宋体" w:eastAsia="宋体" w:cs="宋体"/>
          <w:color w:val="000000" w:themeColor="text1"/>
          <w:sz w:val="24"/>
          <w:szCs w:val="24"/>
          <w:highlight w:val="none"/>
          <w:lang w:bidi="ar-SA"/>
          <w14:textFill>
            <w14:solidFill>
              <w14:schemeClr w14:val="tx1"/>
            </w14:solidFill>
          </w14:textFill>
        </w:rPr>
      </w:pPr>
      <w:r>
        <w:rPr>
          <w:rFonts w:hint="eastAsia" w:ascii="宋体" w:hAnsi="宋体" w:eastAsia="宋体" w:cs="宋体"/>
          <w:color w:val="000000" w:themeColor="text1"/>
          <w:sz w:val="24"/>
          <w:szCs w:val="24"/>
          <w:highlight w:val="none"/>
          <w:lang w:bidi="ar-SA"/>
          <w14:textFill>
            <w14:solidFill>
              <w14:schemeClr w14:val="tx1"/>
            </w14:solidFill>
          </w14:textFill>
        </w:rPr>
        <w:t xml:space="preserve">确保考试安全，是维护社会公平正义、保障教育体系公信力、促进人才选拔公正性的重要举措，亦是教育考试系统信息化建设的关键环节，更是各级政府积极推广的重点项目。</w:t>
      </w:r>
      <w:r/>
    </w:p>
    <w:p>
      <w:pPr>
        <w:ind w:right="39" w:firstLine="480"/>
        <w:jc w:val="both"/>
        <w:keepLines w:val="0"/>
        <w:keepNext w:val="0"/>
        <w:pageBreakBefore w:val="0"/>
        <w:spacing w:line="360" w:lineRule="auto"/>
        <w:widowControl w:val="off"/>
        <w:rPr>
          <w:rFonts w:hint="eastAsia" w:ascii="宋体" w:hAnsi="宋体" w:eastAsia="宋体" w:cs="宋体"/>
          <w:color w:val="000000" w:themeColor="text1"/>
          <w:sz w:val="24"/>
          <w:szCs w:val="24"/>
          <w:highlight w:val="none"/>
          <w:lang w:bidi="ar-SA"/>
          <w14:textFill>
            <w14:solidFill>
              <w14:schemeClr w14:val="tx1"/>
            </w14:solidFill>
          </w14:textFill>
        </w:rPr>
      </w:pPr>
      <w:r>
        <w:rPr>
          <w:rFonts w:hint="eastAsia" w:ascii="宋体" w:hAnsi="宋体" w:eastAsia="宋体" w:cs="宋体"/>
          <w:color w:val="000000" w:themeColor="text1"/>
          <w:sz w:val="24"/>
          <w:szCs w:val="24"/>
          <w:highlight w:val="none"/>
          <w:lang w:bidi="ar-SA"/>
          <w14:textFill>
            <w14:solidFill>
              <w14:schemeClr w14:val="tx1"/>
            </w14:solidFill>
          </w14:textFill>
        </w:rPr>
        <w:t xml:space="preserve">采购内容涵盖：在规定时限内，向苏州市范围内的考试活动提供人员入场安全检查、考试过程中的安全检查、试卷安全检查以及视频会议安全保障等全方位服务，并同时承担考生手机、平板等电子设备的保管任务。</w:t>
      </w:r>
      <w:r/>
    </w:p>
    <w:p>
      <w:pPr>
        <w:ind w:right="39" w:firstLine="480"/>
        <w:jc w:val="both"/>
        <w:keepLines w:val="0"/>
        <w:keepNext w:val="0"/>
        <w:pageBreakBefore w:val="0"/>
        <w:spacing w:line="360" w:lineRule="auto"/>
        <w:widowControl w:val="off"/>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bidi="ar-SA"/>
          <w14:textFill>
            <w14:solidFill>
              <w14:schemeClr w14:val="tx1"/>
            </w14:solidFill>
          </w14:textFill>
        </w:rPr>
        <w:t xml:space="preserve">在项目执行阶段，设备性能指标必须达到考试院所提出的标准要求，依据考试院及各考点的具体需求，派遣相应数量的技术人员常驻现场，以确保考试安全保障服务的顺利实施。</w:t>
      </w:r>
      <w:r/>
    </w:p>
    <w:p>
      <w:pPr>
        <w:ind w:right="39" w:firstLine="482"/>
        <w:keepLines w:val="0"/>
        <w:keepNext w:val="0"/>
        <w:pageBreakBefore w:val="0"/>
        <w:spacing w:line="360" w:lineRule="auto"/>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lang w:eastAsia="zh-CN"/>
          <w14:textFill>
            <w14:solidFill>
              <w14:schemeClr w14:val="tx1"/>
            </w14:solidFill>
          </w14:textFill>
        </w:rPr>
        <w:t xml:space="preserve">（</w:t>
      </w:r>
      <w:r>
        <w:rPr>
          <w:rFonts w:hint="eastAsia" w:ascii="宋体" w:hAnsi="宋体" w:eastAsia="宋体" w:cs="宋体"/>
          <w:b/>
          <w:bCs/>
          <w:color w:val="000000" w:themeColor="text1"/>
          <w:sz w:val="24"/>
          <w:highlight w:val="none"/>
          <w:lang w:val="en-US" w:eastAsia="zh-CN"/>
          <w14:textFill>
            <w14:solidFill>
              <w14:schemeClr w14:val="tx1"/>
            </w14:solidFill>
          </w14:textFill>
        </w:rPr>
        <w:t xml:space="preserve">二</w:t>
      </w:r>
      <w:r>
        <w:rPr>
          <w:rFonts w:hint="eastAsia" w:ascii="宋体" w:hAnsi="宋体" w:eastAsia="宋体" w:cs="宋体"/>
          <w:b/>
          <w:bCs/>
          <w:color w:val="000000" w:themeColor="text1"/>
          <w:sz w:val="24"/>
          <w:highlight w:val="none"/>
          <w:lang w:eastAsia="zh-CN"/>
          <w14:textFill>
            <w14:solidFill>
              <w14:schemeClr w14:val="tx1"/>
            </w14:solidFill>
          </w14:textFill>
        </w:rPr>
        <w:t xml:space="preserve">）</w:t>
      </w:r>
      <w:r>
        <w:rPr>
          <w:rFonts w:hint="eastAsia" w:ascii="宋体" w:hAnsi="宋体" w:eastAsia="宋体" w:cs="宋体"/>
          <w:b/>
          <w:bCs/>
          <w:color w:val="000000" w:themeColor="text1"/>
          <w:sz w:val="24"/>
          <w:highlight w:val="none"/>
          <w:lang w:val="en-US" w:eastAsia="zh-CN"/>
          <w14:textFill>
            <w14:solidFill>
              <w14:schemeClr w14:val="tx1"/>
            </w14:solidFill>
          </w14:textFill>
        </w:rPr>
        <w:t xml:space="preserve">服务</w:t>
      </w:r>
      <w:r>
        <w:rPr>
          <w:rFonts w:hint="eastAsia" w:ascii="宋体" w:hAnsi="宋体" w:eastAsia="宋体" w:cs="宋体"/>
          <w:b/>
          <w:bCs/>
          <w:color w:val="000000" w:themeColor="text1"/>
          <w:sz w:val="24"/>
          <w:highlight w:val="none"/>
          <w14:textFill>
            <w14:solidFill>
              <w14:schemeClr w14:val="tx1"/>
            </w14:solidFill>
          </w14:textFill>
        </w:rPr>
        <w:t xml:space="preserve">内容清单</w:t>
      </w:r>
      <w:r/>
    </w:p>
    <w:tbl>
      <w:tblPr>
        <w:tblStyle w:val="744"/>
        <w:tblW w:w="5564"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847"/>
        <w:gridCol w:w="1854"/>
        <w:gridCol w:w="5465"/>
        <w:gridCol w:w="867"/>
        <w:gridCol w:w="1933"/>
      </w:tblGrid>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tcPr>
          <w:p>
            <w:pPr>
              <w:jc w:val="center"/>
              <w:keepLines w:val="0"/>
              <w:keepNext w:val="0"/>
              <w:pageBreakBefore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845" w:type="pct"/>
            <w:vAlign w:val="center"/>
            <w:textDirection w:val="lrTb"/>
            <w:noWrap/>
          </w:tcPr>
          <w:p>
            <w:pPr>
              <w:jc w:val="center"/>
              <w:keepLines w:val="0"/>
              <w:keepNext w:val="0"/>
              <w:pageBreakBefore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内容</w:t>
            </w:r>
            <w:r/>
          </w:p>
        </w:tc>
        <w:tc>
          <w:tcPr>
            <w:shd w:val="clear" w:color="auto" w:fill="auto"/>
            <w:tcBorders>
              <w:top w:val="single" w:color="000000" w:sz="4" w:space="0"/>
              <w:left w:val="single" w:color="000000" w:sz="4" w:space="0"/>
              <w:bottom w:val="single" w:color="000000" w:sz="4" w:space="0"/>
              <w:right w:val="single" w:color="000000" w:sz="4" w:space="0"/>
            </w:tcBorders>
            <w:tcW w:w="2491" w:type="pct"/>
            <w:vAlign w:val="center"/>
            <w:textDirection w:val="lrTb"/>
            <w:noWrap/>
          </w:tcPr>
          <w:p>
            <w:pPr>
              <w:jc w:val="center"/>
              <w:keepLines w:val="0"/>
              <w:keepNext w:val="0"/>
              <w:pageBreakBefore w:val="0"/>
              <w:widowControl/>
              <w:rPr>
                <w:rFonts w:hint="default" w:ascii="宋体" w:hAnsi="宋体" w:eastAsia="宋体" w:cs="宋体"/>
                <w:i w:val="0"/>
                <w:iCs w:val="0"/>
                <w:color w:val="000000" w:themeColor="text1"/>
                <w:sz w:val="22"/>
                <w:szCs w:val="22"/>
                <w:highlight w:val="none"/>
                <w:u w:val="none"/>
                <w:lang w:val="en-US"/>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参数要求</w:t>
            </w:r>
            <w:r/>
          </w:p>
        </w:tc>
        <w:tc>
          <w:tcPr>
            <w:shd w:val="clear" w:color="auto" w:fill="auto"/>
            <w:tcBorders>
              <w:top w:val="single" w:color="000000" w:sz="4" w:space="0"/>
              <w:left w:val="single" w:color="000000" w:sz="4" w:space="0"/>
              <w:bottom w:val="single" w:color="000000" w:sz="4" w:space="0"/>
              <w:right w:val="single" w:color="000000" w:sz="4" w:space="0"/>
            </w:tcBorders>
            <w:tcW w:w="395" w:type="pct"/>
            <w:vAlign w:val="center"/>
            <w:textDirection w:val="lrTb"/>
            <w:noWrap/>
          </w:tcPr>
          <w:p>
            <w:pPr>
              <w:jc w:val="center"/>
              <w:keepLines w:val="0"/>
              <w:keepNext w:val="0"/>
              <w:pageBreakBefore w:val="0"/>
              <w:widowControl/>
              <w:rPr>
                <w:rFonts w:hint="default"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数量单位</w:t>
            </w:r>
            <w:r/>
          </w:p>
        </w:tc>
        <w:tc>
          <w:tcPr>
            <w:shd w:val="clear" w:color="auto" w:fill="auto"/>
            <w:tcBorders>
              <w:top w:val="single" w:color="000000" w:sz="4" w:space="0"/>
              <w:left w:val="single" w:color="000000" w:sz="4" w:space="0"/>
              <w:bottom w:val="single" w:color="000000" w:sz="4" w:space="0"/>
              <w:right w:val="single" w:color="000000" w:sz="4" w:space="0"/>
            </w:tcBorders>
            <w:tcW w:w="881" w:type="pct"/>
            <w:vAlign w:val="center"/>
            <w:textDirection w:val="lrTb"/>
            <w:noWrap/>
          </w:tcPr>
          <w:p>
            <w:pPr>
              <w:jc w:val="center"/>
              <w:keepLines w:val="0"/>
              <w:keepNext w:val="0"/>
              <w:pageBreakBefore w:val="0"/>
              <w:widowControl/>
              <w:rPr>
                <w:rFonts w:hint="default"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备注</w:t>
            </w:r>
            <w:r/>
          </w:p>
        </w:tc>
      </w:tr>
      <w:tr>
        <w:trPr>
          <w:jc w:val="center"/>
          <w:trHeight w:val="3873"/>
        </w:trPr>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tcPr>
          <w:p>
            <w:pPr>
              <w:ind w:firstLine="440"/>
              <w:jc w:val="left"/>
              <w:keepLines w:val="0"/>
              <w:keepNext w:val="0"/>
              <w:pageBreakBefore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5" w:type="pct"/>
            <w:vAlign w:val="center"/>
            <w:textDirection w:val="lrTb"/>
            <w:noWrap/>
          </w:tcPr>
          <w:p>
            <w:pPr>
              <w:jc w:val="left"/>
              <w:keepLines w:val="0"/>
              <w:keepNext w:val="0"/>
              <w:pageBreakBefore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手机智能探测服务</w:t>
            </w:r>
            <w:r/>
          </w:p>
        </w:tc>
        <w:tc>
          <w:tcPr>
            <w:shd w:val="clear" w:color="auto" w:fill="auto"/>
            <w:tcBorders>
              <w:top w:val="single" w:color="000000" w:sz="4" w:space="0"/>
              <w:left w:val="single" w:color="000000" w:sz="4" w:space="0"/>
              <w:bottom w:val="single" w:color="000000" w:sz="4" w:space="0"/>
              <w:right w:val="single" w:color="000000" w:sz="4" w:space="0"/>
            </w:tcBorders>
            <w:tcW w:w="2491" w:type="pct"/>
            <w:vAlign w:val="center"/>
            <w:textDirection w:val="lrTb"/>
            <w:noWrap w:val="false"/>
          </w:tcPr>
          <w:p>
            <w:pPr>
              <w:numPr>
                <w:ilvl w:val="0"/>
                <w:numId w:val="0"/>
              </w:numPr>
              <w:jc w:val="left"/>
              <w:keepLines w:val="0"/>
              <w:keepNext w:val="0"/>
              <w:pageBreakBefore w:val="0"/>
              <w:widowControl/>
              <w:rPr>
                <w:rFonts w:hint="eastAsia" w:ascii="宋体" w:hAnsi="宋体" w:eastAsia="宋体" w:cs="宋体"/>
                <w:color w:val="000000" w:themeColor="text1"/>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1、应配备不少于2个≥24 寸液晶显示屏，可显示报警物品的种类、区位、通过人数、报警人数、报警抓拍照片、人脸核验结果等信息；当内置工控机因故障中断时，安检门本地违禁品探测功能应正常。</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应具备远程参数调整、远程诊断以及报警相关数据存储的功能。当远程控制因故中断时，金属门应能自动恢复本地控制；具有备用电源的金属门应能自动切换主备电，切换时不应影响正常工作，备用电池应能保证金属门正常工作至少4h以上。</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3、具有多种探测模式，能在电子产品探测模式、违禁品探测模式、电子产品和违禁品探测模式及全金属探测模式间进行切换。</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4、电子产品探测功能，人员正常着装上的金属纽扣、皮带扣、钥匙、硬币、项链、打火机、圆规、发卡等日常金属通过时应不报警，误报率应小于等于 5%；</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5、▲电子产品探测功能，当携带或夹带手机、iPad 、电话手表、电子手表、对讲机、单独手机鲤电池、笔记本电脑、录音笔、移动硬盘、数码照相机等电子产品通过探测门时，系统应有声光报警并有文字和图像提示，应能提示物品的藏匿位置。手机分别处于待机、关机、移除电池、移除SIM卡、手机用五层铜箔包裹等状态时对探测报警应无影响。当手机和刀具或金属罐体捆绑后一起通过手机智能探测门时，系统应对手机报警。总成功率应大于等于95%。</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6、摄像机及人脸抓拍功能，应配有高清摄像头，摄像头分辨率可至少设置为1920*1080。能抓拍每个通过人员的照片，通过网络实时将人脸信息传送至中心平台管理系统，存储空间快满时，系统应自动清除陈旧数据，确保数据存储的容量。</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7、支持黑白名单管理功能，当采集到的人脸信息与事先录入的黑白名单一致时，系统应能报警或放行，应有语音提示，并将信息上传至中心平台管理系统。</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8、▲探测性能应不受门体四周10cm 范围以外的大静止金属物体的影响；性能应不受地面0.1m以下的金属结构的影响。</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9、▲设备联动功能，系统报警时，应至少输出一路控制信号给闸机、门禁等外围设备，实现联动控制。故障保护功能，当内置工控机因故障中断时，手机智能探测门本地违禁品探测功能应正常。</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10、▲调节探测灵敏度，应能从低到高方便地调节灵敏度，灵敏度调节应≥200个级别，总区及分区灵敏度均应可调。</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11、通行速度，在探测区域内，能对通行速度为0.2m/s～2.0m/s的应报警测试物正确响应并报警，试验100次，探测率应≥95％。具有抗相互干扰，以0.1m外沿间距并排安置多台手机智能探测门时，各手机智能探测门均能正常工作。稳定工作时间应≥96h，待机期间不应出现误报警。</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12、需符合GB 15210-2018《通过式金属探测门通用技术规范》要求。</w:t>
            </w:r>
            <w:r/>
          </w:p>
          <w:p>
            <w:pPr>
              <w:numPr>
                <w:ilvl w:val="0"/>
                <w:numId w:val="0"/>
              </w:numPr>
              <w:jc w:val="left"/>
              <w:keepLines w:val="0"/>
              <w:keepNext w:val="0"/>
              <w:pageBreakBefore w:val="0"/>
              <w:widowControl/>
              <w:rPr>
                <w:rFonts w:hint="eastAsia" w:ascii="宋体" w:hAnsi="宋体" w:eastAsia="宋体" w:cs="宋体"/>
                <w:color w:val="000000" w:themeColor="text1"/>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lang w:val="en-US" w:eastAsia="zh-CN"/>
                <w14:textFill>
                  <w14:solidFill>
                    <w14:schemeClr w14:val="tx1"/>
                  </w14:solidFill>
                </w14:textFill>
              </w:rPr>
              <w:t xml:space="preserve">13、每次考试每一个安检门需配备一名以上工作人员。</w:t>
            </w:r>
            <w:r/>
          </w:p>
        </w:tc>
        <w:tc>
          <w:tcPr>
            <w:shd w:val="clear" w:color="auto" w:fill="auto"/>
            <w:tcBorders>
              <w:top w:val="single" w:color="000000" w:sz="4" w:space="0"/>
              <w:left w:val="single" w:color="000000" w:sz="4" w:space="0"/>
              <w:bottom w:val="single" w:color="000000" w:sz="4" w:space="0"/>
              <w:right w:val="single" w:color="000000" w:sz="4" w:space="0"/>
            </w:tcBorders>
            <w:tcW w:w="395" w:type="pct"/>
            <w:vAlign w:val="center"/>
            <w:textDirection w:val="lrTb"/>
            <w:noWrap w:val="false"/>
          </w:tcPr>
          <w:p>
            <w:pPr>
              <w:numPr>
                <w:ilvl w:val="0"/>
                <w:numId w:val="0"/>
              </w:numPr>
              <w:jc w:val="left"/>
              <w:keepLines w:val="0"/>
              <w:keepNext w:val="0"/>
              <w:pageBreakBefore w:val="0"/>
              <w:widowControl/>
              <w:rPr>
                <w:rFonts w:hint="default" w:ascii="宋体" w:hAnsi="宋体" w:eastAsia="宋体" w:cs="宋体"/>
                <w:color w:val="000000" w:themeColor="text1"/>
                <w:sz w:val="22"/>
                <w:szCs w:val="22"/>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lang w:val="en-US" w:eastAsia="zh-CN"/>
                <w14:textFill>
                  <w14:solidFill>
                    <w14:schemeClr w14:val="tx1"/>
                  </w14:solidFill>
                </w14:textFill>
              </w:rPr>
              <w:t xml:space="preserve">401个</w:t>
            </w:r>
            <w:r/>
          </w:p>
        </w:tc>
        <w:tc>
          <w:tcPr>
            <w:shd w:val="clear" w:color="auto" w:fill="auto"/>
            <w:tcBorders>
              <w:top w:val="single" w:color="000000" w:sz="4" w:space="0"/>
              <w:left w:val="single" w:color="000000" w:sz="4" w:space="0"/>
              <w:bottom w:val="single" w:color="000000" w:sz="4" w:space="0"/>
              <w:right w:val="single" w:color="000000" w:sz="4" w:space="0"/>
            </w:tcBorders>
            <w:tcW w:w="881" w:type="pct"/>
            <w:vAlign w:val="center"/>
            <w:textDirection w:val="lrTb"/>
            <w:noWrap w:val="false"/>
          </w:tcPr>
          <w:p>
            <w:pPr>
              <w:numPr>
                <w:ilvl w:val="0"/>
                <w:numId w:val="0"/>
              </w:numPr>
              <w:jc w:val="left"/>
              <w:keepLines w:val="0"/>
              <w:keepNext w:val="0"/>
              <w:pageBreakBefore w:val="0"/>
              <w:widowControl/>
              <w:rPr>
                <w:rFonts w:hint="eastAsia" w:ascii="宋体" w:hAnsi="宋体" w:eastAsia="宋体" w:cs="宋体"/>
                <w:color w:val="000000" w:themeColor="text1"/>
                <w:sz w:val="22"/>
                <w:szCs w:val="22"/>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lang w:val="en-US" w:eastAsia="zh-CN"/>
                <w14:textFill>
                  <w14:solidFill>
                    <w14:schemeClr w14:val="tx1"/>
                  </w14:solidFill>
                </w14:textFill>
              </w:rPr>
              <w:t xml:space="preserve">2025年6月份约30个；2025年7月份约31个；2025年9月份约15个；2025年10月份约80个和61个；2025年12月份约90个；2026年1月份约23个；2026年4月份约71个。具体实际数量以采购人要求为准。</w:t>
            </w:r>
            <w:r/>
          </w:p>
        </w:tc>
      </w:tr>
      <w:tr>
        <w:trPr>
          <w:jc w:val="center"/>
          <w:trHeight w:val="810"/>
        </w:trPr>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tcPr>
          <w:p>
            <w:pPr>
              <w:ind w:firstLine="440"/>
              <w:jc w:val="left"/>
              <w:keepLines w:val="0"/>
              <w:keepNext w:val="0"/>
              <w:pageBreakBefore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45" w:type="pct"/>
            <w:vAlign w:val="center"/>
            <w:textDirection w:val="lrTb"/>
            <w:noWrap/>
          </w:tcPr>
          <w:p>
            <w:pPr>
              <w:jc w:val="left"/>
              <w:keepLines w:val="0"/>
              <w:keepNext w:val="0"/>
              <w:pageBreakBefore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手机存储柜服务</w:t>
            </w:r>
            <w:r/>
          </w:p>
        </w:tc>
        <w:tc>
          <w:tcPr>
            <w:shd w:val="clear" w:color="auto" w:fill="auto"/>
            <w:tcBorders>
              <w:top w:val="single" w:color="000000" w:sz="4" w:space="0"/>
              <w:left w:val="single" w:color="000000" w:sz="4" w:space="0"/>
              <w:bottom w:val="single" w:color="000000" w:sz="4" w:space="0"/>
              <w:right w:val="single" w:color="000000" w:sz="4" w:space="0"/>
            </w:tcBorders>
            <w:tcW w:w="2491" w:type="pct"/>
            <w:vAlign w:val="center"/>
            <w:textDirection w:val="lrTb"/>
            <w:noWrap w:val="false"/>
          </w:tcPr>
          <w:p>
            <w:pPr>
              <w:numPr>
                <w:ilvl w:val="0"/>
                <w:numId w:val="4"/>
              </w:numPr>
              <w:jc w:val="left"/>
              <w:keepLines w:val="0"/>
              <w:keepNext w:val="0"/>
              <w:pageBreakBefore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单门一对一锁头。</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2、每门锁头配备2把钥匙。</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3、需提供考试中视频监控服务。</w:t>
            </w:r>
            <w:r/>
          </w:p>
          <w:p>
            <w:pPr>
              <w:numPr>
                <w:ilvl w:val="0"/>
                <w:numId w:val="0"/>
              </w:numPr>
              <w:jc w:val="left"/>
              <w:keepLines w:val="0"/>
              <w:keepNext w:val="0"/>
              <w:pageBreakBefore w:val="0"/>
              <w:widowControl/>
              <w:rPr>
                <w:rFonts w:hint="eastAsia" w:ascii="宋体" w:hAnsi="宋体" w:eastAsia="宋体" w:cs="宋体"/>
                <w:color w:val="000000" w:themeColor="text1"/>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lang w:val="en-US" w:eastAsia="zh-CN"/>
                <w14:textFill>
                  <w14:solidFill>
                    <w14:schemeClr w14:val="tx1"/>
                  </w14:solidFill>
                </w14:textFill>
              </w:rPr>
              <w:t xml:space="preserve">4、按比例增加能存放平板电脑和笔记本电脑的存储柜，所有手机、平板存储柜下端要做好稳固措施，避免大风或人为推倒。</w:t>
            </w:r>
            <w:r/>
          </w:p>
        </w:tc>
        <w:tc>
          <w:tcPr>
            <w:shd w:val="clear" w:color="auto" w:fill="auto"/>
            <w:tcBorders>
              <w:top w:val="single" w:color="000000" w:sz="4" w:space="0"/>
              <w:left w:val="single" w:color="000000" w:sz="4" w:space="0"/>
              <w:bottom w:val="single" w:color="000000" w:sz="4" w:space="0"/>
              <w:right w:val="single" w:color="000000" w:sz="4" w:space="0"/>
            </w:tcBorders>
            <w:tcW w:w="395" w:type="pct"/>
            <w:vAlign w:val="center"/>
            <w:textDirection w:val="lrTb"/>
            <w:noWrap w:val="false"/>
          </w:tcPr>
          <w:p>
            <w:pPr>
              <w:numPr>
                <w:ilvl w:val="0"/>
                <w:numId w:val="0"/>
              </w:numPr>
              <w:jc w:val="left"/>
              <w:keepLines w:val="0"/>
              <w:keepNext w:val="0"/>
              <w:pageBreakBefore w:val="0"/>
              <w:widowControl/>
              <w:rPr>
                <w:rFonts w:hint="default" w:ascii="宋体" w:hAnsi="宋体" w:eastAsia="宋体" w:cs="宋体"/>
                <w:color w:val="000000" w:themeColor="text1"/>
                <w:sz w:val="22"/>
                <w:szCs w:val="22"/>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lang w:val="en-US" w:eastAsia="zh-CN"/>
                <w14:textFill>
                  <w14:solidFill>
                    <w14:schemeClr w14:val="tx1"/>
                  </w14:solidFill>
                </w14:textFill>
              </w:rPr>
              <w:t xml:space="preserve">632个</w:t>
            </w:r>
            <w:r/>
          </w:p>
        </w:tc>
        <w:tc>
          <w:tcPr>
            <w:shd w:val="clear" w:color="auto" w:fill="auto"/>
            <w:tcBorders>
              <w:top w:val="single" w:color="000000" w:sz="4" w:space="0"/>
              <w:left w:val="single" w:color="000000" w:sz="4" w:space="0"/>
              <w:bottom w:val="single" w:color="000000" w:sz="4" w:space="0"/>
              <w:right w:val="single" w:color="000000" w:sz="4" w:space="0"/>
            </w:tcBorders>
            <w:tcW w:w="881" w:type="pct"/>
            <w:vAlign w:val="center"/>
            <w:textDirection w:val="lrTb"/>
            <w:noWrap w:val="false"/>
          </w:tcPr>
          <w:p>
            <w:pPr>
              <w:numPr>
                <w:ilvl w:val="0"/>
                <w:numId w:val="0"/>
              </w:numPr>
              <w:jc w:val="left"/>
              <w:keepLines w:val="0"/>
              <w:keepNext w:val="0"/>
              <w:pageBreakBefore w:val="0"/>
              <w:widowControl/>
              <w:rPr>
                <w:rFonts w:hint="eastAsia" w:ascii="宋体" w:hAnsi="宋体" w:eastAsia="宋体" w:cs="宋体"/>
                <w:color w:val="000000" w:themeColor="text1"/>
                <w:sz w:val="22"/>
                <w:szCs w:val="22"/>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lang w:val="en-US" w:eastAsia="zh-CN"/>
                <w14:textFill>
                  <w14:solidFill>
                    <w14:schemeClr w14:val="tx1"/>
                  </w14:solidFill>
                </w14:textFill>
              </w:rPr>
              <w:t xml:space="preserve">2025年6月份约50个；2025年7月份约62个；2025年9月份约30个；2025年10月份约160个和122个；2025年12月份约180个；2026年1月份约46个；2026年4月份约142个。具体实际数量以采购人要求为准。</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tcPr>
          <w:p>
            <w:pPr>
              <w:ind w:firstLine="440"/>
              <w:jc w:val="left"/>
              <w:keepLines w:val="0"/>
              <w:keepNext w:val="0"/>
              <w:pageBreakBefore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45" w:type="pct"/>
            <w:vAlign w:val="center"/>
            <w:textDirection w:val="lrTb"/>
            <w:noWrap/>
          </w:tcPr>
          <w:p>
            <w:pPr>
              <w:jc w:val="left"/>
              <w:keepLines w:val="0"/>
              <w:keepNext w:val="0"/>
              <w:pageBreakBefore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指挥中心UPS电源保障服务</w:t>
            </w:r>
            <w:r/>
          </w:p>
        </w:tc>
        <w:tc>
          <w:tcPr>
            <w:shd w:val="clear" w:color="auto" w:fill="auto"/>
            <w:tcBorders>
              <w:top w:val="single" w:color="000000" w:sz="4" w:space="0"/>
              <w:left w:val="single" w:color="000000" w:sz="4" w:space="0"/>
              <w:bottom w:val="single" w:color="000000" w:sz="4" w:space="0"/>
              <w:right w:val="single" w:color="000000" w:sz="4" w:space="0"/>
            </w:tcBorders>
            <w:tcW w:w="2491" w:type="pct"/>
            <w:vAlign w:val="center"/>
            <w:textDirection w:val="lrTb"/>
            <w:noWrap/>
          </w:tcPr>
          <w:p>
            <w:pPr>
              <w:numPr>
                <w:ilvl w:val="0"/>
                <w:numId w:val="5"/>
              </w:numPr>
              <w:jc w:val="left"/>
              <w:keepLines w:val="0"/>
              <w:keepNext w:val="0"/>
              <w:pageBreakBefore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需符合GB/T 7260-2023《不间断电源系统（UPS）》要求。</w:t>
            </w:r>
            <w:r/>
          </w:p>
          <w:p>
            <w:pPr>
              <w:numPr>
                <w:ilvl w:val="0"/>
                <w:numId w:val="0"/>
              </w:numPr>
              <w:jc w:val="left"/>
              <w:keepLines w:val="0"/>
              <w:keepNext w:val="0"/>
              <w:pageBreakBefore w:val="0"/>
              <w:widowControl/>
              <w:rPr>
                <w:rFonts w:hint="eastAsia" w:ascii="宋体" w:hAnsi="宋体" w:eastAsia="宋体" w:cs="宋体"/>
                <w:color w:val="000000" w:themeColor="text1"/>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2、日常巡检、维护及故障处理（每年至少2次现场巡检，含充放电测试）3、应急发电服务（如停电超时或机房紧急需求）</w:t>
            </w:r>
            <w:r/>
          </w:p>
        </w:tc>
        <w:tc>
          <w:tcPr>
            <w:shd w:val="clear" w:color="auto" w:fill="auto"/>
            <w:tcBorders>
              <w:top w:val="single" w:color="000000" w:sz="4" w:space="0"/>
              <w:left w:val="single" w:color="000000" w:sz="4" w:space="0"/>
              <w:bottom w:val="single" w:color="000000" w:sz="4" w:space="0"/>
              <w:right w:val="single" w:color="000000" w:sz="4" w:space="0"/>
            </w:tcBorders>
            <w:tcW w:w="395" w:type="pct"/>
            <w:vAlign w:val="center"/>
            <w:textDirection w:val="lrTb"/>
            <w:noWrap/>
          </w:tcPr>
          <w:p>
            <w:pPr>
              <w:numPr>
                <w:ilvl w:val="0"/>
                <w:numId w:val="0"/>
              </w:numPr>
              <w:jc w:val="left"/>
              <w:keepLines w:val="0"/>
              <w:keepNext w:val="0"/>
              <w:pageBreakBefore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color w:val="000000" w:themeColor="text1"/>
                <w:sz w:val="22"/>
                <w:szCs w:val="22"/>
                <w:highlight w:val="none"/>
                <w:lang w:val="en-US" w:eastAsia="zh-CN"/>
                <w14:textFill>
                  <w14:solidFill>
                    <w14:schemeClr w14:val="tx1"/>
                  </w14:solidFill>
                </w14:textFill>
              </w:rPr>
              <w:t xml:space="preserve">1项</w:t>
            </w:r>
            <w:r/>
          </w:p>
        </w:tc>
        <w:tc>
          <w:tcPr>
            <w:shd w:val="clear" w:color="auto" w:fill="auto"/>
            <w:tcBorders>
              <w:top w:val="single" w:color="000000" w:sz="4" w:space="0"/>
              <w:left w:val="single" w:color="000000" w:sz="4" w:space="0"/>
              <w:bottom w:val="single" w:color="000000" w:sz="4" w:space="0"/>
              <w:right w:val="single" w:color="000000" w:sz="4" w:space="0"/>
            </w:tcBorders>
            <w:tcW w:w="881" w:type="pct"/>
            <w:vAlign w:val="center"/>
            <w:textDirection w:val="lrTb"/>
            <w:noWrap/>
          </w:tcPr>
          <w:p>
            <w:pPr>
              <w:numPr>
                <w:ilvl w:val="0"/>
                <w:numId w:val="0"/>
              </w:numPr>
              <w:jc w:val="left"/>
              <w:keepLines w:val="0"/>
              <w:keepNext w:val="0"/>
              <w:pageBreakBefore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r>
      <w:tr>
        <w:trPr>
          <w:jc w:val="center"/>
          <w:trHeight w:val="153"/>
        </w:trPr>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tcPr>
          <w:p>
            <w:pPr>
              <w:ind w:firstLine="440"/>
              <w:jc w:val="left"/>
              <w:keepLines w:val="0"/>
              <w:keepNext w:val="0"/>
              <w:pageBreakBefore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45" w:type="pct"/>
            <w:vAlign w:val="center"/>
            <w:textDirection w:val="lrTb"/>
            <w:noWrap/>
          </w:tcPr>
          <w:p>
            <w:pPr>
              <w:jc w:val="left"/>
              <w:keepLines w:val="0"/>
              <w:keepNext w:val="0"/>
              <w:pageBreakBefore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保密室行为分析检测服务</w:t>
            </w:r>
            <w:r/>
          </w:p>
        </w:tc>
        <w:tc>
          <w:tcPr>
            <w:shd w:val="clear" w:color="auto" w:fill="auto"/>
            <w:tcBorders>
              <w:top w:val="single" w:color="000000" w:sz="4" w:space="0"/>
              <w:left w:val="single" w:color="000000" w:sz="4" w:space="0"/>
              <w:bottom w:val="single" w:color="000000" w:sz="4" w:space="0"/>
              <w:right w:val="single" w:color="000000" w:sz="4" w:space="0"/>
            </w:tcBorders>
            <w:tcW w:w="2491" w:type="pct"/>
            <w:vAlign w:val="center"/>
            <w:textDirection w:val="lrTb"/>
            <w:noWrap w:val="false"/>
          </w:tcPr>
          <w:p>
            <w:pPr>
              <w:jc w:val="left"/>
              <w:keepLines w:val="0"/>
              <w:keepNext w:val="0"/>
              <w:pageBreakBefore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1)符合《国家教育考试网上巡查系统视频标准技术规范（2017版）》相关技术规范；</w:t>
            </w:r>
            <w:r/>
          </w:p>
          <w:p>
            <w:pPr>
              <w:jc w:val="left"/>
              <w:keepLines w:val="0"/>
              <w:keepNext w:val="0"/>
              <w:pageBreakBefore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2)采用国产CPU芯片</w:t>
            </w:r>
            <w:r/>
          </w:p>
          <w:p>
            <w:pPr>
              <w:jc w:val="left"/>
              <w:keepLines w:val="0"/>
              <w:keepNext w:val="0"/>
              <w:pageBreakBefore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3)支持MPEG4、H.264、H.264H、H.264M、H.264B、H.265、MJPEG多种视频格式；</w:t>
            </w:r>
            <w:r/>
          </w:p>
          <w:p>
            <w:pPr>
              <w:jc w:val="left"/>
              <w:keepLines w:val="0"/>
              <w:keepNext w:val="0"/>
              <w:pageBreakBefore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4)支持G.722、G.711A、G.726、G.711U、MPEG2-L2、AAC多种音频格式；</w:t>
            </w:r>
            <w:r/>
          </w:p>
          <w:p>
            <w:pPr>
              <w:jc w:val="left"/>
              <w:keepLines w:val="0"/>
              <w:keepNext w:val="0"/>
              <w:pageBreakBefore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5)支持SIP网关向上级的主动注册与多级注册的管理，支持NAT穿越控制；</w:t>
            </w:r>
            <w:r/>
          </w:p>
          <w:p>
            <w:pPr>
              <w:jc w:val="left"/>
              <w:keepLines w:val="0"/>
              <w:keepNext w:val="0"/>
              <w:pageBreakBefore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6)用户和权限管理，设定管辖范围内用户、组、角色的权限。用户管理可包括用户注册、用户查询、用户增加删除、用户访问权限管理、用户锁定和解锁、用户分组管理、用户访问记录查看功能；</w:t>
            </w:r>
            <w:r/>
          </w:p>
          <w:p>
            <w:pPr>
              <w:jc w:val="left"/>
              <w:keepLines w:val="0"/>
              <w:keepNext w:val="0"/>
              <w:pageBreakBefore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7)系统管理员，可添加、删除、修改组、用户、设备；可对远程用户设定视频浏览权限、前端设备控制权限和历史数据的删除、复制、浏览等操作权限；</w:t>
            </w:r>
            <w:r/>
          </w:p>
          <w:p>
            <w:pPr>
              <w:jc w:val="left"/>
              <w:keepLines w:val="0"/>
              <w:keepNext w:val="0"/>
              <w:pageBreakBefore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8)支持用户的接入认证以及安全锁定；用户、设备在线信息统计，设备数据同步到上级机构；</w:t>
            </w:r>
            <w:r/>
          </w:p>
          <w:p>
            <w:pPr>
              <w:jc w:val="left"/>
              <w:keepLines w:val="0"/>
              <w:keepNext w:val="0"/>
              <w:pageBreakBefore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9)支持日志管理查询，系统日志、告警日志、操作日志的搜索查看；</w:t>
            </w:r>
            <w:r/>
          </w:p>
          <w:p>
            <w:pPr>
              <w:jc w:val="left"/>
              <w:keepLines w:val="0"/>
              <w:keepNext w:val="0"/>
              <w:pageBreakBefore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10)支持设备主动注册到管理平台进行设备管理的功能；</w:t>
            </w:r>
            <w:r/>
          </w:p>
          <w:p>
            <w:pPr>
              <w:jc w:val="left"/>
              <w:keepLines w:val="0"/>
              <w:keepNext w:val="0"/>
              <w:pageBreakBefore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11)能实现系统核心数据库的备份；</w:t>
            </w:r>
            <w:r/>
          </w:p>
          <w:p>
            <w:pPr>
              <w:jc w:val="left"/>
              <w:keepLines w:val="0"/>
              <w:keepNext w:val="0"/>
              <w:pageBreakBefore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12)智能分析并发能力：支持≥60路视频流的行为智能分析；</w:t>
            </w:r>
            <w:r/>
          </w:p>
          <w:p>
            <w:pPr>
              <w:jc w:val="left"/>
              <w:keepLines w:val="0"/>
              <w:keepNext w:val="0"/>
              <w:pageBreakBefore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13)支持告警等级配置：支持自定义每个行为的告警等级，包括一级告警、二级告警、三级告警；支持为每个告警等级配置不同的预警方式，包括人工审核、预警提示；</w:t>
            </w:r>
            <w:r/>
          </w:p>
          <w:p>
            <w:pPr>
              <w:jc w:val="left"/>
              <w:keepLines w:val="0"/>
              <w:keepNext w:val="0"/>
              <w:pageBreakBefore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14)视频审核：实现对AI自动识别的告警事件的人工复核；复核支持初审和复审；支持分场次、类型、审核状态、考场名称、告警等级筛选告警事件；</w:t>
            </w:r>
            <w:r/>
          </w:p>
          <w:p>
            <w:pPr>
              <w:jc w:val="left"/>
              <w:keepLines w:val="0"/>
              <w:keepNext w:val="0"/>
              <w:pageBreakBefore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15)支持数据导出，并可根据实际需求选择导出的数据包含图片、包含视频，满足多样化的报表需求；</w:t>
            </w:r>
            <w:r/>
          </w:p>
        </w:tc>
        <w:tc>
          <w:tcPr>
            <w:shd w:val="clear" w:color="auto" w:fill="auto"/>
            <w:tcBorders>
              <w:top w:val="single" w:color="000000" w:sz="4" w:space="0"/>
              <w:left w:val="single" w:color="000000" w:sz="4" w:space="0"/>
              <w:bottom w:val="single" w:color="000000" w:sz="4" w:space="0"/>
              <w:right w:val="single" w:color="000000" w:sz="4" w:space="0"/>
            </w:tcBorders>
            <w:tcW w:w="395" w:type="pct"/>
            <w:vAlign w:val="center"/>
            <w:textDirection w:val="lrTb"/>
            <w:noWrap w:val="false"/>
          </w:tcPr>
          <w:p>
            <w:pPr>
              <w:jc w:val="left"/>
              <w:keepLines w:val="0"/>
              <w:keepNext w:val="0"/>
              <w:pageBreakBefore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color w:val="000000" w:themeColor="text1"/>
                <w:sz w:val="22"/>
                <w:szCs w:val="22"/>
                <w:highlight w:val="none"/>
                <w:lang w:val="en-US" w:eastAsia="zh-CN"/>
                <w14:textFill>
                  <w14:solidFill>
                    <w14:schemeClr w14:val="tx1"/>
                  </w14:solidFill>
                </w14:textFill>
              </w:rPr>
              <w:t xml:space="preserve">1项</w:t>
            </w:r>
            <w:r/>
          </w:p>
        </w:tc>
        <w:tc>
          <w:tcPr>
            <w:shd w:val="clear" w:color="auto" w:fill="auto"/>
            <w:tcBorders>
              <w:top w:val="single" w:color="000000" w:sz="4" w:space="0"/>
              <w:left w:val="single" w:color="000000" w:sz="4" w:space="0"/>
              <w:bottom w:val="single" w:color="000000" w:sz="4" w:space="0"/>
              <w:right w:val="single" w:color="000000" w:sz="4" w:space="0"/>
            </w:tcBorders>
            <w:tcW w:w="881" w:type="pct"/>
            <w:vAlign w:val="center"/>
            <w:textDirection w:val="lrTb"/>
            <w:noWrap w:val="false"/>
          </w:tcPr>
          <w:p>
            <w:pPr>
              <w:jc w:val="left"/>
              <w:keepLines w:val="0"/>
              <w:keepNext w:val="0"/>
              <w:pageBreakBefore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tcPr>
          <w:p>
            <w:pPr>
              <w:ind w:firstLine="440"/>
              <w:jc w:val="left"/>
              <w:keepLines w:val="0"/>
              <w:keepNext w:val="0"/>
              <w:pageBreakBefore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45" w:type="pct"/>
            <w:vAlign w:val="center"/>
            <w:textDirection w:val="lrTb"/>
            <w:noWrap/>
          </w:tcPr>
          <w:p>
            <w:pPr>
              <w:jc w:val="left"/>
              <w:keepLines w:val="0"/>
              <w:keepNext w:val="0"/>
              <w:pageBreakBefore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试卷流转移动监控服务</w:t>
            </w:r>
            <w:r/>
          </w:p>
        </w:tc>
        <w:tc>
          <w:tcPr>
            <w:shd w:val="clear" w:color="auto" w:fill="auto"/>
            <w:tcBorders>
              <w:top w:val="single" w:color="000000" w:sz="4" w:space="0"/>
              <w:left w:val="single" w:color="000000" w:sz="4" w:space="0"/>
              <w:bottom w:val="single" w:color="000000" w:sz="4" w:space="0"/>
              <w:right w:val="single" w:color="000000" w:sz="4" w:space="0"/>
            </w:tcBorders>
            <w:tcW w:w="2491" w:type="pct"/>
            <w:vAlign w:val="center"/>
            <w:textDirection w:val="lrTb"/>
            <w:noWrap w:val="false"/>
          </w:tcPr>
          <w:p>
            <w:pPr>
              <w:numPr>
                <w:ilvl w:val="0"/>
                <w:numId w:val="6"/>
              </w:numPr>
              <w:jc w:val="left"/>
              <w:keepLines w:val="0"/>
              <w:keepNext w:val="0"/>
              <w:pageBreakBefore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符合《国家教育考试网上巡查系统视频标准技术规范（2017版）》。</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2.采用高性能200万像素，1/2.8英寸CMOS图像传感器，低照度效果好，图像清晰度高。</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最大可输出≥200万(1920×1080)@25fps。</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3.支持H.265编码，压缩比高，实现超低码流传输。</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4.内置高效红外补光灯，最大红外监控距离20米。</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6.支持北斗模块，能获取经纬度数据；定位信息可叠加在图像上。</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7.设备内置陀螺仪，当出现侧翻、碰撞、急转等情况时可输出报警并上传。</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8.设备支持非法登陆、无硬盘、硬盘出错、温度过高、硬盘空间不足、电瓶电量不足、侧翻、撞车、急转弯、急加速、急减速、超速、低速等检测报警功能。</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9.车载智能：支持后智能，支持疲劳（闭眼、打哈欠）、分神（低头、抬头、左顾右盼）、打电话、佩戴墨镜、抽烟、未系安全带、未检测到驾驶员、镜头遮挡、驾驶员 身份异常、换人驾驶报警。</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10.支持报警事件：无SD卡；SD卡空间不足；SD卡出错；网络断开；IP冲突；非法访问；动态检测；视频 遮挡；绊线入侵；区域入侵；音频异常侦测；电压检测；外部报警；安全异常。</w:t>
            </w:r>
            <w:r/>
          </w:p>
          <w:p>
            <w:pPr>
              <w:numPr>
                <w:ilvl w:val="0"/>
                <w:numId w:val="0"/>
              </w:numPr>
              <w:jc w:val="left"/>
              <w:keepLines w:val="0"/>
              <w:keepNext w:val="0"/>
              <w:pageBreakBefore w:val="0"/>
              <w:widowControl/>
              <w:rPr>
                <w:rFonts w:hint="eastAsia" w:ascii="宋体" w:hAnsi="宋体" w:eastAsia="宋体" w:cs="宋体"/>
                <w:color w:val="000000" w:themeColor="text1"/>
                <w:highlight w:val="none"/>
                <w:lang w:val="en-US"/>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11.提供与省级平台无缝对接承诺。</w:t>
            </w:r>
            <w:r/>
          </w:p>
        </w:tc>
        <w:tc>
          <w:tcPr>
            <w:shd w:val="clear" w:color="auto" w:fill="auto"/>
            <w:tcBorders>
              <w:top w:val="single" w:color="000000" w:sz="4" w:space="0"/>
              <w:left w:val="single" w:color="000000" w:sz="4" w:space="0"/>
              <w:bottom w:val="single" w:color="000000" w:sz="4" w:space="0"/>
              <w:right w:val="single" w:color="000000" w:sz="4" w:space="0"/>
            </w:tcBorders>
            <w:tcW w:w="395" w:type="pct"/>
            <w:vAlign w:val="center"/>
            <w:textDirection w:val="lrTb"/>
            <w:noWrap w:val="false"/>
          </w:tcPr>
          <w:p>
            <w:pPr>
              <w:numPr>
                <w:ilvl w:val="0"/>
                <w:numId w:val="0"/>
              </w:numPr>
              <w:jc w:val="left"/>
              <w:keepLines w:val="0"/>
              <w:keepNext w:val="0"/>
              <w:pageBreakBefore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color w:val="000000" w:themeColor="text1"/>
                <w:sz w:val="22"/>
                <w:szCs w:val="22"/>
                <w:highlight w:val="none"/>
                <w:lang w:val="en-US" w:eastAsia="zh-CN"/>
                <w14:textFill>
                  <w14:solidFill>
                    <w14:schemeClr w14:val="tx1"/>
                  </w14:solidFill>
                </w14:textFill>
              </w:rPr>
              <w:t xml:space="preserve">1项</w:t>
            </w:r>
            <w:r/>
          </w:p>
        </w:tc>
        <w:tc>
          <w:tcPr>
            <w:shd w:val="clear" w:color="auto" w:fill="auto"/>
            <w:tcBorders>
              <w:top w:val="single" w:color="000000" w:sz="4" w:space="0"/>
              <w:left w:val="single" w:color="000000" w:sz="4" w:space="0"/>
              <w:bottom w:val="single" w:color="000000" w:sz="4" w:space="0"/>
              <w:right w:val="single" w:color="000000" w:sz="4" w:space="0"/>
            </w:tcBorders>
            <w:tcW w:w="881" w:type="pct"/>
            <w:vAlign w:val="center"/>
            <w:textDirection w:val="lrTb"/>
            <w:noWrap w:val="false"/>
          </w:tcPr>
          <w:p>
            <w:pPr>
              <w:numPr>
                <w:ilvl w:val="0"/>
                <w:numId w:val="0"/>
              </w:numPr>
              <w:jc w:val="left"/>
              <w:keepLines w:val="0"/>
              <w:keepNext w:val="0"/>
              <w:pageBreakBefore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r>
      <w:tr>
        <w:trPr>
          <w:jc w:val="center"/>
          <w:trHeight w:val="3446"/>
        </w:trPr>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tcPr>
          <w:p>
            <w:pPr>
              <w:ind w:firstLine="440"/>
              <w:jc w:val="left"/>
              <w:keepLines w:val="0"/>
              <w:keepNext w:val="0"/>
              <w:pageBreakBefore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45" w:type="pct"/>
            <w:vAlign w:val="center"/>
            <w:textDirection w:val="lrTb"/>
            <w:noWrap/>
          </w:tcPr>
          <w:p>
            <w:pPr>
              <w:jc w:val="left"/>
              <w:keepLines w:val="0"/>
              <w:keepNext w:val="0"/>
              <w:pageBreakBefore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视频会议平台安全保障服务</w:t>
            </w:r>
            <w:r/>
          </w:p>
        </w:tc>
        <w:tc>
          <w:tcPr>
            <w:shd w:val="clear" w:color="auto" w:fill="auto"/>
            <w:tcBorders>
              <w:top w:val="single" w:color="000000" w:sz="4" w:space="0"/>
              <w:left w:val="single" w:color="000000" w:sz="4" w:space="0"/>
              <w:bottom w:val="single" w:color="000000" w:sz="4" w:space="0"/>
              <w:right w:val="single" w:color="000000" w:sz="4" w:space="0"/>
            </w:tcBorders>
            <w:tcW w:w="2491" w:type="pct"/>
            <w:vAlign w:val="center"/>
            <w:textDirection w:val="lrTb"/>
            <w:noWrap w:val="false"/>
          </w:tcPr>
          <w:p>
            <w:pPr>
              <w:jc w:val="left"/>
              <w:keepLines w:val="0"/>
              <w:keepNext w:val="0"/>
              <w:pageBreakBefore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1.采用Linux操作系统、硬件机架式设计，提供物理软硬件统一交付或适用于云平台纯软件交付模式交付，支持7×24小时无故障连续运行</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2.支持B/S架构，采用先进的H5技术（非 Flash 开发技术），提供Web浏览器远程登录管理</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3.采用主流Docker和Kubernetes（K8s）容器应用技术，实现多功能组件模块化设计，提供更灵活、简易和便捷的虚拟化云部署</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4.▲采用包含会议管理、MCU、注册和呼叫控制管理、防火墙穿越、会议录制/点播、直播推流、互动白板交互及移动软件接入等多功能服务模块，具备一机实现全面视频通讯应用覆盖</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5.支持添加MCU服务模块实现系统媒体资源的扩容，同时MCU模块组成的MCU资源池具备实现媒体资源扩展、负载分担及会议故障自愈能力</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6.系统原生支持主流的AVC全编全解编码设计机制，非网关等转换方式，本次配置10为10路1080P并发接入。</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7.▲原生支持主流的AVC全编全解编码设计机制下，单机最高支持400路高清终端并发接入</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8.▲原生支持全编全解编码设计机制(非通过媒体转换网关和非媒体转发机制）对会议中的视频终端实现全适配处理能力,不同视频终端以多种视频协议、视频格式、分辨率、帧率和码率参与同一会议,每个软件和硬件视频终端均可独立自由选择不同的分屏观看模式和分屏数量</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9.在全编全解编码设计机制下媒体资源动态分配，无需手动修改。1路4K 30 fps资源可用于2路1080P 60 fps或4路1080P 30 fps或8路720P 30 fps、或16路标清。同时，资源动态分配能力下，不会影响系统在会议中呈现的最大支持的分屏数量</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10.在不占用MCU视频资源授权许可的基础上，系统额外支持与高清视频资源授权许可数量同等比例的纯音频资源接入授权许可</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11.支持防火墙穿越服务模块及媒体流代理接入服务，无需授权许可、穿越流量许可和穿越并发许可等限制</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12.支持 ITU H.323、IETF SIP协议同时入会，会议速率在64Kbps-8Mbps之间动态可调</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13.支持ITU-T H.261、H.263、H.263+、H.264、H.264HighProfile、H.265视频编解码协议</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14.支持ITU-T G.711 A/µ、G.722、G.728、G.729A、G.722.1、G.722.1C、G.719等高清宽带音频编解码协议</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15.支持音频编解码算法的高清宽带频率为20KHz，最大支持48K采样率</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16.支持4K 30fps、1080P 60fps、1080P 30fps、720P 60fps、720P 30fps，并向下兼容 4CIF、CIF、360P、180P等图像格式</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17.▲支持最大实现双路4K全动态双流视频能力，主流和辅流均实现4K 30fps，且向下兼容</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18.支持添加多个MCU服务模块组建成资源池，实现召开多方视频会议、会议自动级联。级联后可以通过会议控制管理界面直接对各级MCU所连接的终端用户进行操作控制，如查看终端信息、广播会场、视频监看</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19.支持当召开会议的MCU出现网络问题或者断电情况时，资源池内的备份MCU在5 秒钟内自动接管会议，无需管理员操作</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20.支持在60%网络丢包的环境下，音频清晰连贯，视频图像清晰流畅，无花屏、无马赛克；支持在80%网络丢包的环境下，音频清晰连贯、无卡顿</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21.支持立即会议、预约会议、固定虚拟会议室、个人虚拟会议室等多种会议类型</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22.支持向软件、硬件终端首页推送最近时间段的受邀会议提示信息，显示会议当前状态、会议主题名称、会议时间周期以及会议室房间号码</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23.支持平台整体录入视频终端唯一标识后，自动向视频终端推送预配置数据信息，视频终端无需专业、复杂系统配置，开机、联网即刻使用</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24.支持自动≥64分屏，系统将入会后的软件、硬件终端画面自动分配在分屏窗口中，无需人工干预</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25.支持根据参会终端会场数量的增加，系统自动实现分屏数量和布局模式的变化，无需人工手动指定操作，最大可支持自动呈现64分屏；也可手动指定参会终端会场在特定分屏窗口呈现</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26.支持多分屏轮询，每个分屏画面都可以指定轮询列表，轮询列表可提前预定义，且自定义分屏轮询时间间隔</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27.支持会议管理员对会议全局控制功能，实现一键会议模式(主会场&amp;讨论)切换、全部静音/解除静音、设置字幕通知、会议延时、锁定会议、 录制控制、广播轮询、自定义会议点名、设置点名/轮询列表、添加/呼叫终端、自动重邀、结束会议等</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28.支持会控中指定终端/用户一键控制操作，实现设定主会场、一键查看会场、一键广播会场、一键点名、一键静音/取消静音、一键闭音、一键开启/屏蔽视频、一键旁听、预览会场信息、设置双流发送权限、一键挂断、一键删除会场等</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29.支持高清4K 30fps录制，录制生成可播放文件，支持开启录制、暂停 录制、停止录制</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30.支持≥85组会议同步录制，视频会议录制结束5秒内，直接生产MP4视频录制文件</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31.支持Windows、Mac、iOS、Android、Android TV的软件客户端下载使用，且下载无授权限制，提供不少于100路移动软件接入并发能力</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32.▲支持对所有和指定系统服务组件一键底层抓包功能，抓包文件直接生成可读pcap文件，便于对系统进行问题排查分析</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33.支持会议数据表统计，可对会议概况，会议模式，会议规模，终端类型，呼叫方式，资源使用情况进行图形化统计，并支持数据导出。</w:t>
            </w:r>
            <w:r/>
          </w:p>
        </w:tc>
        <w:tc>
          <w:tcPr>
            <w:shd w:val="clear" w:color="auto" w:fill="auto"/>
            <w:tcBorders>
              <w:top w:val="single" w:color="000000" w:sz="4" w:space="0"/>
              <w:left w:val="single" w:color="000000" w:sz="4" w:space="0"/>
              <w:bottom w:val="single" w:color="000000" w:sz="4" w:space="0"/>
              <w:right w:val="single" w:color="000000" w:sz="4" w:space="0"/>
            </w:tcBorders>
            <w:tcW w:w="395" w:type="pct"/>
            <w:vAlign w:val="center"/>
            <w:textDirection w:val="lrTb"/>
            <w:noWrap w:val="false"/>
          </w:tcPr>
          <w:p>
            <w:pPr>
              <w:jc w:val="left"/>
              <w:keepLines w:val="0"/>
              <w:keepNext w:val="0"/>
              <w:pageBreakBefore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color w:val="000000" w:themeColor="text1"/>
                <w:sz w:val="22"/>
                <w:szCs w:val="22"/>
                <w:highlight w:val="none"/>
                <w:lang w:val="en-US" w:eastAsia="zh-CN"/>
                <w14:textFill>
                  <w14:solidFill>
                    <w14:schemeClr w14:val="tx1"/>
                  </w14:solidFill>
                </w14:textFill>
              </w:rPr>
              <w:t xml:space="preserve">1项</w:t>
            </w:r>
            <w:r/>
          </w:p>
        </w:tc>
        <w:tc>
          <w:tcPr>
            <w:shd w:val="clear" w:color="auto" w:fill="auto"/>
            <w:tcBorders>
              <w:top w:val="single" w:color="000000" w:sz="4" w:space="0"/>
              <w:left w:val="single" w:color="000000" w:sz="4" w:space="0"/>
              <w:bottom w:val="single" w:color="000000" w:sz="4" w:space="0"/>
              <w:right w:val="single" w:color="000000" w:sz="4" w:space="0"/>
            </w:tcBorders>
            <w:tcW w:w="881" w:type="pct"/>
            <w:vAlign w:val="center"/>
            <w:textDirection w:val="lrTb"/>
            <w:noWrap w:val="false"/>
          </w:tcPr>
          <w:p>
            <w:pPr>
              <w:jc w:val="left"/>
              <w:keepLines w:val="0"/>
              <w:keepNext w:val="0"/>
              <w:pageBreakBefore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r>
    </w:tbl>
    <w:p>
      <w:pPr>
        <w:ind w:firstLine="482"/>
        <w:jc w:val="left"/>
        <w:keepLines w:val="0"/>
        <w:keepNext w:val="0"/>
        <w:pageBreakBefore w:val="0"/>
        <w:spacing w:line="360" w:lineRule="auto"/>
        <w:rPr>
          <w:rFonts w:hint="default" w:ascii="宋体" w:hAnsi="宋体" w:eastAsia="宋体" w:cs="宋体"/>
          <w:b/>
          <w:bCs/>
          <w:color w:val="000000" w:themeColor="text1"/>
          <w:sz w:val="24"/>
          <w:highlight w:val="none"/>
          <w:lang w:val="en-US" w:eastAsia="zh-CN"/>
          <w14:textFill>
            <w14:solidFill>
              <w14:schemeClr w14:val="tx1"/>
            </w14:solidFill>
          </w14:textFill>
        </w:rPr>
      </w:pPr>
      <w:r>
        <w:rPr>
          <w:rFonts w:hint="eastAsia" w:ascii="宋体" w:hAnsi="宋体" w:eastAsia="宋体" w:cs="宋体"/>
          <w:b/>
          <w:bCs/>
          <w:color w:val="000000" w:themeColor="text1"/>
          <w:sz w:val="24"/>
          <w:highlight w:val="none"/>
          <w:lang w:val="en-US" w:eastAsia="zh-CN"/>
          <w14:textFill>
            <w14:solidFill>
              <w14:schemeClr w14:val="tx1"/>
            </w14:solidFill>
          </w14:textFill>
        </w:rPr>
        <w:t xml:space="preserve">注：投标单位投标文件中必须提供具体服务产品的品牌型号，否则视为非实质性响应招标文件要求，投标文件无效。</w:t>
      </w:r>
      <w:r/>
    </w:p>
    <w:p>
      <w:pPr>
        <w:ind w:firstLine="482"/>
        <w:jc w:val="left"/>
        <w:keepLines w:val="0"/>
        <w:keepNext w:val="0"/>
        <w:pageBreakBefore w:val="0"/>
        <w:spacing w:line="360" w:lineRule="auto"/>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lang w:val="en-US" w:eastAsia="zh-CN"/>
          <w14:textFill>
            <w14:solidFill>
              <w14:schemeClr w14:val="tx1"/>
            </w14:solidFill>
          </w14:textFill>
        </w:rPr>
        <w:t xml:space="preserve">（三）</w:t>
      </w:r>
      <w:r>
        <w:rPr>
          <w:rFonts w:hint="eastAsia" w:ascii="宋体" w:hAnsi="宋体" w:eastAsia="宋体" w:cs="宋体"/>
          <w:b/>
          <w:bCs/>
          <w:color w:val="000000" w:themeColor="text1"/>
          <w:sz w:val="24"/>
          <w:highlight w:val="none"/>
          <w14:textFill>
            <w14:solidFill>
              <w14:schemeClr w14:val="tx1"/>
            </w14:solidFill>
          </w14:textFill>
        </w:rPr>
        <w:t xml:space="preserve">项目实施及其他要求</w:t>
      </w:r>
      <w:r/>
    </w:p>
    <w:p>
      <w:pPr>
        <w:ind w:firstLine="482"/>
        <w:jc w:val="left"/>
        <w:keepLines w:val="0"/>
        <w:keepNext w:val="0"/>
        <w:pageBreakBefore w:val="0"/>
        <w:spacing w:line="360" w:lineRule="auto"/>
        <w:rPr>
          <w:rFonts w:hint="eastAsia" w:ascii="宋体" w:hAnsi="宋体" w:eastAsia="宋体" w:cs="宋体"/>
          <w:b/>
          <w:bCs/>
          <w:color w:val="000000" w:themeColor="text1"/>
          <w:sz w:val="24"/>
          <w:highlight w:val="none"/>
          <w:lang w:eastAsia="zh-CN"/>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1</w:t>
      </w:r>
      <w:r>
        <w:rPr>
          <w:rFonts w:hint="eastAsia" w:ascii="宋体" w:hAnsi="宋体" w:eastAsia="宋体" w:cs="宋体"/>
          <w:b/>
          <w:bCs/>
          <w:color w:val="000000" w:themeColor="text1"/>
          <w:sz w:val="24"/>
          <w:highlight w:val="none"/>
          <w:lang w:eastAsia="zh-CN"/>
          <w14:textFill>
            <w14:solidFill>
              <w14:schemeClr w14:val="tx1"/>
            </w14:solidFill>
          </w14:textFill>
        </w:rPr>
        <w:t xml:space="preserve">、</w:t>
      </w:r>
      <w:r>
        <w:rPr>
          <w:rFonts w:hint="eastAsia" w:ascii="宋体" w:hAnsi="宋体" w:eastAsia="宋体" w:cs="宋体"/>
          <w:b/>
          <w:bCs/>
          <w:color w:val="000000" w:themeColor="text1"/>
          <w:sz w:val="24"/>
          <w:highlight w:val="none"/>
          <w14:textFill>
            <w14:solidFill>
              <w14:schemeClr w14:val="tx1"/>
            </w14:solidFill>
          </w14:textFill>
        </w:rPr>
        <w:t xml:space="preserve">项目实施要求</w:t>
      </w:r>
      <w:r/>
    </w:p>
    <w:p>
      <w:pPr>
        <w:ind w:firstLine="480"/>
        <w:jc w:val="left"/>
        <w:keepLines w:val="0"/>
        <w:keepNext w:val="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本项目技术复杂、涉及面较大，为能保证在规定时间内完成项目建设，要求投标人针对本项目配备实施团队：项目</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负责人</w:t>
      </w:r>
      <w:r>
        <w:rPr>
          <w:rFonts w:hint="eastAsia" w:ascii="宋体" w:hAnsi="宋体" w:eastAsia="宋体" w:cs="宋体"/>
          <w:color w:val="000000" w:themeColor="text1"/>
          <w:sz w:val="24"/>
          <w:highlight w:val="none"/>
          <w14:textFill>
            <w14:solidFill>
              <w14:schemeClr w14:val="tx1"/>
            </w14:solidFill>
          </w14:textFill>
        </w:rPr>
        <w:t xml:space="preserve">1人、项目技术负责</w:t>
      </w:r>
      <w:r>
        <w:rPr>
          <w:rFonts w:hint="eastAsia" w:ascii="宋体" w:hAnsi="宋体" w:eastAsia="宋体" w:cs="宋体"/>
          <w:color w:val="000000" w:themeColor="text1"/>
          <w:sz w:val="24"/>
          <w:highlight w:val="none"/>
          <w:lang w:val="en-US"/>
          <w14:textFill>
            <w14:solidFill>
              <w14:schemeClr w14:val="tx1"/>
            </w14:solidFill>
          </w14:textFill>
        </w:rPr>
        <w:t xml:space="preserve">2</w:t>
      </w:r>
      <w:r>
        <w:rPr>
          <w:rFonts w:hint="eastAsia" w:ascii="宋体" w:hAnsi="宋体" w:eastAsia="宋体" w:cs="宋体"/>
          <w:color w:val="000000" w:themeColor="text1"/>
          <w:sz w:val="24"/>
          <w:highlight w:val="none"/>
          <w14:textFill>
            <w14:solidFill>
              <w14:schemeClr w14:val="tx1"/>
            </w14:solidFill>
          </w14:textFill>
        </w:rPr>
        <w:t xml:space="preserve">人</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除项目</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负责人</w:t>
      </w:r>
      <w:r>
        <w:rPr>
          <w:rFonts w:hint="eastAsia" w:ascii="宋体" w:hAnsi="宋体" w:eastAsia="宋体" w:cs="宋体"/>
          <w:color w:val="000000" w:themeColor="text1"/>
          <w:sz w:val="24"/>
          <w:highlight w:val="none"/>
          <w14:textFill>
            <w14:solidFill>
              <w14:schemeClr w14:val="tx1"/>
            </w14:solidFill>
          </w14:textFill>
        </w:rPr>
        <w:t xml:space="preserve">和项目技术负责人外其他团队实施人员不少于</w:t>
      </w:r>
      <w:r>
        <w:rPr>
          <w:rFonts w:hint="eastAsia" w:ascii="宋体" w:hAnsi="宋体" w:eastAsia="宋体" w:cs="宋体"/>
          <w:color w:val="000000" w:themeColor="text1"/>
          <w:sz w:val="24"/>
          <w:highlight w:val="none"/>
          <w:lang w:val="en-US"/>
          <w14:textFill>
            <w14:solidFill>
              <w14:schemeClr w14:val="tx1"/>
            </w14:solidFill>
          </w14:textFill>
        </w:rPr>
        <w:t xml:space="preserve">2</w:t>
      </w:r>
      <w:r>
        <w:rPr>
          <w:rFonts w:hint="eastAsia" w:ascii="宋体" w:hAnsi="宋体" w:eastAsia="宋体" w:cs="宋体"/>
          <w:color w:val="000000" w:themeColor="text1"/>
          <w:sz w:val="24"/>
          <w:highlight w:val="none"/>
          <w14:textFill>
            <w14:solidFill>
              <w14:schemeClr w14:val="tx1"/>
            </w14:solidFill>
          </w14:textFill>
        </w:rPr>
        <w:t xml:space="preserve">人，需具备相应专业技术能力，能够顺利开展项目实施工作。</w:t>
      </w:r>
      <w:r/>
    </w:p>
    <w:p>
      <w:pPr>
        <w:ind w:firstLine="480"/>
        <w:jc w:val="left"/>
        <w:keepLines w:val="0"/>
        <w:keepNext w:val="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投标文件中的项目组主要成员名单，在中标后不经采购人允许不得随意更换。</w:t>
      </w:r>
      <w:r/>
    </w:p>
    <w:p>
      <w:pPr>
        <w:ind w:firstLine="482"/>
        <w:jc w:val="left"/>
        <w:keepLines w:val="0"/>
        <w:keepNext w:val="0"/>
        <w:pageBreakBefore w:val="0"/>
        <w:spacing w:line="360" w:lineRule="auto"/>
        <w:rPr>
          <w:rFonts w:hint="eastAsia" w:ascii="宋体" w:hAnsi="宋体" w:eastAsia="宋体" w:cs="宋体"/>
          <w:b/>
          <w:bCs/>
          <w:color w:val="000000" w:themeColor="text1"/>
          <w:sz w:val="24"/>
          <w:highlight w:val="none"/>
          <w:lang w:eastAsia="zh-CN"/>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2</w:t>
      </w:r>
      <w:r>
        <w:rPr>
          <w:rFonts w:hint="eastAsia" w:ascii="宋体" w:hAnsi="宋体" w:eastAsia="宋体" w:cs="宋体"/>
          <w:b/>
          <w:bCs/>
          <w:color w:val="000000" w:themeColor="text1"/>
          <w:sz w:val="24"/>
          <w:highlight w:val="none"/>
          <w:lang w:eastAsia="zh-CN"/>
          <w14:textFill>
            <w14:solidFill>
              <w14:schemeClr w14:val="tx1"/>
            </w14:solidFill>
          </w14:textFill>
        </w:rPr>
        <w:t xml:space="preserve">、</w:t>
      </w:r>
      <w:r>
        <w:rPr>
          <w:rFonts w:hint="eastAsia" w:ascii="宋体" w:hAnsi="宋体" w:eastAsia="宋体" w:cs="宋体"/>
          <w:b/>
          <w:bCs/>
          <w:color w:val="000000" w:themeColor="text1"/>
          <w:sz w:val="24"/>
          <w:highlight w:val="none"/>
          <w14:textFill>
            <w14:solidFill>
              <w14:schemeClr w14:val="tx1"/>
            </w14:solidFill>
          </w14:textFill>
        </w:rPr>
        <w:t xml:space="preserve">培训要求</w:t>
      </w:r>
      <w:r/>
    </w:p>
    <w:p>
      <w:pPr>
        <w:ind w:firstLine="480"/>
        <w:jc w:val="left"/>
        <w:keepLines w:val="0"/>
        <w:keepNext w:val="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（1）要求对项目软硬件及外设的使用者进行系统使用操作培训。</w:t>
      </w:r>
      <w:r/>
    </w:p>
    <w:p>
      <w:pPr>
        <w:ind w:firstLine="480"/>
        <w:jc w:val="left"/>
        <w:keepLines w:val="0"/>
        <w:keepNext w:val="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（2）无法确定培训对象，或集中培训有困难的，可通过系统在线帮助等形式为用户提供在线的快速入门引导和系统操作指导。</w:t>
      </w:r>
      <w:r/>
    </w:p>
    <w:p>
      <w:pPr>
        <w:ind w:firstLine="480"/>
        <w:jc w:val="left"/>
        <w:keepLines w:val="0"/>
        <w:keepNext w:val="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（3）中标人需选派具有一定资质和实践经验，且受过专门训练的专业技术人员负责技术培训工作。</w:t>
      </w:r>
      <w:r/>
    </w:p>
    <w:p>
      <w:pPr>
        <w:ind w:firstLine="480"/>
        <w:jc w:val="left"/>
        <w:keepLines w:val="0"/>
        <w:keepNext w:val="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（4）培训涉及的费用投标人须在投标报价时考虑其中。</w:t>
      </w:r>
      <w:r/>
    </w:p>
    <w:p>
      <w:pPr>
        <w:ind w:firstLine="482"/>
        <w:jc w:val="left"/>
        <w:keepLines w:val="0"/>
        <w:keepNext w:val="0"/>
        <w:pageBreakBefore w:val="0"/>
        <w:spacing w:line="360" w:lineRule="auto"/>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3</w:t>
      </w:r>
      <w:r>
        <w:rPr>
          <w:rFonts w:hint="eastAsia" w:ascii="宋体" w:hAnsi="宋体" w:eastAsia="宋体" w:cs="宋体"/>
          <w:b/>
          <w:bCs/>
          <w:color w:val="000000" w:themeColor="text1"/>
          <w:sz w:val="24"/>
          <w:highlight w:val="none"/>
          <w:lang w:eastAsia="zh-CN"/>
          <w14:textFill>
            <w14:solidFill>
              <w14:schemeClr w14:val="tx1"/>
            </w14:solidFill>
          </w14:textFill>
        </w:rPr>
        <w:t xml:space="preserve">、</w:t>
      </w:r>
      <w:r>
        <w:rPr>
          <w:rFonts w:hint="eastAsia" w:ascii="宋体" w:hAnsi="宋体" w:eastAsia="宋体" w:cs="宋体"/>
          <w:b/>
          <w:bCs/>
          <w:color w:val="000000" w:themeColor="text1"/>
          <w:sz w:val="24"/>
          <w:highlight w:val="none"/>
          <w14:textFill>
            <w14:solidFill>
              <w14:schemeClr w14:val="tx1"/>
            </w14:solidFill>
          </w14:textFill>
        </w:rPr>
        <w:t xml:space="preserve">售后服务要求</w:t>
      </w:r>
      <w:r/>
    </w:p>
    <w:p>
      <w:pPr>
        <w:ind w:firstLine="480"/>
        <w:jc w:val="left"/>
        <w:keepLines w:val="0"/>
        <w:keepNext w:val="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投标人对出现故障在</w:t>
      </w:r>
      <w:r>
        <w:rPr>
          <w:rFonts w:hint="eastAsia" w:ascii="宋体" w:hAnsi="宋体" w:eastAsia="宋体" w:cs="宋体"/>
          <w:color w:val="000000" w:themeColor="text1"/>
          <w:sz w:val="24"/>
          <w:highlight w:val="none"/>
          <w:lang w:val="en-US"/>
          <w14:textFill>
            <w14:solidFill>
              <w14:schemeClr w14:val="tx1"/>
            </w14:solidFill>
          </w14:textFill>
        </w:rPr>
        <w:t xml:space="preserve">0.5</w:t>
      </w:r>
      <w:r>
        <w:rPr>
          <w:rFonts w:hint="eastAsia" w:ascii="宋体" w:hAnsi="宋体" w:eastAsia="宋体" w:cs="宋体"/>
          <w:color w:val="000000" w:themeColor="text1"/>
          <w:sz w:val="24"/>
          <w:highlight w:val="none"/>
          <w14:textFill>
            <w14:solidFill>
              <w14:schemeClr w14:val="tx1"/>
            </w14:solidFill>
          </w14:textFill>
        </w:rPr>
        <w:t xml:space="preserve">小时内响应，</w:t>
      </w:r>
      <w:r>
        <w:rPr>
          <w:rFonts w:hint="eastAsia" w:ascii="宋体" w:hAnsi="宋体" w:eastAsia="宋体" w:cs="宋体"/>
          <w:color w:val="000000" w:themeColor="text1"/>
          <w:sz w:val="24"/>
          <w:highlight w:val="none"/>
          <w:lang w:val="en-US"/>
          <w14:textFill>
            <w14:solidFill>
              <w14:schemeClr w14:val="tx1"/>
            </w14:solidFill>
          </w14:textFill>
        </w:rPr>
        <w:t xml:space="preserve">1</w:t>
      </w:r>
      <w:r>
        <w:rPr>
          <w:rFonts w:hint="eastAsia" w:ascii="宋体" w:hAnsi="宋体" w:eastAsia="宋体" w:cs="宋体"/>
          <w:color w:val="000000" w:themeColor="text1"/>
          <w:sz w:val="24"/>
          <w:highlight w:val="none"/>
          <w14:textFill>
            <w14:solidFill>
              <w14:schemeClr w14:val="tx1"/>
            </w14:solidFill>
          </w14:textFill>
        </w:rPr>
        <w:t xml:space="preserve">小时以内到现场，</w:t>
      </w:r>
      <w:r>
        <w:rPr>
          <w:rFonts w:hint="eastAsia" w:ascii="宋体" w:hAnsi="宋体" w:eastAsia="宋体" w:cs="宋体"/>
          <w:color w:val="000000" w:themeColor="text1"/>
          <w:sz w:val="24"/>
          <w:highlight w:val="none"/>
          <w:lang w:val="en-US"/>
          <w14:textFill>
            <w14:solidFill>
              <w14:schemeClr w14:val="tx1"/>
            </w14:solidFill>
          </w14:textFill>
        </w:rPr>
        <w:t xml:space="preserve">2</w:t>
      </w:r>
      <w:r>
        <w:rPr>
          <w:rFonts w:hint="eastAsia" w:ascii="宋体" w:hAnsi="宋体" w:eastAsia="宋体" w:cs="宋体"/>
          <w:color w:val="000000" w:themeColor="text1"/>
          <w:sz w:val="24"/>
          <w:highlight w:val="none"/>
          <w14:textFill>
            <w14:solidFill>
              <w14:schemeClr w14:val="tx1"/>
            </w14:solidFill>
          </w14:textFill>
        </w:rPr>
        <w:t xml:space="preserve">小时以内提出问题解决方案并采取相应措施保障用户正常使用。投标人严格遵守服务合约，项目完成以后，如采购人有需要中标人配合的服务，中标人应予以配合。</w:t>
      </w:r>
      <w:r/>
    </w:p>
    <w:p>
      <w:pPr>
        <w:ind w:firstLine="482"/>
        <w:jc w:val="left"/>
        <w:keepLines w:val="0"/>
        <w:keepNext w:val="0"/>
        <w:pageBreakBefore w:val="0"/>
        <w:spacing w:line="360" w:lineRule="auto"/>
        <w:widowControl w:val="off"/>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4、考核要求（苏州市教育考试院考试安全服务考核办法）</w:t>
      </w:r>
      <w:r/>
    </w:p>
    <w:p>
      <w:pPr>
        <w:ind w:firstLine="480"/>
        <w:jc w:val="left"/>
        <w:keepLines w:val="0"/>
        <w:keepNext w:val="0"/>
        <w:pageBreakBefore w:val="0"/>
        <w:spacing w:line="360"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（1）采购人对服务内容进行监督。</w:t>
      </w:r>
      <w:r/>
    </w:p>
    <w:p>
      <w:pPr>
        <w:ind w:firstLine="480"/>
        <w:jc w:val="left"/>
        <w:keepLines w:val="0"/>
        <w:keepNext w:val="0"/>
        <w:pageBreakBefore w:val="0"/>
        <w:spacing w:line="360"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（2）对服务内容进行检查，并将检查结果以书面形式记录。</w:t>
      </w:r>
      <w:r/>
    </w:p>
    <w:p>
      <w:pPr>
        <w:ind w:firstLine="480"/>
        <w:jc w:val="center"/>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（3）考核打分作为对中标人考核的主要依据，并与中标人服务费挂钩，具体见考核办法</w:t>
      </w:r>
      <w:r>
        <w:rPr>
          <w:rFonts w:hint="eastAsia" w:ascii="宋体" w:hAnsi="宋体" w:eastAsia="宋体" w:cs="宋体"/>
          <w:b/>
          <w:bCs/>
          <w:color w:val="000000" w:themeColor="text1"/>
          <w:sz w:val="24"/>
          <w:highlight w:val="none"/>
          <w14:textFill>
            <w14:solidFill>
              <w14:schemeClr w14:val="tx1"/>
            </w14:solidFill>
          </w14:textFill>
        </w:rPr>
        <w:t xml:space="preserve">考核办法</w:t>
      </w:r>
      <w:r/>
    </w:p>
    <w:tbl>
      <w:tblPr>
        <w:tblStyle w:val="744"/>
        <w:tblW w:w="10153" w:type="dxa"/>
        <w:tblInd w:w="-20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84"/>
        <w:gridCol w:w="1833"/>
        <w:gridCol w:w="7236"/>
      </w:tblGrid>
      <w:tr>
        <w:trPr>
          <w:trHeight w:val="555"/>
        </w:trPr>
        <w:tc>
          <w:tcPr>
            <w:gridSpan w:val="2"/>
            <w:tcW w:w="2917" w:type="dxa"/>
            <w:vAlign w:val="center"/>
            <w:textDirection w:val="lrTb"/>
            <w:noWrap w:val="false"/>
          </w:tcPr>
          <w:p>
            <w:pPr>
              <w:ind w:firstLine="480"/>
              <w:jc w:val="center"/>
              <w:keepLines w:val="0"/>
              <w:keepNext w:val="0"/>
              <w:pageBreakBefore w:val="0"/>
              <w:spacing w:line="240" w:lineRule="auto"/>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w:t>
            </w:r>
            <w:r>
              <w:rPr>
                <w:rFonts w:hint="eastAsia" w:ascii="宋体" w:hAnsi="宋体" w:eastAsia="宋体" w:cs="宋体"/>
                <w:b/>
                <w:color w:val="000000" w:themeColor="text1"/>
                <w:sz w:val="24"/>
                <w:highlight w:val="none"/>
                <w14:textFill>
                  <w14:solidFill>
                    <w14:schemeClr w14:val="tx1"/>
                  </w14:solidFill>
                </w14:textFill>
              </w:rPr>
              <w:t xml:space="preserve">考核项目</w:t>
            </w:r>
            <w:r/>
          </w:p>
        </w:tc>
        <w:tc>
          <w:tcPr>
            <w:tcW w:w="7236" w:type="dxa"/>
            <w:vAlign w:val="center"/>
            <w:textDirection w:val="lrTb"/>
            <w:noWrap w:val="false"/>
          </w:tcPr>
          <w:p>
            <w:pPr>
              <w:ind w:firstLine="482"/>
              <w:jc w:val="center"/>
              <w:keepLines w:val="0"/>
              <w:keepNext w:val="0"/>
              <w:pageBreakBefore w:val="0"/>
              <w:spacing w:line="240" w:lineRule="auto"/>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考核标准</w:t>
            </w:r>
            <w:r/>
          </w:p>
        </w:tc>
      </w:tr>
      <w:tr>
        <w:trPr>
          <w:trHeight w:val="696"/>
        </w:trPr>
        <w:tc>
          <w:tcPr>
            <w:tcW w:w="1084" w:type="dxa"/>
            <w:vAlign w:val="center"/>
            <w:vMerge w:val="restart"/>
            <w:textDirection w:val="lrTb"/>
            <w:noWrap w:val="false"/>
          </w:tcPr>
          <w:p>
            <w:pPr>
              <w:jc w:val="left"/>
              <w:keepLines w:val="0"/>
              <w:keepNext w:val="0"/>
              <w:pageBreakBefore w:val="0"/>
              <w:spacing w:line="24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服务过程考核</w:t>
            </w:r>
            <w:r/>
          </w:p>
        </w:tc>
        <w:tc>
          <w:tcPr>
            <w:tcW w:w="1833" w:type="dxa"/>
            <w:vAlign w:val="center"/>
            <w:textDirection w:val="lrTb"/>
            <w:noWrap w:val="false"/>
          </w:tcPr>
          <w:p>
            <w:pPr>
              <w:jc w:val="both"/>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考试期间人员到位情况</w:t>
            </w:r>
            <w:r/>
          </w:p>
        </w:tc>
        <w:tc>
          <w:tcPr>
            <w:tcW w:w="7236" w:type="dxa"/>
            <w:vAlign w:val="center"/>
            <w:textDirection w:val="lrTb"/>
            <w:noWrap w:val="false"/>
          </w:tcPr>
          <w:p>
            <w:pPr>
              <w:pStyle w:val="803"/>
              <w:ind w:firstLine="480"/>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乙方每次考试期间，</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各考点需按（二）项目参数及服务要求配备专业技术人员保障</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firstLine="480"/>
              <w:keepLines w:val="0"/>
              <w:keepNext w:val="0"/>
              <w:pageBreakBefore w:val="0"/>
              <w:spacing w:line="240" w:lineRule="auto"/>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人员不到位，对该次考试服务评为不合格。</w:t>
            </w:r>
            <w:r/>
          </w:p>
        </w:tc>
      </w:tr>
      <w:tr>
        <w:trPr>
          <w:trHeight w:val="103"/>
        </w:trPr>
        <w:tc>
          <w:tcPr>
            <w:tcW w:w="1084" w:type="dxa"/>
            <w:vAlign w:val="center"/>
            <w:vMerge w:val="continue"/>
            <w:textDirection w:val="lrTb"/>
            <w:noWrap w:val="false"/>
          </w:tcPr>
          <w:p>
            <w:pPr>
              <w:ind w:firstLine="482"/>
              <w:jc w:val="center"/>
              <w:keepLines w:val="0"/>
              <w:keepNext w:val="0"/>
              <w:pageBreakBefore w:val="0"/>
              <w:spacing w:line="240" w:lineRule="auto"/>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r>
            <w:r/>
          </w:p>
        </w:tc>
        <w:tc>
          <w:tcPr>
            <w:tcW w:w="1833" w:type="dxa"/>
            <w:vAlign w:val="center"/>
            <w:textDirection w:val="lrTb"/>
            <w:noWrap w:val="false"/>
          </w:tcPr>
          <w:p>
            <w:pPr>
              <w:jc w:val="both"/>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设备</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调试</w:t>
            </w:r>
            <w:r>
              <w:rPr>
                <w:rFonts w:hint="eastAsia" w:ascii="宋体" w:hAnsi="宋体" w:eastAsia="宋体" w:cs="宋体"/>
                <w:color w:val="000000" w:themeColor="text1"/>
                <w:sz w:val="24"/>
                <w:highlight w:val="none"/>
                <w14:textFill>
                  <w14:solidFill>
                    <w14:schemeClr w14:val="tx1"/>
                  </w14:solidFill>
                </w14:textFill>
              </w:rPr>
              <w:t xml:space="preserve">情况</w:t>
            </w:r>
            <w:r/>
          </w:p>
        </w:tc>
        <w:tc>
          <w:tcPr>
            <w:tcW w:w="7236" w:type="dxa"/>
            <w:vAlign w:val="center"/>
            <w:textDirection w:val="lrTb"/>
            <w:noWrap w:val="false"/>
          </w:tcPr>
          <w:p>
            <w:pPr>
              <w:ind w:left="-2" w:firstLine="480"/>
              <w:keepLines w:val="0"/>
              <w:keepNext w:val="0"/>
              <w:pageBreakBefore w:val="0"/>
              <w:spacing w:line="24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考前设备未检查配置到位，或是考试期间技术人员人为造成设备无法使用，对该次考试服务评为不合格</w:t>
            </w:r>
            <w:r>
              <w:rPr>
                <w:rFonts w:hint="eastAsia" w:ascii="宋体" w:hAnsi="宋体" w:eastAsia="宋体" w:cs="宋体"/>
                <w:color w:val="000000" w:themeColor="text1"/>
                <w:sz w:val="24"/>
                <w:highlight w:val="none"/>
                <w14:textFill>
                  <w14:solidFill>
                    <w14:schemeClr w14:val="tx1"/>
                  </w14:solidFill>
                </w14:textFill>
              </w:rPr>
              <w:t xml:space="preserve">。</w:t>
            </w:r>
            <w:r/>
          </w:p>
        </w:tc>
      </w:tr>
      <w:tr>
        <w:trPr>
          <w:trHeight w:val="689"/>
        </w:trPr>
        <w:tc>
          <w:tcPr>
            <w:tcW w:w="1084" w:type="dxa"/>
            <w:vAlign w:val="center"/>
            <w:vMerge w:val="continue"/>
            <w:textDirection w:val="lrTb"/>
            <w:noWrap w:val="false"/>
          </w:tcPr>
          <w:p>
            <w:pPr>
              <w:ind w:firstLine="480"/>
              <w:jc w:val="center"/>
              <w:keepLines w:val="0"/>
              <w:keepNext w:val="0"/>
              <w:pageBreakBefore w:val="0"/>
              <w:spacing w:line="24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1833" w:type="dxa"/>
            <w:vAlign w:val="center"/>
            <w:textDirection w:val="lrTb"/>
            <w:noWrap w:val="false"/>
          </w:tcPr>
          <w:p>
            <w:pPr>
              <w:pStyle w:val="803"/>
              <w:ind w:left="0" w:firstLine="0"/>
              <w:jc w:val="both"/>
              <w:keepLines w:val="0"/>
              <w:keepNext w:val="0"/>
              <w:pageBreakBefore w:val="0"/>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录像下载上报情况</w:t>
            </w:r>
            <w:r/>
          </w:p>
        </w:tc>
        <w:tc>
          <w:tcPr>
            <w:tcW w:w="7236" w:type="dxa"/>
            <w:vAlign w:val="center"/>
            <w:textDirection w:val="lrTb"/>
            <w:noWrap w:val="false"/>
          </w:tcPr>
          <w:p>
            <w:pPr>
              <w:pStyle w:val="803"/>
              <w:ind w:firstLine="480"/>
              <w:keepLines w:val="0"/>
              <w:keepNext w:val="0"/>
              <w:pageBreakBefore w:val="0"/>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考后保密室录像未及时下载并上交给市教育考试院，对该次考试服务评为不合格</w:t>
            </w:r>
            <w:r>
              <w:rPr>
                <w:rFonts w:hint="eastAsia" w:ascii="宋体" w:hAnsi="宋体" w:eastAsia="宋体" w:cs="宋体"/>
                <w:color w:val="000000" w:themeColor="text1"/>
                <w:sz w:val="24"/>
                <w:highlight w:val="none"/>
                <w14:textFill>
                  <w14:solidFill>
                    <w14:schemeClr w14:val="tx1"/>
                  </w14:solidFill>
                </w14:textFill>
              </w:rPr>
              <w:t xml:space="preserve">。</w:t>
            </w:r>
            <w:r/>
          </w:p>
        </w:tc>
      </w:tr>
      <w:tr>
        <w:trPr>
          <w:trHeight w:val="283"/>
        </w:trPr>
        <w:tc>
          <w:tcPr>
            <w:gridSpan w:val="2"/>
            <w:tcW w:w="2917" w:type="dxa"/>
            <w:vAlign w:val="center"/>
            <w:textDirection w:val="lrTb"/>
            <w:noWrap w:val="false"/>
          </w:tcPr>
          <w:p>
            <w:pPr>
              <w:ind w:firstLine="482"/>
              <w:jc w:val="center"/>
              <w:keepLines w:val="0"/>
              <w:keepNext w:val="0"/>
              <w:pageBreakBefore w:val="0"/>
              <w:spacing w:line="24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备注</w:t>
            </w:r>
            <w:r/>
          </w:p>
        </w:tc>
        <w:tc>
          <w:tcPr>
            <w:tcW w:w="7236" w:type="dxa"/>
            <w:vAlign w:val="center"/>
            <w:textDirection w:val="lrTb"/>
            <w:noWrap w:val="false"/>
          </w:tcPr>
          <w:p>
            <w:pPr>
              <w:numPr>
                <w:ilvl w:val="0"/>
                <w:numId w:val="0"/>
              </w:numPr>
              <w:keepLines w:val="0"/>
              <w:keepNext w:val="0"/>
              <w:pageBreakBefore w:val="0"/>
              <w:spacing w:line="24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1.每次</w:t>
            </w:r>
            <w:r>
              <w:rPr>
                <w:rFonts w:hint="eastAsia" w:ascii="宋体" w:hAnsi="宋体" w:eastAsia="宋体" w:cs="宋体"/>
                <w:color w:val="000000" w:themeColor="text1"/>
                <w:sz w:val="24"/>
                <w:highlight w:val="none"/>
                <w14:textFill>
                  <w14:solidFill>
                    <w14:schemeClr w14:val="tx1"/>
                  </w14:solidFill>
                </w14:textFill>
              </w:rPr>
              <w:t xml:space="preserve">考试结束后，由苏州市教育考试院汇总</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服务考核结果</w:t>
            </w:r>
            <w:r>
              <w:rPr>
                <w:rFonts w:hint="eastAsia" w:ascii="宋体" w:hAnsi="宋体" w:eastAsia="宋体" w:cs="宋体"/>
                <w:color w:val="000000" w:themeColor="text1"/>
                <w:sz w:val="24"/>
                <w:highlight w:val="none"/>
                <w14:textFill>
                  <w14:solidFill>
                    <w14:schemeClr w14:val="tx1"/>
                  </w14:solidFill>
                </w14:textFill>
              </w:rPr>
              <w:t xml:space="preserve">。</w:t>
            </w:r>
            <w:r/>
          </w:p>
          <w:p>
            <w:pPr>
              <w:numPr>
                <w:ilvl w:val="0"/>
                <w:numId w:val="0"/>
              </w:numPr>
              <w:keepLines w:val="0"/>
              <w:keepNext w:val="0"/>
              <w:pageBreakBefore w:val="0"/>
              <w:spacing w:line="24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highlight w:val="none"/>
                <w14:textFill>
                  <w14:solidFill>
                    <w14:schemeClr w14:val="tx1"/>
                  </w14:solidFill>
                </w14:textFill>
              </w:rPr>
              <w:t xml:space="preserve">根据服务结果，</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上次付款至当次付款期间，考核结果有不合格的，扣除尾款费用的20%。</w:t>
            </w:r>
            <w:r/>
          </w:p>
        </w:tc>
      </w:tr>
    </w:tbl>
    <w:p>
      <w:pPr>
        <w:ind w:firstLine="480"/>
        <w:jc w:val="lef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三</w:t>
      </w:r>
      <w:r>
        <w:rPr>
          <w:rFonts w:hint="eastAsia" w:ascii="宋体" w:hAnsi="宋体" w:eastAsia="宋体" w:cs="宋体"/>
          <w:color w:val="000000" w:themeColor="text1"/>
          <w:sz w:val="24"/>
          <w:szCs w:val="24"/>
          <w:highlight w:val="none"/>
          <w14:textFill>
            <w14:solidFill>
              <w14:schemeClr w14:val="tx1"/>
            </w14:solidFill>
          </w14:textFill>
        </w:rPr>
        <w:t xml:space="preserve">、综合要求：</w:t>
      </w:r>
      <w:r/>
    </w:p>
    <w:p>
      <w:pPr>
        <w:ind w:firstLine="480"/>
        <w:jc w:val="lef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投标人</w:t>
      </w:r>
      <w:r>
        <w:rPr>
          <w:rFonts w:hint="eastAsia" w:ascii="宋体" w:hAnsi="宋体" w:eastAsia="宋体" w:cs="宋体"/>
          <w:color w:val="000000" w:themeColor="text1"/>
          <w:sz w:val="24"/>
          <w:szCs w:val="24"/>
          <w:highlight w:val="none"/>
          <w14:textFill>
            <w14:solidFill>
              <w14:schemeClr w14:val="tx1"/>
            </w14:solidFill>
          </w14:textFill>
        </w:rPr>
        <w:t xml:space="preserve">所提供的相关货物或服务应符合国家有关标准和规范，并遵循招标文件的要求，应达到或优于采购要求，并提供详细说明。若招标要求中涉及品牌或品牌导向，则仅作参考。投标文件必须如实进行实质性响应，量化指标必须列明具体数值。</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投标人</w:t>
      </w:r>
      <w:r>
        <w:rPr>
          <w:rFonts w:hint="eastAsia" w:ascii="宋体" w:hAnsi="宋体" w:eastAsia="宋体" w:cs="宋体"/>
          <w:color w:val="000000" w:themeColor="text1"/>
          <w:sz w:val="24"/>
          <w:szCs w:val="24"/>
          <w:highlight w:val="none"/>
          <w14:textFill>
            <w14:solidFill>
              <w14:schemeClr w14:val="tx1"/>
            </w14:solidFill>
          </w14:textFill>
        </w:rPr>
        <w:t xml:space="preserve">在其投标文件中对于招标文件已提供以及未提供的货物或服务情况均须进行完整的阐述和说明，否则其投标文件将有被拒绝的可能。</w:t>
      </w:r>
      <w:r/>
    </w:p>
    <w:p>
      <w:pPr>
        <w:ind w:firstLine="480"/>
        <w:jc w:val="lef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投标人</w:t>
      </w:r>
      <w:r>
        <w:rPr>
          <w:rFonts w:hint="eastAsia" w:ascii="宋体" w:hAnsi="宋体" w:eastAsia="宋体" w:cs="宋体"/>
          <w:color w:val="000000" w:themeColor="text1"/>
          <w:sz w:val="24"/>
          <w:szCs w:val="24"/>
          <w:highlight w:val="none"/>
          <w14:textFill>
            <w14:solidFill>
              <w14:schemeClr w14:val="tx1"/>
            </w14:solidFill>
          </w14:textFill>
        </w:rPr>
        <w:t xml:space="preserve">提供的投标文件内容须真实、准确、有效，如提供虚假材料或对招标文件所要求说明的情况故意隐瞒或虚报，视为不实质性响应采购要求，其投标文件将被拒绝。已中标的将取消中标资格，并按《中华人民共和国政府采购法》第七十七条的相关办法处理。</w:t>
      </w:r>
      <w:r/>
    </w:p>
    <w:p>
      <w:pPr>
        <w:ind w:firstLine="480"/>
        <w:jc w:val="lef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投标人</w:t>
      </w:r>
      <w:r>
        <w:rPr>
          <w:rFonts w:hint="eastAsia" w:ascii="宋体" w:hAnsi="宋体" w:eastAsia="宋体" w:cs="宋体"/>
          <w:color w:val="000000" w:themeColor="text1"/>
          <w:sz w:val="24"/>
          <w:szCs w:val="24"/>
          <w:highlight w:val="none"/>
          <w14:textFill>
            <w14:solidFill>
              <w14:schemeClr w14:val="tx1"/>
            </w14:solidFill>
          </w14:textFill>
        </w:rPr>
        <w:t xml:space="preserve">应保证</w:t>
      </w:r>
      <w:r>
        <w:rPr>
          <w:rFonts w:hint="eastAsia" w:ascii="宋体" w:hAnsi="宋体" w:eastAsia="宋体" w:cs="宋体"/>
          <w:color w:val="000000" w:themeColor="text1"/>
          <w:sz w:val="24"/>
          <w:szCs w:val="24"/>
          <w:highlight w:val="none"/>
          <w:lang w:val="zh-CN"/>
          <w14:textFill>
            <w14:solidFill>
              <w14:schemeClr w14:val="tx1"/>
            </w14:solidFill>
          </w14:textFill>
        </w:rPr>
        <w:t xml:space="preserve">对所提供货物</w:t>
      </w:r>
      <w:r>
        <w:rPr>
          <w:rFonts w:hint="eastAsia" w:ascii="宋体" w:hAnsi="宋体" w:eastAsia="宋体" w:cs="宋体"/>
          <w:color w:val="000000" w:themeColor="text1"/>
          <w:sz w:val="24"/>
          <w:szCs w:val="24"/>
          <w:highlight w:val="none"/>
          <w14:textFill>
            <w14:solidFill>
              <w14:schemeClr w14:val="tx1"/>
            </w14:solidFill>
          </w14:textFill>
        </w:rPr>
        <w:t xml:space="preserve">或</w:t>
      </w:r>
      <w:r>
        <w:rPr>
          <w:rFonts w:hint="eastAsia" w:ascii="宋体" w:hAnsi="宋体" w:eastAsia="宋体" w:cs="宋体"/>
          <w:color w:val="000000" w:themeColor="text1"/>
          <w:sz w:val="24"/>
          <w:szCs w:val="24"/>
          <w:highlight w:val="none"/>
          <w:lang w:val="zh-CN"/>
          <w14:textFill>
            <w14:solidFill>
              <w14:schemeClr w14:val="tx1"/>
            </w14:solidFill>
          </w14:textFill>
        </w:rPr>
        <w:t xml:space="preserve">服务等知识产权方面的一切产权关系负全部责任</w:t>
      </w:r>
      <w:r>
        <w:rPr>
          <w:rFonts w:hint="eastAsia" w:ascii="宋体" w:hAnsi="宋体" w:eastAsia="宋体" w:cs="宋体"/>
          <w:color w:val="000000" w:themeColor="text1"/>
          <w:sz w:val="24"/>
          <w:szCs w:val="24"/>
          <w:highlight w:val="none"/>
          <w14:textFill>
            <w14:solidFill>
              <w14:schemeClr w14:val="tx1"/>
            </w14:solidFill>
          </w14:textFill>
        </w:rPr>
        <w:t xml:space="preserve">，不会产生因第三方提出侵犯其专利权、商标权或其它知识产权而引起的法律和经济纠纷，如因专利权、商标权或其它知识产权而引起法律和经济纠纷，由供应商承担所有相关责任。</w:t>
      </w:r>
      <w:r/>
    </w:p>
    <w:p>
      <w:pPr>
        <w:ind w:firstLine="480"/>
        <w:jc w:val="lef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、项目地点：</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采购人指定地点（苏州大市范围内）</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firstLine="480"/>
        <w:jc w:val="lef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14:textFill>
            <w14:solidFill>
              <w14:schemeClr w14:val="tx1"/>
            </w14:solidFill>
          </w14:textFill>
        </w:rPr>
        <w:t xml:space="preserve">、凡涉及招标文件的补充说明和修改，均以苏州市政府采购网上公示信息为准。</w:t>
      </w:r>
      <w:r/>
    </w:p>
    <w:p>
      <w:pPr>
        <w:ind w:firstLine="480"/>
        <w:jc w:val="lef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jc w:val="center"/>
        <w:spacing w:line="360" w:lineRule="auto"/>
        <w:shd w:val="clear" w:color="auto"/>
        <w:tabs>
          <w:tab w:val="left" w:pos="709" w:leader="none"/>
        </w:tabs>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r>
      <w:r/>
    </w:p>
    <w:p>
      <w:pPr>
        <w:jc w:val="center"/>
        <w:spacing w:line="360" w:lineRule="auto"/>
        <w:shd w:val="clear" w:color="auto"/>
        <w:tabs>
          <w:tab w:val="left" w:pos="709" w:leader="none"/>
        </w:tabs>
        <w:rPr>
          <w:rFonts w:hint="eastAsia" w:ascii="宋体" w:hAnsi="宋体" w:eastAsia="宋体" w:cs="宋体"/>
          <w:b/>
          <w:bCs w:val="0"/>
          <w:color w:val="000000" w:themeColor="text1"/>
          <w:sz w:val="24"/>
          <w:szCs w:val="24"/>
          <w:highlight w:val="none"/>
          <w14:textFill>
            <w14:solidFill>
              <w14:schemeClr w14:val="tx1"/>
            </w14:solidFill>
          </w14:textFill>
        </w:rPr>
        <w:sectPr>
          <w:footnotePr/>
          <w:endnotePr/>
          <w:type w:val="nextPage"/>
          <w:pgSz w:w="11906" w:h="16838" w:orient="portrait"/>
          <w:pgMar w:top="1134" w:right="1134" w:bottom="1134" w:left="1134" w:header="851" w:footer="992" w:gutter="0"/>
          <w:cols w:num="1" w:sep="0" w:space="720" w:equalWidth="1"/>
          <w:docGrid w:linePitch="360"/>
        </w:sectPr>
      </w:pPr>
      <w:r>
        <w:rPr>
          <w:rFonts w:hint="eastAsia" w:ascii="宋体" w:hAnsi="宋体" w:eastAsia="宋体" w:cs="宋体"/>
          <w:b/>
          <w:bCs w:val="0"/>
          <w:color w:val="000000" w:themeColor="text1"/>
          <w:sz w:val="24"/>
          <w:szCs w:val="24"/>
          <w:highlight w:val="none"/>
          <w14:textFill>
            <w14:solidFill>
              <w14:schemeClr w14:val="tx1"/>
            </w14:solidFill>
          </w14:textFill>
        </w:rPr>
      </w:r>
      <w:r/>
    </w:p>
    <w:p>
      <w:pPr>
        <w:jc w:val="center"/>
        <w:spacing w:line="360" w:lineRule="auto"/>
        <w:shd w:val="clear" w:color="auto"/>
        <w:tabs>
          <w:tab w:val="left" w:pos="709" w:leader="none"/>
        </w:tabs>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第五章 合同主要条款</w:t>
      </w:r>
      <w:bookmarkEnd w:id="8"/>
      <w:r/>
    </w:p>
    <w:p>
      <w:pPr>
        <w:ind w:firstLine="482"/>
        <w:keepLines w:val="0"/>
        <w:keepNext w:val="0"/>
        <w:pageBreakBefore w:val="0"/>
        <w:spacing w:line="360" w:lineRule="auto"/>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项目名称：</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苏州市教育考试院考试安全设备租赁服务</w:t>
      </w: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项目</w:t>
      </w:r>
      <w:r/>
    </w:p>
    <w:p>
      <w:pPr>
        <w:ind w:firstLine="482"/>
        <w:keepLines w:val="0"/>
        <w:keepNext w:val="0"/>
        <w:pageBreakBefore w:val="0"/>
        <w:spacing w:line="360" w:lineRule="auto"/>
        <w:rPr>
          <w:rFonts w:hint="eastAsia" w:ascii="宋体" w:hAnsi="宋体" w:eastAsia="宋体" w:cs="宋体"/>
          <w:b/>
          <w:bCs w:val="0"/>
          <w:color w:val="000000" w:themeColor="text1"/>
          <w:sz w:val="24"/>
          <w:szCs w:val="24"/>
          <w:highlight w:val="none"/>
          <w:lang w:eastAsia="zh-CN"/>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项目编号：</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JSZC-320500-SZZJ-G2025-0008</w:t>
      </w:r>
      <w:r/>
    </w:p>
    <w:p>
      <w:pPr>
        <w:ind w:firstLine="482"/>
        <w:keepLines w:val="0"/>
        <w:keepNext w:val="0"/>
        <w:pageBreakBefore w:val="0"/>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r>
      <w:r/>
    </w:p>
    <w:p>
      <w:pPr>
        <w:ind w:firstLine="482"/>
        <w:keepLines w:val="0"/>
        <w:keepNext w:val="0"/>
        <w:pageBreakBefore w:val="0"/>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甲方（项目采购人）：</w:t>
      </w:r>
      <w:r/>
    </w:p>
    <w:p>
      <w:pPr>
        <w:ind w:firstLine="480"/>
        <w:keepLines w:val="0"/>
        <w:keepNext w:val="0"/>
        <w:pageBreakBefore w:val="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联系人： </w:t>
      </w:r>
      <w:r>
        <w:rPr>
          <w:rFonts w:hint="eastAsia" w:ascii="宋体" w:hAnsi="宋体" w:eastAsia="宋体" w:cs="宋体"/>
          <w:bCs/>
          <w:color w:val="000000" w:themeColor="text1"/>
          <w:sz w:val="24"/>
          <w:szCs w:val="24"/>
          <w:highlight w:val="none"/>
          <w14:textFill>
            <w14:solidFill>
              <w14:schemeClr w14:val="tx1"/>
            </w14:solidFill>
          </w14:textFill>
        </w:rPr>
        <w:tab/>
      </w:r>
      <w:r/>
    </w:p>
    <w:p>
      <w:pPr>
        <w:ind w:firstLine="480"/>
        <w:keepLines w:val="0"/>
        <w:keepNext w:val="0"/>
        <w:pageBreakBefore w:val="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单位地址： </w:t>
      </w:r>
      <w:r/>
    </w:p>
    <w:p>
      <w:pPr>
        <w:ind w:firstLine="480"/>
        <w:keepLines w:val="0"/>
        <w:keepNext w:val="0"/>
        <w:pageBreakBefore w:val="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电话：</w:t>
      </w:r>
      <w:r/>
    </w:p>
    <w:p>
      <w:pPr>
        <w:ind w:firstLine="480"/>
        <w:keepLines w:val="0"/>
        <w:keepNext w:val="0"/>
        <w:pageBreakBefore w:val="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ind w:firstLine="482"/>
        <w:keepLines w:val="0"/>
        <w:keepNext w:val="0"/>
        <w:pageBreakBefore w:val="0"/>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乙方（</w:t>
      </w: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中标单位</w:t>
      </w:r>
      <w:r>
        <w:rPr>
          <w:rFonts w:hint="eastAsia" w:ascii="宋体" w:hAnsi="宋体" w:eastAsia="宋体" w:cs="宋体"/>
          <w:b/>
          <w:bCs w:val="0"/>
          <w:color w:val="000000" w:themeColor="text1"/>
          <w:sz w:val="24"/>
          <w:szCs w:val="24"/>
          <w:highlight w:val="none"/>
          <w14:textFill>
            <w14:solidFill>
              <w14:schemeClr w14:val="tx1"/>
            </w14:solidFill>
          </w14:textFill>
        </w:rPr>
        <w:t xml:space="preserve">）：</w:t>
      </w:r>
      <w:r/>
    </w:p>
    <w:p>
      <w:pPr>
        <w:ind w:firstLine="480"/>
        <w:keepLines w:val="0"/>
        <w:keepNext w:val="0"/>
        <w:pageBreakBefore w:val="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联系人： </w:t>
      </w:r>
      <w:r>
        <w:rPr>
          <w:rFonts w:hint="eastAsia" w:ascii="宋体" w:hAnsi="宋体" w:eastAsia="宋体" w:cs="宋体"/>
          <w:bCs/>
          <w:color w:val="000000" w:themeColor="text1"/>
          <w:sz w:val="24"/>
          <w:szCs w:val="24"/>
          <w:highlight w:val="none"/>
          <w14:textFill>
            <w14:solidFill>
              <w14:schemeClr w14:val="tx1"/>
            </w14:solidFill>
          </w14:textFill>
        </w:rPr>
        <w:tab/>
      </w:r>
      <w:r/>
    </w:p>
    <w:p>
      <w:pPr>
        <w:ind w:firstLine="480"/>
        <w:keepLines w:val="0"/>
        <w:keepNext w:val="0"/>
        <w:pageBreakBefore w:val="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单位地址： </w:t>
      </w:r>
      <w:r/>
    </w:p>
    <w:p>
      <w:pPr>
        <w:ind w:firstLine="480"/>
        <w:keepLines w:val="0"/>
        <w:keepNext w:val="0"/>
        <w:pageBreakBefore w:val="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电话：</w:t>
      </w:r>
      <w:r/>
    </w:p>
    <w:p>
      <w:pPr>
        <w:ind w:firstLine="480"/>
        <w:keepLines w:val="0"/>
        <w:keepNext w:val="0"/>
        <w:pageBreakBefore w:val="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ind w:firstLine="48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甲方所需</w:t>
      </w:r>
      <w:r>
        <w:rPr>
          <w:rFonts w:hint="eastAsia" w:ascii="宋体" w:hAnsi="宋体" w:eastAsia="宋体" w:cs="宋体"/>
          <w:color w:val="000000" w:themeColor="text1"/>
          <w:sz w:val="24"/>
          <w:szCs w:val="24"/>
          <w:highlight w:val="none"/>
          <w:u w:val="single"/>
          <w:lang w:eastAsia="zh-CN"/>
          <w14:textFill>
            <w14:solidFill>
              <w14:schemeClr w14:val="tx1"/>
            </w14:solidFill>
          </w14:textFill>
        </w:rPr>
        <w:t xml:space="preserve">苏州市教育考试院考试安全设备租赁服务</w:t>
      </w:r>
      <w:r>
        <w:rPr>
          <w:rFonts w:hint="eastAsia" w:ascii="宋体" w:hAnsi="宋体" w:eastAsia="宋体" w:cs="宋体"/>
          <w:color w:val="000000" w:themeColor="text1"/>
          <w:sz w:val="24"/>
          <w:szCs w:val="24"/>
          <w:highlight w:val="none"/>
          <w:u w:val="single"/>
          <w14:textFill>
            <w14:solidFill>
              <w14:schemeClr w14:val="tx1"/>
            </w14:solidFill>
          </w14:textFill>
        </w:rPr>
        <w:t xml:space="preserve">项目</w:t>
      </w:r>
      <w:r>
        <w:rPr>
          <w:rFonts w:hint="eastAsia" w:ascii="宋体" w:hAnsi="宋体" w:eastAsia="宋体" w:cs="宋体"/>
          <w:color w:val="000000" w:themeColor="text1"/>
          <w:sz w:val="24"/>
          <w:szCs w:val="24"/>
          <w:highlight w:val="none"/>
          <w14:textFill>
            <w14:solidFill>
              <w14:schemeClr w14:val="tx1"/>
            </w14:solidFill>
          </w14:textFill>
        </w:rPr>
        <w:t xml:space="preserve">经</w:t>
      </w:r>
      <w:r>
        <w:rPr>
          <w:rFonts w:hint="eastAsia" w:ascii="宋体" w:hAnsi="宋体" w:eastAsia="宋体" w:cs="宋体"/>
          <w:color w:val="000000" w:themeColor="text1"/>
          <w:sz w:val="24"/>
          <w:szCs w:val="24"/>
          <w:highlight w:val="none"/>
          <w:u w:val="single"/>
          <w14:textFill>
            <w14:solidFill>
              <w14:schemeClr w14:val="tx1"/>
            </w14:solidFill>
          </w14:textFill>
        </w:rPr>
        <w:t xml:space="preserve">苏州正杰招投标咨询服务有限公司</w:t>
      </w:r>
      <w:r>
        <w:rPr>
          <w:rFonts w:hint="eastAsia" w:ascii="宋体" w:hAnsi="宋体" w:eastAsia="宋体" w:cs="宋体"/>
          <w:color w:val="000000" w:themeColor="text1"/>
          <w:sz w:val="24"/>
          <w:szCs w:val="24"/>
          <w:highlight w:val="none"/>
          <w14:textFill>
            <w14:solidFill>
              <w14:schemeClr w14:val="tx1"/>
            </w14:solidFill>
          </w14:textFill>
        </w:rPr>
        <w:t xml:space="preserve">以</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公开招标</w:t>
      </w:r>
      <w:r>
        <w:rPr>
          <w:rFonts w:hint="eastAsia" w:ascii="宋体" w:hAnsi="宋体" w:eastAsia="宋体" w:cs="宋体"/>
          <w:color w:val="000000" w:themeColor="text1"/>
          <w:sz w:val="24"/>
          <w:szCs w:val="24"/>
          <w:highlight w:val="none"/>
          <w14:textFill>
            <w14:solidFill>
              <w14:schemeClr w14:val="tx1"/>
            </w14:solidFill>
          </w14:textFill>
        </w:rPr>
        <w:t xml:space="preserve">方式进行采购</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并依法确定乙方为</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中标</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单位</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根据《中华人民共和国民法典》和《中华人民共和国政府采购法》等有关法律法规</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为明确甲方和乙方</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招标</w:t>
      </w:r>
      <w:r>
        <w:rPr>
          <w:rFonts w:hint="eastAsia" w:ascii="宋体" w:hAnsi="宋体" w:eastAsia="宋体" w:cs="宋体"/>
          <w:color w:val="000000" w:themeColor="text1"/>
          <w:sz w:val="24"/>
          <w:szCs w:val="24"/>
          <w:highlight w:val="none"/>
          <w14:textFill>
            <w14:solidFill>
              <w14:schemeClr w14:val="tx1"/>
            </w14:solidFill>
          </w14:textFill>
        </w:rPr>
        <w:t xml:space="preserve">过程中的权利、义务和经济责任</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双方遵循平等、自愿、公平和诚实信用原则</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经友好协商</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同意按照下面的条款和条件订立本合同</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以资共同遵守。</w:t>
      </w:r>
      <w:r/>
    </w:p>
    <w:p>
      <w:pPr>
        <w:ind w:firstLine="482"/>
        <w:keepLines w:val="0"/>
        <w:keepNext w:val="0"/>
        <w:pageBreakBefore w:val="0"/>
        <w:spacing w:line="360" w:lineRule="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一、合同文件</w:t>
      </w:r>
      <w:r/>
    </w:p>
    <w:p>
      <w:pPr>
        <w:ind w:firstLine="480"/>
        <w:keepLines w:val="0"/>
        <w:keepNext w:val="0"/>
        <w:pageBreakBefore w:val="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以下文件是构成本合同不可分割的部分：</w:t>
      </w:r>
      <w:r/>
    </w:p>
    <w:p>
      <w:pPr>
        <w:ind w:firstLine="480"/>
        <w:keepLines w:val="0"/>
        <w:keepNext w:val="0"/>
        <w:pageBreakBefore w:val="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（一）本项目</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招标</w:t>
      </w:r>
      <w:r>
        <w:rPr>
          <w:rFonts w:hint="eastAsia" w:ascii="宋体" w:hAnsi="宋体" w:eastAsia="宋体" w:cs="宋体"/>
          <w:bCs/>
          <w:color w:val="000000" w:themeColor="text1"/>
          <w:sz w:val="24"/>
          <w:szCs w:val="24"/>
          <w:highlight w:val="none"/>
          <w14:textFill>
            <w14:solidFill>
              <w14:schemeClr w14:val="tx1"/>
            </w14:solidFill>
          </w14:textFill>
        </w:rPr>
        <w:t xml:space="preserve">文件；</w:t>
      </w:r>
      <w:r/>
    </w:p>
    <w:p>
      <w:pPr>
        <w:ind w:firstLine="480"/>
        <w:keepLines w:val="0"/>
        <w:keepNext w:val="0"/>
        <w:pageBreakBefore w:val="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（二）</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乙方投标</w:t>
      </w:r>
      <w:r>
        <w:rPr>
          <w:rFonts w:hint="eastAsia" w:ascii="宋体" w:hAnsi="宋体" w:eastAsia="宋体" w:cs="宋体"/>
          <w:bCs/>
          <w:color w:val="000000" w:themeColor="text1"/>
          <w:sz w:val="24"/>
          <w:szCs w:val="24"/>
          <w:highlight w:val="none"/>
          <w14:textFill>
            <w14:solidFill>
              <w14:schemeClr w14:val="tx1"/>
            </w14:solidFill>
          </w14:textFill>
        </w:rPr>
        <w:t xml:space="preserve">文件；</w:t>
      </w:r>
      <w:r/>
    </w:p>
    <w:p>
      <w:pPr>
        <w:ind w:firstLine="480"/>
        <w:keepLines w:val="0"/>
        <w:keepNext w:val="0"/>
        <w:pageBreakBefore w:val="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（三）合同条款；</w:t>
      </w:r>
      <w:r/>
    </w:p>
    <w:p>
      <w:pPr>
        <w:ind w:firstLine="480"/>
        <w:keepLines w:val="0"/>
        <w:keepNext w:val="0"/>
        <w:pageBreakBefore w:val="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（四）</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乙方</w:t>
      </w:r>
      <w:r>
        <w:rPr>
          <w:rFonts w:hint="eastAsia" w:ascii="宋体" w:hAnsi="宋体" w:eastAsia="宋体" w:cs="宋体"/>
          <w:bCs/>
          <w:color w:val="000000" w:themeColor="text1"/>
          <w:sz w:val="24"/>
          <w:szCs w:val="24"/>
          <w:highlight w:val="none"/>
          <w14:textFill>
            <w14:solidFill>
              <w14:schemeClr w14:val="tx1"/>
            </w14:solidFill>
          </w14:textFill>
        </w:rPr>
        <w:t xml:space="preserve">做出的有关澄清、说明或者补正文件</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若有</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w:t>
      </w:r>
      <w:r/>
    </w:p>
    <w:p>
      <w:pPr>
        <w:ind w:firstLine="480"/>
        <w:keepLines w:val="0"/>
        <w:keepNext w:val="0"/>
        <w:pageBreakBefore w:val="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（五）确定</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乙方</w:t>
      </w:r>
      <w:r>
        <w:rPr>
          <w:rFonts w:hint="eastAsia" w:ascii="宋体" w:hAnsi="宋体" w:eastAsia="宋体" w:cs="宋体"/>
          <w:bCs/>
          <w:color w:val="000000" w:themeColor="text1"/>
          <w:sz w:val="24"/>
          <w:szCs w:val="24"/>
          <w:highlight w:val="none"/>
          <w14:textFill>
            <w14:solidFill>
              <w14:schemeClr w14:val="tx1"/>
            </w14:solidFill>
          </w14:textFill>
        </w:rPr>
        <w:t xml:space="preserve">的文件（包括但不限于</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中标</w:t>
      </w:r>
      <w:r>
        <w:rPr>
          <w:rFonts w:hint="eastAsia" w:ascii="宋体" w:hAnsi="宋体" w:eastAsia="宋体" w:cs="宋体"/>
          <w:bCs/>
          <w:color w:val="000000" w:themeColor="text1"/>
          <w:sz w:val="24"/>
          <w:szCs w:val="24"/>
          <w:highlight w:val="none"/>
          <w14:textFill>
            <w14:solidFill>
              <w14:schemeClr w14:val="tx1"/>
            </w14:solidFill>
          </w14:textFill>
        </w:rPr>
        <w:t xml:space="preserve">通知书等）；</w:t>
      </w:r>
      <w:r/>
    </w:p>
    <w:p>
      <w:pPr>
        <w:ind w:firstLine="480"/>
        <w:keepLines w:val="0"/>
        <w:keepNext w:val="0"/>
        <w:pageBreakBefore w:val="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（六）本合同附件</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若有</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w:t>
      </w:r>
      <w:r/>
    </w:p>
    <w:p>
      <w:pPr>
        <w:ind w:firstLine="482"/>
        <w:keepLines w:val="0"/>
        <w:keepNext w:val="0"/>
        <w:pageBreakBefore w:val="0"/>
        <w:spacing w:line="360" w:lineRule="auto"/>
        <w:rPr>
          <w:rFonts w:hint="eastAsia" w:ascii="宋体" w:hAnsi="宋体" w:eastAsia="宋体" w:cs="宋体"/>
          <w:b/>
          <w:color w:val="000000" w:themeColor="text1"/>
          <w:sz w:val="24"/>
          <w:szCs w:val="24"/>
          <w:highlight w:val="none"/>
          <w:lang w:eastAsia="zh-CN"/>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二、服务内容</w:t>
      </w:r>
      <w:r/>
    </w:p>
    <w:p>
      <w:pPr>
        <w:ind w:firstLine="480"/>
        <w:keepLines w:val="0"/>
        <w:keepNext w:val="0"/>
        <w:pageBreakBefore w:val="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本合同项下乙方所提供的服务内容为：详见</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招标</w:t>
      </w:r>
      <w:r>
        <w:rPr>
          <w:rFonts w:hint="eastAsia" w:ascii="宋体" w:hAnsi="宋体" w:eastAsia="宋体" w:cs="宋体"/>
          <w:bCs/>
          <w:color w:val="000000" w:themeColor="text1"/>
          <w:sz w:val="24"/>
          <w:szCs w:val="24"/>
          <w:highlight w:val="none"/>
          <w14:textFill>
            <w14:solidFill>
              <w14:schemeClr w14:val="tx1"/>
            </w14:solidFill>
          </w14:textFill>
        </w:rPr>
        <w:t xml:space="preserve">文件中的采购需求。</w:t>
      </w:r>
      <w:r/>
    </w:p>
    <w:p>
      <w:pPr>
        <w:ind w:firstLine="482"/>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三、合同金额：</w:t>
      </w:r>
      <w:r>
        <w:rPr>
          <w:rFonts w:hint="eastAsia" w:ascii="宋体" w:hAnsi="宋体" w:eastAsia="宋体" w:cs="宋体"/>
          <w:bCs/>
          <w:color w:val="000000" w:themeColor="text1"/>
          <w:sz w:val="24"/>
          <w:szCs w:val="24"/>
          <w:highlight w:val="none"/>
          <w14:textFill>
            <w14:solidFill>
              <w14:schemeClr w14:val="tx1"/>
            </w14:solidFill>
          </w14:textFill>
        </w:rPr>
        <w:t xml:space="preserve"> </w:t>
      </w:r>
      <w:r/>
    </w:p>
    <w:p>
      <w:pPr>
        <w:ind w:firstLine="482"/>
        <w:keepLines w:val="0"/>
        <w:keepNext w:val="0"/>
        <w:pageBreakBefore w:val="0"/>
        <w:spacing w:line="360" w:lineRule="auto"/>
        <w:rPr>
          <w:rFonts w:hint="eastAsia" w:ascii="宋体" w:hAnsi="宋体" w:eastAsia="宋体" w:cs="宋体"/>
          <w:b/>
          <w:color w:val="000000" w:themeColor="text1"/>
          <w:sz w:val="24"/>
          <w:szCs w:val="24"/>
          <w:highlight w:val="none"/>
          <w:u w:val="singl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合同总金额为</w:t>
      </w:r>
      <w:r>
        <w:rPr>
          <w:rFonts w:hint="eastAsia" w:ascii="宋体" w:hAnsi="宋体" w:eastAsia="宋体" w:cs="宋体"/>
          <w:b/>
          <w:color w:val="000000" w:themeColor="text1"/>
          <w:sz w:val="24"/>
          <w:szCs w:val="24"/>
          <w:highlight w:val="none"/>
          <w:u w:val="single"/>
          <w14:textFill>
            <w14:solidFill>
              <w14:schemeClr w14:val="tx1"/>
            </w14:solidFill>
          </w14:textFill>
        </w:rPr>
        <w:t xml:space="preserve">人民币          元，大写：        。</w:t>
      </w:r>
      <w:r/>
    </w:p>
    <w:p>
      <w:pPr>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合同金额包括完成所有采购内容以及本项目所需的劳务支出、保险、配套费用、税费及服务相关等所发生的全部费用以及</w:t>
      </w: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乙方</w:t>
      </w:r>
      <w:r>
        <w:rPr>
          <w:rFonts w:hint="eastAsia" w:ascii="宋体" w:hAnsi="宋体" w:eastAsia="宋体" w:cs="宋体"/>
          <w:b/>
          <w:bCs w:val="0"/>
          <w:color w:val="000000" w:themeColor="text1"/>
          <w:sz w:val="24"/>
          <w:szCs w:val="24"/>
          <w:highlight w:val="none"/>
          <w14:textFill>
            <w14:solidFill>
              <w14:schemeClr w14:val="tx1"/>
            </w14:solidFill>
          </w14:textFill>
        </w:rPr>
        <w:t xml:space="preserve">企业利润、税金和政策性文件规定及合同包含的所有风险、责任等各项应有费用。除非因特殊原因并经买卖双方协商同意，乙方不得再要求追加任何费用。同时，除非合同条款中另有规定，否则，乙方所报价格在合同实施期间不因市场变化因素而变动。</w:t>
      </w:r>
      <w:r/>
    </w:p>
    <w:p>
      <w:pPr>
        <w:ind w:firstLine="482"/>
        <w:keepLines w:val="0"/>
        <w:keepNext w:val="0"/>
        <w:pageBreakBefore w:val="0"/>
        <w:spacing w:line="360" w:lineRule="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四、付款约定</w:t>
      </w:r>
      <w:r/>
    </w:p>
    <w:p>
      <w:pPr>
        <w:ind w:firstLine="480"/>
        <w:keepLines w:val="0"/>
        <w:keepNext w:val="0"/>
        <w:pageBreakBefore w:val="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1、甲方根据乙方在本合同中所提供银行开户信息转账支付。</w:t>
      </w:r>
      <w:r/>
    </w:p>
    <w:p>
      <w:pPr>
        <w:ind w:firstLine="480"/>
        <w:keepLines w:val="0"/>
        <w:keepNext w:val="0"/>
        <w:pageBreakBefore w:val="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乙方开户名称：</w:t>
      </w:r>
      <w:r/>
    </w:p>
    <w:p>
      <w:pPr>
        <w:ind w:firstLine="480"/>
        <w:keepLines w:val="0"/>
        <w:keepNext w:val="0"/>
        <w:pageBreakBefore w:val="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开户银行：</w:t>
      </w:r>
      <w:r/>
    </w:p>
    <w:p>
      <w:pPr>
        <w:ind w:firstLine="480"/>
        <w:keepLines w:val="0"/>
        <w:keepNext w:val="0"/>
        <w:pageBreakBefore w:val="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银行账号：</w:t>
      </w:r>
      <w:r/>
    </w:p>
    <w:p>
      <w:pPr>
        <w:ind w:firstLine="480"/>
        <w:keepLines w:val="0"/>
        <w:keepNext w:val="0"/>
        <w:pageBreakBefore w:val="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乙方银行账户如需变更</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应至少于付款期限届满前10个工作日书面通知甲方</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否则产生的一切责任、因变更引起的额外费用由乙方承担。</w:t>
      </w:r>
      <w:r/>
    </w:p>
    <w:p>
      <w:pPr>
        <w:ind w:firstLine="480"/>
        <w:keepLines w:val="0"/>
        <w:keepNext w:val="0"/>
        <w:pageBreakBefore w:val="0"/>
        <w:spacing w:line="360" w:lineRule="auto"/>
        <w:rPr>
          <w:rFonts w:hint="eastAsia" w:ascii="宋体" w:hAnsi="宋体" w:eastAsia="宋体" w:cs="宋体"/>
          <w:bCs/>
          <w:color w:val="000000" w:themeColor="text1"/>
          <w:sz w:val="24"/>
          <w:szCs w:val="24"/>
          <w:highlight w:val="none"/>
          <w:lang w:eastAsia="zh-CN"/>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2、付款步骤</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合同</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签署</w:t>
      </w:r>
      <w:r>
        <w:rPr>
          <w:rFonts w:hint="eastAsia" w:ascii="宋体" w:hAnsi="宋体" w:eastAsia="宋体" w:cs="宋体"/>
          <w:bCs/>
          <w:color w:val="000000" w:themeColor="text1"/>
          <w:sz w:val="24"/>
          <w:szCs w:val="24"/>
          <w:highlight w:val="none"/>
          <w14:textFill>
            <w14:solidFill>
              <w14:schemeClr w14:val="tx1"/>
            </w14:solidFill>
          </w14:textFill>
        </w:rPr>
        <w:t xml:space="preserve">生效后，甲方在</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乙方开具发票后</w:t>
      </w:r>
      <w:r>
        <w:rPr>
          <w:rFonts w:hint="eastAsia" w:ascii="宋体" w:hAnsi="宋体" w:eastAsia="宋体" w:cs="宋体"/>
          <w:bCs/>
          <w:color w:val="000000" w:themeColor="text1"/>
          <w:sz w:val="24"/>
          <w:szCs w:val="24"/>
          <w:highlight w:val="none"/>
          <w14:textFill>
            <w14:solidFill>
              <w14:schemeClr w14:val="tx1"/>
            </w14:solidFill>
          </w14:textFill>
        </w:rPr>
        <w:t xml:space="preserve">七个工作日内向乙方支付</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中标</w:t>
      </w:r>
      <w:r>
        <w:rPr>
          <w:rFonts w:hint="eastAsia" w:ascii="宋体" w:hAnsi="宋体" w:eastAsia="宋体" w:cs="宋体"/>
          <w:bCs/>
          <w:color w:val="000000" w:themeColor="text1"/>
          <w:sz w:val="24"/>
          <w:szCs w:val="24"/>
          <w:highlight w:val="none"/>
          <w14:textFill>
            <w14:solidFill>
              <w14:schemeClr w14:val="tx1"/>
            </w14:solidFill>
          </w14:textFill>
        </w:rPr>
        <w:t xml:space="preserve">金额的30％作为预付款，</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合同签署当年9月份，乙方开具发票后，支付中标金额的20%，合同签署当年12月，乙方开具发票后，支付中标金额的30%</w:t>
      </w:r>
      <w:r>
        <w:rPr>
          <w:rFonts w:hint="eastAsia" w:ascii="宋体" w:hAnsi="宋体" w:eastAsia="宋体" w:cs="宋体"/>
          <w:bCs/>
          <w:color w:val="000000" w:themeColor="text1"/>
          <w:sz w:val="24"/>
          <w:szCs w:val="24"/>
          <w:highlight w:val="none"/>
          <w14:textFill>
            <w14:solidFill>
              <w14:schemeClr w14:val="tx1"/>
            </w14:solidFill>
          </w14:textFill>
        </w:rPr>
        <w:t xml:space="preserve">。</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合同签署第二年5月，支付尾款（扣除每次考核扣款）。</w:t>
      </w:r>
      <w:r/>
    </w:p>
    <w:p>
      <w:pPr>
        <w:ind w:firstLine="480"/>
        <w:keepLines w:val="0"/>
        <w:keepNext w:val="0"/>
        <w:pageBreakBefore w:val="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注：甲方每次付款前</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乙方均应当向甲方开具等额、合法的发票</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否则甲方有权延迟付款且无须承担任何责任。</w:t>
      </w:r>
      <w:r/>
    </w:p>
    <w:p>
      <w:pPr>
        <w:ind w:firstLine="482"/>
        <w:spacing w:line="360" w:lineRule="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五、服务履行地点、期限</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1、服务履行地点：</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甲方</w:t>
      </w:r>
      <w:r>
        <w:rPr>
          <w:rFonts w:hint="eastAsia" w:ascii="宋体" w:hAnsi="宋体" w:eastAsia="宋体" w:cs="宋体"/>
          <w:color w:val="000000" w:themeColor="text1"/>
          <w:sz w:val="24"/>
          <w:szCs w:val="24"/>
          <w:highlight w:val="none"/>
          <w14:textFill>
            <w14:solidFill>
              <w14:schemeClr w14:val="tx1"/>
            </w14:solidFill>
          </w14:textFill>
        </w:rPr>
        <w:t xml:space="preserve">指定地点（苏州大市范围内）</w:t>
      </w:r>
      <w:r>
        <w:rPr>
          <w:rFonts w:hint="eastAsia" w:ascii="宋体" w:hAnsi="宋体" w:eastAsia="宋体" w:cs="宋体"/>
          <w:bCs/>
          <w:color w:val="000000" w:themeColor="text1"/>
          <w:sz w:val="24"/>
          <w:szCs w:val="24"/>
          <w:highlight w:val="none"/>
          <w14:textFill>
            <w14:solidFill>
              <w14:schemeClr w14:val="tx1"/>
            </w14:solidFill>
          </w14:textFill>
        </w:rPr>
        <w:t xml:space="preserve">。</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2、服务期限：</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自合同生效之日起壹年，按12个月计。</w:t>
      </w:r>
      <w:r/>
    </w:p>
    <w:p>
      <w:pPr>
        <w:ind w:firstLine="482"/>
        <w:spacing w:line="360" w:lineRule="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六、服务要求</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乙方</w:t>
      </w:r>
      <w:r>
        <w:rPr>
          <w:rFonts w:hint="eastAsia" w:ascii="宋体" w:hAnsi="宋体" w:eastAsia="宋体" w:cs="宋体"/>
          <w:color w:val="000000" w:themeColor="text1"/>
          <w:sz w:val="24"/>
          <w:szCs w:val="24"/>
          <w:highlight w:val="none"/>
          <w14:textFill>
            <w14:solidFill>
              <w14:schemeClr w14:val="tx1"/>
            </w14:solidFill>
          </w14:textFill>
        </w:rPr>
        <w:t xml:space="preserve">无条件响应</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甲方</w:t>
      </w:r>
      <w:r>
        <w:rPr>
          <w:rFonts w:hint="eastAsia" w:ascii="宋体" w:hAnsi="宋体" w:eastAsia="宋体" w:cs="宋体"/>
          <w:color w:val="000000" w:themeColor="text1"/>
          <w:sz w:val="24"/>
          <w:szCs w:val="24"/>
          <w:highlight w:val="none"/>
          <w14:textFill>
            <w14:solidFill>
              <w14:schemeClr w14:val="tx1"/>
            </w14:solidFill>
          </w14:textFill>
        </w:rPr>
        <w:t xml:space="preserve">在该项目上的时间安排。</w:t>
      </w:r>
      <w:r/>
    </w:p>
    <w:p>
      <w:pPr>
        <w:ind w:firstLine="482"/>
        <w:spacing w:line="360" w:lineRule="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七、验收</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1、验收要求参照《江苏省政府采购履约验收管理办法》相关要求执行。</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2、验收标准：本合同政府采购招标文件中项目招标书的各项标准和要求。</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3、任一项验收不合格的</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乙方应负责在甲方限定的期限内完成整改</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因整改而导致的费用和损失由乙方自行承担</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若导致项目逾期的</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乙方承担逾期违约责任。</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4、甲方所有验收意见将以书面形式做出并加盖甲方公章</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因此除非甲方书面明示通过验收</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否则任何其他行为均不代表甲方已验收合格。</w:t>
      </w:r>
      <w:r/>
    </w:p>
    <w:p>
      <w:pPr>
        <w:ind w:firstLine="482"/>
        <w:spacing w:line="360" w:lineRule="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八、服务质量</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1、乙方应保证提供给甲方的服务完全符合本项目</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招标</w:t>
      </w:r>
      <w:r>
        <w:rPr>
          <w:rFonts w:hint="eastAsia" w:ascii="宋体" w:hAnsi="宋体" w:eastAsia="宋体" w:cs="宋体"/>
          <w:bCs/>
          <w:color w:val="000000" w:themeColor="text1"/>
          <w:sz w:val="24"/>
          <w:szCs w:val="24"/>
          <w:highlight w:val="none"/>
          <w14:textFill>
            <w14:solidFill>
              <w14:schemeClr w14:val="tx1"/>
            </w14:solidFill>
          </w14:textFill>
        </w:rPr>
        <w:t xml:space="preserve">文件规定的服务标准。</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2、乙方应保证提供的服务应符合中华人民共和国相关标准及相应的技术规范、本次采购相关文件中的全部相关要求及相关标准及相应的技术规范中之较高者。</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3、乙方保证提供的服务符合中华人民共和国国家及行业的安全质量标准、环保标准中之较高者。</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4、乙方保证</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乙方依据本合同提供的服务及相关的软件和技术资料</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乙方均已得到有关知识产权的权利人的合法授权</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如发生涉及到专利权、著作权、商标权等争议</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乙方负责处理</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并承担由此引起的全部法律及经济责任。</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5、乙方应保证甲方在中国境内使用服务或服务的任何一部分时</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免受第三方提出的侵犯其知识产权的诉讼。如甲方因本合同项下服务成果的知识产权原因而受到第三方的索赔请求</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乙方应负责处理</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并承担甲方因此发生的全部费用及损失。</w:t>
      </w:r>
      <w:r/>
    </w:p>
    <w:p>
      <w:pPr>
        <w:ind w:firstLine="482"/>
        <w:spacing w:line="360" w:lineRule="auto"/>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九、履约保证金</w:t>
      </w:r>
      <w:r>
        <w:rPr>
          <w:rFonts w:hint="eastAsia" w:ascii="宋体" w:hAnsi="宋体" w:eastAsia="宋体" w:cs="宋体"/>
          <w:b/>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color w:val="000000" w:themeColor="text1"/>
          <w:sz w:val="24"/>
          <w:szCs w:val="24"/>
          <w:highlight w:val="none"/>
          <w:lang w:val="en-US" w:eastAsia="zh-CN"/>
          <w14:textFill>
            <w14:solidFill>
              <w14:schemeClr w14:val="tx1"/>
            </w14:solidFill>
          </w14:textFill>
        </w:rPr>
        <w:t xml:space="preserve">无。</w:t>
      </w:r>
      <w:r/>
    </w:p>
    <w:p>
      <w:pPr>
        <w:ind w:firstLine="482"/>
        <w:spacing w:line="360" w:lineRule="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十、违约责任</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合同一方不履行合同义务或者履行合同义务不符合约定的</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应当承担继续履行、采取补救措施或者赔偿损失等违约责任。</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1、甲方违约责任</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1.1 在合同生效后</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甲方无故要求终止服务的</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应向乙方偿付合同总价款的5</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作为违约金</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违约金不足以补偿损失的</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乙方有权要求甲方补足。</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1.2 甲方逾期付款的应按照逾期付款金额的每天万分之四支付逾期付款违约金。</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1.3 甲方违反合同约定</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拒绝接受乙方交付的合格服务的</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应当承担乙方由此造成的损失。</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2、乙方违约责任</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2.1 乙方不能服务（逾期超过24小时视为不能服务）</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或服务不合格从而影响甲方按期正常使用的</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甲方有权解除合同</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乙方向甲方赔偿合同总价款5</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的违约金</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违约金不足以补偿损失的甲方有权要求乙方补足。</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2.2 乙方逾期提供服务的</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应在服务前与甲方和招标代理协商</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甲方仍需求的</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乙方应立即提供服务并应按照逾期服务部分贷款的每天万分之四支付逾期服务违约金</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同时承担甲方因此遭致的损失费用。</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3、如果出现政府采购监管部门在处理投诉事项期间</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通知甲方暂停采购活动的情形</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或者询问或质疑事项可能影响最终成交结果的</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导致甲方中止履行合同的情形</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均不视为甲方违约。</w:t>
      </w:r>
      <w:r/>
    </w:p>
    <w:p>
      <w:pPr>
        <w:ind w:firstLine="482"/>
        <w:spacing w:line="360" w:lineRule="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十一、合同的解除和转让</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1、甲方和乙方协商一致</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可以解除合同。</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2、有下列情形之一</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合同一方可以解除合同：</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（1）因不可抗力致使不能实现合同目的</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未受不可抗力影响的一方有权解除合同；</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（2）招标文件约定的解除合同的情形。</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3、政府采购合同继续履行将损害国家利益和社会公共利益</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甲方有权变更、中止或者终止、解除合同。</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4、乙方提交的投标材料虚假</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或者乙方故意隐瞒足以导致不能中标的事实被发现的</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甲方可以单方解除本合同</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由此造成甲方的损失由乙方承担赔偿（包括但不限于诉讼费、合理律师费等）。</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5、本合同不得以任何形式转让</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否则视为乙方违约</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甲方可以单方解除本合同</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由此造成甲方的损失由乙方承担赔偿（包括但不限于诉讼费、合理律师费等）。</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6、本合同未经甲方书面同意不得分包</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否则视为乙方违约</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甲方可以单方解除本合同</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由此造成甲方的损失由乙方承担赔偿（包括但不限于诉讼费、合理律师费等）。</w:t>
      </w:r>
      <w:r/>
    </w:p>
    <w:p>
      <w:pPr>
        <w:pStyle w:val="803"/>
        <w:ind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 xml:space="preserve">7、有权解除合同的一方</w:t>
      </w:r>
      <w:r>
        <w:rPr>
          <w:rFonts w:hint="eastAsia" w:ascii="宋体" w:hAnsi="宋体" w:eastAsia="宋体" w:cs="宋体"/>
          <w:color w:val="000000" w:themeColor="text1"/>
          <w:szCs w:val="24"/>
          <w:highlight w:val="none"/>
          <w:lang w:eastAsia="zh-CN"/>
          <w14:textFill>
            <w14:solidFill>
              <w14:schemeClr w14:val="tx1"/>
            </w14:solidFill>
          </w14:textFill>
        </w:rPr>
        <w:t xml:space="preserve">，</w:t>
      </w:r>
      <w:r>
        <w:rPr>
          <w:rFonts w:hint="eastAsia" w:ascii="宋体" w:hAnsi="宋体" w:eastAsia="宋体" w:cs="宋体"/>
          <w:color w:val="000000" w:themeColor="text1"/>
          <w:szCs w:val="24"/>
          <w:highlight w:val="none"/>
          <w14:textFill>
            <w14:solidFill>
              <w14:schemeClr w14:val="tx1"/>
            </w14:solidFill>
          </w14:textFill>
        </w:rPr>
        <w:t xml:space="preserve">应当在违约事实或不可抗力发生之后三十天内书面通知对方以主张解除合同</w:t>
      </w:r>
      <w:r>
        <w:rPr>
          <w:rFonts w:hint="eastAsia" w:ascii="宋体" w:hAnsi="宋体" w:eastAsia="宋体" w:cs="宋体"/>
          <w:color w:val="000000" w:themeColor="text1"/>
          <w:szCs w:val="24"/>
          <w:highlight w:val="none"/>
          <w:lang w:eastAsia="zh-CN"/>
          <w14:textFill>
            <w14:solidFill>
              <w14:schemeClr w14:val="tx1"/>
            </w14:solidFill>
          </w14:textFill>
        </w:rPr>
        <w:t xml:space="preserve">，</w:t>
      </w:r>
      <w:r>
        <w:rPr>
          <w:rFonts w:hint="eastAsia" w:ascii="宋体" w:hAnsi="宋体" w:eastAsia="宋体" w:cs="宋体"/>
          <w:color w:val="000000" w:themeColor="text1"/>
          <w:szCs w:val="24"/>
          <w:highlight w:val="none"/>
          <w14:textFill>
            <w14:solidFill>
              <w14:schemeClr w14:val="tx1"/>
            </w14:solidFill>
          </w14:textFill>
        </w:rPr>
        <w:t xml:space="preserve">合同在书面通知到达对方时解除。</w:t>
      </w:r>
      <w:r/>
    </w:p>
    <w:p>
      <w:pPr>
        <w:ind w:firstLine="482"/>
        <w:spacing w:line="360" w:lineRule="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十二、不可抗力</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1、不可抗力指下列事件：战争、动乱、瘟疫、严重火灾、洪水、地震、风暴或其他自然灾害</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以及本合同各方不可预见、不可防止并不能避免或克服的一切其他因素及事件。</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2、任何一方因不可抗力不能履行本合同规定的全部或部分义务</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该方应尽快通知另一方</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并须在不可抗力发生后7日内以书面形式向另一方提供详细情况报告及不可抗力对履行本合同的影响程度的说明。就上述不可抗力的发生须由受到不可抗力影响的一方负责同时提供由公证机关做出的公证证明。</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3、发生不可抗力事件</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任何一方均不对因不可抗力无法履行或迟延履行本合同义务而使另一方蒙受的任何损失承担责任。但遭受不可抗力影响的一方有责任尽可能及时采取适当或必要措施减少或消除不可抗力的影响。遭受不可抗力影响的一方对因未尽本项责任而造成的相关损失承担责任。合同一方因不可抗力不能履行本合同的</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应当及时通知对方</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以减轻可能给对方造成的损失</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并应当在不可抗力发生之日起15日内提供权威部门出具的认定不可抗力的证明。</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4、合同各方应根据不可抗力对本合同履行的影响程度</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协商确定是否终止本合同</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或是继续履行本合同。</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5、本合同在执行过程中如遇政府征用土地或其他甲方不能预见的情形发生致使本合同无法履行</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应视为不可抗力事件</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甲方免责。本合同终止后甲方应支付乙方实际履行时间（天数）的服务款项（单价不予调整）。</w:t>
      </w:r>
      <w:r/>
    </w:p>
    <w:p>
      <w:pPr>
        <w:ind w:firstLine="482"/>
        <w:spacing w:line="360" w:lineRule="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十三、保密条款</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1、任何一方对其获知的本合同及附件中其他各方的商业秘密和国家秘密等非公开信息负有保密义务。</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2、在下列情形下：当国家机关调查、审查、审计时</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以及其他符合法律规定的情形下</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无须事先征求乙方同意而可以披露关于采购过程、合同文本、签署情况的资料、乙方的名称及地址、采购内容的有关信息以及补充条款等</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但应当在合理的必要范围内。对任何已经公布过的内容或与之内容相同的资料</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以及乙方已经泄露或公开的</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无须再承担保密责任。</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3、此外的其他情形下</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除非法律、法规另有规定或得到本合同之其他各方的书面许可</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任何一方不得向第三人泄露前款规定的商业秘密和国家秘密等非公开信息。保密期限自任何一方获知该商业秘密和国家秘密等非公开信息之日起至本条规定的秘密成为公开信息之日止。</w:t>
      </w:r>
      <w:r/>
    </w:p>
    <w:p>
      <w:pPr>
        <w:ind w:firstLine="482"/>
        <w:spacing w:line="360" w:lineRule="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十四、联系方式</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1、合同双方发出与本合同有关的通知或回复</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应以专人送递、传真或特快专递方式发出；如果以专人送递或特快专递发送</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以送达至对方的住所地或通讯联络地为送达；如果以传真方式发送</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发件人在收到传真报告后视为送达；如果采用电话或电子邮件的方式</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则应在发送后由对方以书面方式予以确认。</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2、合同双方发出的与本合同有关的通知或回复均应发至本合同首部载明的通讯地址</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一方变更通讯地址</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应自变更之日起3个工作日内</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将变更后的地址通知对方。变更方不履行通知义务的</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应对此造成的一切后果承担法律责任。</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3、上述发出通知、回复的费用由发出一方承担。</w:t>
      </w:r>
      <w:r/>
    </w:p>
    <w:p>
      <w:pPr>
        <w:ind w:firstLine="482"/>
        <w:spacing w:line="360" w:lineRule="auto"/>
        <w:rPr>
          <w:rFonts w:hint="eastAsia" w:ascii="宋体" w:hAnsi="宋体" w:eastAsia="宋体" w:cs="宋体"/>
          <w:b/>
          <w:color w:val="000000" w:themeColor="text1"/>
          <w:sz w:val="24"/>
          <w:szCs w:val="24"/>
          <w:highlight w:val="none"/>
          <w14:textFill>
            <w14:solidFill>
              <w14:schemeClr w14:val="tx1"/>
            </w14:solidFill>
          </w14:textFill>
        </w:rPr>
      </w:pPr>
      <w:r/>
      <w:bookmarkStart w:id="9" w:name="_Toc26807"/>
      <w:r/>
      <w:bookmarkStart w:id="10" w:name="_Toc9497"/>
      <w:r/>
      <w:bookmarkStart w:id="11" w:name="_Toc30329"/>
      <w:r/>
      <w:bookmarkStart w:id="12" w:name="_Toc18683"/>
      <w:r/>
      <w:bookmarkStart w:id="13" w:name="_Toc51257766"/>
      <w:r/>
      <w:bookmarkStart w:id="14" w:name="_Toc32454"/>
      <w:r>
        <w:rPr>
          <w:rFonts w:hint="eastAsia" w:ascii="宋体" w:hAnsi="宋体" w:eastAsia="宋体" w:cs="宋体"/>
          <w:b/>
          <w:color w:val="000000" w:themeColor="text1"/>
          <w:sz w:val="24"/>
          <w:szCs w:val="24"/>
          <w:highlight w:val="none"/>
          <w14:textFill>
            <w14:solidFill>
              <w14:schemeClr w14:val="tx1"/>
            </w14:solidFill>
          </w14:textFill>
        </w:rPr>
        <w:t xml:space="preserve">十五、争议的解决</w:t>
      </w:r>
      <w:bookmarkEnd w:id="9"/>
      <w:r/>
      <w:bookmarkEnd w:id="10"/>
      <w:r/>
      <w:bookmarkEnd w:id="11"/>
      <w:r/>
      <w:bookmarkEnd w:id="12"/>
      <w:r/>
      <w:bookmarkEnd w:id="13"/>
      <w:r/>
      <w:bookmarkEnd w:id="14"/>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与本合同有关的一切争议</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双方应通过友好协商解决。如果经协商不能达成协议</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可以向甲方所在地有管辖权的人民法院起诉。</w:t>
      </w:r>
      <w:r/>
    </w:p>
    <w:p>
      <w:pPr>
        <w:ind w:firstLine="482"/>
        <w:spacing w:line="360" w:lineRule="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十六、合同生效及其他</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1、本合同经甲乙双方签</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字盖</w:t>
      </w:r>
      <w:r>
        <w:rPr>
          <w:rFonts w:hint="eastAsia" w:ascii="宋体" w:hAnsi="宋体" w:eastAsia="宋体" w:cs="宋体"/>
          <w:bCs/>
          <w:color w:val="000000" w:themeColor="text1"/>
          <w:sz w:val="24"/>
          <w:szCs w:val="24"/>
          <w:highlight w:val="none"/>
          <w14:textFill>
            <w14:solidFill>
              <w14:schemeClr w14:val="tx1"/>
            </w14:solidFill>
          </w14:textFill>
        </w:rPr>
        <w:t xml:space="preserve">章之日起生效。</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2、本合同系指本文件及其附件中的所有部分</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招标文件、</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中标</w:t>
      </w:r>
      <w:r>
        <w:rPr>
          <w:rFonts w:hint="eastAsia" w:ascii="宋体" w:hAnsi="宋体" w:eastAsia="宋体" w:cs="宋体"/>
          <w:bCs/>
          <w:color w:val="000000" w:themeColor="text1"/>
          <w:sz w:val="24"/>
          <w:szCs w:val="24"/>
          <w:highlight w:val="none"/>
          <w14:textFill>
            <w14:solidFill>
              <w14:schemeClr w14:val="tx1"/>
            </w14:solidFill>
          </w14:textFill>
        </w:rPr>
        <w:t xml:space="preserve">的</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投标</w:t>
      </w:r>
      <w:r>
        <w:rPr>
          <w:rFonts w:hint="eastAsia" w:ascii="宋体" w:hAnsi="宋体" w:eastAsia="宋体" w:cs="宋体"/>
          <w:bCs/>
          <w:color w:val="000000" w:themeColor="text1"/>
          <w:sz w:val="24"/>
          <w:szCs w:val="24"/>
          <w:highlight w:val="none"/>
          <w14:textFill>
            <w14:solidFill>
              <w14:schemeClr w14:val="tx1"/>
            </w14:solidFill>
          </w14:textFill>
        </w:rPr>
        <w:t xml:space="preserve">文件、</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中标</w:t>
      </w:r>
      <w:r>
        <w:rPr>
          <w:rFonts w:hint="eastAsia" w:ascii="宋体" w:hAnsi="宋体" w:eastAsia="宋体" w:cs="宋体"/>
          <w:bCs/>
          <w:color w:val="000000" w:themeColor="text1"/>
          <w:sz w:val="24"/>
          <w:szCs w:val="24"/>
          <w:highlight w:val="none"/>
          <w14:textFill>
            <w14:solidFill>
              <w14:schemeClr w14:val="tx1"/>
            </w14:solidFill>
          </w14:textFill>
        </w:rPr>
        <w:t xml:space="preserve">通知书、</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乙方</w:t>
      </w:r>
      <w:r>
        <w:rPr>
          <w:rFonts w:hint="eastAsia" w:ascii="宋体" w:hAnsi="宋体" w:eastAsia="宋体" w:cs="宋体"/>
          <w:bCs/>
          <w:color w:val="000000" w:themeColor="text1"/>
          <w:sz w:val="24"/>
          <w:szCs w:val="24"/>
          <w:highlight w:val="none"/>
          <w14:textFill>
            <w14:solidFill>
              <w14:schemeClr w14:val="tx1"/>
            </w14:solidFill>
          </w14:textFill>
        </w:rPr>
        <w:t xml:space="preserve">在招标过程中的澄清和承诺等为本合同不可缺少的组成部分。本合同履行过程中发生相关修改内容</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须符合《中华人民共和国政府采购法》和相关法律法规规定；补充协议作为本合同不可分割的一部分。</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3、本合同壹式肆份</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甲乙双方各执壹份</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采购代理机构贰份</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具有同等法律效力。</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4、本合同应按照中华人民共和国的现行法律进行解释。</w:t>
      </w:r>
      <w:r/>
    </w:p>
    <w:p>
      <w:pPr>
        <w:pStyle w:val="753"/>
        <w:ind w:left="0" w:firstLine="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甲    方：                            </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bCs/>
          <w:color w:val="000000" w:themeColor="text1"/>
          <w:sz w:val="24"/>
          <w:szCs w:val="24"/>
          <w:highlight w:val="none"/>
          <w14:textFill>
            <w14:solidFill>
              <w14:schemeClr w14:val="tx1"/>
            </w14:solidFill>
          </w14:textFill>
        </w:rPr>
        <w:t xml:space="preserve">乙    方：</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名称(公章)：                         </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bCs/>
          <w:color w:val="000000" w:themeColor="text1"/>
          <w:sz w:val="24"/>
          <w:szCs w:val="24"/>
          <w:highlight w:val="none"/>
          <w14:textFill>
            <w14:solidFill>
              <w14:schemeClr w14:val="tx1"/>
            </w14:solidFill>
          </w14:textFill>
        </w:rPr>
        <w:t xml:space="preserve">名称(公章)：</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法定代表人/负责人：   </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bCs/>
          <w:color w:val="000000" w:themeColor="text1"/>
          <w:sz w:val="24"/>
          <w:szCs w:val="24"/>
          <w:highlight w:val="none"/>
          <w14:textFill>
            <w14:solidFill>
              <w14:schemeClr w14:val="tx1"/>
            </w14:solidFill>
          </w14:textFill>
        </w:rPr>
        <w:t xml:space="preserve"> </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bCs/>
          <w:color w:val="000000" w:themeColor="text1"/>
          <w:sz w:val="24"/>
          <w:szCs w:val="24"/>
          <w:highlight w:val="none"/>
          <w14:textFill>
            <w14:solidFill>
              <w14:schemeClr w14:val="tx1"/>
            </w14:solidFill>
          </w14:textFill>
        </w:rPr>
        <w:t xml:space="preserve">法定代表人/负责人：</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或授权代理人                         </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bCs/>
          <w:color w:val="000000" w:themeColor="text1"/>
          <w:sz w:val="24"/>
          <w:szCs w:val="24"/>
          <w:highlight w:val="none"/>
          <w14:textFill>
            <w14:solidFill>
              <w14:schemeClr w14:val="tx1"/>
            </w14:solidFill>
          </w14:textFill>
        </w:rPr>
        <w:t xml:space="preserve"> 或授权代理人：</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（签字） </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bCs/>
          <w:color w:val="000000" w:themeColor="text1"/>
          <w:sz w:val="24"/>
          <w:szCs w:val="24"/>
          <w:highlight w:val="none"/>
          <w14:textFill>
            <w14:solidFill>
              <w14:schemeClr w14:val="tx1"/>
            </w14:solidFill>
          </w14:textFill>
        </w:rPr>
        <w:t xml:space="preserve">（签字）</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签订日期：                            </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bCs/>
          <w:color w:val="000000" w:themeColor="text1"/>
          <w:sz w:val="24"/>
          <w:szCs w:val="24"/>
          <w:highlight w:val="none"/>
          <w14:textFill>
            <w14:solidFill>
              <w14:schemeClr w14:val="tx1"/>
            </w14:solidFill>
          </w14:textFill>
        </w:rPr>
        <w:t xml:space="preserve">签订日期：</w:t>
      </w:r>
      <w:r/>
    </w:p>
    <w:p>
      <w:pPr>
        <w:rPr>
          <w:rFonts w:hint="eastAsia"/>
          <w:color w:val="000000" w:themeColor="text1"/>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br w:type="page" w:clear="all"/>
      </w:r>
      <w:r/>
    </w:p>
    <w:p>
      <w:pPr>
        <w:jc w:val="center"/>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第六章 </w:t>
      </w: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评分方法和</w:t>
      </w:r>
      <w:r>
        <w:rPr>
          <w:rFonts w:hint="eastAsia" w:ascii="宋体" w:hAnsi="宋体" w:eastAsia="宋体" w:cs="宋体"/>
          <w:b/>
          <w:bCs w:val="0"/>
          <w:color w:val="000000" w:themeColor="text1"/>
          <w:sz w:val="24"/>
          <w:szCs w:val="24"/>
          <w:highlight w:val="none"/>
          <w14:textFill>
            <w14:solidFill>
              <w14:schemeClr w14:val="tx1"/>
            </w14:solidFill>
          </w14:textFill>
        </w:rPr>
        <w:t xml:space="preserve">评分标准</w:t>
      </w:r>
      <w:r/>
    </w:p>
    <w:p>
      <w:pPr>
        <w:ind w:firstLine="482"/>
        <w:spacing w:line="360" w:lineRule="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一、评</w:t>
      </w:r>
      <w:r>
        <w:rPr>
          <w:rFonts w:hint="eastAsia" w:ascii="宋体" w:hAnsi="宋体" w:eastAsia="宋体" w:cs="宋体"/>
          <w:b/>
          <w:color w:val="000000" w:themeColor="text1"/>
          <w:sz w:val="24"/>
          <w:szCs w:val="24"/>
          <w:highlight w:val="none"/>
          <w:lang w:val="en-US" w:eastAsia="zh-CN"/>
          <w14:textFill>
            <w14:solidFill>
              <w14:schemeClr w14:val="tx1"/>
            </w14:solidFill>
          </w14:textFill>
        </w:rPr>
        <w:t xml:space="preserve">分方法</w:t>
      </w:r>
      <w:r>
        <w:rPr>
          <w:rFonts w:hint="eastAsia" w:ascii="宋体" w:hAnsi="宋体" w:eastAsia="宋体" w:cs="宋体"/>
          <w:b/>
          <w:color w:val="000000" w:themeColor="text1"/>
          <w:sz w:val="24"/>
          <w:szCs w:val="24"/>
          <w:highlight w:val="none"/>
          <w14:textFill>
            <w14:solidFill>
              <w14:schemeClr w14:val="tx1"/>
            </w14:solidFill>
          </w14:textFill>
        </w:rPr>
        <w:t xml:space="preserve">：</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1、本次招标评标采用为综合评分法，即指投标文件满足招标文件全部实质性要求，且按照评审因素的量化指标评审得分最高的投标人为中标候选人的评标方法。</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2、评标委员会各成员审查每份投标文件是否实质响应了招标文件的要求，非实质性响应的投标文件将被拒绝，也不进行评审。</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3、评标委员会各成员独立对每个进入打分程序的有效投标人的标书技术部分以打分的形式进行评审和评价。对评委的评分进行统计汇总时算术平均计算得分（计算结果均四舍五入保留两位小数）。</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评委评审得分和投标报价得分相加为投标人的评标总得分。如出现评标总得分最高的投标人有两个或两个以上的，以投标报价较低者优先作为中标候选人；如果投标报价也相同的，则由评标委员会组织以抽签方式确定。</w:t>
      </w:r>
      <w:r/>
    </w:p>
    <w:p>
      <w:pPr>
        <w:ind w:firstLine="482"/>
        <w:spacing w:line="360" w:lineRule="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二、评分标准：</w:t>
      </w:r>
      <w:r/>
    </w:p>
    <w:p>
      <w:pPr>
        <w:ind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总分值为100分，评审因素及各比重如下：价格分值占总分值的比重为</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0％（权重），技术及其他分值占总分值的比重为</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9</w:t>
      </w:r>
      <w:r>
        <w:rPr>
          <w:rFonts w:hint="eastAsia" w:ascii="宋体" w:hAnsi="宋体" w:eastAsia="宋体" w:cs="宋体"/>
          <w:color w:val="000000" w:themeColor="text1"/>
          <w:sz w:val="24"/>
          <w:szCs w:val="24"/>
          <w:highlight w:val="none"/>
          <w14:textFill>
            <w14:solidFill>
              <w14:schemeClr w14:val="tx1"/>
            </w14:solidFill>
          </w14:textFill>
        </w:rPr>
        <w:t xml:space="preserve">0％（权重）。</w:t>
      </w:r>
      <w:r/>
    </w:p>
    <w:p>
      <w:pPr>
        <w:numPr>
          <w:ilvl w:val="0"/>
          <w:numId w:val="0"/>
        </w:numPr>
        <w:ind w:left="-20" w:firstLine="482"/>
        <w:spacing w:line="360" w:lineRule="auto"/>
        <w:rPr>
          <w:rFonts w:hint="eastAsia" w:ascii="宋体" w:hAnsi="宋体" w:eastAsia="宋体" w:cs="宋体"/>
          <w:b/>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color w:val="000000" w:themeColor="text1"/>
          <w:sz w:val="24"/>
          <w:szCs w:val="24"/>
          <w:highlight w:val="none"/>
          <w:lang w:val="en-US" w:eastAsia="zh-CN" w:bidi="ar-SA"/>
          <w14:textFill>
            <w14:solidFill>
              <w14:schemeClr w14:val="tx1"/>
            </w14:solidFill>
          </w14:textFill>
        </w:rPr>
        <w:t xml:space="preserve">（一）</w:t>
      </w:r>
      <w:r>
        <w:rPr>
          <w:rFonts w:hint="eastAsia" w:ascii="宋体" w:hAnsi="宋体" w:eastAsia="宋体" w:cs="宋体"/>
          <w:b/>
          <w:color w:val="000000" w:themeColor="text1"/>
          <w:sz w:val="24"/>
          <w:szCs w:val="24"/>
          <w:highlight w:val="none"/>
          <w14:textFill>
            <w14:solidFill>
              <w14:schemeClr w14:val="tx1"/>
            </w14:solidFill>
          </w14:textFill>
        </w:rPr>
        <w:t xml:space="preserve">价格分值</w:t>
      </w:r>
      <w:r>
        <w:rPr>
          <w:rFonts w:hint="eastAsia" w:ascii="宋体" w:hAnsi="宋体" w:eastAsia="宋体" w:cs="宋体"/>
          <w:b/>
          <w:color w:val="000000" w:themeColor="text1"/>
          <w:sz w:val="24"/>
          <w:szCs w:val="24"/>
          <w:highlight w:val="none"/>
          <w:lang w:val="en-US" w:eastAsia="zh-CN" w:bidi="ar-SA"/>
          <w14:textFill>
            <w14:solidFill>
              <w14:schemeClr w14:val="tx1"/>
            </w14:solidFill>
          </w14:textFill>
        </w:rPr>
        <w:t xml:space="preserve">：10分</w:t>
      </w:r>
      <w:r/>
    </w:p>
    <w:p>
      <w:pPr>
        <w:ind w:firstLine="42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第一步：投标报价不高于采购预算及最高限价的为有效报价，超出此范围的投标报价为无效报价，其投标文件不予评审，也不得标。</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第二步：以满足</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招标</w:t>
      </w:r>
      <w:r>
        <w:rPr>
          <w:rFonts w:hint="eastAsia" w:ascii="宋体" w:hAnsi="宋体" w:eastAsia="宋体" w:cs="宋体"/>
          <w:color w:val="000000" w:themeColor="text1"/>
          <w:sz w:val="24"/>
          <w:szCs w:val="24"/>
          <w:highlight w:val="none"/>
          <w14:textFill>
            <w14:solidFill>
              <w14:schemeClr w14:val="tx1"/>
            </w14:solidFill>
          </w14:textFill>
        </w:rPr>
        <w:t xml:space="preserve">文件实质性要求且投标价格最低的投标有效报价为评标基准价，其价格分为满分，即</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0分。其他有效投标报价得分统一按照下列公式计算：（计算结果均四舍五入保留两位小数）</w:t>
      </w:r>
      <w:r/>
    </w:p>
    <w:p>
      <w:pPr>
        <w:ind w:firstLine="420"/>
        <w:spacing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投标报价得分＝（基准报价/投标报价）×</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9</w:t>
      </w:r>
      <w:r>
        <w:rPr>
          <w:rFonts w:hint="eastAsia" w:ascii="宋体" w:hAnsi="宋体" w:eastAsia="宋体" w:cs="宋体"/>
          <w:color w:val="000000" w:themeColor="text1"/>
          <w:sz w:val="24"/>
          <w:szCs w:val="24"/>
          <w:highlight w:val="none"/>
          <w14:textFill>
            <w14:solidFill>
              <w14:schemeClr w14:val="tx1"/>
            </w14:solidFill>
          </w14:textFill>
        </w:rPr>
        <w:t xml:space="preserve">0％×100</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ind w:firstLine="480"/>
        <w:spacing w:line="360" w:lineRule="auto"/>
        <w:rPr>
          <w:rFonts w:hint="eastAsia" w:ascii="宋体" w:hAnsi="宋体" w:eastAsia="宋体" w:cs="宋体"/>
          <w:b/>
          <w:bCs/>
          <w:color w:val="000000" w:themeColor="text1"/>
          <w:sz w:val="24"/>
          <w:szCs w:val="24"/>
          <w:highlight w:val="none"/>
          <w:lang w:eastAsia="zh-CN"/>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（二）技术</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方案（70</w:t>
      </w:r>
      <w:r>
        <w:rPr>
          <w:rFonts w:hint="eastAsia" w:ascii="宋体" w:hAnsi="宋体" w:eastAsia="宋体" w:cs="宋体"/>
          <w:b/>
          <w:bCs/>
          <w:color w:val="000000" w:themeColor="text1"/>
          <w:sz w:val="24"/>
          <w:szCs w:val="24"/>
          <w:highlight w:val="none"/>
          <w14:textFill>
            <w14:solidFill>
              <w14:schemeClr w14:val="tx1"/>
            </w14:solidFill>
          </w14:textFill>
        </w:rPr>
        <w:t xml:space="preserve">分</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w:t>
      </w:r>
      <w:r/>
    </w:p>
    <w:p>
      <w:pPr>
        <w:ind w:firstLine="482"/>
        <w:spacing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b/>
          <w:bCs/>
          <w:color w:val="000000" w:themeColor="text1"/>
          <w:sz w:val="24"/>
          <w:szCs w:val="24"/>
          <w:highlight w:val="none"/>
          <w14:textFill>
            <w14:solidFill>
              <w14:schemeClr w14:val="tx1"/>
            </w14:solidFill>
          </w14:textFill>
        </w:rPr>
        <w:t xml:space="preserve">项目需求和重点难点分析：</w:t>
      </w:r>
      <w:r>
        <w:rPr>
          <w:rFonts w:hint="eastAsia" w:ascii="宋体" w:hAnsi="宋体" w:eastAsia="宋体" w:cs="宋体"/>
          <w:color w:val="000000" w:themeColor="text1"/>
          <w:sz w:val="24"/>
          <w:szCs w:val="24"/>
          <w:highlight w:val="none"/>
          <w14:textFill>
            <w14:solidFill>
              <w14:schemeClr w14:val="tx1"/>
            </w14:solidFill>
          </w14:textFill>
        </w:rPr>
        <w:t xml:space="preserve">需求理解透彻、重点难点部分把握准确、理解分析到位的得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10</w:t>
      </w:r>
      <w:r>
        <w:rPr>
          <w:rFonts w:hint="eastAsia" w:ascii="宋体" w:hAnsi="宋体" w:eastAsia="宋体" w:cs="宋体"/>
          <w:color w:val="000000" w:themeColor="text1"/>
          <w:sz w:val="24"/>
          <w:szCs w:val="24"/>
          <w:highlight w:val="none"/>
          <w14:textFill>
            <w14:solidFill>
              <w14:schemeClr w14:val="tx1"/>
            </w14:solidFill>
          </w14:textFill>
        </w:rPr>
        <w:t xml:space="preserve">分；需求理解较清晰，重点难点部分把握基本准确、理解分析较清晰的得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分；需求理解不足，重点难点部分把握不够准确、理解分析简单笼统的得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分；未提供方案的不得分</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ind w:firstLine="482"/>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
          <w:bCs/>
          <w:color w:val="000000" w:themeColor="text1"/>
          <w:sz w:val="24"/>
          <w:szCs w:val="24"/>
          <w:highlight w:val="none"/>
          <w14:textFill>
            <w14:solidFill>
              <w14:schemeClr w14:val="tx1"/>
            </w14:solidFill>
          </w14:textFill>
        </w:rPr>
        <w:t xml:space="preserve">项目管理方案：</w:t>
      </w:r>
      <w:r>
        <w:rPr>
          <w:rFonts w:hint="eastAsia" w:ascii="宋体" w:hAnsi="宋体" w:eastAsia="宋体" w:cs="宋体"/>
          <w:color w:val="000000" w:themeColor="text1"/>
          <w:sz w:val="24"/>
          <w:szCs w:val="24"/>
          <w:highlight w:val="none"/>
          <w14:textFill>
            <w14:solidFill>
              <w14:schemeClr w14:val="tx1"/>
            </w14:solidFill>
          </w14:textFill>
        </w:rPr>
        <w:t xml:space="preserve">组织机构设置全备、各项制度健全、责任分工明确、工作协调措施得当的得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10</w:t>
      </w:r>
      <w:r>
        <w:rPr>
          <w:rFonts w:hint="eastAsia" w:ascii="宋体" w:hAnsi="宋体" w:eastAsia="宋体" w:cs="宋体"/>
          <w:color w:val="000000" w:themeColor="text1"/>
          <w:sz w:val="24"/>
          <w:szCs w:val="24"/>
          <w:highlight w:val="none"/>
          <w14:textFill>
            <w14:solidFill>
              <w14:schemeClr w14:val="tx1"/>
            </w14:solidFill>
          </w14:textFill>
        </w:rPr>
        <w:t xml:space="preserve">分；组织机构设置较全、各项制度较全、责任分工较明确、工作协调措施较得当的得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分；组织机构设置不全、各项制度不足，责任分工不明、工作协调措施不当的得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分；未提供方案的不得分</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ind w:firstLine="482"/>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b/>
          <w:bCs/>
          <w:color w:val="000000" w:themeColor="text1"/>
          <w:sz w:val="24"/>
          <w:szCs w:val="24"/>
          <w:highlight w:val="none"/>
          <w14:textFill>
            <w14:solidFill>
              <w14:schemeClr w14:val="tx1"/>
            </w14:solidFill>
          </w14:textFill>
        </w:rPr>
        <w:t xml:space="preserve">项目进度控制方案：</w:t>
      </w:r>
      <w:r>
        <w:rPr>
          <w:rFonts w:hint="eastAsia" w:ascii="宋体" w:hAnsi="宋体" w:eastAsia="宋体" w:cs="宋体"/>
          <w:color w:val="000000" w:themeColor="text1"/>
          <w:sz w:val="24"/>
          <w:szCs w:val="24"/>
          <w:highlight w:val="none"/>
          <w14:textFill>
            <w14:solidFill>
              <w14:schemeClr w14:val="tx1"/>
            </w14:solidFill>
          </w14:textFill>
        </w:rPr>
        <w:t xml:space="preserve">方案详细完整、进度控制科学性合理性强、进度保障措施有力的得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10</w:t>
      </w:r>
      <w:r>
        <w:rPr>
          <w:rFonts w:hint="eastAsia" w:ascii="宋体" w:hAnsi="宋体" w:eastAsia="宋体" w:cs="宋体"/>
          <w:color w:val="000000" w:themeColor="text1"/>
          <w:sz w:val="24"/>
          <w:szCs w:val="24"/>
          <w:highlight w:val="none"/>
          <w14:textFill>
            <w14:solidFill>
              <w14:schemeClr w14:val="tx1"/>
            </w14:solidFill>
          </w14:textFill>
        </w:rPr>
        <w:t xml:space="preserve">分；方案较为完整、进度控制科学性合理性一般、进度保障措施一般的得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分；方案简单笼统、进度控制科学性合理性弱、进度保障措施不足的得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分；未提供方案的不得分</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ind w:firstLine="482"/>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b/>
          <w:bCs/>
          <w:color w:val="000000" w:themeColor="text1"/>
          <w:sz w:val="24"/>
          <w:szCs w:val="24"/>
          <w:highlight w:val="none"/>
          <w14:textFill>
            <w14:solidFill>
              <w14:schemeClr w14:val="tx1"/>
            </w14:solidFill>
          </w14:textFill>
        </w:rPr>
        <w:t xml:space="preserve">项目安装、调试、维保的实施方案：</w:t>
      </w:r>
      <w:r>
        <w:rPr>
          <w:rFonts w:hint="eastAsia" w:ascii="宋体" w:hAnsi="宋体" w:eastAsia="宋体" w:cs="宋体"/>
          <w:color w:val="000000" w:themeColor="text1"/>
          <w:sz w:val="24"/>
          <w:szCs w:val="24"/>
          <w:highlight w:val="none"/>
          <w14:textFill>
            <w14:solidFill>
              <w14:schemeClr w14:val="tx1"/>
            </w14:solidFill>
          </w14:textFill>
        </w:rPr>
        <w:t xml:space="preserve">方案详细完整、措施针对性可行性强、实施流程标准规范的得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10</w:t>
      </w:r>
      <w:r>
        <w:rPr>
          <w:rFonts w:hint="eastAsia" w:ascii="宋体" w:hAnsi="宋体" w:eastAsia="宋体" w:cs="宋体"/>
          <w:color w:val="000000" w:themeColor="text1"/>
          <w:sz w:val="24"/>
          <w:szCs w:val="24"/>
          <w:highlight w:val="none"/>
          <w14:textFill>
            <w14:solidFill>
              <w14:schemeClr w14:val="tx1"/>
            </w14:solidFill>
          </w14:textFill>
        </w:rPr>
        <w:t xml:space="preserve">分；方案较为完整、措施针对性可行性一般、实施流程基本规范的得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分；方案简单笼统、措施针对性可行性弱、实施流程规范性不足的得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分；未提供方案的不得分</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ind w:firstLine="482"/>
        <w:spacing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b/>
          <w:bCs/>
          <w:color w:val="000000" w:themeColor="text1"/>
          <w:sz w:val="24"/>
          <w:szCs w:val="24"/>
          <w:highlight w:val="none"/>
          <w14:textFill>
            <w14:solidFill>
              <w14:schemeClr w14:val="tx1"/>
            </w14:solidFill>
          </w14:textFill>
        </w:rPr>
        <w:t xml:space="preserve">项目质量保障、安全保障和突发事件应急处理措施：</w:t>
      </w:r>
      <w:r>
        <w:rPr>
          <w:rFonts w:hint="eastAsia" w:ascii="宋体" w:hAnsi="宋体" w:eastAsia="宋体" w:cs="宋体"/>
          <w:color w:val="000000" w:themeColor="text1"/>
          <w:sz w:val="24"/>
          <w:szCs w:val="24"/>
          <w:highlight w:val="none"/>
          <w14:textFill>
            <w14:solidFill>
              <w14:schemeClr w14:val="tx1"/>
            </w14:solidFill>
          </w14:textFill>
        </w:rPr>
        <w:t xml:space="preserve">方案详细完整、措施针对性可行性强、保障有力的的得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10</w:t>
      </w:r>
      <w:r>
        <w:rPr>
          <w:rFonts w:hint="eastAsia" w:ascii="宋体" w:hAnsi="宋体" w:eastAsia="宋体" w:cs="宋体"/>
          <w:color w:val="000000" w:themeColor="text1"/>
          <w:sz w:val="24"/>
          <w:szCs w:val="24"/>
          <w:highlight w:val="none"/>
          <w14:textFill>
            <w14:solidFill>
              <w14:schemeClr w14:val="tx1"/>
            </w14:solidFill>
          </w14:textFill>
        </w:rPr>
        <w:t xml:space="preserve">分；方案较为完整、措施针对性可行性一般、保障一般的得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分；方案简单笼统、措施针对性可行性弱、保障不足的得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分；未提供方案的不得分</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ind w:firstLine="482"/>
        <w:spacing w:line="360" w:lineRule="auto"/>
        <w:rPr>
          <w:rFonts w:hint="eastAsia" w:ascii="宋体" w:hAnsi="宋体" w:eastAsia="宋体" w:cs="宋体"/>
          <w:color w:val="000000" w:themeColor="text1"/>
          <w:sz w:val="24"/>
          <w:szCs w:val="24"/>
          <w:highlight w:val="none"/>
          <w:lang w:val="zh-CN"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6、服务要求：</w:t>
      </w: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针对</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招标</w:t>
      </w: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文件中列出的</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服务</w:t>
      </w: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要求，提供响应产品</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性能指标</w:t>
      </w: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对照表（格式自拟，供应商须并对照采购要求逐条列出，在</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投标</w:t>
      </w: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文件中对应列出全部响应产品的</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性能</w:t>
      </w: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项，并注明“无偏离”或“负偏离”，不得遗漏）。响应产品全部满足或高于采购要求的视为无偏离，得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20</w:t>
      </w: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分；</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其中：标注“</w:t>
      </w: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”性能指标若出现负偏离每项扣2分；其他一般性能指标若出现负偏离每项扣1分。</w:t>
      </w:r>
      <w:r/>
    </w:p>
    <w:p>
      <w:pPr>
        <w:ind w:firstLine="480"/>
        <w:spacing w:line="360" w:lineRule="auto"/>
        <w:rPr>
          <w:rFonts w:hint="eastAsia" w:ascii="宋体" w:hAnsi="宋体" w:eastAsia="宋体" w:cs="宋体"/>
          <w:color w:val="000000" w:themeColor="text1"/>
          <w:sz w:val="24"/>
          <w:szCs w:val="24"/>
          <w:highlight w:val="none"/>
          <w:lang w:val="zh-CN" w:eastAsia="zh-CN"/>
          <w14:textFill>
            <w14:solidFill>
              <w14:schemeClr w14:val="tx1"/>
            </w14:solidFill>
          </w14:textFill>
        </w:rPr>
      </w:pP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注：</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服务使用</w:t>
      </w: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产品要求中的“▲”标项须提供由法定计量检定机构出具的检验（检测）报告，且检验（检测）依据须为最新国家标准，同时上述检验（检测）报告所示检验（检测）结果达到或优于所列的内容及要求的视为无偏离，否则视为负偏离。</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须在其投标文件中提供上述可清晰辨识的检验（检测）报告复印件。</w:t>
      </w:r>
      <w:r/>
    </w:p>
    <w:p>
      <w:pPr>
        <w:ind w:firstLine="480"/>
        <w:spacing w:line="360" w:lineRule="auto"/>
        <w:rPr>
          <w:rFonts w:hint="eastAsia" w:ascii="宋体" w:hAnsi="宋体" w:eastAsia="宋体" w:cs="宋体"/>
          <w:b/>
          <w:bCs/>
          <w:color w:val="000000" w:themeColor="text1"/>
          <w:sz w:val="24"/>
          <w:szCs w:val="24"/>
          <w:highlight w:val="none"/>
          <w:lang w:eastAsia="zh-CN"/>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三</w:t>
      </w:r>
      <w:r>
        <w:rPr>
          <w:rFonts w:hint="eastAsia" w:ascii="宋体" w:hAnsi="宋体" w:eastAsia="宋体" w:cs="宋体"/>
          <w:b/>
          <w:bCs/>
          <w:color w:val="000000" w:themeColor="text1"/>
          <w:sz w:val="24"/>
          <w:szCs w:val="24"/>
          <w:highlight w:val="none"/>
          <w14:textFill>
            <w14:solidFill>
              <w14:schemeClr w14:val="tx1"/>
            </w14:solidFill>
          </w14:textFill>
        </w:rPr>
        <w:t xml:space="preserve">）</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商务要求（20</w:t>
      </w:r>
      <w:r>
        <w:rPr>
          <w:rFonts w:hint="eastAsia" w:ascii="宋体" w:hAnsi="宋体" w:eastAsia="宋体" w:cs="宋体"/>
          <w:b/>
          <w:bCs/>
          <w:color w:val="000000" w:themeColor="text1"/>
          <w:sz w:val="24"/>
          <w:szCs w:val="24"/>
          <w:highlight w:val="none"/>
          <w14:textFill>
            <w14:solidFill>
              <w14:schemeClr w14:val="tx1"/>
            </w14:solidFill>
          </w14:textFill>
        </w:rPr>
        <w:t xml:space="preserve">分</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w:t>
      </w:r>
      <w:r/>
    </w:p>
    <w:p>
      <w:pPr>
        <w:ind w:firstLine="482"/>
        <w:spacing w:line="360" w:lineRule="auto"/>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bookmarkStart w:id="15" w:name="_GoBack"/>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b/>
          <w:bCs/>
          <w:color w:val="000000" w:themeColor="text1"/>
          <w:sz w:val="24"/>
          <w:szCs w:val="24"/>
          <w:highlight w:val="none"/>
          <w:lang w:val="zh-CN" w:eastAsia="zh-CN"/>
          <w14:textFill>
            <w14:solidFill>
              <w14:schemeClr w14:val="tx1"/>
            </w14:solidFill>
          </w14:textFill>
        </w:rPr>
        <w:t xml:space="preserve">对供应商的综合评价（</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8分</w:t>
      </w:r>
      <w:r>
        <w:rPr>
          <w:rFonts w:hint="eastAsia" w:ascii="宋体" w:hAnsi="宋体" w:eastAsia="宋体" w:cs="宋体"/>
          <w:b/>
          <w:bCs/>
          <w:color w:val="000000" w:themeColor="text1"/>
          <w:sz w:val="24"/>
          <w:szCs w:val="24"/>
          <w:highlight w:val="none"/>
          <w:lang w:val="zh-CN" w:eastAsia="zh-CN"/>
          <w14:textFill>
            <w14:solidFill>
              <w14:schemeClr w14:val="tx1"/>
            </w14:solidFill>
          </w14:textFill>
        </w:rPr>
        <w:t xml:space="preserve">）</w:t>
      </w:r>
      <w:r/>
    </w:p>
    <w:p>
      <w:pPr>
        <w:ind w:firstLine="48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）供应商具备在有效期内的CMMI等级证书，每有一张得3分，最高得6分，不提供不得分</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bookmarkEnd w:id="15"/>
      <w:r/>
    </w:p>
    <w:p>
      <w:pPr>
        <w:ind w:firstLine="480"/>
        <w:spacing w:line="360" w:lineRule="auto"/>
        <w:rPr>
          <w:rFonts w:hint="eastAsia" w:ascii="宋体" w:hAnsi="宋体" w:eastAsia="宋体" w:cs="宋体"/>
          <w:color w:val="000000" w:themeColor="text1"/>
          <w:sz w:val="24"/>
          <w:szCs w:val="24"/>
          <w:highlight w:val="none"/>
          <w:lang w:val="zh-CN" w:eastAsia="zh-CN"/>
          <w14:textFill>
            <w14:solidFill>
              <w14:schemeClr w14:val="tx1"/>
            </w14:solidFill>
          </w14:textFill>
        </w:rPr>
      </w:pP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）供应商具备在有效期内的：质量管理体系认证证书的得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分；信息安全管理体系认证证书得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分；本项最高</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分。</w:t>
      </w:r>
      <w:r>
        <w:rPr>
          <w:rFonts w:hint="eastAsia" w:ascii="宋体" w:hAnsi="宋体" w:eastAsia="宋体" w:cs="宋体"/>
          <w:b/>
          <w:bCs/>
          <w:color w:val="000000" w:themeColor="text1"/>
          <w:sz w:val="24"/>
          <w:szCs w:val="24"/>
          <w:highlight w:val="none"/>
          <w:lang w:val="zh-CN" w:eastAsia="zh-CN"/>
          <w14:textFill>
            <w14:solidFill>
              <w14:schemeClr w14:val="tx1"/>
            </w14:solidFill>
          </w14:textFill>
        </w:rPr>
        <w:t xml:space="preserve">（上述认证范围须与本项目相关，且证书须在中国国家认证认可监督管理委员会官网可查并在</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投标</w:t>
      </w:r>
      <w:r>
        <w:rPr>
          <w:rFonts w:hint="eastAsia" w:ascii="宋体" w:hAnsi="宋体" w:eastAsia="宋体" w:cs="宋体"/>
          <w:b/>
          <w:bCs/>
          <w:color w:val="000000" w:themeColor="text1"/>
          <w:sz w:val="24"/>
          <w:szCs w:val="24"/>
          <w:highlight w:val="none"/>
          <w:lang w:val="zh-CN" w:eastAsia="zh-CN"/>
          <w14:textFill>
            <w14:solidFill>
              <w14:schemeClr w14:val="tx1"/>
            </w14:solidFill>
          </w14:textFill>
        </w:rPr>
        <w:t xml:space="preserve">文件中提供查询页面完整截图，否则不得分）</w:t>
      </w:r>
      <w:r/>
    </w:p>
    <w:p>
      <w:pPr>
        <w:ind w:firstLine="482"/>
        <w:spacing w:line="360" w:lineRule="auto"/>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
          <w:bCs/>
          <w:color w:val="000000" w:themeColor="text1"/>
          <w:sz w:val="24"/>
          <w:szCs w:val="24"/>
          <w:highlight w:val="none"/>
          <w:lang w:val="zh-CN" w:eastAsia="zh-CN"/>
          <w14:textFill>
            <w14:solidFill>
              <w14:schemeClr w14:val="tx1"/>
            </w14:solidFill>
          </w14:textFill>
        </w:rPr>
        <w:t xml:space="preserve">人力资源配置（</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9分</w:t>
      </w:r>
      <w:r>
        <w:rPr>
          <w:rFonts w:hint="eastAsia" w:ascii="宋体" w:hAnsi="宋体" w:eastAsia="宋体" w:cs="宋体"/>
          <w:b/>
          <w:bCs/>
          <w:color w:val="000000" w:themeColor="text1"/>
          <w:sz w:val="24"/>
          <w:szCs w:val="24"/>
          <w:highlight w:val="none"/>
          <w:lang w:val="zh-CN" w:eastAsia="zh-CN"/>
          <w14:textFill>
            <w14:solidFill>
              <w14:schemeClr w14:val="tx1"/>
            </w14:solidFill>
          </w14:textFill>
        </w:rPr>
        <w:t xml:space="preserve">）</w:t>
      </w:r>
      <w:r/>
    </w:p>
    <w:p>
      <w:pPr>
        <w:ind w:firstLine="480"/>
        <w:jc w:val="both"/>
        <w:spacing w:line="360" w:lineRule="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项目负责人（1人）具备：电子工程专业工程师职称，最高3分。</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color w:val="000000" w:themeColor="text1"/>
          <w:sz w:val="24"/>
          <w:szCs w:val="24"/>
          <w:highlight w:val="none"/>
          <w14:textFill>
            <w14:solidFill>
              <w14:schemeClr w14:val="tx1"/>
            </w14:solidFill>
          </w14:textFill>
        </w:rPr>
        <w:t xml:space="preserve">提供证书原件扫描件</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及投标</w:t>
      </w:r>
      <w:r>
        <w:rPr>
          <w:rFonts w:hint="eastAsia" w:ascii="宋体" w:hAnsi="宋体" w:eastAsia="宋体" w:cs="宋体"/>
          <w:b/>
          <w:bCs/>
          <w:color w:val="000000" w:themeColor="text1"/>
          <w:sz w:val="24"/>
          <w:szCs w:val="24"/>
          <w:highlight w:val="none"/>
          <w14:textFill>
            <w14:solidFill>
              <w14:schemeClr w14:val="tx1"/>
            </w14:solidFill>
          </w14:textFill>
        </w:rPr>
        <w:t xml:space="preserve">单位为其缴纳的最近期社保证明</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color w:val="000000" w:themeColor="text1"/>
          <w:sz w:val="24"/>
          <w:szCs w:val="24"/>
          <w:highlight w:val="none"/>
          <w14:textFill>
            <w14:solidFill>
              <w14:schemeClr w14:val="tx1"/>
            </w14:solidFill>
          </w14:textFill>
        </w:rPr>
        <w:t xml:space="preserve">资料提供不全或无法证明的该项不得分</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w:t>
      </w:r>
      <w:r/>
    </w:p>
    <w:p>
      <w:pPr>
        <w:ind w:firstLine="480"/>
        <w:jc w:val="both"/>
        <w:spacing w:line="360" w:lineRule="auto"/>
        <w:widowControl w:val="off"/>
        <w:rPr>
          <w:rFonts w:hint="eastAsia" w:ascii="宋体" w:hAnsi="宋体" w:eastAsia="宋体" w:cs="宋体"/>
          <w:b/>
          <w:bCs/>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技术负责人（2人，项目负责人除外）具备：信息系统项目管理师、网络安全类证书，每有1个得2分，最高4分。</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color w:val="000000" w:themeColor="text1"/>
          <w:sz w:val="24"/>
          <w:szCs w:val="24"/>
          <w:highlight w:val="none"/>
          <w14:textFill>
            <w14:solidFill>
              <w14:schemeClr w14:val="tx1"/>
            </w14:solidFill>
          </w14:textFill>
        </w:rPr>
        <w:t xml:space="preserve">提供证书原件扫描件</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及投标</w:t>
      </w:r>
      <w:r>
        <w:rPr>
          <w:rFonts w:hint="eastAsia" w:ascii="宋体" w:hAnsi="宋体" w:eastAsia="宋体" w:cs="宋体"/>
          <w:b/>
          <w:bCs/>
          <w:color w:val="000000" w:themeColor="text1"/>
          <w:sz w:val="24"/>
          <w:szCs w:val="24"/>
          <w:highlight w:val="none"/>
          <w14:textFill>
            <w14:solidFill>
              <w14:schemeClr w14:val="tx1"/>
            </w14:solidFill>
          </w14:textFill>
        </w:rPr>
        <w:t xml:space="preserve">单位为其缴纳的最近期社保证明</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color w:val="000000" w:themeColor="text1"/>
          <w:sz w:val="24"/>
          <w:szCs w:val="24"/>
          <w:highlight w:val="none"/>
          <w14:textFill>
            <w14:solidFill>
              <w14:schemeClr w14:val="tx1"/>
            </w14:solidFill>
          </w14:textFill>
        </w:rPr>
        <w:t xml:space="preserve">资料提供不全或无法证明的该项不得分</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w:t>
      </w:r>
      <w:r/>
    </w:p>
    <w:p>
      <w:pPr>
        <w:ind w:firstLine="480"/>
        <w:jc w:val="both"/>
        <w:spacing w:line="360" w:lineRule="auto"/>
        <w:widowControl w:val="off"/>
        <w:rPr>
          <w:rFonts w:hint="eastAsia" w:ascii="宋体" w:hAnsi="宋体" w:eastAsia="宋体" w:cs="宋体"/>
          <w:b/>
          <w:bCs/>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团队成员（不少于2人，项目负责人、技术负责人除外）具备：系统集成项目管理工程师、软件测试工程师，每有1个得1分，最高2分。</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color w:val="000000" w:themeColor="text1"/>
          <w:sz w:val="24"/>
          <w:szCs w:val="24"/>
          <w:highlight w:val="none"/>
          <w14:textFill>
            <w14:solidFill>
              <w14:schemeClr w14:val="tx1"/>
            </w14:solidFill>
          </w14:textFill>
        </w:rPr>
        <w:t xml:space="preserve">提供证书原件扫描件</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及投标</w:t>
      </w:r>
      <w:r>
        <w:rPr>
          <w:rFonts w:hint="eastAsia" w:ascii="宋体" w:hAnsi="宋体" w:eastAsia="宋体" w:cs="宋体"/>
          <w:b/>
          <w:bCs/>
          <w:color w:val="000000" w:themeColor="text1"/>
          <w:sz w:val="24"/>
          <w:szCs w:val="24"/>
          <w:highlight w:val="none"/>
          <w14:textFill>
            <w14:solidFill>
              <w14:schemeClr w14:val="tx1"/>
            </w14:solidFill>
          </w14:textFill>
        </w:rPr>
        <w:t xml:space="preserve">单位为其缴纳的最近期社保证明</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color w:val="000000" w:themeColor="text1"/>
          <w:sz w:val="24"/>
          <w:szCs w:val="24"/>
          <w:highlight w:val="none"/>
          <w14:textFill>
            <w14:solidFill>
              <w14:schemeClr w14:val="tx1"/>
            </w14:solidFill>
          </w14:textFill>
        </w:rPr>
        <w:t xml:space="preserve">资料提供不全或无法证明的该项不得分</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w:t>
      </w:r>
      <w:r/>
    </w:p>
    <w:p>
      <w:pPr>
        <w:ind w:firstLine="482"/>
        <w:spacing w:line="360" w:lineRule="auto"/>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b/>
          <w:bCs/>
          <w:color w:val="000000" w:themeColor="text1"/>
          <w:sz w:val="24"/>
          <w:szCs w:val="24"/>
          <w:highlight w:val="none"/>
          <w:lang w:val="zh-CN" w:eastAsia="zh-CN"/>
          <w14:textFill>
            <w14:solidFill>
              <w14:schemeClr w14:val="tx1"/>
            </w14:solidFill>
          </w14:textFill>
        </w:rPr>
        <w:t xml:space="preserve">类似项目业绩（</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3分</w:t>
      </w:r>
      <w:r>
        <w:rPr>
          <w:rFonts w:hint="eastAsia" w:ascii="宋体" w:hAnsi="宋体" w:eastAsia="宋体" w:cs="宋体"/>
          <w:b/>
          <w:bCs/>
          <w:color w:val="000000" w:themeColor="text1"/>
          <w:sz w:val="24"/>
          <w:szCs w:val="24"/>
          <w:highlight w:val="none"/>
          <w:lang w:val="zh-CN" w:eastAsia="zh-CN"/>
          <w14:textFill>
            <w14:solidFill>
              <w14:schemeClr w14:val="tx1"/>
            </w14:solidFill>
          </w14:textFill>
        </w:rPr>
        <w:t xml:space="preserve">）</w:t>
      </w:r>
      <w:r/>
    </w:p>
    <w:p>
      <w:pPr>
        <w:ind w:firstLine="480"/>
        <w:spacing w:line="360" w:lineRule="auto"/>
        <w:rPr>
          <w:rFonts w:hint="eastAsia" w:ascii="宋体" w:hAnsi="宋体" w:eastAsia="宋体" w:cs="宋体"/>
          <w:b/>
          <w:bCs/>
          <w:color w:val="000000" w:themeColor="text1"/>
          <w:sz w:val="24"/>
          <w:szCs w:val="24"/>
          <w:highlight w:val="none"/>
          <w:lang w:val="zh-CN" w:eastAsia="zh-CN"/>
          <w14:textFill>
            <w14:solidFill>
              <w14:schemeClr w14:val="tx1"/>
            </w14:solidFill>
          </w14:textFill>
        </w:rPr>
      </w:pP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提供自20</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22</w:t>
      </w: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年至今（以合同签订日期为准），由供应商独立承担的类似服务类项目业绩合同，每份</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分，最高得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分。</w:t>
      </w:r>
      <w:r>
        <w:rPr>
          <w:rFonts w:hint="eastAsia" w:ascii="宋体" w:hAnsi="宋体" w:eastAsia="宋体" w:cs="宋体"/>
          <w:b/>
          <w:bCs/>
          <w:color w:val="000000" w:themeColor="text1"/>
          <w:sz w:val="24"/>
          <w:szCs w:val="24"/>
          <w:highlight w:val="none"/>
          <w:lang w:val="zh-CN" w:eastAsia="zh-CN"/>
          <w14:textFill>
            <w14:solidFill>
              <w14:schemeClr w14:val="tx1"/>
            </w14:solidFill>
          </w14:textFill>
        </w:rPr>
        <w:t xml:space="preserve">（提供</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业绩完整</w:t>
      </w:r>
      <w:r>
        <w:rPr>
          <w:rFonts w:hint="eastAsia" w:ascii="宋体" w:hAnsi="宋体" w:eastAsia="宋体" w:cs="宋体"/>
          <w:b/>
          <w:bCs/>
          <w:color w:val="000000" w:themeColor="text1"/>
          <w:sz w:val="24"/>
          <w:szCs w:val="24"/>
          <w:highlight w:val="none"/>
          <w:lang w:val="zh-CN" w:eastAsia="zh-CN"/>
          <w14:textFill>
            <w14:solidFill>
              <w14:schemeClr w14:val="tx1"/>
            </w14:solidFill>
          </w14:textFill>
        </w:rPr>
        <w:t xml:space="preserve">合同</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证明材料扫描件并加盖公章</w:t>
      </w:r>
      <w:r>
        <w:rPr>
          <w:rFonts w:hint="eastAsia" w:ascii="宋体" w:hAnsi="宋体" w:eastAsia="宋体" w:cs="宋体"/>
          <w:b/>
          <w:bCs/>
          <w:color w:val="000000" w:themeColor="text1"/>
          <w:sz w:val="24"/>
          <w:szCs w:val="24"/>
          <w:highlight w:val="none"/>
          <w:lang w:val="zh-CN" w:eastAsia="zh-CN"/>
          <w14:textFill>
            <w14:solidFill>
              <w14:schemeClr w14:val="tx1"/>
            </w14:solidFill>
          </w14:textFill>
        </w:rPr>
        <w:t xml:space="preserve">）</w:t>
      </w:r>
      <w:r/>
    </w:p>
    <w:p>
      <w:pPr>
        <w:ind w:firstLine="480"/>
        <w:jc w:val="left"/>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ind w:firstLine="480"/>
        <w:jc w:val="left"/>
        <w:spacing w:line="360" w:lineRule="auto"/>
        <w:rPr>
          <w:rFonts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评标说明：</w:t>
      </w:r>
      <w:r/>
    </w:p>
    <w:p>
      <w:pPr>
        <w:ind w:firstLine="480"/>
        <w:jc w:val="left"/>
        <w:spacing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、其他评标未尽事宜由评标委员会根据有关规定讨论决定。</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ind w:firstLine="482"/>
        <w:spacing w:line="360" w:lineRule="auto"/>
        <w:rPr>
          <w:rFonts w:hint="eastAsia" w:ascii="宋体" w:hAnsi="宋体" w:eastAsia="宋体" w:cs="宋体"/>
          <w:bCs/>
          <w:color w:val="000000" w:themeColor="text1"/>
          <w:sz w:val="24"/>
          <w:highlight w:val="none"/>
          <w:lang w:val="en-US" w:eastAsia="zh-CN"/>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三、政府采购政策：</w:t>
      </w:r>
      <w:r/>
    </w:p>
    <w:p>
      <w:pPr>
        <w:ind w:firstLine="480"/>
        <w:spacing w:line="360" w:lineRule="auto"/>
        <w:tabs>
          <w:tab w:val="left" w:pos="287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针对中小型企业的评审：</w:t>
      </w:r>
      <w:r/>
    </w:p>
    <w:p>
      <w:pPr>
        <w:ind w:firstLine="482"/>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（1）本项目专门面向中小企业采购。</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（2）依据《政府采购促进中小企业发展管理办法》规定享受扶持政策获得政府采购合同的</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小微企业不得将合同分包给大中型企业</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中型企业不得将合同分包给大型企业。</w:t>
      </w:r>
      <w:r/>
    </w:p>
    <w:p>
      <w:pPr>
        <w:ind w:firstLine="480"/>
        <w:spacing w:line="360" w:lineRule="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（3）本项目采购标的对应的中小企业划型标准规定所属行业为：</w:t>
      </w:r>
      <w:r>
        <w:rPr>
          <w:rFonts w:hint="eastAsia" w:ascii="宋体" w:hAnsi="宋体" w:eastAsia="宋体" w:cs="宋体"/>
          <w:b/>
          <w:bCs w:val="0"/>
          <w:color w:val="000000" w:themeColor="text1"/>
          <w:sz w:val="24"/>
          <w:szCs w:val="24"/>
          <w:highlight w:val="none"/>
          <w:u w:val="single"/>
          <w14:textFill>
            <w14:solidFill>
              <w14:schemeClr w14:val="tx1"/>
            </w14:solidFill>
          </w14:textFill>
        </w:rPr>
        <w:t xml:space="preserve">其他未列明行业</w:t>
      </w:r>
      <w:r>
        <w:rPr>
          <w:rFonts w:hint="eastAsia" w:ascii="宋体" w:hAnsi="宋体" w:eastAsia="宋体" w:cs="宋体"/>
          <w:b/>
          <w:color w:val="000000" w:themeColor="text1"/>
          <w:sz w:val="24"/>
          <w:szCs w:val="24"/>
          <w:highlight w:val="none"/>
          <w14:textFill>
            <w14:solidFill>
              <w14:schemeClr w14:val="tx1"/>
            </w14:solidFill>
          </w14:textFill>
        </w:rPr>
        <w:t xml:space="preserve">。</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（4）</w:t>
      </w:r>
      <w:r>
        <w:rPr>
          <w:rStyle w:val="858"/>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中小企业参加政府采购活动，应当出具《政府采购促进中小企业发展管理办法》附件规定《中小企业声明函》，否则不得享受相关中小企业扶持政策。</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注：在货物采购项目中</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供应商提供的货物既有中小企业制造货物</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也有大型企业制造货物的</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不享受《政府采购促进中小企业发展管理办法》规定的中小企业扶持政策。若供应商提供的《中小企业声明函》为虚假声明则视同提供虚假材料</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按政府采购相关规定处理并报请政府监管部门给予行政处罚。</w:t>
      </w:r>
      <w:r/>
    </w:p>
    <w:p>
      <w:pPr>
        <w:ind w:firstLine="480"/>
        <w:spacing w:line="360" w:lineRule="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未按</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本项目采购标的对应的中小企业划型标准规定所属行业</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承诺的</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《中小企业声明函》</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为无效</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《中小企业声明函》</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、针对监狱企业的评审：</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根据财政部、司法部《关于政府采购支持监狱企业发展有关问题的通知》（财库〔2014〕68号）的规定</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对属于监狱企业的供应商给予评审：</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符合《关于政府采购支持监狱企业发展有关问题的通知》（财库〔2014〕68号）条件的监狱企业参加政府采购活动时</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应当提供由省级以上监狱管理局、戒毒管理局（含新疆生产建设兵团）出具的属于监狱企业的证明文件。</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、针对残疾人福利性单位的评审：</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根据财政部、民政部、中国残疾人联合会《关于促进残疾人就业政府采购政策的通知》（财库〔2017〕141号）</w:t>
      </w:r>
      <w:r>
        <w:rPr>
          <w:rFonts w:hint="eastAsia" w:ascii="宋体" w:hAnsi="宋体" w:eastAsia="宋体" w:cs="宋体"/>
          <w:bCs/>
          <w:color w:val="000000" w:themeColor="text1"/>
          <w:sz w:val="24"/>
          <w:szCs w:val="24"/>
          <w:highlight w:val="none"/>
          <w14:textFill>
            <w14:solidFill>
              <w14:schemeClr w14:val="tx1"/>
            </w14:solidFill>
          </w14:textFill>
        </w:rPr>
        <w:t xml:space="preserve">的规定</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对属于残疾人福利性单位的供应商给予评审：</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根据供应商提供的《残疾人福利性单位声明函》。</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注：</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（1）供应商对上述声明的真实性负责</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若供应商提供的《残疾人福利性单位声明函》与事实不符的</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依照《政府采购法》第七十七条第一款的规定追究法律责任。</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（2）供应商为残疾人福利性单位的</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采购代理机构将随中标结果同时公告其《残疾人福利性单位声明函》</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接受社会监督。</w:t>
      </w:r>
      <w:r/>
    </w:p>
    <w:p>
      <w:pPr>
        <w:ind w:firstLine="480"/>
        <w:spacing w:line="360" w:lineRule="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14:textFill>
            <w14:solidFill>
              <w14:schemeClr w14:val="tx1"/>
            </w14:solidFill>
          </w14:textFill>
        </w:rPr>
        <w:t xml:space="preserve">、上述针对中小型企业、监狱企业和残疾人福利性单位的评审政策不重复享受。</w:t>
      </w:r>
      <w:r/>
    </w:p>
    <w:p>
      <w:pPr>
        <w:spacing w:line="360" w:lineRule="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r>
      <w:r/>
    </w:p>
    <w:p>
      <w:pPr>
        <w:jc w:val="right"/>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全文完</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sectPr>
      <w:footnotePr/>
      <w:endnotePr/>
      <w:type w:val="nextPage"/>
      <w:pgSz w:w="11906" w:h="16838" w:orient="portrait"/>
      <w:pgMar w:top="1134" w:right="1134" w:bottom="1134" w:left="1134"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仿宋">
    <w:panose1 w:val="02010609060101010101"/>
  </w:font>
  <w:font w:name="Calibri">
    <w:panose1 w:val="020F0502020204030204"/>
  </w:font>
  <w:font w:name="Courier New">
    <w:panose1 w:val="02070309020205020404"/>
  </w:font>
  <w:font w:name="Symbol">
    <w:panose1 w:val="05050102010706020507"/>
  </w:font>
  <w:font w:name="方正仿宋简体">
    <w:panose1 w:val="020B0503020202020204"/>
  </w:font>
  <w:font w:name="Tahoma">
    <w:panose1 w:val="020B0604030504040204"/>
  </w:font>
  <w:font w:name="仿宋_GB2312">
    <w:panose1 w:val="02010609060101010101"/>
  </w:font>
  <w:font w:name="黑体">
    <w:panose1 w:val="02010609060101010101"/>
  </w:font>
  <w:font w:name="Cambria">
    <w:panose1 w:val="02040503050406030204"/>
  </w:font>
  <w:font w:name="楷体_GB2312">
    <w:panose1 w:val="02010609060101010101"/>
  </w:font>
  <w:font w:name="Arial Unicode MS">
    <w:panose1 w:val="020B0604020202020204"/>
  </w:font>
  <w:font w:name="Arial">
    <w:panose1 w:val="020B0604020202020204"/>
  </w:font>
  <w:font w:name="创艺简仿宋">
    <w:panose1 w:val="020B0503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4"/>
      <w:ind w:right="360" w:firstLine="342"/>
    </w:pPr>
    <w:r>
      <w:rPr>
        <w:rFonts w:hint="eastAsia"/>
      </w:rPr>
      <w:t xml:space="preserve">苏州正杰招投标咨询服务有限公司</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4"/>
      <w:rPr>
        <w:rStyle w:val="788"/>
      </w:rPr>
      <w:framePr w:wrap="around" w:vAnchor="text" w:hAnchor="margin" w:xAlign="right" w:y="1"/>
    </w:pPr>
    <w:r>
      <w:fldChar w:fldCharType="begin"/>
    </w:r>
    <w:r>
      <w:rPr>
        <w:rStyle w:val="788"/>
      </w:rPr>
      <w:instrText xml:space="preserve">PAGE  </w:instrText>
    </w:r>
    <w:r>
      <w:fldChar w:fldCharType="end"/>
    </w:r>
    <w:r/>
  </w:p>
  <w:p>
    <w:pPr>
      <w:pStyle w:val="764"/>
      <w:ind w:right="360"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4"/>
      <w:ind w:right="360" w:firstLine="342"/>
    </w:pPr>
    <w:r>
      <w:rPr>
        <w:rFonts w:hint="eastAsia"/>
      </w:rPr>
      <w:t xml:space="preserve">苏州正杰招投标咨询服务有限公司</w: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4"/>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7"/>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1828800" cy="1828800"/>
                      </a:xfrm>
                      <a:prstGeom prst="rect">
                        <a:avLst/>
                      </a:prstGeom>
                      <a:noFill/>
                      <a:ln>
                        <a:noFill/>
                      </a:ln>
                      <a:effectLst/>
                    </wps:spPr>
                    <wps:txbx>
                      <w:txbxContent>
                        <w:p>
                          <w:pPr>
                            <w:pStyle w:val="764"/>
                          </w:pPr>
                          <w:r>
                            <w:fldChar w:fldCharType="begin"/>
                          </w:r>
                          <w:r>
                            <w:instrText xml:space="preserve"> PAGE  \* MERGEFORMAT </w:instrText>
                          </w:r>
                          <w:r>
                            <w:fldChar w:fldCharType="separate"/>
                          </w:r>
                          <w:r>
                            <w:t xml:space="preserve">63</w:t>
                          </w:r>
                          <w:r>
                            <w:fldChar w:fldCharType="end"/>
                          </w:r>
                          <w:r/>
                        </w:p>
                      </w:txbxContent>
                    </wps:txbx>
                    <wps:bodyPr rot="0" vert="horz" wrap="none" lIns="0" tIns="0" rIns="0" bIns="0" anchor="t" anchorCtr="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764"/>
                    </w:pPr>
                    <w:r>
                      <w:fldChar w:fldCharType="begin"/>
                    </w:r>
                    <w:r>
                      <w:instrText xml:space="preserve"> PAGE  \* MERGEFORMAT </w:instrText>
                    </w:r>
                    <w:r>
                      <w:fldChar w:fldCharType="separate"/>
                    </w:r>
                    <w:r>
                      <w:t xml:space="preserve">63</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4"/>
      <w:ind w:right="360"/>
      <w:rPr>
        <w:rFonts w:hint="eastAsia" w:ascii="宋体" w:hAnsi="宋体" w:eastAsia="宋体" w:cs="宋体"/>
      </w:rPr>
    </w:pPr>
    <w:r>
      <w:rPr>
        <w:rFonts w:hint="eastAsia" w:ascii="宋体" w:hAnsi="宋体" w:eastAsia="宋体" w:cs="宋体"/>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right</wp:align>
              </wp:positionH>
              <wp:positionV relativeFrom="paragraph">
                <wp:posOffset>0</wp:posOffset>
              </wp:positionV>
              <wp:extent cx="1828800" cy="1828800"/>
              <wp:effectExtent l="0" t="0" r="0" b="0"/>
              <wp:wrapNone/>
              <wp:docPr id="2"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64"/>
                            <w:rPr>
                              <w:rFonts w:hint="eastAsia" w:ascii="宋体" w:hAnsi="宋体" w:eastAsia="宋体" w:cs="宋体"/>
                              <w:sz w:val="21"/>
                              <w:szCs w:val="21"/>
                            </w:rPr>
                          </w:pPr>
                          <w:r>
                            <w:rPr>
                              <w:rFonts w:hint="eastAsia" w:ascii="宋体" w:hAnsi="宋体" w:eastAsia="宋体" w:cs="宋体"/>
                              <w:sz w:val="21"/>
                              <w:szCs w:val="21"/>
                            </w:rPr>
                            <w:t xml:space="preserve">第 </w:t>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PAGE  \* MERGEFORMAT </w:instrText>
                          </w:r>
                          <w:r>
                            <w:rPr>
                              <w:rFonts w:hint="eastAsia" w:ascii="宋体" w:hAnsi="宋体" w:eastAsia="宋体" w:cs="宋体"/>
                              <w:sz w:val="21"/>
                              <w:szCs w:val="21"/>
                            </w:rPr>
                            <w:fldChar w:fldCharType="separate"/>
                          </w:r>
                          <w:r>
                            <w:rPr>
                              <w:rFonts w:hint="eastAsia" w:ascii="宋体" w:hAnsi="宋体" w:eastAsia="宋体" w:cs="宋体"/>
                              <w:sz w:val="21"/>
                              <w:szCs w:val="21"/>
                            </w:rPr>
                            <w:t xml:space="preserve">1</w:t>
                          </w:r>
                          <w:r>
                            <w:rPr>
                              <w:rFonts w:hint="eastAsia" w:ascii="宋体" w:hAnsi="宋体" w:eastAsia="宋体" w:cs="宋体"/>
                              <w:sz w:val="21"/>
                              <w:szCs w:val="21"/>
                            </w:rPr>
                            <w:fldChar w:fldCharType="end"/>
                          </w:r>
                          <w:r>
                            <w:rPr>
                              <w:rFonts w:hint="eastAsia" w:ascii="宋体" w:hAnsi="宋体" w:eastAsia="宋体" w:cs="宋体"/>
                              <w:sz w:val="21"/>
                              <w:szCs w:val="21"/>
                            </w:rP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right;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64"/>
                      <w:rPr>
                        <w:rFonts w:hint="eastAsia" w:ascii="宋体" w:hAnsi="宋体" w:eastAsia="宋体" w:cs="宋体"/>
                        <w:sz w:val="21"/>
                        <w:szCs w:val="21"/>
                      </w:rPr>
                    </w:pPr>
                    <w:r>
                      <w:rPr>
                        <w:rFonts w:hint="eastAsia" w:ascii="宋体" w:hAnsi="宋体" w:eastAsia="宋体" w:cs="宋体"/>
                        <w:sz w:val="21"/>
                        <w:szCs w:val="21"/>
                      </w:rPr>
                      <w:t xml:space="preserve">第 </w:t>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PAGE  \* MERGEFORMAT </w:instrText>
                    </w:r>
                    <w:r>
                      <w:rPr>
                        <w:rFonts w:hint="eastAsia" w:ascii="宋体" w:hAnsi="宋体" w:eastAsia="宋体" w:cs="宋体"/>
                        <w:sz w:val="21"/>
                        <w:szCs w:val="21"/>
                      </w:rPr>
                      <w:fldChar w:fldCharType="separate"/>
                    </w:r>
                    <w:r>
                      <w:rPr>
                        <w:rFonts w:hint="eastAsia" w:ascii="宋体" w:hAnsi="宋体" w:eastAsia="宋体" w:cs="宋体"/>
                        <w:sz w:val="21"/>
                        <w:szCs w:val="21"/>
                      </w:rPr>
                      <w:t xml:space="preserve">1</w:t>
                    </w:r>
                    <w:r>
                      <w:rPr>
                        <w:rFonts w:hint="eastAsia" w:ascii="宋体" w:hAnsi="宋体" w:eastAsia="宋体" w:cs="宋体"/>
                        <w:sz w:val="21"/>
                        <w:szCs w:val="21"/>
                      </w:rPr>
                      <w:fldChar w:fldCharType="end"/>
                    </w:r>
                    <w:r>
                      <w:rPr>
                        <w:rFonts w:hint="eastAsia" w:ascii="宋体" w:hAnsi="宋体" w:eastAsia="宋体" w:cs="宋体"/>
                        <w:sz w:val="21"/>
                        <w:szCs w:val="21"/>
                      </w:rPr>
                      <w:t xml:space="preserve"> 页</w:t>
                    </w:r>
                    <w:r/>
                  </w:p>
                </w:txbxContent>
              </v:textbox>
            </v:shape>
          </w:pict>
        </mc:Fallback>
      </mc:AlternateContent>
    </w:r>
    <w:r>
      <w:rPr>
        <w:rFonts w:hint="eastAsia" w:ascii="宋体" w:hAnsi="宋体" w:eastAsia="宋体" w:cs="宋体"/>
      </w:rPr>
      <w:t xml:space="preserve">苏州正杰招投标咨询服务有限公司</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6"/>
      <w:jc w:val="both"/>
      <w:rPr>
        <w:rFonts w:hint="eastAsia" w:ascii="宋体" w:hAnsi="宋体" w:eastAsia="宋体" w:cs="宋体"/>
        <w:sz w:val="21"/>
        <w:szCs w:val="21"/>
        <w:lang w:eastAsia="zh-CN"/>
      </w:rPr>
    </w:pPr>
    <w:r>
      <w:rPr>
        <w:rFonts w:hint="eastAsia" w:ascii="宋体" w:hAnsi="宋体" w:eastAsia="宋体" w:cs="宋体"/>
        <w:sz w:val="21"/>
        <w:szCs w:val="21"/>
      </w:rPr>
      <w:t xml:space="preserve">政府采购招标文件                                </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 xml:space="preserve">  </w:t>
    </w:r>
    <w:r>
      <w:rPr>
        <w:rFonts w:hint="eastAsia" w:ascii="宋体" w:hAnsi="宋体" w:eastAsia="宋体" w:cs="宋体"/>
        <w:sz w:val="21"/>
        <w:szCs w:val="21"/>
        <w:lang w:val="en-US" w:eastAsia="zh-CN"/>
      </w:rPr>
      <w:t xml:space="preserve">项目编号</w:t>
    </w:r>
    <w:r>
      <w:rPr>
        <w:rFonts w:hint="eastAsia" w:ascii="宋体" w:hAnsi="宋体" w:eastAsia="宋体" w:cs="宋体"/>
        <w:sz w:val="21"/>
        <w:szCs w:val="21"/>
      </w:rPr>
      <w:t xml:space="preserve">：</w:t>
    </w:r>
    <w:r>
      <w:rPr>
        <w:rFonts w:hint="eastAsia" w:ascii="宋体" w:hAnsi="宋体" w:eastAsia="宋体" w:cs="宋体"/>
        <w:sz w:val="21"/>
        <w:szCs w:val="21"/>
        <w:lang w:eastAsia="zh-CN"/>
      </w:rPr>
      <w:t xml:space="preserve">JSZC-320500-SZZJ-G2025-0008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6"/>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425" w:hanging="425"/>
      </w:pPr>
      <w:rPr>
        <w:rFonts w:hint="eastAsia"/>
      </w:rPr>
    </w:lvl>
    <w:lvl w:ilvl="1">
      <w:start w:val="1"/>
      <w:numFmt w:val="decimal"/>
      <w:isLgl w:val="false"/>
      <w:suff w:val="tab"/>
      <w:lvlText w:val="%1.%2"/>
      <w:lvlJc w:val="left"/>
      <w:pPr>
        <w:ind w:left="1277" w:hanging="567"/>
      </w:pPr>
    </w:lvl>
    <w:lvl w:ilvl="2">
      <w:start w:val="1"/>
      <w:numFmt w:val="decimal"/>
      <w:isLgl w:val="false"/>
      <w:suff w:val="tab"/>
      <w:lvlText w:val="%1.%2.%3"/>
      <w:lvlJc w:val="left"/>
      <w:pPr>
        <w:ind w:left="992"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815"/>
      <w:isLgl w:val="false"/>
      <w:suff w:val="tab"/>
      <w:lvlText w:val="%1"/>
      <w:lvlJc w:val="left"/>
      <w:pPr>
        <w:ind w:left="432" w:hanging="432"/>
        <w:tabs>
          <w:tab w:val="left" w:pos="432" w:leader="none"/>
        </w:tabs>
      </w:pPr>
    </w:lvl>
    <w:lvl w:ilvl="1">
      <w:start w:val="1"/>
      <w:numFmt w:val="decimal"/>
      <w:isLgl w:val="false"/>
      <w:suff w:val="tab"/>
      <w:lvlText w:val="%1.%2"/>
      <w:lvlJc w:val="left"/>
      <w:pPr>
        <w:ind w:left="576" w:hanging="576"/>
        <w:tabs>
          <w:tab w:val="left" w:pos="576" w:leader="none"/>
        </w:tabs>
      </w:pPr>
    </w:lvl>
    <w:lvl w:ilvl="2">
      <w:start w:val="1"/>
      <w:numFmt w:val="decimal"/>
      <w:isLgl w:val="false"/>
      <w:suff w:val="tab"/>
      <w:lvlText w:val="%1.%2.%3"/>
      <w:lvlJc w:val="left"/>
      <w:pPr>
        <w:ind w:left="720" w:hanging="720"/>
        <w:tabs>
          <w:tab w:val="left" w:pos="720" w:leader="none"/>
        </w:tabs>
      </w:pPr>
    </w:lvl>
    <w:lvl w:ilvl="3">
      <w:start w:val="1"/>
      <w:numFmt w:val="decimal"/>
      <w:isLgl w:val="false"/>
      <w:suff w:val="tab"/>
      <w:lvlText w:val="%1.%2.%3.%4"/>
      <w:lvlJc w:val="left"/>
      <w:pPr>
        <w:ind w:left="864" w:hanging="864"/>
        <w:tabs>
          <w:tab w:val="left" w:pos="864" w:leader="none"/>
        </w:tabs>
      </w:pPr>
    </w:lvl>
    <w:lvl w:ilvl="4">
      <w:start w:val="1"/>
      <w:numFmt w:val="decimal"/>
      <w:pStyle w:val="738"/>
      <w:isLgl w:val="false"/>
      <w:suff w:val="tab"/>
      <w:lvlText w:val="%1.%2.%3.%4.%5"/>
      <w:lvlJc w:val="left"/>
      <w:pPr>
        <w:ind w:left="1008" w:hanging="1008"/>
        <w:tabs>
          <w:tab w:val="left" w:pos="1008" w:leader="none"/>
        </w:tabs>
      </w:pPr>
    </w:lvl>
    <w:lvl w:ilvl="5">
      <w:start w:val="1"/>
      <w:numFmt w:val="decimal"/>
      <w:pStyle w:val="739"/>
      <w:isLgl w:val="false"/>
      <w:suff w:val="tab"/>
      <w:lvlText w:val="%1.%2.%3.%4.%5.%6"/>
      <w:lvlJc w:val="left"/>
      <w:pPr>
        <w:ind w:left="1152" w:hanging="1152"/>
        <w:tabs>
          <w:tab w:val="left" w:pos="1152" w:leader="none"/>
        </w:tabs>
      </w:pPr>
    </w:lvl>
    <w:lvl w:ilvl="6">
      <w:start w:val="1"/>
      <w:numFmt w:val="decimal"/>
      <w:pStyle w:val="740"/>
      <w:isLgl w:val="false"/>
      <w:suff w:val="tab"/>
      <w:lvlText w:val="%1.%2.%3.%4.%5.%6.%7"/>
      <w:lvlJc w:val="left"/>
      <w:pPr>
        <w:ind w:left="1296" w:hanging="1296"/>
        <w:tabs>
          <w:tab w:val="left" w:pos="1296" w:leader="none"/>
        </w:tabs>
      </w:pPr>
    </w:lvl>
    <w:lvl w:ilvl="7">
      <w:start w:val="1"/>
      <w:numFmt w:val="decimal"/>
      <w:pStyle w:val="741"/>
      <w:isLgl w:val="false"/>
      <w:suff w:val="tab"/>
      <w:lvlText w:val="%1.%2.%3.%4.%5.%6.%7.%8"/>
      <w:lvlJc w:val="left"/>
      <w:pPr>
        <w:ind w:left="1440" w:hanging="1440"/>
        <w:tabs>
          <w:tab w:val="left" w:pos="1440" w:leader="none"/>
        </w:tabs>
      </w:pPr>
    </w:lvl>
    <w:lvl w:ilvl="8">
      <w:start w:val="1"/>
      <w:numFmt w:val="decimal"/>
      <w:pStyle w:val="742"/>
      <w:isLgl w:val="false"/>
      <w:suff w:val="tab"/>
      <w:lvlText w:val="%1.%2.%3.%4.%5.%6.%7.%8.%9"/>
      <w:lvlJc w:val="left"/>
      <w:pPr>
        <w:ind w:left="1584" w:hanging="1584"/>
        <w:tabs>
          <w:tab w:val="left" w:pos="1584" w:leader="none"/>
        </w:tabs>
      </w:pPr>
    </w:lvl>
  </w:abstractNum>
  <w:num w:numId="1">
    <w:abstractNumId w:val="5"/>
  </w:num>
  <w:num w:numId="2">
    <w:abstractNumId w:val="3"/>
  </w:num>
  <w:num w:numId="3">
    <w:abstractNumId w:val="1"/>
  </w:num>
  <w:num w:numId="4">
    <w:abstractNumId w:val="0"/>
  </w:num>
  <w:num w:numId="5">
    <w:abstractNumId w:val="4"/>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43"/>
    <w:link w:val="734"/>
    <w:uiPriority w:val="9"/>
    <w:rPr>
      <w:rFonts w:ascii="Arial" w:hAnsi="Arial" w:eastAsia="Arial" w:cs="Arial"/>
      <w:sz w:val="40"/>
      <w:szCs w:val="40"/>
    </w:rPr>
  </w:style>
  <w:style w:type="character" w:styleId="15">
    <w:name w:val="Heading 2 Char"/>
    <w:basedOn w:val="743"/>
    <w:link w:val="735"/>
    <w:uiPriority w:val="9"/>
    <w:rPr>
      <w:rFonts w:ascii="Arial" w:hAnsi="Arial" w:eastAsia="Arial" w:cs="Arial"/>
      <w:sz w:val="34"/>
    </w:rPr>
  </w:style>
  <w:style w:type="character" w:styleId="17">
    <w:name w:val="Heading 3 Char"/>
    <w:basedOn w:val="743"/>
    <w:link w:val="736"/>
    <w:uiPriority w:val="9"/>
    <w:rPr>
      <w:rFonts w:ascii="Arial" w:hAnsi="Arial" w:eastAsia="Arial" w:cs="Arial"/>
      <w:sz w:val="30"/>
      <w:szCs w:val="30"/>
    </w:rPr>
  </w:style>
  <w:style w:type="character" w:styleId="19">
    <w:name w:val="Heading 4 Char"/>
    <w:basedOn w:val="743"/>
    <w:link w:val="737"/>
    <w:uiPriority w:val="9"/>
    <w:rPr>
      <w:rFonts w:ascii="Arial" w:hAnsi="Arial" w:eastAsia="Arial" w:cs="Arial"/>
      <w:b/>
      <w:bCs/>
      <w:sz w:val="26"/>
      <w:szCs w:val="26"/>
    </w:rPr>
  </w:style>
  <w:style w:type="character" w:styleId="21">
    <w:name w:val="Heading 5 Char"/>
    <w:basedOn w:val="743"/>
    <w:link w:val="738"/>
    <w:uiPriority w:val="9"/>
    <w:rPr>
      <w:rFonts w:ascii="Arial" w:hAnsi="Arial" w:eastAsia="Arial" w:cs="Arial"/>
      <w:b/>
      <w:bCs/>
      <w:sz w:val="24"/>
      <w:szCs w:val="24"/>
    </w:rPr>
  </w:style>
  <w:style w:type="character" w:styleId="23">
    <w:name w:val="Heading 6 Char"/>
    <w:basedOn w:val="743"/>
    <w:link w:val="739"/>
    <w:uiPriority w:val="9"/>
    <w:rPr>
      <w:rFonts w:ascii="Arial" w:hAnsi="Arial" w:eastAsia="Arial" w:cs="Arial"/>
      <w:b/>
      <w:bCs/>
      <w:sz w:val="22"/>
      <w:szCs w:val="22"/>
    </w:rPr>
  </w:style>
  <w:style w:type="character" w:styleId="25">
    <w:name w:val="Heading 7 Char"/>
    <w:basedOn w:val="743"/>
    <w:link w:val="740"/>
    <w:uiPriority w:val="9"/>
    <w:rPr>
      <w:rFonts w:ascii="Arial" w:hAnsi="Arial" w:eastAsia="Arial" w:cs="Arial"/>
      <w:b/>
      <w:bCs/>
      <w:i/>
      <w:iCs/>
      <w:sz w:val="22"/>
      <w:szCs w:val="22"/>
    </w:rPr>
  </w:style>
  <w:style w:type="character" w:styleId="27">
    <w:name w:val="Heading 8 Char"/>
    <w:basedOn w:val="743"/>
    <w:link w:val="741"/>
    <w:uiPriority w:val="9"/>
    <w:rPr>
      <w:rFonts w:ascii="Arial" w:hAnsi="Arial" w:eastAsia="Arial" w:cs="Arial"/>
      <w:i/>
      <w:iCs/>
      <w:sz w:val="22"/>
      <w:szCs w:val="22"/>
    </w:rPr>
  </w:style>
  <w:style w:type="character" w:styleId="29">
    <w:name w:val="Heading 9 Char"/>
    <w:basedOn w:val="743"/>
    <w:link w:val="742"/>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character" w:styleId="34">
    <w:name w:val="Title Char"/>
    <w:basedOn w:val="743"/>
    <w:link w:val="782"/>
    <w:uiPriority w:val="10"/>
    <w:rPr>
      <w:sz w:val="48"/>
      <w:szCs w:val="48"/>
    </w:rPr>
  </w:style>
  <w:style w:type="paragraph" w:styleId="35">
    <w:name w:val="Subtitle"/>
    <w:basedOn w:val="733"/>
    <w:next w:val="733"/>
    <w:link w:val="36"/>
    <w:uiPriority w:val="11"/>
    <w:qFormat/>
    <w:pPr>
      <w:spacing w:before="200" w:after="200"/>
    </w:pPr>
    <w:rPr>
      <w:sz w:val="24"/>
      <w:szCs w:val="24"/>
    </w:rPr>
  </w:style>
  <w:style w:type="character" w:styleId="36">
    <w:name w:val="Subtitle Char"/>
    <w:basedOn w:val="743"/>
    <w:link w:val="35"/>
    <w:uiPriority w:val="11"/>
    <w:rPr>
      <w:sz w:val="24"/>
      <w:szCs w:val="24"/>
    </w:rPr>
  </w:style>
  <w:style w:type="paragraph" w:styleId="37">
    <w:name w:val="Quote"/>
    <w:basedOn w:val="733"/>
    <w:next w:val="733"/>
    <w:link w:val="38"/>
    <w:uiPriority w:val="29"/>
    <w:qFormat/>
    <w:pPr>
      <w:ind w:left="720" w:right="720"/>
    </w:pPr>
    <w:rPr>
      <w:i/>
    </w:rPr>
  </w:style>
  <w:style w:type="character" w:styleId="38">
    <w:name w:val="Quote Char"/>
    <w:link w:val="37"/>
    <w:uiPriority w:val="29"/>
    <w:rPr>
      <w:i/>
    </w:rPr>
  </w:style>
  <w:style w:type="paragraph" w:styleId="39">
    <w:name w:val="Intense Quote"/>
    <w:basedOn w:val="733"/>
    <w:next w:val="733"/>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743"/>
    <w:link w:val="766"/>
    <w:uiPriority w:val="99"/>
  </w:style>
  <w:style w:type="character" w:styleId="44">
    <w:name w:val="Footer Char"/>
    <w:basedOn w:val="743"/>
    <w:link w:val="764"/>
    <w:uiPriority w:val="99"/>
  </w:style>
  <w:style w:type="paragraph" w:styleId="45">
    <w:name w:val="Caption"/>
    <w:basedOn w:val="733"/>
    <w:next w:val="733"/>
    <w:uiPriority w:val="35"/>
    <w:semiHidden/>
    <w:unhideWhenUsed/>
    <w:qFormat/>
    <w:pPr>
      <w:spacing w:line="276" w:lineRule="auto"/>
    </w:pPr>
    <w:rPr>
      <w:b/>
      <w:bCs/>
      <w:color w:val="4f81bd" w:themeColor="accent1"/>
      <w:sz w:val="18"/>
      <w:szCs w:val="18"/>
    </w:rPr>
  </w:style>
  <w:style w:type="character" w:styleId="46">
    <w:name w:val="Caption Char"/>
    <w:basedOn w:val="45"/>
    <w:link w:val="764"/>
    <w:uiPriority w:val="99"/>
  </w:style>
  <w:style w:type="table" w:styleId="48">
    <w:name w:val="Table Grid Light"/>
    <w:basedOn w:val="74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4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4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4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4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4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4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4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4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4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4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4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4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4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4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4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4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4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4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4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4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4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4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4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4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4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4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4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4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4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4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4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4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4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4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4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84">
    <w:name w:val="Grid Table 5 Dark - Accent 2"/>
    <w:basedOn w:val="74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74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74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74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88">
    <w:name w:val="Grid Table 5 Dark - Accent 6"/>
    <w:basedOn w:val="74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74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4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4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4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4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4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4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6">
    <w:name w:val="Grid Table 7 Colorful"/>
    <w:basedOn w:val="74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4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664a9"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4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4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4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4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45d8d"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4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4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44"/>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44"/>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44"/>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44"/>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44"/>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44"/>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4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4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4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4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4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4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4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4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4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119">
    <w:name w:val="List Table 3 - Accent 2"/>
    <w:basedOn w:val="74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74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74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74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123">
    <w:name w:val="List Table 3 - Accent 6"/>
    <w:basedOn w:val="74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74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4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126">
    <w:name w:val="List Table 4 - Accent 2"/>
    <w:basedOn w:val="74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74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74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74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130">
    <w:name w:val="List Table 4 - Accent 6"/>
    <w:basedOn w:val="74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74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4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4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4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4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4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4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4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4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140">
    <w:name w:val="List Table 6 Colorful - Accent 2"/>
    <w:basedOn w:val="74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74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74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74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144">
    <w:name w:val="List Table 6 Colorful - Accent 6"/>
    <w:basedOn w:val="74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74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4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54374"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54374" w:themeColor="accent1" w:themeShade="95"/>
        <w:sz w:val="22"/>
      </w:rPr>
    </w:tblStylePr>
  </w:style>
  <w:style w:type="table" w:styleId="147">
    <w:name w:val="List Table 7 Colorful - Accent 2"/>
    <w:basedOn w:val="74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74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74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74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e78b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e78b1" w:themeColor="accent5" w:themeTint="9A" w:themeShade="95"/>
        <w:sz w:val="22"/>
      </w:rPr>
    </w:tblStylePr>
  </w:style>
  <w:style w:type="table" w:styleId="151">
    <w:name w:val="List Table 7 Colorful - Accent 6"/>
    <w:basedOn w:val="74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74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4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54">
    <w:name w:val="Lined - Accent 2"/>
    <w:basedOn w:val="74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74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74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74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58">
    <w:name w:val="Lined - Accent 6"/>
    <w:basedOn w:val="74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74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4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61">
    <w:name w:val="Bordered &amp; Lined - Accent 2"/>
    <w:basedOn w:val="74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74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74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74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65">
    <w:name w:val="Bordered &amp; Lined - Accent 6"/>
    <w:basedOn w:val="74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74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4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4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4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4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4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4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771"/>
    <w:uiPriority w:val="99"/>
    <w:rPr>
      <w:sz w:val="18"/>
    </w:rPr>
  </w:style>
  <w:style w:type="paragraph" w:styleId="177">
    <w:name w:val="endnote text"/>
    <w:basedOn w:val="733"/>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743"/>
    <w:uiPriority w:val="99"/>
    <w:semiHidden/>
    <w:unhideWhenUsed/>
    <w:rPr>
      <w:vertAlign w:val="superscript"/>
    </w:rPr>
  </w:style>
  <w:style w:type="paragraph" w:styleId="189">
    <w:name w:val="TOC Heading"/>
    <w:uiPriority w:val="39"/>
    <w:unhideWhenUsed/>
  </w:style>
  <w:style w:type="paragraph" w:styleId="733" w:default="1">
    <w:name w:val="Normal"/>
    <w:next w:val="745"/>
    <w:uiPriority w:val="0"/>
    <w:qFormat/>
    <w:pPr>
      <w:jc w:val="both"/>
      <w:widowControl w:val="off"/>
    </w:pPr>
    <w:rPr>
      <w:rFonts w:ascii="Times New Roman" w:hAnsi="Times New Roman" w:eastAsia="楷体_GB2312" w:cs="Times New Roman"/>
      <w:sz w:val="26"/>
      <w:lang w:val="en-US" w:eastAsia="zh-CN" w:bidi="ar-SA"/>
    </w:rPr>
  </w:style>
  <w:style w:type="paragraph" w:styleId="734">
    <w:name w:val="Heading 1"/>
    <w:basedOn w:val="733"/>
    <w:next w:val="733"/>
    <w:link w:val="867"/>
    <w:uiPriority w:val="0"/>
    <w:qFormat/>
    <w:pPr>
      <w:keepLines/>
      <w:keepNext/>
      <w:spacing w:before="340" w:after="330" w:line="578" w:lineRule="auto"/>
      <w:outlineLvl w:val="0"/>
    </w:pPr>
    <w:rPr>
      <w:b/>
      <w:sz w:val="44"/>
    </w:rPr>
  </w:style>
  <w:style w:type="paragraph" w:styleId="735">
    <w:name w:val="Heading 2"/>
    <w:basedOn w:val="733"/>
    <w:next w:val="733"/>
    <w:uiPriority w:val="0"/>
    <w:qFormat/>
    <w:pPr>
      <w:jc w:val="left"/>
      <w:keepLines/>
      <w:keepNext/>
      <w:outlineLvl w:val="1"/>
    </w:pPr>
    <w:rPr>
      <w:rFonts w:ascii="宋体" w:hAnsi="宋体"/>
      <w:b/>
    </w:rPr>
  </w:style>
  <w:style w:type="paragraph" w:styleId="736">
    <w:name w:val="Heading 3"/>
    <w:basedOn w:val="733"/>
    <w:next w:val="733"/>
    <w:uiPriority w:val="0"/>
    <w:qFormat/>
    <w:pPr>
      <w:jc w:val="left"/>
      <w:keepLines/>
      <w:keepNext/>
      <w:outlineLvl w:val="2"/>
    </w:pPr>
    <w:rPr>
      <w:b/>
    </w:rPr>
  </w:style>
  <w:style w:type="paragraph" w:styleId="737">
    <w:name w:val="Heading 4"/>
    <w:basedOn w:val="733"/>
    <w:next w:val="733"/>
    <w:uiPriority w:val="9"/>
    <w:qFormat/>
    <w:pPr>
      <w:keepLines/>
      <w:keepNext/>
      <w:spacing w:before="280" w:after="290" w:line="376" w:lineRule="auto"/>
      <w:outlineLvl w:val="3"/>
    </w:pPr>
    <w:rPr>
      <w:rFonts w:ascii="Cambria" w:hAnsi="Cambria"/>
      <w:bCs/>
      <w:szCs w:val="28"/>
    </w:rPr>
  </w:style>
  <w:style w:type="paragraph" w:styleId="738">
    <w:name w:val="Heading 5"/>
    <w:basedOn w:val="733"/>
    <w:next w:val="746"/>
    <w:uiPriority w:val="0"/>
    <w:qFormat/>
    <w:pPr>
      <w:numPr>
        <w:ilvl w:val="4"/>
        <w:numId w:val="1"/>
      </w:numPr>
      <w:keepLines/>
      <w:keepNext/>
      <w:spacing w:before="280" w:after="290" w:line="376" w:lineRule="auto"/>
      <w:outlineLvl w:val="4"/>
    </w:pPr>
    <w:rPr>
      <w:rFonts w:ascii="宋体" w:eastAsia="宋体"/>
      <w:b/>
      <w:spacing w:val="-2"/>
      <w:position w:val="-6"/>
      <w:sz w:val="28"/>
    </w:rPr>
  </w:style>
  <w:style w:type="paragraph" w:styleId="739">
    <w:name w:val="Heading 6"/>
    <w:basedOn w:val="733"/>
    <w:next w:val="733"/>
    <w:uiPriority w:val="0"/>
    <w:qFormat/>
    <w:pPr>
      <w:numPr>
        <w:ilvl w:val="5"/>
        <w:numId w:val="1"/>
      </w:numPr>
      <w:keepLines/>
      <w:keepNext/>
      <w:spacing w:before="240" w:after="64" w:line="320" w:lineRule="auto"/>
      <w:outlineLvl w:val="5"/>
    </w:pPr>
    <w:rPr>
      <w:rFonts w:ascii="Arial" w:hAnsi="Arial" w:eastAsia="黑体"/>
      <w:b/>
      <w:spacing w:val="-2"/>
      <w:position w:val="-6"/>
      <w:sz w:val="24"/>
    </w:rPr>
  </w:style>
  <w:style w:type="paragraph" w:styleId="740">
    <w:name w:val="Heading 7"/>
    <w:basedOn w:val="733"/>
    <w:next w:val="746"/>
    <w:uiPriority w:val="0"/>
    <w:qFormat/>
    <w:pPr>
      <w:numPr>
        <w:ilvl w:val="6"/>
        <w:numId w:val="1"/>
      </w:numPr>
      <w:keepLines/>
      <w:keepNext/>
      <w:spacing w:before="240" w:after="64" w:line="320" w:lineRule="auto"/>
      <w:outlineLvl w:val="6"/>
    </w:pPr>
    <w:rPr>
      <w:rFonts w:ascii="宋体" w:eastAsia="宋体"/>
      <w:b/>
      <w:spacing w:val="-2"/>
      <w:position w:val="-6"/>
      <w:sz w:val="24"/>
    </w:rPr>
  </w:style>
  <w:style w:type="paragraph" w:styleId="741">
    <w:name w:val="Heading 8"/>
    <w:basedOn w:val="733"/>
    <w:next w:val="746"/>
    <w:uiPriority w:val="0"/>
    <w:qFormat/>
    <w:pPr>
      <w:numPr>
        <w:ilvl w:val="7"/>
        <w:numId w:val="1"/>
      </w:numPr>
      <w:keepLines/>
      <w:keepNext/>
      <w:spacing w:before="240" w:after="64" w:line="320" w:lineRule="auto"/>
      <w:outlineLvl w:val="7"/>
    </w:pPr>
    <w:rPr>
      <w:rFonts w:ascii="Arial" w:hAnsi="Arial" w:eastAsia="黑体"/>
      <w:spacing w:val="-2"/>
      <w:position w:val="-6"/>
      <w:sz w:val="24"/>
    </w:rPr>
  </w:style>
  <w:style w:type="paragraph" w:styleId="742">
    <w:name w:val="Heading 9"/>
    <w:basedOn w:val="733"/>
    <w:next w:val="746"/>
    <w:uiPriority w:val="0"/>
    <w:qFormat/>
    <w:pPr>
      <w:numPr>
        <w:ilvl w:val="8"/>
        <w:numId w:val="1"/>
      </w:numPr>
      <w:keepLines/>
      <w:keepNext/>
      <w:spacing w:before="240" w:after="64" w:line="320" w:lineRule="auto"/>
      <w:outlineLvl w:val="8"/>
    </w:pPr>
    <w:rPr>
      <w:rFonts w:ascii="Arial" w:hAnsi="Arial" w:eastAsia="黑体"/>
      <w:spacing w:val="-2"/>
      <w:position w:val="-6"/>
      <w:sz w:val="28"/>
    </w:rPr>
  </w:style>
  <w:style w:type="character" w:styleId="743" w:default="1">
    <w:name w:val="Default Paragraph Font"/>
    <w:uiPriority w:val="1"/>
    <w:semiHidden/>
    <w:unhideWhenUsed/>
    <w:qFormat/>
  </w:style>
  <w:style w:type="table" w:styleId="744" w:default="1">
    <w:name w:val="Normal Table"/>
    <w:uiPriority w:val="99"/>
    <w:semiHidden/>
    <w:unhideWhenUsed/>
    <w:qFormat/>
    <w:tblPr>
      <w:tblCellMar>
        <w:left w:w="108" w:type="dxa"/>
        <w:top w:w="0" w:type="dxa"/>
        <w:right w:w="108" w:type="dxa"/>
        <w:bottom w:w="0" w:type="dxa"/>
      </w:tblCellMar>
    </w:tblPr>
  </w:style>
  <w:style w:type="paragraph" w:styleId="745">
    <w:name w:val="Body Text Indent"/>
    <w:basedOn w:val="733"/>
    <w:next w:val="733"/>
    <w:uiPriority w:val="0"/>
    <w:qFormat/>
    <w:pPr>
      <w:ind w:left="570"/>
      <w:spacing w:line="520" w:lineRule="exact"/>
    </w:pPr>
    <w:rPr>
      <w:rFonts w:ascii="方正仿宋简体" w:hAnsi="创艺简仿宋" w:eastAsia="方正仿宋简体"/>
      <w:sz w:val="24"/>
    </w:rPr>
  </w:style>
  <w:style w:type="paragraph" w:styleId="746">
    <w:name w:val="Normal Indent"/>
    <w:basedOn w:val="733"/>
    <w:next w:val="733"/>
    <w:link w:val="805"/>
    <w:uiPriority w:val="0"/>
    <w:qFormat/>
    <w:pPr>
      <w:ind w:firstLine="420"/>
      <w:jc w:val="left"/>
    </w:pPr>
    <w:rPr>
      <w:sz w:val="24"/>
    </w:rPr>
  </w:style>
  <w:style w:type="paragraph" w:styleId="747">
    <w:name w:val="toc 7"/>
    <w:basedOn w:val="733"/>
    <w:next w:val="733"/>
    <w:uiPriority w:val="0"/>
    <w:qFormat/>
    <w:pPr>
      <w:ind w:left="2520"/>
    </w:pPr>
  </w:style>
  <w:style w:type="paragraph" w:styleId="748">
    <w:name w:val="index 8"/>
    <w:basedOn w:val="733"/>
    <w:next w:val="733"/>
    <w:uiPriority w:val="0"/>
    <w:qFormat/>
    <w:pPr>
      <w:ind w:left="2940"/>
    </w:pPr>
  </w:style>
  <w:style w:type="paragraph" w:styleId="749">
    <w:name w:val="index 5"/>
    <w:basedOn w:val="733"/>
    <w:next w:val="733"/>
    <w:uiPriority w:val="0"/>
    <w:qFormat/>
    <w:pPr>
      <w:ind w:left="1680"/>
    </w:pPr>
  </w:style>
  <w:style w:type="paragraph" w:styleId="750">
    <w:name w:val="Document Map"/>
    <w:basedOn w:val="733"/>
    <w:uiPriority w:val="0"/>
    <w:qFormat/>
    <w:pPr>
      <w:shd w:val="clear" w:color="auto" w:fill="000080"/>
    </w:pPr>
  </w:style>
  <w:style w:type="paragraph" w:styleId="751">
    <w:name w:val="annotation text"/>
    <w:basedOn w:val="733"/>
    <w:link w:val="857"/>
    <w:uiPriority w:val="0"/>
    <w:qFormat/>
    <w:pPr>
      <w:jc w:val="left"/>
    </w:pPr>
  </w:style>
  <w:style w:type="paragraph" w:styleId="752">
    <w:name w:val="index 6"/>
    <w:basedOn w:val="733"/>
    <w:next w:val="733"/>
    <w:uiPriority w:val="0"/>
    <w:qFormat/>
    <w:pPr>
      <w:ind w:left="2100"/>
    </w:pPr>
  </w:style>
  <w:style w:type="paragraph" w:styleId="753">
    <w:name w:val="Body Text"/>
    <w:basedOn w:val="733"/>
    <w:next w:val="733"/>
    <w:uiPriority w:val="0"/>
    <w:qFormat/>
    <w:pPr>
      <w:spacing w:line="400" w:lineRule="exact"/>
    </w:pPr>
    <w:rPr>
      <w:rFonts w:ascii="楷体_GB2312"/>
      <w:sz w:val="28"/>
    </w:rPr>
  </w:style>
  <w:style w:type="paragraph" w:styleId="754">
    <w:name w:val="List Continue"/>
    <w:basedOn w:val="733"/>
    <w:uiPriority w:val="99"/>
    <w:unhideWhenUsed/>
    <w:qFormat/>
    <w:pPr>
      <w:ind w:left="200"/>
      <w:spacing w:after="120"/>
    </w:pPr>
    <w:rPr>
      <w:rFonts w:ascii="宋体" w:hAnsi="宋体" w:cs="Symbol"/>
      <w:sz w:val="28"/>
    </w:rPr>
  </w:style>
  <w:style w:type="paragraph" w:styleId="755">
    <w:name w:val="index 4"/>
    <w:basedOn w:val="733"/>
    <w:next w:val="733"/>
    <w:uiPriority w:val="0"/>
    <w:qFormat/>
    <w:pPr>
      <w:ind w:left="1260"/>
    </w:pPr>
  </w:style>
  <w:style w:type="paragraph" w:styleId="756">
    <w:name w:val="toc 5"/>
    <w:basedOn w:val="733"/>
    <w:next w:val="733"/>
    <w:uiPriority w:val="0"/>
    <w:qFormat/>
    <w:pPr>
      <w:ind w:left="1680"/>
    </w:pPr>
  </w:style>
  <w:style w:type="paragraph" w:styleId="757">
    <w:name w:val="toc 3"/>
    <w:basedOn w:val="733"/>
    <w:next w:val="733"/>
    <w:uiPriority w:val="0"/>
    <w:qFormat/>
    <w:pPr>
      <w:ind w:left="840"/>
    </w:pPr>
  </w:style>
  <w:style w:type="paragraph" w:styleId="758">
    <w:name w:val="Plain Text"/>
    <w:basedOn w:val="733"/>
    <w:next w:val="746"/>
    <w:link w:val="809"/>
    <w:uiPriority w:val="0"/>
    <w:qFormat/>
    <w:rPr>
      <w:rFonts w:ascii="宋体" w:hAnsi="Courier New"/>
    </w:rPr>
  </w:style>
  <w:style w:type="paragraph" w:styleId="759">
    <w:name w:val="toc 8"/>
    <w:basedOn w:val="733"/>
    <w:next w:val="733"/>
    <w:uiPriority w:val="0"/>
    <w:qFormat/>
    <w:pPr>
      <w:ind w:left="2940"/>
    </w:pPr>
  </w:style>
  <w:style w:type="paragraph" w:styleId="760">
    <w:name w:val="index 3"/>
    <w:basedOn w:val="733"/>
    <w:next w:val="733"/>
    <w:uiPriority w:val="0"/>
    <w:qFormat/>
    <w:pPr>
      <w:ind w:left="840"/>
    </w:pPr>
  </w:style>
  <w:style w:type="paragraph" w:styleId="761">
    <w:name w:val="Date"/>
    <w:basedOn w:val="733"/>
    <w:next w:val="733"/>
    <w:link w:val="810"/>
    <w:uiPriority w:val="0"/>
    <w:qFormat/>
    <w:rPr>
      <w:rFonts w:ascii="宋体" w:hAnsi="宋体"/>
      <w:sz w:val="24"/>
    </w:rPr>
  </w:style>
  <w:style w:type="paragraph" w:styleId="762">
    <w:name w:val="Body Text Indent 2"/>
    <w:basedOn w:val="733"/>
    <w:uiPriority w:val="0"/>
    <w:qFormat/>
    <w:pPr>
      <w:ind w:firstLine="502"/>
      <w:spacing w:line="360" w:lineRule="auto"/>
      <w:tabs>
        <w:tab w:val="left" w:pos="0" w:leader="none"/>
      </w:tabs>
    </w:pPr>
    <w:rPr>
      <w:rFonts w:ascii="宋体" w:eastAsia="宋体"/>
      <w:b/>
      <w:bCs/>
      <w:sz w:val="24"/>
    </w:rPr>
  </w:style>
  <w:style w:type="paragraph" w:styleId="763">
    <w:name w:val="Balloon Text"/>
    <w:basedOn w:val="733"/>
    <w:uiPriority w:val="0"/>
    <w:qFormat/>
    <w:rPr>
      <w:sz w:val="18"/>
      <w:szCs w:val="18"/>
    </w:rPr>
  </w:style>
  <w:style w:type="paragraph" w:styleId="764">
    <w:name w:val="Footer"/>
    <w:basedOn w:val="733"/>
    <w:link w:val="865"/>
    <w:uiPriority w:val="99"/>
    <w:qFormat/>
    <w:pPr>
      <w:jc w:val="left"/>
      <w:tabs>
        <w:tab w:val="center" w:pos="4153" w:leader="none"/>
        <w:tab w:val="right" w:pos="8306" w:leader="none"/>
      </w:tabs>
    </w:pPr>
    <w:rPr>
      <w:sz w:val="18"/>
    </w:rPr>
  </w:style>
  <w:style w:type="paragraph" w:styleId="765">
    <w:name w:val="envelope return"/>
    <w:basedOn w:val="733"/>
    <w:uiPriority w:val="0"/>
    <w:qFormat/>
    <w:rPr>
      <w:rFonts w:ascii="Arial" w:hAnsi="Arial"/>
    </w:rPr>
  </w:style>
  <w:style w:type="paragraph" w:styleId="766">
    <w:name w:val="Header"/>
    <w:basedOn w:val="733"/>
    <w:link w:val="866"/>
    <w:uiPriority w:val="99"/>
    <w:qFormat/>
    <w:pPr>
      <w:jc w:val="center"/>
      <w:tabs>
        <w:tab w:val="center" w:pos="4153" w:leader="none"/>
        <w:tab w:val="right" w:pos="8306" w:leader="none"/>
      </w:tabs>
      <w:pBdr>
        <w:bottom w:val="single" w:color="auto" w:sz="6" w:space="1"/>
      </w:pBdr>
    </w:pPr>
    <w:rPr>
      <w:sz w:val="18"/>
    </w:rPr>
  </w:style>
  <w:style w:type="paragraph" w:styleId="767">
    <w:name w:val="toc 1"/>
    <w:basedOn w:val="733"/>
    <w:next w:val="733"/>
    <w:uiPriority w:val="0"/>
    <w:qFormat/>
    <w:pPr>
      <w:tabs>
        <w:tab w:val="right" w:pos="9026" w:leader="dot"/>
      </w:tabs>
    </w:pPr>
    <w:rPr>
      <w:rFonts w:ascii="宋体" w:hAnsi="宋体" w:eastAsia="宋体"/>
      <w:sz w:val="24"/>
    </w:rPr>
  </w:style>
  <w:style w:type="paragraph" w:styleId="768">
    <w:name w:val="toc 4"/>
    <w:basedOn w:val="733"/>
    <w:next w:val="733"/>
    <w:uiPriority w:val="0"/>
    <w:qFormat/>
    <w:pPr>
      <w:ind w:left="1260"/>
    </w:pPr>
  </w:style>
  <w:style w:type="paragraph" w:styleId="769">
    <w:name w:val="index heading"/>
    <w:basedOn w:val="733"/>
    <w:next w:val="770"/>
    <w:uiPriority w:val="0"/>
    <w:qFormat/>
  </w:style>
  <w:style w:type="paragraph" w:styleId="770">
    <w:name w:val="index 1"/>
    <w:basedOn w:val="733"/>
    <w:next w:val="733"/>
    <w:uiPriority w:val="0"/>
    <w:qFormat/>
  </w:style>
  <w:style w:type="paragraph" w:styleId="771">
    <w:name w:val="footnote text"/>
    <w:basedOn w:val="733"/>
    <w:uiPriority w:val="0"/>
    <w:qFormat/>
    <w:pPr>
      <w:jc w:val="left"/>
    </w:pPr>
    <w:rPr>
      <w:sz w:val="18"/>
    </w:rPr>
  </w:style>
  <w:style w:type="paragraph" w:styleId="772">
    <w:name w:val="toc 6"/>
    <w:basedOn w:val="733"/>
    <w:next w:val="733"/>
    <w:uiPriority w:val="0"/>
    <w:qFormat/>
    <w:pPr>
      <w:ind w:left="2100"/>
    </w:pPr>
  </w:style>
  <w:style w:type="paragraph" w:styleId="773">
    <w:name w:val="Body Text Indent 3"/>
    <w:basedOn w:val="733"/>
    <w:uiPriority w:val="0"/>
    <w:qFormat/>
    <w:pPr>
      <w:ind w:firstLine="617"/>
      <w:spacing w:line="360" w:lineRule="auto"/>
    </w:pPr>
    <w:rPr>
      <w:rFonts w:eastAsia="宋体"/>
      <w:sz w:val="24"/>
      <w:szCs w:val="24"/>
    </w:rPr>
  </w:style>
  <w:style w:type="paragraph" w:styleId="774">
    <w:name w:val="index 7"/>
    <w:basedOn w:val="733"/>
    <w:next w:val="733"/>
    <w:uiPriority w:val="0"/>
    <w:qFormat/>
    <w:pPr>
      <w:ind w:left="2520"/>
    </w:pPr>
  </w:style>
  <w:style w:type="paragraph" w:styleId="775">
    <w:name w:val="index 9"/>
    <w:basedOn w:val="733"/>
    <w:next w:val="733"/>
    <w:uiPriority w:val="0"/>
    <w:qFormat/>
    <w:pPr>
      <w:ind w:left="3360"/>
    </w:pPr>
  </w:style>
  <w:style w:type="paragraph" w:styleId="776">
    <w:name w:val="table of figures"/>
    <w:basedOn w:val="733"/>
    <w:next w:val="733"/>
    <w:uiPriority w:val="0"/>
    <w:qFormat/>
    <w:pPr>
      <w:ind w:left="420" w:hanging="420"/>
      <w:jc w:val="left"/>
    </w:pPr>
    <w:rPr>
      <w:smallCaps/>
      <w:sz w:val="24"/>
    </w:rPr>
  </w:style>
  <w:style w:type="paragraph" w:styleId="777">
    <w:name w:val="toc 2"/>
    <w:basedOn w:val="733"/>
    <w:next w:val="733"/>
    <w:uiPriority w:val="0"/>
    <w:qFormat/>
    <w:pPr>
      <w:ind w:left="420"/>
    </w:pPr>
  </w:style>
  <w:style w:type="paragraph" w:styleId="778">
    <w:name w:val="toc 9"/>
    <w:basedOn w:val="733"/>
    <w:next w:val="733"/>
    <w:uiPriority w:val="0"/>
    <w:qFormat/>
    <w:pPr>
      <w:ind w:left="3360"/>
    </w:pPr>
  </w:style>
  <w:style w:type="paragraph" w:styleId="779">
    <w:name w:val="HTML Preformatted"/>
    <w:basedOn w:val="733"/>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楷体_GB2312"/>
      <w:sz w:val="20"/>
    </w:rPr>
  </w:style>
  <w:style w:type="paragraph" w:styleId="780">
    <w:name w:val="Normal (Web)"/>
    <w:basedOn w:val="733"/>
    <w:uiPriority w:val="99"/>
    <w:qFormat/>
    <w:pPr>
      <w:jc w:val="left"/>
      <w:spacing w:before="100" w:beforeAutospacing="1" w:after="100" w:afterAutospacing="1"/>
      <w:widowControl/>
    </w:pPr>
    <w:rPr>
      <w:rFonts w:hint="eastAsia" w:ascii="宋体" w:hAnsi="宋体" w:eastAsia="宋体"/>
      <w:sz w:val="24"/>
      <w:szCs w:val="24"/>
    </w:rPr>
  </w:style>
  <w:style w:type="paragraph" w:styleId="781">
    <w:name w:val="index 2"/>
    <w:basedOn w:val="733"/>
    <w:next w:val="733"/>
    <w:uiPriority w:val="0"/>
    <w:qFormat/>
    <w:pPr>
      <w:ind w:left="420"/>
    </w:pPr>
  </w:style>
  <w:style w:type="paragraph" w:styleId="782">
    <w:name w:val="Title"/>
    <w:basedOn w:val="733"/>
    <w:next w:val="733"/>
    <w:link w:val="868"/>
    <w:uiPriority w:val="10"/>
    <w:qFormat/>
    <w:pPr>
      <w:jc w:val="center"/>
    </w:pPr>
    <w:rPr>
      <w:rFonts w:ascii="黑体" w:hAnsi="黑体" w:eastAsia="黑体"/>
      <w:sz w:val="28"/>
      <w:szCs w:val="24"/>
    </w:rPr>
  </w:style>
  <w:style w:type="paragraph" w:styleId="783">
    <w:name w:val="annotation subject"/>
    <w:basedOn w:val="751"/>
    <w:next w:val="751"/>
    <w:uiPriority w:val="0"/>
    <w:qFormat/>
    <w:rPr>
      <w:bCs/>
    </w:rPr>
  </w:style>
  <w:style w:type="paragraph" w:styleId="784">
    <w:name w:val="Body Text First Indent"/>
    <w:basedOn w:val="753"/>
    <w:uiPriority w:val="0"/>
    <w:qFormat/>
    <w:pPr>
      <w:ind w:firstLine="420"/>
      <w:spacing w:after="120" w:line="240" w:lineRule="auto"/>
    </w:pPr>
    <w:rPr>
      <w:rFonts w:ascii="Times New Roman"/>
      <w:sz w:val="26"/>
    </w:rPr>
  </w:style>
  <w:style w:type="paragraph" w:styleId="785">
    <w:name w:val="Body Text First Indent 2"/>
    <w:basedOn w:val="745"/>
    <w:next w:val="733"/>
    <w:uiPriority w:val="99"/>
    <w:semiHidden/>
    <w:unhideWhenUsed/>
    <w:qFormat/>
    <w:pPr>
      <w:ind w:firstLine="420"/>
    </w:pPr>
  </w:style>
  <w:style w:type="table" w:styleId="786">
    <w:name w:val="Table Grid"/>
    <w:basedOn w:val="744"/>
    <w:uiPriority w:val="99"/>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87">
    <w:name w:val="Strong"/>
    <w:basedOn w:val="743"/>
    <w:uiPriority w:val="22"/>
    <w:qFormat/>
    <w:rPr>
      <w:b/>
      <w:bCs/>
    </w:rPr>
  </w:style>
  <w:style w:type="character" w:styleId="788">
    <w:name w:val="page number"/>
    <w:basedOn w:val="743"/>
    <w:uiPriority w:val="0"/>
    <w:qFormat/>
  </w:style>
  <w:style w:type="character" w:styleId="789">
    <w:name w:val="FollowedHyperlink"/>
    <w:basedOn w:val="743"/>
    <w:uiPriority w:val="99"/>
    <w:semiHidden/>
    <w:unhideWhenUsed/>
    <w:qFormat/>
    <w:rPr>
      <w:color w:val="333333"/>
      <w:u w:val="none"/>
    </w:rPr>
  </w:style>
  <w:style w:type="character" w:styleId="790">
    <w:name w:val="Emphasis"/>
    <w:basedOn w:val="743"/>
    <w:uiPriority w:val="20"/>
    <w:qFormat/>
  </w:style>
  <w:style w:type="character" w:styleId="791">
    <w:name w:val="HTML Definition"/>
    <w:basedOn w:val="743"/>
    <w:uiPriority w:val="99"/>
    <w:semiHidden/>
    <w:unhideWhenUsed/>
    <w:qFormat/>
  </w:style>
  <w:style w:type="character" w:styleId="792">
    <w:name w:val="HTML Typewriter"/>
    <w:basedOn w:val="743"/>
    <w:uiPriority w:val="99"/>
    <w:semiHidden/>
    <w:unhideWhenUsed/>
    <w:qFormat/>
    <w:rPr>
      <w:rFonts w:hint="default" w:ascii="monospace" w:hAnsi="monospace" w:eastAsia="monospace" w:cs="monospace"/>
      <w:sz w:val="20"/>
    </w:rPr>
  </w:style>
  <w:style w:type="character" w:styleId="793">
    <w:name w:val="HTML Acronym"/>
    <w:basedOn w:val="743"/>
    <w:uiPriority w:val="99"/>
    <w:semiHidden/>
    <w:unhideWhenUsed/>
    <w:qFormat/>
  </w:style>
  <w:style w:type="character" w:styleId="794">
    <w:name w:val="HTML Variable"/>
    <w:basedOn w:val="743"/>
    <w:uiPriority w:val="99"/>
    <w:semiHidden/>
    <w:unhideWhenUsed/>
    <w:qFormat/>
  </w:style>
  <w:style w:type="character" w:styleId="795">
    <w:name w:val="Hyperlink"/>
    <w:basedOn w:val="743"/>
    <w:uiPriority w:val="99"/>
    <w:unhideWhenUsed/>
    <w:qFormat/>
    <w:rPr>
      <w:color w:val="0000ff"/>
      <w:u w:val="none"/>
    </w:rPr>
  </w:style>
  <w:style w:type="character" w:styleId="796">
    <w:name w:val="HTML Code"/>
    <w:basedOn w:val="743"/>
    <w:uiPriority w:val="99"/>
    <w:semiHidden/>
    <w:unhideWhenUsed/>
    <w:qFormat/>
    <w:rPr>
      <w:rFonts w:hint="default" w:ascii="monospace" w:hAnsi="monospace" w:eastAsia="monospace" w:cs="monospace"/>
      <w:sz w:val="20"/>
    </w:rPr>
  </w:style>
  <w:style w:type="character" w:styleId="797">
    <w:name w:val="annotation reference"/>
    <w:uiPriority w:val="0"/>
    <w:qFormat/>
    <w:rPr>
      <w:sz w:val="21"/>
      <w:szCs w:val="21"/>
    </w:rPr>
  </w:style>
  <w:style w:type="character" w:styleId="798">
    <w:name w:val="HTML Cite"/>
    <w:basedOn w:val="743"/>
    <w:uiPriority w:val="99"/>
    <w:semiHidden/>
    <w:unhideWhenUsed/>
    <w:qFormat/>
  </w:style>
  <w:style w:type="character" w:styleId="799">
    <w:name w:val="footnote reference"/>
    <w:uiPriority w:val="0"/>
    <w:qFormat/>
    <w:rPr>
      <w:vertAlign w:val="superscript"/>
    </w:rPr>
  </w:style>
  <w:style w:type="character" w:styleId="800">
    <w:name w:val="HTML Keyboard"/>
    <w:basedOn w:val="743"/>
    <w:uiPriority w:val="99"/>
    <w:semiHidden/>
    <w:unhideWhenUsed/>
    <w:qFormat/>
    <w:rPr>
      <w:rFonts w:ascii="monospace" w:hAnsi="monospace" w:eastAsia="monospace" w:cs="monospace"/>
      <w:sz w:val="20"/>
    </w:rPr>
  </w:style>
  <w:style w:type="character" w:styleId="801">
    <w:name w:val="HTML Sample"/>
    <w:basedOn w:val="743"/>
    <w:uiPriority w:val="99"/>
    <w:semiHidden/>
    <w:unhideWhenUsed/>
    <w:qFormat/>
    <w:rPr>
      <w:rFonts w:hint="default" w:ascii="monospace" w:hAnsi="monospace" w:eastAsia="monospace" w:cs="monospace"/>
    </w:rPr>
  </w:style>
  <w:style w:type="paragraph" w:styleId="802" w:customStyle="1">
    <w:name w:val="正文1"/>
    <w:next w:val="733"/>
    <w:uiPriority w:val="0"/>
    <w:qFormat/>
    <w:pPr>
      <w:jc w:val="both"/>
      <w:spacing w:line="360" w:lineRule="atLeast"/>
      <w:widowControl w:val="off"/>
    </w:pPr>
    <w:rPr>
      <w:rFonts w:ascii="Times New Roman" w:hAnsi="Times New Roman" w:eastAsia="宋体" w:cs="Times New Roman"/>
      <w:lang w:val="en-US" w:eastAsia="zh-CN" w:bidi="ar-SA"/>
    </w:rPr>
  </w:style>
  <w:style w:type="paragraph" w:styleId="803" w:customStyle="1">
    <w:name w:val="段"/>
    <w:next w:val="733"/>
    <w:uiPriority w:val="99"/>
    <w:qFormat/>
    <w:pPr>
      <w:ind w:firstLine="200"/>
      <w:jc w:val="both"/>
      <w:spacing w:line="360" w:lineRule="auto"/>
    </w:pPr>
    <w:rPr>
      <w:rFonts w:ascii="宋体" w:hAnsi="Calibri" w:eastAsia="宋体" w:cs="Times New Roman"/>
      <w:sz w:val="24"/>
      <w:szCs w:val="22"/>
      <w:lang w:val="en-US" w:eastAsia="zh-CN" w:bidi="ar-SA"/>
    </w:rPr>
  </w:style>
  <w:style w:type="paragraph" w:styleId="804" w:customStyle="1">
    <w:name w:val="目录 51"/>
    <w:next w:val="733"/>
    <w:uiPriority w:val="0"/>
    <w:qFormat/>
    <w:pPr>
      <w:ind w:left="1275"/>
      <w:jc w:val="both"/>
    </w:pPr>
    <w:rPr>
      <w:rFonts w:ascii="Times New Roman" w:hAnsi="Times New Roman" w:eastAsia="宋体" w:cs="Times New Roman"/>
      <w:sz w:val="21"/>
      <w:lang w:val="en-US" w:eastAsia="zh-CN" w:bidi="ar-SA"/>
    </w:rPr>
  </w:style>
  <w:style w:type="character" w:styleId="805" w:customStyle="1">
    <w:name w:val="正文缩进 字符"/>
    <w:link w:val="746"/>
    <w:uiPriority w:val="0"/>
    <w:qFormat/>
    <w:rPr>
      <w:rFonts w:eastAsia="楷体_GB2312"/>
      <w:sz w:val="24"/>
      <w:lang w:val="en-US" w:eastAsia="zh-CN" w:bidi="ar-SA"/>
    </w:rPr>
  </w:style>
  <w:style w:type="character" w:styleId="806" w:customStyle="1">
    <w:name w:val="列出段落 Char"/>
    <w:link w:val="807"/>
    <w:uiPriority w:val="0"/>
    <w:qFormat/>
    <w:rPr>
      <w:rFonts w:eastAsia="楷体_GB2312"/>
      <w:sz w:val="26"/>
      <w:lang w:val="zh-CN" w:eastAsia="zh-CN" w:bidi="ar-SA"/>
    </w:rPr>
  </w:style>
  <w:style w:type="paragraph" w:styleId="807" w:customStyle="1">
    <w:name w:val="序号"/>
    <w:basedOn w:val="733"/>
    <w:next w:val="808"/>
    <w:link w:val="806"/>
    <w:uiPriority w:val="0"/>
    <w:qFormat/>
    <w:pPr>
      <w:ind w:firstLine="420"/>
    </w:pPr>
    <w:rPr>
      <w:lang w:val="zh-CN"/>
    </w:rPr>
  </w:style>
  <w:style w:type="paragraph" w:styleId="808" w:customStyle="1">
    <w:name w:val="列表段落1"/>
    <w:basedOn w:val="733"/>
    <w:uiPriority w:val="34"/>
    <w:qFormat/>
    <w:pPr>
      <w:ind w:firstLine="420"/>
    </w:pPr>
  </w:style>
  <w:style w:type="character" w:styleId="809" w:customStyle="1">
    <w:name w:val="纯文本 字符"/>
    <w:link w:val="758"/>
    <w:uiPriority w:val="0"/>
    <w:qFormat/>
    <w:rPr>
      <w:rFonts w:ascii="宋体" w:hAnsi="Courier New" w:eastAsia="楷体_GB2312"/>
      <w:sz w:val="26"/>
      <w:lang w:val="en-US" w:eastAsia="zh-CN" w:bidi="ar-SA"/>
    </w:rPr>
  </w:style>
  <w:style w:type="character" w:styleId="810" w:customStyle="1">
    <w:name w:val="日期 字符"/>
    <w:link w:val="761"/>
    <w:uiPriority w:val="0"/>
    <w:qFormat/>
    <w:rPr>
      <w:rFonts w:ascii="宋体" w:hAnsi="宋体" w:eastAsia="楷体_GB2312"/>
      <w:sz w:val="24"/>
      <w:lang w:val="en-US" w:eastAsia="zh-CN" w:bidi="ar-SA"/>
    </w:rPr>
  </w:style>
  <w:style w:type="character" w:styleId="811" w:customStyle="1">
    <w:name w:val="表格正文 字符"/>
    <w:link w:val="812"/>
    <w:uiPriority w:val="0"/>
    <w:qFormat/>
    <w:rPr>
      <w:rFonts w:ascii="宋体" w:hAnsi="宋体" w:eastAsia="楷体_GB2312"/>
      <w:sz w:val="26"/>
      <w:szCs w:val="24"/>
      <w:lang w:val="en-US" w:eastAsia="zh-CN" w:bidi="ar-SA"/>
    </w:rPr>
  </w:style>
  <w:style w:type="paragraph" w:styleId="812" w:customStyle="1">
    <w:name w:val="表格正文"/>
    <w:basedOn w:val="733"/>
    <w:next w:val="733"/>
    <w:link w:val="811"/>
    <w:uiPriority w:val="0"/>
    <w:qFormat/>
    <w:rPr>
      <w:rFonts w:ascii="宋体" w:hAnsi="宋体"/>
      <w:szCs w:val="24"/>
    </w:rPr>
  </w:style>
  <w:style w:type="character" w:styleId="813" w:customStyle="1">
    <w:name w:val="缩进正文 字符"/>
    <w:link w:val="814"/>
    <w:uiPriority w:val="0"/>
    <w:qFormat/>
    <w:rPr>
      <w:rFonts w:ascii="Calibri" w:hAnsi="Calibri" w:eastAsia="楷体_GB2312"/>
      <w:sz w:val="26"/>
      <w:szCs w:val="24"/>
      <w:lang w:val="en-US" w:eastAsia="zh-CN" w:bidi="ar-SA"/>
    </w:rPr>
  </w:style>
  <w:style w:type="paragraph" w:styleId="814" w:customStyle="1">
    <w:name w:val="缩进正文"/>
    <w:basedOn w:val="733"/>
    <w:link w:val="813"/>
    <w:uiPriority w:val="0"/>
    <w:qFormat/>
    <w:pPr>
      <w:ind w:firstLine="200"/>
    </w:pPr>
    <w:rPr>
      <w:rFonts w:ascii="Calibri" w:hAnsi="Calibri"/>
      <w:szCs w:val="24"/>
    </w:rPr>
  </w:style>
  <w:style w:type="paragraph" w:styleId="815" w:customStyle="1">
    <w:name w:val="Char Char Char"/>
    <w:basedOn w:val="733"/>
    <w:uiPriority w:val="0"/>
    <w:qFormat/>
    <w:pPr>
      <w:numPr>
        <w:ilvl w:val="0"/>
        <w:numId w:val="1"/>
      </w:numPr>
      <w:tabs>
        <w:tab w:val="clear" w:pos="432" w:leader="none"/>
        <w:tab w:val="left" w:pos="840" w:leader="none"/>
      </w:tabs>
    </w:pPr>
    <w:rPr>
      <w:rFonts w:eastAsia="宋体"/>
      <w:sz w:val="21"/>
      <w:szCs w:val="24"/>
    </w:rPr>
  </w:style>
  <w:style w:type="paragraph" w:styleId="816" w:customStyle="1">
    <w:name w:val="Char Char Char1 Char Char Char Char"/>
    <w:basedOn w:val="733"/>
    <w:uiPriority w:val="0"/>
    <w:qFormat/>
    <w:pPr>
      <w:jc w:val="left"/>
      <w:spacing w:after="160" w:line="240" w:lineRule="exact"/>
      <w:widowControl/>
    </w:pPr>
    <w:rPr>
      <w:rFonts w:eastAsia="宋体"/>
      <w:sz w:val="24"/>
      <w:szCs w:val="24"/>
    </w:rPr>
  </w:style>
  <w:style w:type="paragraph" w:styleId="817" w:customStyle="1">
    <w:name w:val="正文 A"/>
    <w:uiPriority w:val="0"/>
    <w:qFormat/>
    <w:pPr>
      <w:jc w:val="both"/>
      <w:widowControl w:val="off"/>
    </w:pPr>
    <w:rPr>
      <w:rFonts w:ascii="Times New Roman" w:hAnsi="Arial Unicode MS" w:eastAsia="Arial Unicode MS" w:cs="Arial Unicode MS"/>
      <w:color w:val="000000"/>
      <w:sz w:val="21"/>
      <w:szCs w:val="21"/>
      <w:lang w:val="en-US" w:eastAsia="zh-CN" w:bidi="ar-SA"/>
    </w:rPr>
  </w:style>
  <w:style w:type="paragraph" w:styleId="818" w:customStyle="1">
    <w:name w:val="首行缩进"/>
    <w:basedOn w:val="733"/>
    <w:uiPriority w:val="0"/>
    <w:qFormat/>
    <w:pPr>
      <w:ind w:firstLine="480"/>
    </w:pPr>
    <w:rPr>
      <w:lang w:val="zh-CN"/>
    </w:rPr>
  </w:style>
  <w:style w:type="paragraph" w:styleId="819" w:customStyle="1">
    <w:name w:val="纯文本1"/>
    <w:basedOn w:val="733"/>
    <w:uiPriority w:val="0"/>
    <w:qFormat/>
    <w:rPr>
      <w:rFonts w:ascii="宋体" w:hAnsi="Courier New"/>
    </w:rPr>
  </w:style>
  <w:style w:type="paragraph" w:styleId="820" w:customStyle="1">
    <w:name w:val="_Style 1"/>
    <w:basedOn w:val="733"/>
    <w:uiPriority w:val="34"/>
    <w:qFormat/>
    <w:pPr>
      <w:ind w:firstLine="420"/>
      <w:spacing w:line="312" w:lineRule="auto"/>
    </w:pPr>
  </w:style>
  <w:style w:type="paragraph" w:styleId="821" w:customStyle="1">
    <w:name w:val="_Style 12"/>
    <w:basedOn w:val="750"/>
    <w:uiPriority w:val="0"/>
    <w:qFormat/>
    <w:pPr>
      <w:spacing w:line="360" w:lineRule="auto"/>
    </w:pPr>
  </w:style>
  <w:style w:type="paragraph" w:styleId="822" w:customStyle="1">
    <w:name w:val="列出段落1"/>
    <w:basedOn w:val="733"/>
    <w:uiPriority w:val="0"/>
    <w:qFormat/>
    <w:pPr>
      <w:ind w:firstLine="420"/>
    </w:pPr>
    <w:rPr>
      <w:rFonts w:ascii="Calibri" w:hAnsi="Calibri"/>
      <w:szCs w:val="21"/>
    </w:rPr>
  </w:style>
  <w:style w:type="paragraph" w:styleId="823" w:customStyle="1">
    <w:name w:val="缩进正文-"/>
    <w:basedOn w:val="733"/>
    <w:uiPriority w:val="0"/>
    <w:qFormat/>
    <w:pPr>
      <w:ind w:firstLine="200"/>
      <w:spacing w:before="100" w:beforeAutospacing="1" w:line="360" w:lineRule="auto"/>
    </w:pPr>
    <w:rPr>
      <w:rFonts w:ascii="宋体" w:hAnsi="宋体" w:eastAsia="宋体"/>
      <w:color w:val="000000"/>
      <w:sz w:val="24"/>
      <w:szCs w:val="21"/>
    </w:rPr>
  </w:style>
  <w:style w:type="paragraph" w:styleId="824" w:customStyle="1">
    <w:name w:val="*正文"/>
    <w:basedOn w:val="733"/>
    <w:uiPriority w:val="0"/>
    <w:qFormat/>
    <w:pPr>
      <w:ind w:firstLine="200"/>
      <w:spacing w:line="360" w:lineRule="auto"/>
      <w:widowControl/>
    </w:pPr>
    <w:rPr>
      <w:rFonts w:ascii="仿宋_GB2312" w:hAnsi="Calibri" w:eastAsia="仿宋_GB2312"/>
      <w:sz w:val="24"/>
      <w:szCs w:val="28"/>
    </w:rPr>
  </w:style>
  <w:style w:type="paragraph" w:styleId="825" w:customStyle="1">
    <w:name w:val="纯文本11"/>
    <w:basedOn w:val="733"/>
    <w:uiPriority w:val="99"/>
    <w:qFormat/>
    <w:rPr>
      <w:rFonts w:ascii="宋体" w:hAnsi="Courier New"/>
    </w:rPr>
  </w:style>
  <w:style w:type="paragraph" w:styleId="826" w:customStyle="1">
    <w:name w:val="Char Char Char1 Char"/>
    <w:basedOn w:val="733"/>
    <w:uiPriority w:val="0"/>
    <w:semiHidden/>
    <w:qFormat/>
    <w:pPr>
      <w:ind w:firstLine="200"/>
      <w:spacing w:line="360" w:lineRule="auto"/>
    </w:pPr>
    <w:rPr>
      <w:rFonts w:ascii="宋体" w:hAnsi="宋体" w:cs="宋体"/>
      <w:sz w:val="24"/>
    </w:rPr>
  </w:style>
  <w:style w:type="paragraph" w:styleId="827" w:customStyle="1">
    <w:name w:val="Char Char1 Char Char Char Char"/>
    <w:basedOn w:val="750"/>
    <w:uiPriority w:val="0"/>
    <w:qFormat/>
    <w:pPr>
      <w:spacing w:line="360" w:lineRule="auto"/>
    </w:pPr>
    <w:rPr>
      <w:rFonts w:ascii="Tahoma" w:hAnsi="Tahoma" w:eastAsia="宋体"/>
      <w:sz w:val="24"/>
      <w:szCs w:val="24"/>
    </w:rPr>
  </w:style>
  <w:style w:type="paragraph" w:styleId="828" w:customStyle="1">
    <w:name w:val="p0"/>
    <w:basedOn w:val="733"/>
    <w:uiPriority w:val="0"/>
    <w:qFormat/>
    <w:rPr>
      <w:rFonts w:hint="eastAsia"/>
    </w:rPr>
  </w:style>
  <w:style w:type="paragraph" w:styleId="829">
    <w:name w:val="List Paragraph"/>
    <w:basedOn w:val="733"/>
    <w:uiPriority w:val="34"/>
    <w:qFormat/>
    <w:pPr>
      <w:ind w:firstLine="420"/>
    </w:pPr>
    <w:rPr>
      <w:rFonts w:ascii="宋体" w:hAnsi="宋体" w:eastAsia="宋体"/>
      <w:sz w:val="24"/>
      <w:szCs w:val="24"/>
    </w:rPr>
  </w:style>
  <w:style w:type="paragraph" w:styleId="830" w:customStyle="1">
    <w:name w:val="Char"/>
    <w:basedOn w:val="733"/>
    <w:uiPriority w:val="0"/>
    <w:qFormat/>
    <w:rPr>
      <w:rFonts w:ascii="Tahoma" w:hAnsi="Tahoma" w:eastAsia="宋体"/>
      <w:sz w:val="24"/>
    </w:rPr>
  </w:style>
  <w:style w:type="paragraph" w:styleId="831" w:customStyle="1">
    <w:name w:val="列出段落2"/>
    <w:basedOn w:val="733"/>
    <w:uiPriority w:val="34"/>
    <w:qFormat/>
    <w:pPr>
      <w:ind w:firstLine="420"/>
    </w:pPr>
  </w:style>
  <w:style w:type="paragraph" w:styleId="832" w:customStyle="1">
    <w:name w:val="纯文本12"/>
    <w:basedOn w:val="733"/>
    <w:uiPriority w:val="0"/>
    <w:qFormat/>
    <w:rPr>
      <w:rFonts w:ascii="宋体" w:hAnsi="Courier New"/>
    </w:rPr>
  </w:style>
  <w:style w:type="paragraph" w:styleId="833" w:customStyle="1">
    <w:name w:val="纯文本2"/>
    <w:basedOn w:val="733"/>
    <w:uiPriority w:val="0"/>
    <w:qFormat/>
    <w:rPr>
      <w:rFonts w:ascii="宋体" w:hAnsi="Courier New"/>
    </w:rPr>
  </w:style>
  <w:style w:type="paragraph" w:styleId="834" w:customStyle="1">
    <w:name w:val="Char1"/>
    <w:basedOn w:val="733"/>
    <w:uiPriority w:val="0"/>
    <w:qFormat/>
    <w:rPr>
      <w:rFonts w:ascii="Tahoma" w:hAnsi="Tahoma" w:eastAsia="宋体"/>
      <w:sz w:val="24"/>
    </w:rPr>
  </w:style>
  <w:style w:type="paragraph" w:styleId="835" w:customStyle="1">
    <w:name w:val="表格内容"/>
    <w:basedOn w:val="733"/>
    <w:uiPriority w:val="0"/>
    <w:qFormat/>
    <w:pPr>
      <w:jc w:val="left"/>
      <w:spacing w:before="100" w:beforeAutospacing="1" w:after="100" w:afterAutospacing="1" w:line="360" w:lineRule="auto"/>
    </w:pPr>
    <w:rPr>
      <w:rFonts w:ascii="宋体" w:hAnsi="宋体" w:eastAsia="宋体"/>
      <w:bCs/>
      <w:sz w:val="21"/>
      <w:szCs w:val="21"/>
    </w:rPr>
  </w:style>
  <w:style w:type="paragraph" w:styleId="836" w:customStyle="1">
    <w:name w:val="纯文本3"/>
    <w:basedOn w:val="733"/>
    <w:uiPriority w:val="0"/>
    <w:qFormat/>
    <w:rPr>
      <w:rFonts w:ascii="宋体" w:hAnsi="Courier New"/>
      <w:sz w:val="28"/>
    </w:rPr>
  </w:style>
  <w:style w:type="paragraph" w:styleId="837" w:customStyle="1">
    <w:name w:val="font7"/>
    <w:basedOn w:val="733"/>
    <w:uiPriority w:val="0"/>
    <w:qFormat/>
    <w:pPr>
      <w:jc w:val="left"/>
      <w:spacing w:before="100" w:beforeAutospacing="1" w:after="100" w:afterAutospacing="1"/>
      <w:widowControl/>
    </w:pPr>
    <w:rPr>
      <w:rFonts w:eastAsia="宋体"/>
      <w:sz w:val="20"/>
    </w:rPr>
  </w:style>
  <w:style w:type="paragraph" w:styleId="838" w:customStyle="1">
    <w:name w:val="纯文本4"/>
    <w:basedOn w:val="733"/>
    <w:uiPriority w:val="0"/>
    <w:qFormat/>
    <w:rPr>
      <w:rFonts w:ascii="宋体" w:hAnsi="Courier New"/>
    </w:rPr>
  </w:style>
  <w:style w:type="paragraph" w:styleId="839" w:customStyle="1">
    <w:name w:val="纯文本5"/>
    <w:basedOn w:val="733"/>
    <w:uiPriority w:val="0"/>
    <w:qFormat/>
    <w:rPr>
      <w:rFonts w:ascii="宋体" w:hAnsi="Courier New"/>
      <w:sz w:val="28"/>
    </w:rPr>
  </w:style>
  <w:style w:type="paragraph" w:styleId="840" w:customStyle="1">
    <w:name w:val="Default"/>
    <w:uiPriority w:val="0"/>
    <w:qFormat/>
    <w:pPr>
      <w:widowControl w:val="off"/>
    </w:pPr>
    <w:rPr>
      <w:rFonts w:ascii="宋体" w:hAnsi="Calibri" w:eastAsia="宋体" w:cs="宋体"/>
      <w:color w:val="000000"/>
      <w:sz w:val="24"/>
      <w:szCs w:val="24"/>
      <w:lang w:val="en-US" w:eastAsia="zh-CN" w:bidi="ar-SA"/>
    </w:rPr>
  </w:style>
  <w:style w:type="character" w:styleId="841" w:customStyle="1">
    <w:name w:val="font171"/>
    <w:basedOn w:val="743"/>
    <w:uiPriority w:val="0"/>
    <w:qFormat/>
    <w:rPr>
      <w:rFonts w:hint="eastAsia" w:ascii="宋体" w:hAnsi="宋体" w:eastAsia="宋体" w:cs="宋体"/>
      <w:b/>
      <w:bCs/>
      <w:color w:val="000000"/>
      <w:sz w:val="36"/>
      <w:szCs w:val="36"/>
      <w:u w:val="none"/>
    </w:rPr>
  </w:style>
  <w:style w:type="character" w:styleId="842" w:customStyle="1">
    <w:name w:val="font41"/>
    <w:basedOn w:val="743"/>
    <w:uiPriority w:val="0"/>
    <w:qFormat/>
    <w:rPr>
      <w:rFonts w:hint="default" w:ascii="Times New Roman" w:hAnsi="Times New Roman" w:cs="Times New Roman"/>
      <w:b/>
      <w:bCs/>
      <w:color w:val="000000"/>
      <w:sz w:val="36"/>
      <w:szCs w:val="36"/>
      <w:u w:val="none"/>
    </w:rPr>
  </w:style>
  <w:style w:type="character" w:styleId="843" w:customStyle="1">
    <w:name w:val="font101"/>
    <w:basedOn w:val="743"/>
    <w:uiPriority w:val="0"/>
    <w:qFormat/>
    <w:rPr>
      <w:rFonts w:hint="eastAsia" w:ascii="宋体" w:hAnsi="宋体" w:eastAsia="宋体" w:cs="宋体"/>
      <w:b/>
      <w:bCs/>
      <w:color w:val="000000"/>
      <w:sz w:val="24"/>
      <w:szCs w:val="24"/>
      <w:u w:val="none"/>
    </w:rPr>
  </w:style>
  <w:style w:type="character" w:styleId="844" w:customStyle="1">
    <w:name w:val="font91"/>
    <w:basedOn w:val="743"/>
    <w:uiPriority w:val="0"/>
    <w:qFormat/>
    <w:rPr>
      <w:rFonts w:hint="default" w:ascii="Times New Roman" w:hAnsi="Times New Roman" w:cs="Times New Roman"/>
      <w:b/>
      <w:bCs/>
      <w:color w:val="000000"/>
      <w:sz w:val="24"/>
      <w:szCs w:val="24"/>
      <w:u w:val="none"/>
    </w:rPr>
  </w:style>
  <w:style w:type="character" w:styleId="845" w:customStyle="1">
    <w:name w:val="font121"/>
    <w:basedOn w:val="743"/>
    <w:uiPriority w:val="0"/>
    <w:qFormat/>
    <w:rPr>
      <w:rFonts w:hint="eastAsia" w:ascii="宋体" w:hAnsi="宋体" w:eastAsia="宋体" w:cs="宋体"/>
      <w:color w:val="000000"/>
      <w:sz w:val="24"/>
      <w:szCs w:val="24"/>
      <w:u w:val="none"/>
    </w:rPr>
  </w:style>
  <w:style w:type="character" w:styleId="846" w:customStyle="1">
    <w:name w:val="font61"/>
    <w:basedOn w:val="743"/>
    <w:uiPriority w:val="0"/>
    <w:qFormat/>
    <w:rPr>
      <w:rFonts w:hint="default" w:ascii="Times New Roman" w:hAnsi="Times New Roman" w:cs="Times New Roman"/>
      <w:color w:val="000000"/>
      <w:sz w:val="24"/>
      <w:szCs w:val="24"/>
      <w:u w:val="none"/>
    </w:rPr>
  </w:style>
  <w:style w:type="character" w:styleId="847" w:customStyle="1">
    <w:name w:val="font151"/>
    <w:basedOn w:val="743"/>
    <w:uiPriority w:val="0"/>
    <w:qFormat/>
    <w:rPr>
      <w:rFonts w:ascii="宋体" w:hAnsi="宋体" w:eastAsia="宋体" w:cs="宋体"/>
      <w:color w:val="000000"/>
      <w:sz w:val="24"/>
      <w:szCs w:val="24"/>
      <w:u w:val="none"/>
    </w:rPr>
  </w:style>
  <w:style w:type="paragraph" w:styleId="848" w:customStyle="1">
    <w:name w:val="正文_1_0"/>
    <w:uiPriority w:val="99"/>
    <w:qFormat/>
    <w:pPr>
      <w:jc w:val="both"/>
      <w:widowControl w:val="off"/>
    </w:pPr>
    <w:rPr>
      <w:rFonts w:ascii="Calibri" w:hAnsi="Calibri" w:eastAsia="宋体" w:cs="Times New Roman"/>
      <w:sz w:val="21"/>
      <w:szCs w:val="22"/>
      <w:lang w:val="en-US" w:eastAsia="zh-CN" w:bidi="ar-SA"/>
    </w:rPr>
  </w:style>
  <w:style w:type="paragraph" w:styleId="849" w:customStyle="1">
    <w:name w:val="msolistparagraph"/>
    <w:basedOn w:val="733"/>
    <w:uiPriority w:val="0"/>
    <w:qFormat/>
    <w:pPr>
      <w:ind w:firstLine="420"/>
    </w:pPr>
    <w:rPr>
      <w:szCs w:val="21"/>
    </w:rPr>
  </w:style>
  <w:style w:type="paragraph" w:styleId="850" w:customStyle="1">
    <w:name w:val="Table Paragraph"/>
    <w:basedOn w:val="733"/>
    <w:uiPriority w:val="1"/>
    <w:qFormat/>
    <w:rPr>
      <w:rFonts w:ascii="宋体" w:hAnsi="宋体" w:cs="宋体"/>
      <w:lang w:val="zh-CN" w:bidi="zh-CN"/>
    </w:rPr>
  </w:style>
  <w:style w:type="character" w:styleId="851" w:customStyle="1">
    <w:name w:val="font21"/>
    <w:basedOn w:val="743"/>
    <w:uiPriority w:val="0"/>
    <w:qFormat/>
    <w:rPr>
      <w:rFonts w:hint="eastAsia" w:ascii="仿宋" w:hAnsi="仿宋" w:eastAsia="仿宋" w:cs="仿宋"/>
      <w:color w:val="000000"/>
      <w:sz w:val="22"/>
      <w:szCs w:val="22"/>
      <w:u w:val="none"/>
    </w:rPr>
  </w:style>
  <w:style w:type="character" w:styleId="852" w:customStyle="1">
    <w:name w:val="font71"/>
    <w:basedOn w:val="743"/>
    <w:uiPriority w:val="0"/>
    <w:qFormat/>
    <w:rPr>
      <w:rFonts w:hint="eastAsia" w:ascii="宋体" w:hAnsi="宋体" w:eastAsia="宋体" w:cs="宋体"/>
      <w:color w:val="000000"/>
      <w:sz w:val="22"/>
      <w:szCs w:val="22"/>
      <w:u w:val="none"/>
    </w:rPr>
  </w:style>
  <w:style w:type="character" w:styleId="853" w:customStyle="1">
    <w:name w:val="font01"/>
    <w:basedOn w:val="743"/>
    <w:uiPriority w:val="0"/>
    <w:qFormat/>
    <w:rPr>
      <w:rFonts w:hint="eastAsia" w:ascii="宋体" w:hAnsi="宋体" w:eastAsia="宋体" w:cs="宋体"/>
      <w:color w:val="000000"/>
      <w:sz w:val="22"/>
      <w:szCs w:val="22"/>
      <w:u w:val="none"/>
    </w:rPr>
  </w:style>
  <w:style w:type="character" w:styleId="854" w:customStyle="1">
    <w:name w:val="font11"/>
    <w:basedOn w:val="743"/>
    <w:uiPriority w:val="0"/>
    <w:qFormat/>
    <w:rPr>
      <w:rFonts w:hint="eastAsia" w:ascii="宋体" w:hAnsi="宋体" w:eastAsia="宋体" w:cs="宋体"/>
      <w:color w:val="ff0000"/>
      <w:sz w:val="22"/>
      <w:szCs w:val="22"/>
      <w:u w:val="none"/>
    </w:rPr>
  </w:style>
  <w:style w:type="character" w:styleId="855" w:customStyle="1">
    <w:name w:val="font31"/>
    <w:basedOn w:val="743"/>
    <w:uiPriority w:val="0"/>
    <w:qFormat/>
    <w:rPr>
      <w:rFonts w:hint="eastAsia" w:ascii="宋体" w:hAnsi="宋体" w:eastAsia="宋体" w:cs="宋体"/>
      <w:color w:val="ff0000"/>
      <w:sz w:val="22"/>
      <w:szCs w:val="22"/>
      <w:u w:val="none"/>
    </w:rPr>
  </w:style>
  <w:style w:type="paragraph" w:styleId="856" w:customStyle="1">
    <w:name w:val="p2"/>
    <w:basedOn w:val="733"/>
    <w:uiPriority w:val="0"/>
    <w:qFormat/>
    <w:pPr>
      <w:spacing w:before="100" w:beforeAutospacing="1" w:after="100" w:afterAutospacing="1"/>
    </w:pPr>
    <w:rPr>
      <w:rFonts w:ascii="宋体" w:hAnsi="宋体"/>
      <w:sz w:val="24"/>
      <w:szCs w:val="24"/>
    </w:rPr>
  </w:style>
  <w:style w:type="character" w:styleId="857" w:customStyle="1">
    <w:name w:val="批注文字 字符"/>
    <w:link w:val="751"/>
    <w:uiPriority w:val="0"/>
    <w:qFormat/>
    <w:rPr>
      <w:rFonts w:eastAsia="楷体_GB2312"/>
      <w:sz w:val="26"/>
    </w:rPr>
  </w:style>
  <w:style w:type="character" w:styleId="858" w:customStyle="1">
    <w:name w:val="NormalCharacter"/>
    <w:link w:val="859"/>
    <w:uiPriority w:val="0"/>
    <w:qFormat/>
    <w:rPr>
      <w:sz w:val="20"/>
      <w:szCs w:val="20"/>
    </w:rPr>
  </w:style>
  <w:style w:type="paragraph" w:styleId="859" w:customStyle="1">
    <w:name w:val="UserStyle_4"/>
    <w:basedOn w:val="733"/>
    <w:link w:val="858"/>
    <w:uiPriority w:val="99"/>
    <w:qFormat/>
    <w:rPr>
      <w:sz w:val="20"/>
    </w:rPr>
  </w:style>
  <w:style w:type="character" w:styleId="860" w:customStyle="1">
    <w:name w:val="hover"/>
    <w:basedOn w:val="743"/>
    <w:uiPriority w:val="0"/>
    <w:qFormat/>
    <w:rPr>
      <w:color w:val="2590eb"/>
    </w:rPr>
  </w:style>
  <w:style w:type="character" w:styleId="861" w:customStyle="1">
    <w:name w:val="hover1"/>
    <w:basedOn w:val="743"/>
    <w:uiPriority w:val="0"/>
    <w:qFormat/>
  </w:style>
  <w:style w:type="character" w:styleId="862" w:customStyle="1">
    <w:name w:val="hover2"/>
    <w:basedOn w:val="743"/>
    <w:uiPriority w:val="0"/>
    <w:qFormat/>
    <w:rPr>
      <w:color w:val="2590eb"/>
    </w:rPr>
  </w:style>
  <w:style w:type="character" w:styleId="863" w:customStyle="1">
    <w:name w:val="15"/>
    <w:basedOn w:val="743"/>
    <w:uiPriority w:val="0"/>
    <w:qFormat/>
  </w:style>
  <w:style w:type="paragraph" w:styleId="864" w:customStyle="1">
    <w:name w:val="p"/>
    <w:basedOn w:val="733"/>
    <w:uiPriority w:val="0"/>
    <w:qFormat/>
    <w:pPr>
      <w:jc w:val="left"/>
      <w:spacing w:before="100" w:beforeAutospacing="1" w:after="100" w:afterAutospacing="1"/>
      <w:widowControl/>
    </w:pPr>
    <w:rPr>
      <w:rFonts w:ascii="宋体" w:hAnsi="宋体" w:eastAsia="宋体" w:cs="宋体"/>
      <w:sz w:val="24"/>
      <w:szCs w:val="24"/>
    </w:rPr>
  </w:style>
  <w:style w:type="character" w:styleId="865" w:customStyle="1">
    <w:name w:val="页脚 字符"/>
    <w:basedOn w:val="743"/>
    <w:link w:val="764"/>
    <w:uiPriority w:val="99"/>
    <w:qFormat/>
    <w:rPr>
      <w:rFonts w:eastAsia="楷体_GB2312"/>
      <w:sz w:val="18"/>
    </w:rPr>
  </w:style>
  <w:style w:type="character" w:styleId="866" w:customStyle="1">
    <w:name w:val="页眉 字符"/>
    <w:basedOn w:val="743"/>
    <w:link w:val="766"/>
    <w:uiPriority w:val="99"/>
    <w:qFormat/>
    <w:rPr>
      <w:rFonts w:eastAsia="楷体_GB2312"/>
      <w:sz w:val="18"/>
    </w:rPr>
  </w:style>
  <w:style w:type="character" w:styleId="867" w:customStyle="1">
    <w:name w:val="标题 1 字符"/>
    <w:link w:val="734"/>
    <w:uiPriority w:val="0"/>
    <w:qFormat/>
    <w:rPr>
      <w:rFonts w:eastAsia="楷体_GB2312"/>
      <w:b/>
      <w:sz w:val="44"/>
    </w:rPr>
  </w:style>
  <w:style w:type="character" w:styleId="868" w:customStyle="1">
    <w:name w:val="标题 字符"/>
    <w:basedOn w:val="743"/>
    <w:link w:val="782"/>
    <w:uiPriority w:val="10"/>
    <w:qFormat/>
    <w:rPr>
      <w:rFonts w:ascii="黑体" w:hAnsi="黑体" w:eastAsia="黑体"/>
      <w:sz w:val="28"/>
      <w:szCs w:val="24"/>
    </w:rPr>
  </w:style>
  <w:style w:type="paragraph" w:styleId="869" w:customStyle="1">
    <w:name w:val="UserStyle_780"/>
    <w:basedOn w:val="733"/>
    <w:uiPriority w:val="0"/>
    <w:qFormat/>
    <w:rPr>
      <w:rFonts w:ascii="宋体" w:hAnsi="Courier New"/>
      <w:sz w:val="28"/>
      <w:szCs w:val="24"/>
    </w:rPr>
  </w:style>
  <w:style w:type="paragraph" w:styleId="870" w:customStyle="1">
    <w:name w:val="修订1"/>
    <w:hidden/>
    <w:uiPriority w:val="99"/>
    <w:semiHidden/>
    <w:qFormat/>
    <w:rPr>
      <w:rFonts w:ascii="Times New Roman" w:hAnsi="Times New Roman" w:eastAsia="楷体_GB2312" w:cs="Times New Roman"/>
      <w:sz w:val="26"/>
      <w:lang w:val="en-US" w:eastAsia="zh-CN" w:bidi="ar-SA"/>
    </w:rPr>
  </w:style>
  <w:style w:type="paragraph" w:styleId="871" w:customStyle="1">
    <w:name w:val="修订2"/>
    <w:hidden/>
    <w:uiPriority w:val="99"/>
    <w:unhideWhenUsed/>
    <w:qFormat/>
    <w:rPr>
      <w:rFonts w:ascii="Times New Roman" w:hAnsi="Times New Roman" w:eastAsia="楷体_GB2312" w:cs="Times New Roman"/>
      <w:sz w:val="26"/>
      <w:lang w:val="en-US" w:eastAsia="zh-CN" w:bidi="ar-SA"/>
    </w:rPr>
  </w:style>
  <w:style w:type="character" w:styleId="872" w:customStyle="1">
    <w:name w:val="font51"/>
    <w:basedOn w:val="743"/>
    <w:uiPriority w:val="0"/>
    <w:qFormat/>
    <w:rPr>
      <w:rFonts w:ascii="宋体" w:hAnsi="宋体" w:eastAsia="宋体" w:cs="宋体"/>
      <w:color w:val="000000"/>
      <w:sz w:val="14"/>
      <w:szCs w:val="14"/>
      <w:u w:val="none"/>
    </w:rPr>
  </w:style>
  <w:style w:type="character" w:styleId="873" w:customStyle="1">
    <w:name w:val="font81"/>
    <w:basedOn w:val="743"/>
    <w:uiPriority w:val="0"/>
    <w:qFormat/>
    <w:rPr>
      <w:rFonts w:ascii="宋体" w:hAnsi="宋体" w:eastAsia="宋体" w:cs="宋体"/>
      <w:color w:val="000000"/>
      <w:sz w:val="18"/>
      <w:szCs w:val="18"/>
      <w:u w:val="none"/>
    </w:rPr>
  </w:style>
  <w:style w:type="numbering" w:styleId="738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81C3A554-1112-4FD0-BC7E-588FAB29DDBC}"/>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Organization</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shen</dc:creator>
  <cp:lastModifiedBy>沈鹰</cp:lastModifiedBy>
  <cp:revision>3</cp:revision>
  <dcterms:created xsi:type="dcterms:W3CDTF">2023-12-11T10:15:00Z</dcterms:created>
  <dcterms:modified xsi:type="dcterms:W3CDTF">2025-05-06T03:16:06Z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2052-12.1.0.20784</vt:lpwstr>
  </property>
  <property fmtid="{D5CDD505-2E9C-101B-9397-08002B2CF9AE}" pid="3" name="ICV">
    <vt:lpwstr>A715874CDE364B4D868DF422C19B87E2_13</vt:lpwstr>
  </property>
  <property fmtid="{D5CDD505-2E9C-101B-9397-08002B2CF9AE}" pid="4" name="KSOTemplateDocerSaveRecord">
    <vt:lpwstr>eyJoZGlkIjoiZTg1ZjBiYjczODk3ZDAxZTcxNzhmZTc1ZjVmOWU3NDAiLCJ1c2VySWQiOiI0MTgxMDg2MzUifQ==</vt:lpwstr>
  </property>
</Properties>
</file>