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napToGrid w:val="0"/>
        <w:spacing w:line="440" w:lineRule="exact"/>
        <w:ind w:firstLine="723" w:firstLineChars="200"/>
        <w:jc w:val="center"/>
        <w:textAlignment w:val="baseline"/>
        <w:rPr>
          <w:rFonts w:ascii="宋体" w:hAnsi="宋体"/>
          <w:b/>
          <w:sz w:val="36"/>
        </w:rPr>
      </w:pPr>
      <w:bookmarkStart w:id="5" w:name="_GoBack"/>
      <w:bookmarkEnd w:id="5"/>
      <w:r>
        <w:rPr>
          <w:rFonts w:ascii="宋体" w:hAnsi="宋体"/>
          <w:b/>
          <w:sz w:val="36"/>
        </w:rPr>
        <w:t>采购合同</w:t>
      </w:r>
      <w:r>
        <w:rPr>
          <w:rFonts w:hint="eastAsia" w:ascii="宋体" w:hAnsi="宋体"/>
          <w:b/>
          <w:sz w:val="36"/>
        </w:rPr>
        <w:t>（服务）</w:t>
      </w:r>
    </w:p>
    <w:p>
      <w:pPr>
        <w:adjustRightInd w:val="0"/>
        <w:snapToGrid w:val="0"/>
        <w:spacing w:line="440" w:lineRule="exact"/>
        <w:contextualSpacing/>
        <w:rPr>
          <w:rFonts w:hint="default" w:ascii="宋体" w:hAnsi="宋体" w:eastAsia="宋体" w:cs="宋体"/>
          <w:szCs w:val="21"/>
          <w:lang w:val="en-US" w:eastAsia="zh-CN"/>
        </w:rPr>
      </w:pPr>
      <w:r>
        <w:rPr>
          <w:rFonts w:hint="eastAsia" w:ascii="宋体" w:hAnsi="宋体" w:cs="宋体"/>
          <w:szCs w:val="21"/>
        </w:rPr>
        <w:t>审计编号：</w:t>
      </w:r>
      <w:r>
        <w:rPr>
          <w:rFonts w:hint="eastAsia" w:ascii="宋体" w:hAnsi="宋体" w:cs="宋体"/>
          <w:szCs w:val="21"/>
          <w:lang w:val="en-US" w:eastAsia="zh-CN"/>
        </w:rPr>
        <w:t>YDFYCGZX-后勤物资2025027</w:t>
      </w:r>
    </w:p>
    <w:p>
      <w:pPr>
        <w:adjustRightInd w:val="0"/>
        <w:snapToGrid w:val="0"/>
        <w:spacing w:line="440" w:lineRule="exact"/>
        <w:contextualSpacing/>
        <w:rPr>
          <w:rFonts w:ascii="宋体" w:hAnsi="宋体" w:cs="宋体"/>
          <w:szCs w:val="21"/>
        </w:rPr>
      </w:pPr>
      <w:r>
        <w:rPr>
          <w:rFonts w:hint="eastAsia" w:ascii="宋体" w:hAnsi="宋体" w:cs="宋体"/>
          <w:szCs w:val="21"/>
        </w:rPr>
        <w:t>甲方（甲方/买方）：</w:t>
      </w:r>
      <w:r>
        <w:rPr>
          <w:rFonts w:hint="eastAsia" w:ascii="宋体" w:hAnsi="宋体" w:cs="宋体"/>
          <w:b/>
          <w:bCs/>
          <w:szCs w:val="21"/>
        </w:rPr>
        <w:t>扬州大学附属医院</w:t>
      </w:r>
    </w:p>
    <w:p>
      <w:pPr>
        <w:adjustRightInd w:val="0"/>
        <w:snapToGrid w:val="0"/>
        <w:spacing w:line="440" w:lineRule="exact"/>
        <w:contextualSpacing/>
        <w:rPr>
          <w:rFonts w:ascii="宋体" w:hAnsi="宋体" w:cs="宋体"/>
          <w:szCs w:val="21"/>
          <w:u w:val="single"/>
        </w:rPr>
      </w:pPr>
      <w:r>
        <w:rPr>
          <w:rFonts w:hint="eastAsia" w:ascii="宋体" w:hAnsi="宋体" w:cs="宋体"/>
          <w:szCs w:val="21"/>
        </w:rPr>
        <w:t>乙方（服务商/卖方）：</w:t>
      </w:r>
      <w:r>
        <w:rPr>
          <w:rFonts w:hint="eastAsia" w:ascii="宋体" w:hAnsi="宋体" w:cs="宋体"/>
          <w:b/>
          <w:bCs/>
          <w:szCs w:val="21"/>
        </w:rPr>
        <w:t>扬州市捷鑫电梯安装工程有限公司</w:t>
      </w:r>
    </w:p>
    <w:p>
      <w:pPr>
        <w:widowControl/>
        <w:tabs>
          <w:tab w:val="left" w:pos="284"/>
          <w:tab w:val="left" w:pos="993"/>
          <w:tab w:val="left" w:pos="1134"/>
        </w:tabs>
        <w:adjustRightInd w:val="0"/>
        <w:snapToGrid w:val="0"/>
        <w:spacing w:line="440" w:lineRule="exact"/>
        <w:ind w:firstLine="420" w:firstLineChars="200"/>
        <w:contextualSpacing/>
        <w:textAlignment w:val="baseline"/>
        <w:rPr>
          <w:szCs w:val="21"/>
        </w:rPr>
      </w:pPr>
      <w:r>
        <w:rPr>
          <w:rFonts w:ascii="宋体" w:hAnsi="宋体"/>
          <w:color w:val="000000"/>
          <w:szCs w:val="21"/>
        </w:rPr>
        <w:t>依照</w:t>
      </w:r>
      <w:r>
        <w:rPr>
          <w:rFonts w:hint="eastAsia" w:cs="宋体"/>
          <w:szCs w:val="21"/>
        </w:rPr>
        <w:t>《中华人民共和国政府采购法》、</w:t>
      </w:r>
      <w:r>
        <w:rPr>
          <w:rFonts w:ascii="宋体" w:hAnsi="宋体"/>
          <w:color w:val="000000"/>
          <w:szCs w:val="21"/>
        </w:rPr>
        <w:t>《中华人民共和国民法典》、《特种设备安全监察条例》</w:t>
      </w:r>
      <w:r>
        <w:rPr>
          <w:rFonts w:hint="eastAsia"/>
          <w:szCs w:val="21"/>
        </w:rPr>
        <w:t>等相关法律法规以及本项目的招标文件、答疑文件及投标文件的结果，遵循平等、自愿、公平、诚实信用的原则，经甲乙双方友好协商</w:t>
      </w:r>
      <w:r>
        <w:rPr>
          <w:rFonts w:hint="eastAsia" w:cs="宋体"/>
          <w:szCs w:val="21"/>
        </w:rPr>
        <w:t>，</w:t>
      </w:r>
      <w:r>
        <w:rPr>
          <w:rFonts w:ascii="宋体" w:hAnsi="宋体"/>
          <w:color w:val="000000"/>
          <w:szCs w:val="21"/>
        </w:rPr>
        <w:t>就</w:t>
      </w:r>
      <w:r>
        <w:rPr>
          <w:szCs w:val="21"/>
        </w:rPr>
        <w:t>扬州大学附属医院东区医院电梯维保项目</w:t>
      </w:r>
      <w:r>
        <w:rPr>
          <w:rFonts w:ascii="宋体" w:hAnsi="宋体"/>
          <w:color w:val="000000"/>
          <w:szCs w:val="21"/>
        </w:rPr>
        <w:t>有关事宜</w:t>
      </w:r>
      <w:r>
        <w:rPr>
          <w:rFonts w:hint="eastAsia"/>
          <w:szCs w:val="21"/>
        </w:rPr>
        <w:t>签署本合同：</w:t>
      </w:r>
    </w:p>
    <w:p>
      <w:pPr>
        <w:adjustRightInd w:val="0"/>
        <w:snapToGrid w:val="0"/>
        <w:spacing w:line="440" w:lineRule="exact"/>
        <w:ind w:firstLine="422" w:firstLineChars="200"/>
        <w:contextualSpacing/>
        <w:rPr>
          <w:rFonts w:ascii="宋体" w:hAnsi="宋体"/>
          <w:b/>
          <w:bCs/>
          <w:szCs w:val="21"/>
        </w:rPr>
      </w:pPr>
      <w:r>
        <w:rPr>
          <w:rFonts w:ascii="宋体" w:hAnsi="宋体"/>
          <w:b/>
          <w:bCs/>
          <w:szCs w:val="21"/>
        </w:rPr>
        <w:t>1</w:t>
      </w:r>
      <w:r>
        <w:rPr>
          <w:rFonts w:hint="eastAsia" w:ascii="宋体" w:hAnsi="宋体"/>
          <w:b/>
          <w:bCs/>
          <w:szCs w:val="21"/>
        </w:rPr>
        <w:t>.</w:t>
      </w:r>
      <w:r>
        <w:rPr>
          <w:rFonts w:ascii="宋体" w:hAnsi="宋体"/>
          <w:b/>
          <w:bCs/>
          <w:szCs w:val="21"/>
        </w:rPr>
        <w:t>合同标的</w:t>
      </w:r>
    </w:p>
    <w:p>
      <w:pPr>
        <w:adjustRightInd w:val="0"/>
        <w:snapToGrid w:val="0"/>
        <w:spacing w:line="440" w:lineRule="exact"/>
        <w:ind w:firstLine="420" w:firstLineChars="200"/>
        <w:contextualSpacing/>
        <w:rPr>
          <w:rFonts w:ascii="宋体" w:hAnsi="宋体" w:cs="宋体"/>
          <w:szCs w:val="21"/>
        </w:rPr>
      </w:pPr>
      <w:r>
        <w:rPr>
          <w:rFonts w:ascii="宋体" w:hAnsi="宋体"/>
          <w:kern w:val="2"/>
          <w:szCs w:val="21"/>
        </w:rPr>
        <w:t>1.1乙方依据招标文件所列项目需求，提供</w:t>
      </w:r>
      <w:r>
        <w:rPr>
          <w:rFonts w:hint="eastAsia" w:ascii="宋体" w:hAnsi="宋体"/>
          <w:color w:val="000000"/>
          <w:szCs w:val="21"/>
        </w:rPr>
        <w:t>7*</w:t>
      </w:r>
      <w:r>
        <w:rPr>
          <w:rFonts w:ascii="宋体" w:hAnsi="宋体"/>
          <w:kern w:val="2"/>
          <w:szCs w:val="21"/>
        </w:rPr>
        <w:t>24小时驻场维保服务（东、西区各设1个驻场点</w:t>
      </w:r>
      <w:r>
        <w:rPr>
          <w:rFonts w:hint="eastAsia" w:ascii="宋体" w:hAnsi="宋体"/>
          <w:kern w:val="2"/>
          <w:szCs w:val="21"/>
        </w:rPr>
        <w:t>,值班地点由甲方指定</w:t>
      </w:r>
      <w:r>
        <w:rPr>
          <w:rFonts w:ascii="宋体" w:hAnsi="宋体"/>
          <w:kern w:val="2"/>
          <w:szCs w:val="21"/>
        </w:rPr>
        <w:t>），并采取全面包干维修的方式，为甲方承担电梯的日常维修、保养、巡检、应急处理以及所有配件的更换</w:t>
      </w:r>
      <w:r>
        <w:rPr>
          <w:rFonts w:hint="eastAsia" w:ascii="宋体" w:hAnsi="宋体"/>
          <w:kern w:val="2"/>
          <w:szCs w:val="21"/>
        </w:rPr>
        <w:t>等</w:t>
      </w:r>
      <w:r>
        <w:rPr>
          <w:rFonts w:ascii="宋体" w:hAnsi="宋体"/>
          <w:kern w:val="2"/>
          <w:szCs w:val="21"/>
        </w:rPr>
        <w:t>工作。此外，乙方还</w:t>
      </w:r>
      <w:r>
        <w:rPr>
          <w:rFonts w:hint="eastAsia" w:ascii="宋体" w:hAnsi="宋体"/>
          <w:kern w:val="2"/>
          <w:szCs w:val="21"/>
        </w:rPr>
        <w:t>须</w:t>
      </w:r>
      <w:r>
        <w:rPr>
          <w:rFonts w:ascii="宋体" w:hAnsi="宋体"/>
          <w:kern w:val="2"/>
          <w:szCs w:val="21"/>
        </w:rPr>
        <w:t>负责更换现有故障的主要部件（详细内容见附件</w:t>
      </w:r>
      <w:r>
        <w:rPr>
          <w:rFonts w:hint="eastAsia" w:ascii="宋体" w:hAnsi="宋体"/>
          <w:kern w:val="2"/>
          <w:szCs w:val="21"/>
        </w:rPr>
        <w:t>3</w:t>
      </w:r>
      <w:r>
        <w:rPr>
          <w:rFonts w:ascii="宋体" w:hAnsi="宋体"/>
          <w:kern w:val="2"/>
          <w:szCs w:val="21"/>
        </w:rPr>
        <w:t>《现有故障主要部件更换清单》）。乙方</w:t>
      </w:r>
      <w:r>
        <w:rPr>
          <w:rFonts w:hint="eastAsia" w:ascii="宋体" w:hAnsi="宋体"/>
          <w:kern w:val="2"/>
          <w:szCs w:val="21"/>
        </w:rPr>
        <w:t>自行配备驻场维保人员和所需的工具</w:t>
      </w:r>
      <w:r>
        <w:rPr>
          <w:rFonts w:ascii="宋体" w:hAnsi="宋体"/>
          <w:kern w:val="2"/>
          <w:szCs w:val="21"/>
        </w:rPr>
        <w:t>，同时免费向甲方提供所有电梯原厂零部件。</w:t>
      </w:r>
    </w:p>
    <w:p>
      <w:pPr>
        <w:widowControl/>
        <w:adjustRightInd w:val="0"/>
        <w:snapToGrid w:val="0"/>
        <w:spacing w:line="440" w:lineRule="exact"/>
        <w:ind w:firstLine="420" w:firstLineChars="200"/>
        <w:contextualSpacing/>
        <w:textAlignment w:val="baseline"/>
        <w:rPr>
          <w:rFonts w:ascii="宋体" w:hAnsi="宋体"/>
          <w:color w:val="000000"/>
          <w:szCs w:val="21"/>
        </w:rPr>
      </w:pPr>
      <w:r>
        <w:rPr>
          <w:rFonts w:hint="eastAsia" w:ascii="宋体" w:hAnsi="宋体"/>
          <w:bCs/>
          <w:szCs w:val="21"/>
        </w:rPr>
        <w:t>1.2</w:t>
      </w:r>
      <w:r>
        <w:rPr>
          <w:rFonts w:hint="eastAsia" w:ascii="宋体" w:hAnsi="宋体"/>
          <w:color w:val="000000"/>
          <w:szCs w:val="21"/>
        </w:rPr>
        <w:t>维保范围：</w:t>
      </w:r>
    </w:p>
    <w:p>
      <w:pPr>
        <w:widowControl/>
        <w:adjustRightInd w:val="0"/>
        <w:snapToGrid w:val="0"/>
        <w:spacing w:line="440" w:lineRule="exact"/>
        <w:ind w:firstLine="420" w:firstLineChars="200"/>
        <w:contextualSpacing/>
        <w:textAlignment w:val="baseline"/>
        <w:rPr>
          <w:rFonts w:ascii="宋体" w:hAnsi="宋体"/>
          <w:szCs w:val="21"/>
        </w:rPr>
      </w:pPr>
      <w:r>
        <w:rPr>
          <w:rFonts w:hint="eastAsia" w:ascii="宋体" w:hAnsi="宋体"/>
          <w:color w:val="000000"/>
          <w:szCs w:val="21"/>
        </w:rPr>
        <w:t>1.2.1</w:t>
      </w:r>
      <w:r>
        <w:rPr>
          <w:rFonts w:hint="eastAsia" w:ascii="宋体" w:hAnsi="宋体"/>
          <w:szCs w:val="21"/>
        </w:rPr>
        <w:t>东区医院：18部电梯（详见附件1《维保电梯清单》）。</w:t>
      </w:r>
    </w:p>
    <w:p>
      <w:pPr>
        <w:widowControl/>
        <w:adjustRightInd w:val="0"/>
        <w:snapToGrid w:val="0"/>
        <w:spacing w:line="440" w:lineRule="exact"/>
        <w:ind w:firstLine="420" w:firstLineChars="200"/>
        <w:contextualSpacing/>
        <w:textAlignment w:val="baseline"/>
        <w:rPr>
          <w:rFonts w:ascii="宋体" w:hAnsi="宋体"/>
          <w:szCs w:val="21"/>
        </w:rPr>
      </w:pPr>
      <w:r>
        <w:rPr>
          <w:rFonts w:hint="eastAsia" w:ascii="宋体" w:hAnsi="宋体"/>
          <w:szCs w:val="21"/>
        </w:rPr>
        <w:t>1.2.2西区医院：25部电梯（详见附件1《维保电梯清单》）。</w:t>
      </w:r>
    </w:p>
    <w:p>
      <w:pPr>
        <w:widowControl/>
        <w:adjustRightInd w:val="0"/>
        <w:snapToGrid w:val="0"/>
        <w:spacing w:line="440" w:lineRule="exact"/>
        <w:ind w:firstLine="420" w:firstLineChars="200"/>
        <w:contextualSpacing/>
        <w:textAlignment w:val="baseline"/>
        <w:rPr>
          <w:rFonts w:ascii="宋体" w:hAnsi="宋体"/>
          <w:szCs w:val="21"/>
        </w:rPr>
      </w:pPr>
      <w:r>
        <w:rPr>
          <w:rFonts w:hint="eastAsia" w:ascii="宋体" w:hAnsi="宋体"/>
          <w:szCs w:val="21"/>
        </w:rPr>
        <w:t>1.3维保</w:t>
      </w:r>
      <w:r>
        <w:rPr>
          <w:rFonts w:ascii="宋体" w:hAnsi="宋体"/>
          <w:szCs w:val="21"/>
        </w:rPr>
        <w:t>服务内容等要求详见</w:t>
      </w:r>
      <w:r>
        <w:rPr>
          <w:rFonts w:hint="eastAsia" w:ascii="宋体" w:hAnsi="宋体"/>
          <w:szCs w:val="21"/>
        </w:rPr>
        <w:t>招标</w:t>
      </w:r>
      <w:r>
        <w:rPr>
          <w:rFonts w:ascii="宋体" w:hAnsi="宋体"/>
          <w:szCs w:val="21"/>
        </w:rPr>
        <w:t>文件及响应文件。</w:t>
      </w:r>
    </w:p>
    <w:p>
      <w:pPr>
        <w:widowControl/>
        <w:adjustRightInd w:val="0"/>
        <w:spacing w:line="440" w:lineRule="exact"/>
        <w:ind w:firstLine="420" w:firstLineChars="200"/>
        <w:contextualSpacing/>
        <w:textAlignment w:val="baseline"/>
        <w:rPr>
          <w:rFonts w:ascii="宋体" w:hAnsi="宋体"/>
          <w:szCs w:val="21"/>
        </w:rPr>
      </w:pPr>
      <w:r>
        <w:rPr>
          <w:rFonts w:ascii="宋体" w:hAnsi="宋体"/>
          <w:kern w:val="2"/>
          <w:szCs w:val="21"/>
        </w:rPr>
        <w:t>1.4</w:t>
      </w:r>
      <w:r>
        <w:rPr>
          <w:rFonts w:hint="eastAsia" w:ascii="宋体" w:hAnsi="宋体"/>
          <w:kern w:val="2"/>
          <w:szCs w:val="21"/>
        </w:rPr>
        <w:t>甲方</w:t>
      </w:r>
      <w:r>
        <w:rPr>
          <w:rFonts w:ascii="宋体" w:hAnsi="宋体"/>
          <w:kern w:val="2"/>
          <w:szCs w:val="21"/>
        </w:rPr>
        <w:t>计划于2025年至202</w:t>
      </w:r>
      <w:r>
        <w:rPr>
          <w:rFonts w:hint="eastAsia" w:ascii="宋体" w:hAnsi="宋体"/>
          <w:kern w:val="2"/>
          <w:szCs w:val="21"/>
        </w:rPr>
        <w:t>7</w:t>
      </w:r>
      <w:r>
        <w:rPr>
          <w:rFonts w:ascii="宋体" w:hAnsi="宋体"/>
          <w:kern w:val="2"/>
          <w:szCs w:val="21"/>
        </w:rPr>
        <w:t>年期间，对西区的19台电梯实施计划性更</w:t>
      </w:r>
      <w:r>
        <w:rPr>
          <w:rFonts w:hint="eastAsia" w:ascii="宋体" w:hAnsi="宋体"/>
          <w:kern w:val="2"/>
          <w:szCs w:val="21"/>
        </w:rPr>
        <w:t>换</w:t>
      </w:r>
      <w:r>
        <w:rPr>
          <w:rFonts w:ascii="宋体" w:hAnsi="宋体"/>
          <w:kern w:val="2"/>
          <w:szCs w:val="21"/>
        </w:rPr>
        <w:t>。更</w:t>
      </w:r>
      <w:r>
        <w:rPr>
          <w:rFonts w:hint="eastAsia" w:ascii="宋体" w:hAnsi="宋体"/>
          <w:kern w:val="2"/>
          <w:szCs w:val="21"/>
        </w:rPr>
        <w:t>换</w:t>
      </w:r>
      <w:r>
        <w:rPr>
          <w:rFonts w:ascii="宋体" w:hAnsi="宋体"/>
          <w:kern w:val="2"/>
          <w:szCs w:val="21"/>
        </w:rPr>
        <w:t>完成后，乙方将负责新电梯的现场应急处置，包括困人解救、日常巡检以及故障报修（向电梯安装单位报告以进行维修）。至于新电梯在质保期内的维修工作，则由安装单位承担。电梯更换计划详见附件</w:t>
      </w:r>
      <w:r>
        <w:rPr>
          <w:rFonts w:hint="eastAsia" w:ascii="宋体" w:hAnsi="宋体"/>
          <w:kern w:val="2"/>
          <w:szCs w:val="21"/>
        </w:rPr>
        <w:t>2</w:t>
      </w:r>
      <w:r>
        <w:rPr>
          <w:rFonts w:hint="eastAsia" w:ascii="宋体" w:hAnsi="宋体"/>
          <w:szCs w:val="21"/>
        </w:rPr>
        <w:t>《西区医院电梯计划更换批次》</w:t>
      </w:r>
    </w:p>
    <w:p>
      <w:pPr>
        <w:adjustRightInd w:val="0"/>
        <w:snapToGrid w:val="0"/>
        <w:spacing w:line="440" w:lineRule="exact"/>
        <w:ind w:firstLine="422" w:firstLineChars="200"/>
        <w:contextualSpacing/>
        <w:rPr>
          <w:rFonts w:ascii="宋体" w:hAnsi="宋体"/>
          <w:b/>
          <w:color w:val="FF0000"/>
          <w:szCs w:val="21"/>
        </w:rPr>
      </w:pPr>
      <w:r>
        <w:rPr>
          <w:rFonts w:hint="eastAsia" w:ascii="宋体" w:hAnsi="宋体"/>
          <w:b/>
          <w:color w:val="000000"/>
          <w:szCs w:val="21"/>
        </w:rPr>
        <w:t>2.</w:t>
      </w:r>
      <w:r>
        <w:rPr>
          <w:rFonts w:ascii="宋体" w:hAnsi="宋体"/>
          <w:b/>
          <w:color w:val="000000"/>
          <w:szCs w:val="21"/>
        </w:rPr>
        <w:t>合同</w:t>
      </w:r>
      <w:r>
        <w:rPr>
          <w:rFonts w:hint="eastAsia" w:ascii="宋体" w:hAnsi="宋体"/>
          <w:b/>
          <w:color w:val="000000"/>
          <w:szCs w:val="21"/>
        </w:rPr>
        <w:t>总金额</w:t>
      </w:r>
      <w:r>
        <w:rPr>
          <w:rFonts w:ascii="宋体" w:hAnsi="宋体"/>
          <w:b/>
          <w:color w:val="000000"/>
          <w:szCs w:val="21"/>
        </w:rPr>
        <w:t>：</w:t>
      </w:r>
    </w:p>
    <w:p>
      <w:pPr>
        <w:widowControl/>
        <w:adjustRightInd w:val="0"/>
        <w:snapToGrid w:val="0"/>
        <w:spacing w:line="440" w:lineRule="exact"/>
        <w:ind w:firstLine="420" w:firstLineChars="200"/>
        <w:contextualSpacing/>
        <w:textAlignment w:val="baseline"/>
        <w:rPr>
          <w:rFonts w:ascii="宋体" w:hAnsi="宋体"/>
          <w:color w:val="000000"/>
          <w:szCs w:val="21"/>
          <w:highlight w:val="yellow"/>
        </w:rPr>
      </w:pPr>
      <w:r>
        <w:rPr>
          <w:rFonts w:hint="eastAsia" w:ascii="宋体" w:hAnsi="宋体"/>
          <w:color w:val="000000"/>
          <w:szCs w:val="21"/>
        </w:rPr>
        <w:t>2.1本合同有效期为一年。</w:t>
      </w:r>
      <w:r>
        <w:rPr>
          <w:rFonts w:ascii="宋体" w:hAnsi="宋体"/>
          <w:color w:val="000000"/>
          <w:szCs w:val="21"/>
        </w:rPr>
        <w:t>本合同</w:t>
      </w:r>
      <w:r>
        <w:rPr>
          <w:rFonts w:hint="eastAsia" w:ascii="宋体" w:hAnsi="宋体"/>
          <w:color w:val="000000"/>
          <w:szCs w:val="21"/>
        </w:rPr>
        <w:t>总金额</w:t>
      </w:r>
      <w:r>
        <w:rPr>
          <w:rFonts w:ascii="宋体" w:hAnsi="宋体"/>
          <w:b/>
          <w:bCs/>
          <w:color w:val="000000"/>
          <w:szCs w:val="21"/>
          <w:u w:val="single"/>
        </w:rPr>
        <w:t>人民币</w:t>
      </w:r>
      <w:r>
        <w:rPr>
          <w:rFonts w:hint="eastAsia" w:ascii="宋体" w:hAnsi="宋体"/>
          <w:b/>
          <w:bCs/>
          <w:color w:val="000000"/>
          <w:szCs w:val="21"/>
          <w:u w:val="single"/>
        </w:rPr>
        <w:t>伍拾叁万叁仟玖佰肆拾元整（¥533940.00）</w:t>
      </w:r>
      <w:r>
        <w:rPr>
          <w:rFonts w:hint="eastAsia" w:ascii="宋体" w:hAnsi="宋体"/>
          <w:color w:val="000000"/>
          <w:szCs w:val="21"/>
        </w:rPr>
        <w:t>；</w:t>
      </w:r>
      <w:r>
        <w:rPr>
          <w:rFonts w:hint="eastAsia" w:ascii="宋体" w:hAnsi="宋体"/>
          <w:szCs w:val="21"/>
        </w:rPr>
        <w:t>其中</w:t>
      </w:r>
      <w:r>
        <w:rPr>
          <w:rFonts w:ascii="宋体" w:hAnsi="宋体"/>
          <w:szCs w:val="21"/>
        </w:rPr>
        <w:t>包括现有故障电梯主要部件的更换</w:t>
      </w:r>
      <w:r>
        <w:rPr>
          <w:rFonts w:hint="eastAsia" w:ascii="宋体" w:hAnsi="宋体"/>
          <w:szCs w:val="21"/>
        </w:rPr>
        <w:t>【第一年度更换完毕】</w:t>
      </w:r>
      <w:r>
        <w:rPr>
          <w:rFonts w:ascii="宋体" w:hAnsi="宋体"/>
          <w:szCs w:val="21"/>
        </w:rPr>
        <w:t>费用为</w:t>
      </w:r>
      <w:r>
        <w:rPr>
          <w:rFonts w:hint="eastAsia" w:ascii="宋体" w:hAnsi="宋体"/>
          <w:b/>
          <w:bCs/>
          <w:szCs w:val="21"/>
          <w:u w:val="single"/>
        </w:rPr>
        <w:t>人民币捌万零肆佰肆拾元整（¥80440.00）</w:t>
      </w:r>
      <w:r>
        <w:rPr>
          <w:rFonts w:hint="eastAsia" w:ascii="宋体" w:hAnsi="宋体"/>
          <w:szCs w:val="21"/>
        </w:rPr>
        <w:t>（各部分单价详见附件3投标报价清单），</w:t>
      </w:r>
      <w:r>
        <w:rPr>
          <w:rFonts w:ascii="宋体" w:hAnsi="宋体"/>
          <w:szCs w:val="21"/>
        </w:rPr>
        <w:t>以及</w:t>
      </w:r>
      <w:r>
        <w:rPr>
          <w:rFonts w:hint="eastAsia" w:ascii="宋体" w:hAnsi="宋体"/>
          <w:szCs w:val="21"/>
        </w:rPr>
        <w:t>第一年度</w:t>
      </w:r>
      <w:r>
        <w:rPr>
          <w:rFonts w:ascii="宋体" w:hAnsi="宋体"/>
          <w:szCs w:val="21"/>
        </w:rPr>
        <w:t>清单中电梯的维修维保费用（根据电梯更换进度进行核减）为</w:t>
      </w:r>
      <w:r>
        <w:rPr>
          <w:rFonts w:hint="eastAsia" w:ascii="宋体" w:hAnsi="宋体"/>
          <w:b/>
          <w:bCs/>
          <w:szCs w:val="21"/>
          <w:u w:val="single"/>
        </w:rPr>
        <w:t>人民币肆拾伍万叁仟伍佰元整（¥453500.00）</w:t>
      </w:r>
      <w:r>
        <w:rPr>
          <w:rFonts w:hint="eastAsia" w:ascii="宋体" w:hAnsi="宋体"/>
          <w:szCs w:val="21"/>
        </w:rPr>
        <w:t>。</w:t>
      </w:r>
    </w:p>
    <w:p>
      <w:pPr>
        <w:widowControl/>
        <w:adjustRightInd w:val="0"/>
        <w:spacing w:line="440" w:lineRule="exact"/>
        <w:ind w:firstLine="420" w:firstLineChars="200"/>
        <w:contextualSpacing/>
        <w:textAlignment w:val="baseline"/>
        <w:rPr>
          <w:rFonts w:ascii="宋体" w:hAnsi="宋体"/>
          <w:strike/>
          <w:color w:val="FF0000"/>
          <w:szCs w:val="21"/>
        </w:rPr>
      </w:pPr>
      <w:r>
        <w:rPr>
          <w:rFonts w:ascii="宋体" w:hAnsi="宋体"/>
          <w:color w:val="000000"/>
          <w:szCs w:val="21"/>
        </w:rPr>
        <w:t>2.2在电梯更换停用期间以及新电梯免费质保期内，维保费用按照每台电梯年度费用计算月度费用，并根据停梯时间相应扣减费用</w:t>
      </w:r>
      <w:r>
        <w:rPr>
          <w:rFonts w:hint="eastAsia" w:ascii="宋体" w:hAnsi="宋体"/>
          <w:color w:val="000000"/>
          <w:szCs w:val="21"/>
        </w:rPr>
        <w:t>（具体扣减方式及金额见附件4）</w:t>
      </w:r>
      <w:r>
        <w:rPr>
          <w:rFonts w:ascii="宋体" w:hAnsi="宋体"/>
          <w:szCs w:val="21"/>
        </w:rPr>
        <w:t>。</w:t>
      </w:r>
    </w:p>
    <w:p>
      <w:pPr>
        <w:widowControl/>
        <w:adjustRightInd w:val="0"/>
        <w:snapToGrid w:val="0"/>
        <w:spacing w:line="440" w:lineRule="exact"/>
        <w:ind w:firstLine="420" w:firstLineChars="200"/>
        <w:contextualSpacing/>
        <w:textAlignment w:val="baseline"/>
        <w:rPr>
          <w:rFonts w:ascii="宋体" w:hAnsi="宋体" w:cs="宋体"/>
          <w:bCs/>
          <w:szCs w:val="21"/>
        </w:rPr>
      </w:pPr>
      <w:r>
        <w:rPr>
          <w:rFonts w:hint="eastAsia" w:ascii="宋体" w:hAnsi="宋体"/>
          <w:color w:val="000000"/>
          <w:szCs w:val="21"/>
        </w:rPr>
        <w:t>2.3</w:t>
      </w:r>
      <w:r>
        <w:rPr>
          <w:rFonts w:hint="eastAsia" w:ascii="宋体" w:hAnsi="宋体" w:cs="宋体"/>
          <w:bCs/>
          <w:szCs w:val="21"/>
        </w:rPr>
        <w:t>本合同总金额</w:t>
      </w:r>
      <w:r>
        <w:rPr>
          <w:rFonts w:ascii="宋体" w:hAnsi="宋体" w:cs="宋体"/>
          <w:bCs/>
          <w:szCs w:val="21"/>
        </w:rPr>
        <w:t>采用</w:t>
      </w:r>
      <w:r>
        <w:rPr>
          <w:rFonts w:hint="eastAsia" w:ascii="宋体" w:hAnsi="宋体" w:cs="宋体"/>
          <w:bCs/>
          <w:szCs w:val="21"/>
        </w:rPr>
        <w:t>全包维保的</w:t>
      </w:r>
      <w:r>
        <w:rPr>
          <w:rFonts w:ascii="宋体" w:hAnsi="宋体" w:cs="宋体"/>
          <w:bCs/>
          <w:szCs w:val="21"/>
        </w:rPr>
        <w:t>方式，包含但不限于提供的增值税、各种规费</w:t>
      </w:r>
      <w:r>
        <w:rPr>
          <w:rFonts w:hint="eastAsia" w:ascii="宋体" w:hAnsi="宋体" w:cs="宋体"/>
          <w:bCs/>
          <w:szCs w:val="21"/>
        </w:rPr>
        <w:t>及</w:t>
      </w:r>
      <w:r>
        <w:rPr>
          <w:rFonts w:ascii="宋体" w:hAnsi="宋体" w:cs="宋体"/>
          <w:bCs/>
          <w:szCs w:val="21"/>
        </w:rPr>
        <w:t>税费、</w:t>
      </w:r>
      <w:r>
        <w:rPr>
          <w:rFonts w:hint="eastAsia" w:ascii="宋体" w:hAnsi="宋体" w:cs="宋体"/>
          <w:bCs/>
          <w:szCs w:val="21"/>
        </w:rPr>
        <w:t>维保服务费、中标后对每台维保电梯进行全面检查的费用、所有配件及</w:t>
      </w:r>
      <w:r>
        <w:rPr>
          <w:rFonts w:ascii="宋体" w:hAnsi="宋体" w:cs="宋体"/>
          <w:bCs/>
          <w:szCs w:val="21"/>
        </w:rPr>
        <w:t>材料费</w:t>
      </w:r>
      <w:r>
        <w:rPr>
          <w:rFonts w:ascii="宋体" w:hAnsi="宋体" w:cs="宋体"/>
          <w:b/>
          <w:szCs w:val="21"/>
        </w:rPr>
        <w:t>（包含五大件的免费更换）</w:t>
      </w:r>
      <w:r>
        <w:rPr>
          <w:rFonts w:ascii="宋体" w:hAnsi="宋体" w:cs="宋体"/>
          <w:bCs/>
          <w:szCs w:val="21"/>
        </w:rPr>
        <w:t>、新安装电梯的困人应急救援费用、所有涉及的维修安装费、运输费、装卸费、</w:t>
      </w:r>
      <w:r>
        <w:rPr>
          <w:rFonts w:hint="eastAsia" w:ascii="宋体" w:hAnsi="宋体" w:cs="宋体"/>
          <w:bCs/>
          <w:szCs w:val="21"/>
        </w:rPr>
        <w:t>验收前保管费、</w:t>
      </w:r>
      <w:r>
        <w:rPr>
          <w:rFonts w:ascii="宋体" w:hAnsi="宋体" w:cs="宋体"/>
          <w:bCs/>
          <w:szCs w:val="21"/>
        </w:rPr>
        <w:t>保险费、维修费、人工费</w:t>
      </w:r>
      <w:r>
        <w:rPr>
          <w:rFonts w:hint="eastAsia" w:ascii="宋体" w:hAnsi="宋体" w:cs="宋体"/>
          <w:bCs/>
          <w:szCs w:val="21"/>
        </w:rPr>
        <w:t>（含驻场人员的工资、福利、社保、加班费、夜餐费等）</w:t>
      </w:r>
      <w:r>
        <w:rPr>
          <w:rFonts w:ascii="宋体" w:hAnsi="宋体" w:cs="宋体"/>
          <w:bCs/>
          <w:szCs w:val="21"/>
        </w:rPr>
        <w:t>、管理费、调试费、培训费、资料费、机械使用费、工具使用费、</w:t>
      </w:r>
      <w:r>
        <w:rPr>
          <w:rFonts w:hint="eastAsia" w:ascii="宋体" w:hAnsi="宋体" w:cs="宋体"/>
          <w:bCs/>
          <w:szCs w:val="21"/>
        </w:rPr>
        <w:t>配合验收费</w:t>
      </w:r>
      <w:r>
        <w:rPr>
          <w:rFonts w:ascii="宋体" w:hAnsi="宋体" w:cs="宋体"/>
          <w:bCs/>
          <w:szCs w:val="21"/>
        </w:rPr>
        <w:t>、</w:t>
      </w:r>
      <w:r>
        <w:rPr>
          <w:rFonts w:hint="eastAsia" w:ascii="宋体" w:hAnsi="宋体" w:cs="宋体"/>
          <w:bCs/>
          <w:szCs w:val="21"/>
        </w:rPr>
        <w:t>与保险公司签订“电梯安全责任险”费用、</w:t>
      </w:r>
      <w:r>
        <w:rPr>
          <w:rFonts w:ascii="宋体" w:hAnsi="宋体" w:cs="宋体"/>
          <w:bCs/>
          <w:szCs w:val="21"/>
        </w:rPr>
        <w:t>政策性文件规定的各项应有费用等直至完成本</w:t>
      </w:r>
      <w:r>
        <w:rPr>
          <w:rFonts w:hint="eastAsia" w:ascii="宋体" w:hAnsi="宋体" w:cs="宋体"/>
          <w:bCs/>
          <w:szCs w:val="21"/>
        </w:rPr>
        <w:t>维保</w:t>
      </w:r>
      <w:r>
        <w:rPr>
          <w:rFonts w:ascii="宋体" w:hAnsi="宋体" w:cs="宋体"/>
          <w:bCs/>
          <w:szCs w:val="21"/>
        </w:rPr>
        <w:t>项目发生的所有费用和利润</w:t>
      </w:r>
      <w:r>
        <w:rPr>
          <w:rFonts w:hint="eastAsia" w:ascii="宋体" w:hAnsi="宋体" w:cs="宋体"/>
          <w:bCs/>
          <w:szCs w:val="21"/>
        </w:rPr>
        <w:t>。</w:t>
      </w:r>
      <w:r>
        <w:rPr>
          <w:rFonts w:ascii="宋体" w:hAnsi="宋体" w:cs="宋体"/>
          <w:bCs/>
          <w:szCs w:val="21"/>
        </w:rPr>
        <w:t>在合同期内由甲方提出的其他技改需求，双方另行商议。</w:t>
      </w:r>
    </w:p>
    <w:p>
      <w:pPr>
        <w:widowControl/>
        <w:adjustRightInd w:val="0"/>
        <w:snapToGrid w:val="0"/>
        <w:spacing w:line="440" w:lineRule="exact"/>
        <w:ind w:firstLine="420" w:firstLineChars="200"/>
        <w:contextualSpacing/>
        <w:textAlignment w:val="baseline"/>
        <w:rPr>
          <w:rFonts w:ascii="宋体" w:hAnsi="宋体" w:cs="宋体"/>
          <w:bCs/>
          <w:szCs w:val="21"/>
        </w:rPr>
      </w:pPr>
      <w:r>
        <w:rPr>
          <w:rFonts w:hint="eastAsia" w:ascii="宋体" w:hAnsi="宋体" w:cs="宋体"/>
          <w:bCs/>
          <w:szCs w:val="21"/>
        </w:rPr>
        <w:t>2.4</w:t>
      </w:r>
      <w:r>
        <w:rPr>
          <w:rFonts w:ascii="宋体" w:hAnsi="宋体" w:cs="宋体"/>
          <w:bCs/>
          <w:szCs w:val="21"/>
        </w:rPr>
        <w:t>电梯的年检费</w:t>
      </w:r>
      <w:r>
        <w:rPr>
          <w:rFonts w:ascii="宋体" w:hAnsi="宋体" w:cs="宋体"/>
          <w:bCs/>
          <w:kern w:val="2"/>
          <w:szCs w:val="21"/>
        </w:rPr>
        <w:t>以及因不可抗力因素导致的任何附加费用均不属于本合</w:t>
      </w:r>
      <w:r>
        <w:rPr>
          <w:rFonts w:ascii="宋体" w:hAnsi="宋体" w:cs="宋体"/>
          <w:bCs/>
          <w:szCs w:val="21"/>
        </w:rPr>
        <w:t>同维保费用</w:t>
      </w:r>
      <w:r>
        <w:rPr>
          <w:rFonts w:ascii="宋体" w:hAnsi="宋体" w:cs="宋体"/>
          <w:bCs/>
          <w:kern w:val="2"/>
          <w:szCs w:val="21"/>
        </w:rPr>
        <w:t>的范畴</w:t>
      </w:r>
      <w:r>
        <w:rPr>
          <w:rFonts w:ascii="宋体" w:hAnsi="宋体" w:cs="宋体"/>
          <w:bCs/>
          <w:szCs w:val="21"/>
        </w:rPr>
        <w:t>。</w:t>
      </w:r>
      <w:r>
        <w:rPr>
          <w:rFonts w:ascii="宋体" w:hAnsi="宋体" w:cs="宋体"/>
          <w:bCs/>
          <w:kern w:val="2"/>
          <w:szCs w:val="21"/>
        </w:rPr>
        <w:t>若电梯未能通过年度检验，乙方应负责进行无偿整改，</w:t>
      </w:r>
      <w:r>
        <w:rPr>
          <w:rFonts w:ascii="宋体" w:hAnsi="宋体" w:cs="宋体"/>
          <w:bCs/>
          <w:szCs w:val="21"/>
        </w:rPr>
        <w:t>直至年检合格为止，</w:t>
      </w:r>
      <w:r>
        <w:rPr>
          <w:rFonts w:ascii="宋体" w:hAnsi="宋体" w:cs="宋体"/>
          <w:bCs/>
          <w:kern w:val="2"/>
          <w:szCs w:val="21"/>
        </w:rPr>
        <w:t>由此产生的所有费用及损失均由乙方承担</w:t>
      </w:r>
      <w:r>
        <w:rPr>
          <w:rFonts w:ascii="宋体" w:hAnsi="宋体" w:cs="宋体"/>
          <w:bCs/>
          <w:szCs w:val="21"/>
        </w:rPr>
        <w:t>。</w:t>
      </w:r>
    </w:p>
    <w:p>
      <w:pPr>
        <w:widowControl/>
        <w:adjustRightInd w:val="0"/>
        <w:snapToGrid w:val="0"/>
        <w:spacing w:line="440" w:lineRule="exact"/>
        <w:ind w:firstLine="420" w:firstLineChars="200"/>
        <w:contextualSpacing/>
        <w:textAlignment w:val="baseline"/>
        <w:rPr>
          <w:rFonts w:ascii="宋体" w:hAnsi="宋体" w:cs="宋体"/>
          <w:bCs/>
          <w:szCs w:val="21"/>
        </w:rPr>
      </w:pPr>
      <w:r>
        <w:rPr>
          <w:rFonts w:hint="eastAsia" w:ascii="宋体" w:hAnsi="宋体" w:cs="宋体"/>
          <w:bCs/>
          <w:szCs w:val="21"/>
        </w:rPr>
        <w:t>2.5本合同的维保服务费用范围不包括改变电梯现有结构、装置、技术，增加新功能、由于甲方原因造成的电梯设备损坏所产生的费用。</w:t>
      </w:r>
    </w:p>
    <w:p>
      <w:pPr>
        <w:adjustRightInd w:val="0"/>
        <w:snapToGrid w:val="0"/>
        <w:spacing w:line="440" w:lineRule="exact"/>
        <w:ind w:firstLine="420" w:firstLineChars="200"/>
        <w:contextualSpacing/>
        <w:rPr>
          <w:rFonts w:ascii="宋体" w:hAnsi="宋体"/>
          <w:szCs w:val="21"/>
        </w:rPr>
      </w:pPr>
      <w:r>
        <w:rPr>
          <w:rFonts w:ascii="宋体" w:hAnsi="宋体"/>
          <w:szCs w:val="21"/>
        </w:rPr>
        <w:t>2.</w:t>
      </w:r>
      <w:r>
        <w:rPr>
          <w:rFonts w:hint="eastAsia" w:ascii="宋体" w:hAnsi="宋体"/>
          <w:szCs w:val="21"/>
        </w:rPr>
        <w:t>6</w:t>
      </w:r>
      <w:r>
        <w:rPr>
          <w:rFonts w:ascii="宋体" w:hAnsi="宋体"/>
          <w:szCs w:val="21"/>
        </w:rPr>
        <w:t>在</w:t>
      </w:r>
      <w:r>
        <w:rPr>
          <w:rFonts w:hint="eastAsia" w:ascii="宋体" w:hAnsi="宋体"/>
          <w:szCs w:val="21"/>
        </w:rPr>
        <w:t>招标</w:t>
      </w:r>
      <w:r>
        <w:rPr>
          <w:rFonts w:ascii="宋体" w:hAnsi="宋体"/>
          <w:szCs w:val="21"/>
        </w:rPr>
        <w:t>文件未列明，而乙方认为履行本合同必需的费用也包含在合同总金额中。</w:t>
      </w:r>
    </w:p>
    <w:p>
      <w:pPr>
        <w:adjustRightInd w:val="0"/>
        <w:snapToGrid w:val="0"/>
        <w:spacing w:line="440" w:lineRule="exact"/>
        <w:ind w:firstLine="420" w:firstLineChars="200"/>
        <w:contextualSpacing/>
        <w:rPr>
          <w:rFonts w:ascii="宋体" w:hAnsi="宋体"/>
          <w:szCs w:val="21"/>
        </w:rPr>
      </w:pPr>
      <w:r>
        <w:rPr>
          <w:rFonts w:ascii="宋体" w:hAnsi="宋体"/>
          <w:szCs w:val="21"/>
        </w:rPr>
        <w:t>2.</w:t>
      </w:r>
      <w:r>
        <w:rPr>
          <w:rFonts w:hint="eastAsia" w:ascii="宋体" w:hAnsi="宋体"/>
          <w:szCs w:val="21"/>
        </w:rPr>
        <w:t>7</w:t>
      </w:r>
      <w:r>
        <w:rPr>
          <w:rFonts w:ascii="宋体" w:hAnsi="宋体"/>
          <w:szCs w:val="21"/>
        </w:rPr>
        <w:t>本合同总金额还包含乙方提供的伴随服务/售后服务费用。</w:t>
      </w:r>
    </w:p>
    <w:p>
      <w:pPr>
        <w:adjustRightInd w:val="0"/>
        <w:snapToGrid w:val="0"/>
        <w:spacing w:line="440" w:lineRule="exact"/>
        <w:ind w:firstLine="420" w:firstLineChars="200"/>
        <w:contextualSpacing/>
        <w:rPr>
          <w:rFonts w:ascii="宋体" w:hAnsi="宋体"/>
          <w:szCs w:val="21"/>
        </w:rPr>
      </w:pPr>
      <w:r>
        <w:rPr>
          <w:rFonts w:ascii="宋体" w:hAnsi="宋体"/>
          <w:szCs w:val="21"/>
        </w:rPr>
        <w:t>2.</w:t>
      </w:r>
      <w:r>
        <w:rPr>
          <w:rFonts w:hint="eastAsia" w:ascii="宋体" w:hAnsi="宋体"/>
          <w:szCs w:val="21"/>
        </w:rPr>
        <w:t>8</w:t>
      </w:r>
      <w:r>
        <w:rPr>
          <w:rFonts w:ascii="宋体" w:hAnsi="宋体"/>
          <w:szCs w:val="21"/>
        </w:rPr>
        <w:t>本合同签订</w:t>
      </w:r>
      <w:r>
        <w:rPr>
          <w:rFonts w:hint="eastAsia" w:ascii="宋体" w:hAnsi="宋体"/>
          <w:szCs w:val="21"/>
        </w:rPr>
        <w:t>生效</w:t>
      </w:r>
      <w:r>
        <w:rPr>
          <w:rFonts w:ascii="宋体" w:hAnsi="宋体"/>
          <w:szCs w:val="21"/>
        </w:rPr>
        <w:t>后：甲方需追加与合同标的相同的服务，在不改变合同其他条款的前提下，可以与乙方协商签订补充合同，但所有补充合同的增加的金额不超过原合同金额的10%；甲方若由于各种客观原因，必须对采购项目所牵涉的服务进行适当的减少时，在与乙方协商一致后，可以按照</w:t>
      </w:r>
      <w:r>
        <w:rPr>
          <w:rFonts w:hint="eastAsia" w:ascii="宋体" w:hAnsi="宋体"/>
          <w:szCs w:val="21"/>
        </w:rPr>
        <w:t>招标</w:t>
      </w:r>
      <w:r>
        <w:rPr>
          <w:rFonts w:ascii="宋体" w:hAnsi="宋体"/>
          <w:szCs w:val="21"/>
        </w:rPr>
        <w:t>采购时的价格水平做相应的调减，并据此签订补充合同；除上述情况外，本合同执行期间合同总金额不变。</w:t>
      </w:r>
    </w:p>
    <w:p>
      <w:pPr>
        <w:adjustRightInd w:val="0"/>
        <w:snapToGrid w:val="0"/>
        <w:spacing w:line="440" w:lineRule="exact"/>
        <w:ind w:firstLine="422" w:firstLineChars="200"/>
        <w:contextualSpacing/>
        <w:rPr>
          <w:rFonts w:ascii="宋体" w:hAnsi="宋体"/>
          <w:b/>
          <w:bCs/>
          <w:szCs w:val="21"/>
        </w:rPr>
      </w:pPr>
      <w:r>
        <w:rPr>
          <w:rFonts w:hint="eastAsia" w:ascii="宋体" w:hAnsi="宋体"/>
          <w:b/>
          <w:bCs/>
          <w:color w:val="000000"/>
          <w:szCs w:val="21"/>
        </w:rPr>
        <w:t>3.</w:t>
      </w:r>
      <w:r>
        <w:rPr>
          <w:rFonts w:ascii="宋体" w:hAnsi="宋体"/>
          <w:b/>
          <w:bCs/>
          <w:szCs w:val="21"/>
        </w:rPr>
        <w:t>组成本合同的有关文件</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3</w:t>
      </w:r>
      <w:r>
        <w:rPr>
          <w:rFonts w:ascii="宋体" w:hAnsi="宋体"/>
          <w:szCs w:val="21"/>
        </w:rPr>
        <w:t>.1乙方应按</w:t>
      </w:r>
      <w:r>
        <w:rPr>
          <w:rFonts w:hint="eastAsia" w:ascii="宋体" w:hAnsi="宋体"/>
          <w:szCs w:val="21"/>
        </w:rPr>
        <w:t>招标</w:t>
      </w:r>
      <w:r>
        <w:rPr>
          <w:rFonts w:ascii="宋体" w:hAnsi="宋体"/>
          <w:szCs w:val="21"/>
        </w:rPr>
        <w:t>文件规定的时间向甲方提供服务的有关技术资料。</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3</w:t>
      </w:r>
      <w:r>
        <w:rPr>
          <w:rFonts w:ascii="宋体" w:hAnsi="宋体"/>
          <w:szCs w:val="21"/>
        </w:rPr>
        <w:t>.2没有甲方事先书面同意，乙方不得将由甲方提供的有关合同或任何合同条文或资料提供给任何其他人。即使向履行本合同有关的人员提供，也应注意保密并限于履行合同的必需范围。</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3</w:t>
      </w:r>
      <w:r>
        <w:rPr>
          <w:rFonts w:ascii="宋体" w:hAnsi="宋体"/>
          <w:szCs w:val="21"/>
        </w:rPr>
        <w:t>.3关于本项目政府采购的</w:t>
      </w:r>
      <w:r>
        <w:rPr>
          <w:rFonts w:hint="eastAsia" w:ascii="宋体" w:hAnsi="宋体"/>
          <w:szCs w:val="21"/>
        </w:rPr>
        <w:t>招标</w:t>
      </w:r>
      <w:r>
        <w:rPr>
          <w:rFonts w:ascii="宋体" w:hAnsi="宋体"/>
          <w:szCs w:val="21"/>
        </w:rPr>
        <w:t>文件、响应文件以及与本次采购活动方式相适应的文件及有关附件是本合同不可分割的组成部分，这些文件包括但不限于：</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（1）投标</w:t>
      </w:r>
      <w:r>
        <w:rPr>
          <w:rFonts w:ascii="宋体" w:hAnsi="宋体"/>
          <w:szCs w:val="21"/>
        </w:rPr>
        <w:t>响应文件；           （2）报价文件；</w:t>
      </w:r>
    </w:p>
    <w:p>
      <w:pPr>
        <w:adjustRightInd w:val="0"/>
        <w:snapToGrid w:val="0"/>
        <w:spacing w:line="440" w:lineRule="exact"/>
        <w:ind w:firstLine="420" w:firstLineChars="200"/>
        <w:contextualSpacing/>
        <w:rPr>
          <w:rFonts w:ascii="宋体" w:hAnsi="宋体"/>
          <w:szCs w:val="21"/>
        </w:rPr>
      </w:pPr>
      <w:r>
        <w:rPr>
          <w:rFonts w:ascii="宋体" w:hAnsi="宋体"/>
          <w:szCs w:val="21"/>
        </w:rPr>
        <w:t>（3）项目组人员表             （4）技术参数、商务条款响应及偏离表；</w:t>
      </w:r>
    </w:p>
    <w:p>
      <w:pPr>
        <w:adjustRightInd w:val="0"/>
        <w:snapToGrid w:val="0"/>
        <w:spacing w:line="440" w:lineRule="exact"/>
        <w:ind w:firstLine="420" w:firstLineChars="200"/>
        <w:contextualSpacing/>
        <w:rPr>
          <w:rFonts w:ascii="宋体" w:hAnsi="宋体"/>
          <w:szCs w:val="21"/>
        </w:rPr>
      </w:pPr>
      <w:r>
        <w:rPr>
          <w:rFonts w:ascii="宋体" w:hAnsi="宋体"/>
          <w:szCs w:val="21"/>
        </w:rPr>
        <w:t>（5）服务承诺；               （6）成交通知书；</w:t>
      </w:r>
    </w:p>
    <w:p>
      <w:pPr>
        <w:adjustRightInd w:val="0"/>
        <w:snapToGrid w:val="0"/>
        <w:spacing w:line="440" w:lineRule="exact"/>
        <w:ind w:firstLine="420" w:firstLineChars="200"/>
        <w:contextualSpacing/>
        <w:rPr>
          <w:rFonts w:ascii="宋体" w:hAnsi="宋体"/>
          <w:szCs w:val="21"/>
        </w:rPr>
      </w:pPr>
      <w:r>
        <w:rPr>
          <w:rFonts w:ascii="宋体" w:hAnsi="宋体"/>
          <w:szCs w:val="21"/>
        </w:rPr>
        <w:t>（7）甲乙双方补充协议；       （8）乙方参加</w:t>
      </w:r>
      <w:r>
        <w:rPr>
          <w:rFonts w:hint="eastAsia" w:ascii="宋体" w:hAnsi="宋体"/>
          <w:szCs w:val="21"/>
        </w:rPr>
        <w:t>投标</w:t>
      </w:r>
      <w:r>
        <w:rPr>
          <w:rFonts w:ascii="宋体" w:hAnsi="宋体"/>
          <w:szCs w:val="21"/>
        </w:rPr>
        <w:t>时提供的响应文件</w:t>
      </w:r>
      <w:r>
        <w:rPr>
          <w:rFonts w:hint="eastAsia" w:ascii="宋体" w:hAnsi="宋体"/>
          <w:szCs w:val="21"/>
        </w:rPr>
        <w:t>；</w:t>
      </w:r>
    </w:p>
    <w:p>
      <w:pPr>
        <w:widowControl/>
        <w:adjustRightInd w:val="0"/>
        <w:snapToGrid w:val="0"/>
        <w:spacing w:line="440" w:lineRule="exact"/>
        <w:ind w:firstLine="420" w:firstLineChars="200"/>
        <w:contextualSpacing/>
        <w:textAlignment w:val="baseline"/>
        <w:rPr>
          <w:rFonts w:ascii="宋体" w:hAnsi="宋体"/>
          <w:szCs w:val="21"/>
        </w:rPr>
      </w:pPr>
      <w:r>
        <w:rPr>
          <w:rFonts w:hint="eastAsia" w:ascii="宋体" w:hAnsi="宋体" w:cs="宋体"/>
          <w:szCs w:val="21"/>
        </w:rPr>
        <w:t>（9）</w:t>
      </w:r>
      <w:r>
        <w:rPr>
          <w:rFonts w:hint="eastAsia" w:ascii="宋体" w:hAnsi="宋体"/>
          <w:szCs w:val="21"/>
        </w:rPr>
        <w:t>国家规定的技术标准</w:t>
      </w:r>
    </w:p>
    <w:p>
      <w:pPr>
        <w:adjustRightInd w:val="0"/>
        <w:snapToGrid w:val="0"/>
        <w:spacing w:line="440" w:lineRule="exact"/>
        <w:ind w:firstLine="422" w:firstLineChars="200"/>
        <w:contextualSpacing/>
        <w:rPr>
          <w:rFonts w:ascii="宋体" w:hAnsi="宋体"/>
          <w:b/>
          <w:bCs/>
          <w:szCs w:val="21"/>
        </w:rPr>
      </w:pPr>
      <w:r>
        <w:rPr>
          <w:rFonts w:hint="eastAsia" w:ascii="宋体" w:hAnsi="宋体"/>
          <w:b/>
          <w:bCs/>
          <w:szCs w:val="21"/>
        </w:rPr>
        <w:t>4.</w:t>
      </w:r>
      <w:r>
        <w:rPr>
          <w:rFonts w:ascii="宋体" w:hAnsi="宋体"/>
          <w:b/>
          <w:bCs/>
          <w:szCs w:val="21"/>
        </w:rPr>
        <w:t>知识产权保证</w:t>
      </w:r>
    </w:p>
    <w:p>
      <w:pPr>
        <w:widowControl/>
        <w:adjustRightInd w:val="0"/>
        <w:snapToGrid w:val="0"/>
        <w:spacing w:line="440" w:lineRule="exact"/>
        <w:ind w:firstLine="420" w:firstLineChars="200"/>
        <w:contextualSpacing/>
        <w:textAlignment w:val="baseline"/>
        <w:rPr>
          <w:rFonts w:ascii="宋体" w:hAnsi="宋体"/>
          <w:szCs w:val="21"/>
        </w:rPr>
      </w:pPr>
      <w:r>
        <w:rPr>
          <w:rFonts w:hint="eastAsia" w:ascii="宋体" w:hAnsi="宋体"/>
          <w:szCs w:val="21"/>
        </w:rPr>
        <w:t>乙方保证甲方在使用、接受本合同服务或其任何一部分时，不受第三方提出侵犯其专利权、版权、商标权和工业设计权等知识产权的起诉。一旦出现侵权，由乙方负全部责任。</w:t>
      </w:r>
    </w:p>
    <w:p>
      <w:pPr>
        <w:adjustRightInd w:val="0"/>
        <w:snapToGrid w:val="0"/>
        <w:spacing w:line="440" w:lineRule="exact"/>
        <w:ind w:firstLine="422" w:firstLineChars="200"/>
        <w:contextualSpacing/>
        <w:rPr>
          <w:rFonts w:ascii="宋体" w:hAnsi="宋体"/>
          <w:b/>
          <w:bCs/>
          <w:szCs w:val="21"/>
        </w:rPr>
      </w:pPr>
      <w:r>
        <w:rPr>
          <w:rFonts w:hint="eastAsia" w:ascii="宋体" w:hAnsi="宋体"/>
          <w:b/>
          <w:bCs/>
          <w:szCs w:val="21"/>
        </w:rPr>
        <w:t>5.</w:t>
      </w:r>
      <w:r>
        <w:rPr>
          <w:rFonts w:ascii="宋体" w:hAnsi="宋体"/>
          <w:b/>
          <w:bCs/>
          <w:szCs w:val="21"/>
        </w:rPr>
        <w:t>产权保证</w:t>
      </w:r>
    </w:p>
    <w:p>
      <w:pPr>
        <w:widowControl/>
        <w:autoSpaceDE w:val="0"/>
        <w:autoSpaceDN w:val="0"/>
        <w:adjustRightInd w:val="0"/>
        <w:snapToGrid w:val="0"/>
        <w:spacing w:line="440" w:lineRule="exact"/>
        <w:ind w:firstLine="420" w:firstLineChars="200"/>
        <w:contextualSpacing/>
        <w:textAlignment w:val="baseline"/>
        <w:rPr>
          <w:rFonts w:ascii="宋体" w:hAnsi="宋体"/>
          <w:szCs w:val="21"/>
        </w:rPr>
      </w:pPr>
      <w:r>
        <w:rPr>
          <w:rFonts w:hint="eastAsia" w:ascii="宋体" w:hAnsi="宋体" w:cs="宋体"/>
          <w:szCs w:val="21"/>
        </w:rPr>
        <w:t>乙方保证所交付的服务和服务所涉及的物品所有权无任何抵押、查封等权利瑕疵。</w:t>
      </w:r>
    </w:p>
    <w:p>
      <w:pPr>
        <w:widowControl/>
        <w:adjustRightInd w:val="0"/>
        <w:snapToGrid w:val="0"/>
        <w:spacing w:line="440" w:lineRule="exact"/>
        <w:ind w:firstLine="422" w:firstLineChars="200"/>
        <w:contextualSpacing/>
        <w:textAlignment w:val="baseline"/>
        <w:rPr>
          <w:rFonts w:ascii="宋体" w:hAnsi="宋体"/>
          <w:color w:val="000000"/>
          <w:szCs w:val="21"/>
        </w:rPr>
      </w:pPr>
      <w:r>
        <w:rPr>
          <w:rFonts w:hint="eastAsia" w:ascii="宋体" w:hAnsi="宋体"/>
          <w:b/>
          <w:bCs/>
          <w:color w:val="000000"/>
          <w:szCs w:val="21"/>
        </w:rPr>
        <w:t>6.</w:t>
      </w:r>
      <w:r>
        <w:rPr>
          <w:rFonts w:ascii="宋体" w:hAnsi="宋体"/>
          <w:b/>
          <w:bCs/>
          <w:color w:val="000000"/>
          <w:szCs w:val="21"/>
        </w:rPr>
        <w:t>履约保证金</w:t>
      </w:r>
    </w:p>
    <w:p>
      <w:pPr>
        <w:widowControl/>
        <w:adjustRightInd w:val="0"/>
        <w:snapToGrid w:val="0"/>
        <w:spacing w:line="440" w:lineRule="exact"/>
        <w:ind w:firstLine="420" w:firstLineChars="200"/>
        <w:contextualSpacing/>
        <w:textAlignment w:val="baseline"/>
        <w:rPr>
          <w:rFonts w:ascii="宋体" w:hAnsi="宋体"/>
          <w:color w:val="000000"/>
          <w:szCs w:val="21"/>
        </w:rPr>
      </w:pPr>
      <w:r>
        <w:rPr>
          <w:rFonts w:hint="eastAsia" w:ascii="宋体" w:hAnsi="宋体"/>
          <w:color w:val="000000"/>
          <w:szCs w:val="21"/>
        </w:rPr>
        <w:t>6.1</w:t>
      </w:r>
      <w:r>
        <w:rPr>
          <w:rFonts w:ascii="宋体" w:hAnsi="宋体"/>
          <w:color w:val="000000"/>
          <w:szCs w:val="21"/>
        </w:rPr>
        <w:t>乙方在签订合同前须向甲方交纳缴纳合同</w:t>
      </w:r>
      <w:r>
        <w:rPr>
          <w:rFonts w:hint="eastAsia" w:ascii="宋体" w:hAnsi="宋体"/>
          <w:color w:val="000000"/>
          <w:szCs w:val="21"/>
        </w:rPr>
        <w:t>总</w:t>
      </w:r>
      <w:r>
        <w:rPr>
          <w:rFonts w:ascii="宋体" w:hAnsi="宋体"/>
          <w:color w:val="000000"/>
          <w:szCs w:val="21"/>
        </w:rPr>
        <w:t>金额的10%履约保证金。</w:t>
      </w:r>
    </w:p>
    <w:p>
      <w:pPr>
        <w:adjustRightInd w:val="0"/>
        <w:snapToGrid w:val="0"/>
        <w:spacing w:line="440" w:lineRule="exact"/>
        <w:ind w:firstLine="420" w:firstLineChars="200"/>
        <w:contextualSpacing/>
        <w:rPr>
          <w:rFonts w:ascii="宋体" w:hAnsi="宋体"/>
          <w:color w:val="000000"/>
          <w:szCs w:val="21"/>
        </w:rPr>
      </w:pPr>
      <w:r>
        <w:rPr>
          <w:rFonts w:hint="eastAsia" w:ascii="宋体" w:hAnsi="宋体"/>
          <w:color w:val="000000"/>
          <w:szCs w:val="21"/>
        </w:rPr>
        <w:t>6.2</w:t>
      </w:r>
      <w:r>
        <w:rPr>
          <w:rFonts w:ascii="宋体" w:hAnsi="宋体"/>
          <w:color w:val="000000"/>
          <w:szCs w:val="21"/>
        </w:rPr>
        <w:t>履约保证金用以约束乙方在合同履行中的行为，以及弥补合同履行中由于乙方自身行为可能给甲方带来的各种损失；若保证金额不足以弥补乙方违约造成甲方损失的，甲方可继续向乙方主张索赔。</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6</w:t>
      </w:r>
      <w:r>
        <w:rPr>
          <w:rFonts w:ascii="宋体" w:hAnsi="宋体"/>
          <w:szCs w:val="21"/>
        </w:rPr>
        <w:t>.3</w:t>
      </w:r>
      <w:r>
        <w:rPr>
          <w:rFonts w:ascii="宋体" w:hAnsi="宋体" w:cs="宋体"/>
          <w:szCs w:val="21"/>
        </w:rPr>
        <w:t>合同期满后，如中标人无违约行为，</w:t>
      </w:r>
      <w:r>
        <w:rPr>
          <w:rFonts w:ascii="宋体" w:hAnsi="宋体"/>
          <w:color w:val="000000"/>
          <w:szCs w:val="21"/>
        </w:rPr>
        <w:t>履约保证金扣除甲方应得的补偿后的余额，</w:t>
      </w:r>
      <w:r>
        <w:rPr>
          <w:rFonts w:ascii="宋体" w:hAnsi="宋体" w:cs="宋体"/>
          <w:szCs w:val="21"/>
        </w:rPr>
        <w:t>甲方应在会同期满后</w:t>
      </w:r>
      <w:r>
        <w:rPr>
          <w:rFonts w:hint="eastAsia" w:ascii="宋体" w:hAnsi="宋体" w:cs="宋体"/>
          <w:szCs w:val="21"/>
        </w:rPr>
        <w:t>7</w:t>
      </w:r>
      <w:r>
        <w:rPr>
          <w:rFonts w:ascii="宋体" w:hAnsi="宋体" w:cs="宋体"/>
          <w:szCs w:val="21"/>
        </w:rPr>
        <w:t>个工作日内</w:t>
      </w:r>
      <w:r>
        <w:rPr>
          <w:rFonts w:hint="eastAsia" w:ascii="宋体" w:hAnsi="宋体"/>
          <w:color w:val="000000"/>
          <w:szCs w:val="21"/>
        </w:rPr>
        <w:t>无息</w:t>
      </w:r>
      <w:r>
        <w:rPr>
          <w:rFonts w:ascii="宋体" w:hAnsi="宋体" w:cs="宋体"/>
          <w:szCs w:val="21"/>
        </w:rPr>
        <w:t>退还履约保证金；如中标人在履约期间违约或单方提前终止协议，甲方则不予退还履约保证金。</w:t>
      </w:r>
    </w:p>
    <w:p>
      <w:pPr>
        <w:widowControl/>
        <w:adjustRightInd w:val="0"/>
        <w:snapToGrid w:val="0"/>
        <w:spacing w:line="440" w:lineRule="exact"/>
        <w:ind w:firstLine="422" w:firstLineChars="200"/>
        <w:contextualSpacing/>
        <w:textAlignment w:val="baseline"/>
        <w:rPr>
          <w:rFonts w:ascii="宋体" w:hAnsi="宋体"/>
          <w:color w:val="000000"/>
          <w:szCs w:val="21"/>
        </w:rPr>
      </w:pPr>
      <w:r>
        <w:rPr>
          <w:rFonts w:hint="eastAsia" w:ascii="宋体" w:hAnsi="宋体"/>
          <w:b/>
          <w:bCs/>
          <w:color w:val="000000"/>
          <w:szCs w:val="21"/>
        </w:rPr>
        <w:t>7.</w:t>
      </w:r>
      <w:r>
        <w:rPr>
          <w:rFonts w:ascii="宋体" w:hAnsi="宋体"/>
          <w:b/>
          <w:bCs/>
          <w:color w:val="000000"/>
          <w:szCs w:val="21"/>
        </w:rPr>
        <w:t>转包或分包</w:t>
      </w:r>
    </w:p>
    <w:p>
      <w:pPr>
        <w:widowControl/>
        <w:adjustRightInd w:val="0"/>
        <w:snapToGrid w:val="0"/>
        <w:spacing w:line="440" w:lineRule="exact"/>
        <w:ind w:firstLine="420" w:firstLineChars="200"/>
        <w:contextualSpacing/>
        <w:textAlignment w:val="baseline"/>
        <w:rPr>
          <w:rFonts w:ascii="宋体" w:hAnsi="宋体"/>
          <w:szCs w:val="21"/>
        </w:rPr>
      </w:pPr>
      <w:r>
        <w:rPr>
          <w:rFonts w:hint="eastAsia" w:ascii="宋体" w:hAnsi="宋体"/>
          <w:szCs w:val="21"/>
        </w:rPr>
        <w:t>7</w:t>
      </w:r>
      <w:r>
        <w:rPr>
          <w:rFonts w:ascii="宋体" w:hAnsi="宋体"/>
          <w:szCs w:val="21"/>
        </w:rPr>
        <w:t>.1本合同禁止转包，本合同范围的服务，应由乙方直接提供的，不得转让他人提供。</w:t>
      </w:r>
    </w:p>
    <w:p>
      <w:pPr>
        <w:widowControl/>
        <w:adjustRightInd w:val="0"/>
        <w:snapToGrid w:val="0"/>
        <w:spacing w:line="440" w:lineRule="exact"/>
        <w:ind w:firstLine="420" w:firstLineChars="200"/>
        <w:contextualSpacing/>
        <w:textAlignment w:val="baseline"/>
        <w:rPr>
          <w:rFonts w:ascii="宋体" w:hAnsi="宋体"/>
          <w:color w:val="000000"/>
          <w:szCs w:val="21"/>
        </w:rPr>
      </w:pPr>
      <w:r>
        <w:rPr>
          <w:rFonts w:hint="eastAsia" w:ascii="宋体" w:hAnsi="宋体"/>
          <w:szCs w:val="21"/>
        </w:rPr>
        <w:t>7.</w:t>
      </w:r>
      <w:r>
        <w:rPr>
          <w:rFonts w:ascii="宋体" w:hAnsi="宋体"/>
          <w:color w:val="000000"/>
          <w:szCs w:val="21"/>
        </w:rPr>
        <w:t>2除非得到甲方的书面同意，乙方不得部分分包给他人供应；</w:t>
      </w:r>
    </w:p>
    <w:p>
      <w:pPr>
        <w:widowControl/>
        <w:adjustRightInd w:val="0"/>
        <w:snapToGrid w:val="0"/>
        <w:spacing w:line="440" w:lineRule="exact"/>
        <w:ind w:firstLine="420" w:firstLineChars="200"/>
        <w:contextualSpacing/>
        <w:textAlignment w:val="baseline"/>
        <w:rPr>
          <w:rFonts w:ascii="宋体" w:hAnsi="宋体"/>
          <w:color w:val="000000"/>
          <w:szCs w:val="21"/>
        </w:rPr>
      </w:pPr>
      <w:r>
        <w:rPr>
          <w:rFonts w:hint="eastAsia" w:ascii="宋体" w:hAnsi="宋体"/>
          <w:color w:val="000000"/>
          <w:szCs w:val="21"/>
        </w:rPr>
        <w:t>7.3</w:t>
      </w:r>
      <w:r>
        <w:rPr>
          <w:rFonts w:ascii="宋体" w:hAnsi="宋体"/>
          <w:color w:val="000000"/>
          <w:szCs w:val="21"/>
        </w:rPr>
        <w:t>如有转让和未经甲方同意的分包行为，甲方有权终止合同。</w:t>
      </w:r>
    </w:p>
    <w:p>
      <w:pPr>
        <w:adjustRightInd w:val="0"/>
        <w:snapToGrid w:val="0"/>
        <w:spacing w:line="440" w:lineRule="exact"/>
        <w:ind w:firstLine="422" w:firstLineChars="200"/>
        <w:contextualSpacing/>
        <w:rPr>
          <w:rFonts w:ascii="宋体" w:hAnsi="宋体"/>
          <w:b/>
          <w:bCs/>
          <w:szCs w:val="21"/>
        </w:rPr>
      </w:pPr>
      <w:r>
        <w:rPr>
          <w:rFonts w:ascii="宋体" w:hAnsi="宋体"/>
          <w:b/>
          <w:bCs/>
          <w:szCs w:val="21"/>
        </w:rPr>
        <w:t>8</w:t>
      </w:r>
      <w:r>
        <w:rPr>
          <w:rFonts w:hint="eastAsia" w:ascii="宋体" w:hAnsi="宋体"/>
          <w:b/>
          <w:bCs/>
          <w:szCs w:val="21"/>
        </w:rPr>
        <w:t>.服务期限</w:t>
      </w:r>
    </w:p>
    <w:p>
      <w:pPr>
        <w:adjustRightInd w:val="0"/>
        <w:snapToGrid w:val="0"/>
        <w:spacing w:line="440" w:lineRule="exact"/>
        <w:ind w:firstLine="420" w:firstLineChars="200"/>
        <w:contextualSpacing/>
        <w:rPr>
          <w:rFonts w:ascii="宋体" w:hAnsi="宋体"/>
          <w:szCs w:val="21"/>
        </w:rPr>
      </w:pPr>
      <w:r>
        <w:rPr>
          <w:rFonts w:ascii="宋体" w:hAnsi="宋体"/>
          <w:szCs w:val="21"/>
        </w:rPr>
        <w:t>8.1服务期限：</w:t>
      </w:r>
      <w:r>
        <w:rPr>
          <w:rFonts w:hint="eastAsia" w:ascii="宋体" w:hAnsi="宋体"/>
          <w:szCs w:val="21"/>
          <w:lang w:eastAsia="zh-CN"/>
        </w:rPr>
        <w:t>本项目服务期限为</w:t>
      </w:r>
      <w:r>
        <w:rPr>
          <w:rFonts w:hint="eastAsia" w:ascii="宋体" w:hAnsi="宋体"/>
          <w:szCs w:val="21"/>
          <w:lang w:val="en-US" w:eastAsia="zh-CN"/>
        </w:rPr>
        <w:t>2025年5月19日至2028年5月18日</w:t>
      </w:r>
      <w:r>
        <w:rPr>
          <w:rFonts w:ascii="宋体" w:hAnsi="宋体"/>
          <w:szCs w:val="21"/>
        </w:rPr>
        <w:t>，</w:t>
      </w:r>
      <w:r>
        <w:rPr>
          <w:rFonts w:hint="eastAsia" w:ascii="宋体" w:hAnsi="宋体"/>
          <w:szCs w:val="21"/>
          <w:lang w:eastAsia="zh-CN"/>
        </w:rPr>
        <w:t>本合同服务期限为</w:t>
      </w:r>
      <w:r>
        <w:rPr>
          <w:rFonts w:hint="eastAsia" w:ascii="宋体" w:hAnsi="宋体"/>
          <w:szCs w:val="21"/>
          <w:lang w:val="en-US" w:eastAsia="zh-CN"/>
        </w:rPr>
        <w:t>2025年5月19日至2026年5月18日，</w:t>
      </w:r>
      <w:r>
        <w:rPr>
          <w:rFonts w:ascii="宋体" w:hAnsi="宋体"/>
          <w:szCs w:val="21"/>
        </w:rPr>
        <w:t>合同一年一签。在服务期内</w:t>
      </w:r>
      <w:r>
        <w:rPr>
          <w:rFonts w:hint="eastAsia" w:ascii="宋体" w:hAnsi="宋体"/>
          <w:szCs w:val="21"/>
        </w:rPr>
        <w:t>实行考核评价制度，合同一年期限届满后，经甲方考核合格后可</w:t>
      </w:r>
      <w:r>
        <w:rPr>
          <w:rFonts w:ascii="宋体" w:hAnsi="宋体"/>
          <w:kern w:val="2"/>
          <w:szCs w:val="21"/>
        </w:rPr>
        <w:t>续签下一年度的合同</w:t>
      </w:r>
      <w:r>
        <w:rPr>
          <w:rFonts w:hint="eastAsia" w:ascii="宋体" w:hAnsi="宋体"/>
          <w:szCs w:val="21"/>
        </w:rPr>
        <w:t>。</w:t>
      </w:r>
    </w:p>
    <w:p>
      <w:pPr>
        <w:adjustRightInd w:val="0"/>
        <w:spacing w:line="440" w:lineRule="exact"/>
        <w:ind w:firstLine="420" w:firstLineChars="200"/>
        <w:contextualSpacing/>
        <w:rPr>
          <w:rFonts w:ascii="宋体" w:hAnsi="宋体"/>
          <w:kern w:val="2"/>
          <w:szCs w:val="21"/>
        </w:rPr>
      </w:pPr>
      <w:r>
        <w:rPr>
          <w:rFonts w:ascii="宋体" w:hAnsi="宋体"/>
          <w:kern w:val="2"/>
          <w:szCs w:val="21"/>
        </w:rPr>
        <w:t>8.</w:t>
      </w:r>
      <w:r>
        <w:rPr>
          <w:rFonts w:hint="eastAsia" w:ascii="宋体" w:hAnsi="宋体"/>
          <w:kern w:val="2"/>
          <w:szCs w:val="21"/>
        </w:rPr>
        <w:t>2服务期内甲方按照采购文件的要求、响应文件的响应及甲方的管理规范和相关制度对乙方的服务质量进行考核。半年度考核低于70分视为考核不合格。考核合格，甲方可以与乙方续签合同；考核不合格，甲方有权不再与乙方续签，并重新组织采购。</w:t>
      </w:r>
    </w:p>
    <w:p>
      <w:pPr>
        <w:adjustRightInd w:val="0"/>
        <w:spacing w:line="440" w:lineRule="exact"/>
        <w:ind w:firstLine="420" w:firstLineChars="200"/>
        <w:contextualSpacing/>
        <w:rPr>
          <w:rFonts w:ascii="宋体" w:hAnsi="宋体"/>
          <w:kern w:val="2"/>
          <w:szCs w:val="21"/>
        </w:rPr>
      </w:pPr>
      <w:r>
        <w:rPr>
          <w:rFonts w:hint="eastAsia" w:ascii="宋体" w:hAnsi="宋体"/>
          <w:kern w:val="2"/>
          <w:szCs w:val="21"/>
        </w:rPr>
        <w:t>8.3若甲方因维保模式的变更而提出终止合同的要求，乙方应无条件地配合执行合同终止，</w:t>
      </w:r>
      <w:r>
        <w:rPr>
          <w:rFonts w:ascii="宋体" w:hAnsi="宋体"/>
          <w:kern w:val="2"/>
          <w:szCs w:val="21"/>
        </w:rPr>
        <w:t>并根据合同条款进行实际费用的结算</w:t>
      </w:r>
      <w:r>
        <w:rPr>
          <w:rFonts w:hint="eastAsia" w:ascii="宋体" w:hAnsi="宋体"/>
          <w:kern w:val="2"/>
          <w:szCs w:val="21"/>
        </w:rPr>
        <w:t>。</w:t>
      </w:r>
    </w:p>
    <w:p>
      <w:pPr>
        <w:widowControl/>
        <w:adjustRightInd w:val="0"/>
        <w:snapToGrid w:val="0"/>
        <w:spacing w:line="440" w:lineRule="exact"/>
        <w:ind w:firstLine="422" w:firstLineChars="200"/>
        <w:contextualSpacing/>
        <w:textAlignment w:val="baseline"/>
        <w:rPr>
          <w:rFonts w:ascii="宋体" w:hAnsi="宋体" w:cs="宋体"/>
          <w:b/>
          <w:bCs/>
          <w:szCs w:val="21"/>
        </w:rPr>
      </w:pPr>
      <w:r>
        <w:rPr>
          <w:rFonts w:hint="eastAsia" w:ascii="宋体" w:hAnsi="宋体" w:cs="宋体"/>
          <w:b/>
          <w:bCs/>
          <w:szCs w:val="21"/>
        </w:rPr>
        <w:t>9.服务期、服务方式及服务地点</w:t>
      </w:r>
    </w:p>
    <w:p>
      <w:pPr>
        <w:adjustRightInd w:val="0"/>
        <w:snapToGrid w:val="0"/>
        <w:spacing w:line="440" w:lineRule="exact"/>
        <w:ind w:firstLine="420" w:firstLineChars="200"/>
        <w:contextualSpacing/>
        <w:rPr>
          <w:rFonts w:ascii="宋体" w:hAnsi="宋体"/>
          <w:bCs/>
          <w:szCs w:val="21"/>
          <w:u w:val="single"/>
        </w:rPr>
      </w:pPr>
      <w:r>
        <w:rPr>
          <w:rFonts w:ascii="宋体" w:hAnsi="宋体"/>
          <w:bCs/>
          <w:szCs w:val="21"/>
        </w:rPr>
        <w:t>9.1</w:t>
      </w:r>
      <w:r>
        <w:rPr>
          <w:rFonts w:hint="eastAsia" w:ascii="宋体" w:hAnsi="宋体"/>
          <w:bCs/>
          <w:szCs w:val="21"/>
        </w:rPr>
        <w:t>服务</w:t>
      </w:r>
      <w:r>
        <w:rPr>
          <w:rFonts w:ascii="宋体" w:hAnsi="宋体"/>
          <w:bCs/>
          <w:szCs w:val="21"/>
        </w:rPr>
        <w:t>期：</w:t>
      </w:r>
      <w:r>
        <w:rPr>
          <w:rFonts w:hint="eastAsia" w:ascii="宋体" w:hAnsi="宋体"/>
          <w:bCs/>
          <w:szCs w:val="21"/>
          <w:u w:val="single"/>
        </w:rPr>
        <w:t>合同签订后三年</w:t>
      </w:r>
      <w:r>
        <w:rPr>
          <w:rFonts w:hint="eastAsia" w:ascii="宋体" w:hAnsi="宋体"/>
          <w:bCs/>
          <w:szCs w:val="21"/>
        </w:rPr>
        <w:t>。</w:t>
      </w:r>
    </w:p>
    <w:p>
      <w:pPr>
        <w:adjustRightInd w:val="0"/>
        <w:snapToGrid w:val="0"/>
        <w:spacing w:line="440" w:lineRule="exact"/>
        <w:ind w:firstLine="420" w:firstLineChars="200"/>
        <w:contextualSpacing/>
        <w:rPr>
          <w:rFonts w:ascii="宋体" w:hAnsi="宋体"/>
          <w:bCs/>
          <w:szCs w:val="21"/>
        </w:rPr>
      </w:pPr>
      <w:r>
        <w:rPr>
          <w:rFonts w:ascii="宋体" w:hAnsi="宋体"/>
          <w:bCs/>
          <w:szCs w:val="21"/>
        </w:rPr>
        <w:t>9.2</w:t>
      </w:r>
      <w:r>
        <w:rPr>
          <w:rFonts w:hint="eastAsia" w:ascii="宋体" w:hAnsi="宋体"/>
          <w:bCs/>
          <w:szCs w:val="21"/>
        </w:rPr>
        <w:t>服务</w:t>
      </w:r>
      <w:r>
        <w:rPr>
          <w:rFonts w:ascii="宋体" w:hAnsi="宋体"/>
          <w:bCs/>
          <w:szCs w:val="21"/>
        </w:rPr>
        <w:t>方式：</w:t>
      </w:r>
      <w:r>
        <w:rPr>
          <w:rFonts w:hint="eastAsia" w:ascii="宋体" w:hAnsi="宋体"/>
          <w:bCs/>
          <w:szCs w:val="21"/>
          <w:u w:val="single"/>
        </w:rPr>
        <w:t>现场交付</w:t>
      </w:r>
      <w:r>
        <w:rPr>
          <w:rFonts w:hint="eastAsia" w:ascii="宋体" w:hAnsi="宋体"/>
          <w:bCs/>
          <w:szCs w:val="21"/>
        </w:rPr>
        <w:t>。</w:t>
      </w:r>
    </w:p>
    <w:p>
      <w:pPr>
        <w:adjustRightInd w:val="0"/>
        <w:snapToGrid w:val="0"/>
        <w:spacing w:line="440" w:lineRule="exact"/>
        <w:ind w:firstLine="420" w:firstLineChars="200"/>
        <w:contextualSpacing/>
        <w:rPr>
          <w:rFonts w:ascii="宋体" w:hAnsi="宋体"/>
          <w:szCs w:val="21"/>
        </w:rPr>
      </w:pPr>
      <w:r>
        <w:rPr>
          <w:rFonts w:ascii="宋体" w:hAnsi="宋体"/>
          <w:bCs/>
          <w:szCs w:val="21"/>
        </w:rPr>
        <w:t>9.3</w:t>
      </w:r>
      <w:r>
        <w:rPr>
          <w:rFonts w:hint="eastAsia" w:ascii="宋体" w:hAnsi="宋体"/>
          <w:bCs/>
          <w:szCs w:val="21"/>
        </w:rPr>
        <w:t>服务</w:t>
      </w:r>
      <w:r>
        <w:rPr>
          <w:rFonts w:ascii="宋体" w:hAnsi="宋体"/>
          <w:bCs/>
          <w:szCs w:val="21"/>
        </w:rPr>
        <w:t>地点：</w:t>
      </w:r>
      <w:r>
        <w:rPr>
          <w:rFonts w:hint="eastAsia" w:ascii="宋体" w:hAnsi="宋体"/>
          <w:bCs/>
          <w:szCs w:val="21"/>
          <w:u w:val="single"/>
        </w:rPr>
        <w:t>甲方指定地点</w:t>
      </w:r>
      <w:r>
        <w:rPr>
          <w:rFonts w:hint="eastAsia" w:ascii="宋体" w:hAnsi="宋体"/>
          <w:bCs/>
          <w:szCs w:val="21"/>
        </w:rPr>
        <w:t>。</w:t>
      </w:r>
    </w:p>
    <w:p>
      <w:pPr>
        <w:adjustRightInd w:val="0"/>
        <w:snapToGrid w:val="0"/>
        <w:spacing w:line="440" w:lineRule="exact"/>
        <w:ind w:firstLine="422" w:firstLineChars="200"/>
        <w:contextualSpacing/>
        <w:rPr>
          <w:rFonts w:ascii="宋体" w:hAnsi="宋体" w:cs="宋体"/>
          <w:b/>
          <w:bCs/>
          <w:szCs w:val="21"/>
        </w:rPr>
      </w:pPr>
      <w:r>
        <w:rPr>
          <w:rFonts w:hint="eastAsia" w:ascii="宋体" w:hAnsi="宋体" w:cs="宋体"/>
          <w:b/>
          <w:bCs/>
          <w:szCs w:val="21"/>
        </w:rPr>
        <w:t>10.货款支付</w:t>
      </w:r>
    </w:p>
    <w:p>
      <w:pPr>
        <w:adjustRightInd w:val="0"/>
        <w:snapToGrid w:val="0"/>
        <w:spacing w:line="440" w:lineRule="exact"/>
        <w:ind w:firstLine="420" w:firstLineChars="200"/>
        <w:contextualSpacing/>
        <w:rPr>
          <w:rFonts w:ascii="宋体" w:hAnsi="宋体" w:cs="宋体"/>
          <w:szCs w:val="21"/>
        </w:rPr>
      </w:pPr>
      <w:r>
        <w:rPr>
          <w:rFonts w:hint="eastAsia" w:ascii="宋体" w:hAnsi="宋体" w:cs="宋体"/>
          <w:szCs w:val="21"/>
        </w:rPr>
        <w:t xml:space="preserve">10.1本合同项下所有款项均以人民币支付。 </w:t>
      </w:r>
    </w:p>
    <w:p>
      <w:pPr>
        <w:adjustRightInd w:val="0"/>
        <w:snapToGrid w:val="0"/>
        <w:spacing w:line="440" w:lineRule="exact"/>
        <w:ind w:firstLine="420" w:firstLineChars="200"/>
        <w:contextualSpacing/>
        <w:rPr>
          <w:rFonts w:ascii="宋体" w:hAnsi="宋体" w:cs="宋体"/>
          <w:bCs/>
          <w:szCs w:val="21"/>
        </w:rPr>
      </w:pPr>
      <w:r>
        <w:rPr>
          <w:rFonts w:hint="eastAsia" w:ascii="宋体" w:hAnsi="宋体" w:cs="宋体"/>
          <w:szCs w:val="21"/>
        </w:rPr>
        <w:t>10.2本合同项下的采购资金由甲方支付，付款前乙方开具正规增值税发票等材料向甲方办理付款手续，甲方凭手续齐全的票据按10.3条款的付款方式向</w:t>
      </w:r>
      <w:r>
        <w:rPr>
          <w:rFonts w:hint="eastAsia" w:ascii="宋体" w:hAnsi="宋体"/>
          <w:szCs w:val="21"/>
        </w:rPr>
        <w:t>乙方付款，</w:t>
      </w:r>
      <w:r>
        <w:rPr>
          <w:rFonts w:hint="eastAsia" w:ascii="宋体" w:hAnsi="宋体" w:cs="宋体"/>
          <w:bCs/>
          <w:szCs w:val="21"/>
        </w:rPr>
        <w:t>均不计息。</w:t>
      </w:r>
    </w:p>
    <w:p>
      <w:pPr>
        <w:adjustRightInd w:val="0"/>
        <w:snapToGrid w:val="0"/>
        <w:spacing w:line="440" w:lineRule="exact"/>
        <w:ind w:firstLine="420" w:firstLineChars="200"/>
        <w:contextualSpacing/>
        <w:rPr>
          <w:rFonts w:ascii="宋体" w:hAnsi="宋体" w:cs="宋体"/>
          <w:szCs w:val="21"/>
        </w:rPr>
      </w:pPr>
      <w:r>
        <w:rPr>
          <w:rFonts w:hint="eastAsia" w:ascii="宋体" w:hAnsi="宋体" w:cs="宋体"/>
          <w:szCs w:val="21"/>
        </w:rPr>
        <w:t>10.3付款方式：</w:t>
      </w:r>
    </w:p>
    <w:p>
      <w:pPr>
        <w:widowControl/>
        <w:adjustRightInd w:val="0"/>
        <w:snapToGrid w:val="0"/>
        <w:spacing w:line="440" w:lineRule="exact"/>
        <w:ind w:firstLine="420" w:firstLineChars="200"/>
        <w:contextualSpacing/>
        <w:textAlignment w:val="baseline"/>
        <w:rPr>
          <w:rFonts w:ascii="宋体" w:hAnsi="宋体" w:cs="宋体"/>
          <w:szCs w:val="21"/>
        </w:rPr>
      </w:pPr>
      <w:r>
        <w:rPr>
          <w:rFonts w:hint="eastAsia" w:ascii="宋体" w:hAnsi="宋体" w:cs="宋体"/>
          <w:szCs w:val="21"/>
        </w:rPr>
        <w:t>10.3.1维修保养费用支付周期</w:t>
      </w:r>
    </w:p>
    <w:p>
      <w:pPr>
        <w:widowControl/>
        <w:adjustRightInd w:val="0"/>
        <w:snapToGrid w:val="0"/>
        <w:spacing w:line="440" w:lineRule="exact"/>
        <w:ind w:firstLine="420" w:firstLineChars="200"/>
        <w:contextualSpacing/>
        <w:textAlignment w:val="baseline"/>
        <w:rPr>
          <w:rFonts w:ascii="宋体" w:hAnsi="宋体" w:cs="宋体"/>
          <w:szCs w:val="21"/>
        </w:rPr>
      </w:pPr>
      <w:r>
        <w:rPr>
          <w:rFonts w:hint="eastAsia" w:ascii="宋体" w:hAnsi="宋体" w:cs="宋体"/>
          <w:szCs w:val="21"/>
        </w:rPr>
        <w:t>甲方应按照本合同约定，每半年向乙方支付一次实际发生的维修保养费用，支付金额为应付款的50%（以下简称"合同应付款"）。付款时间为每半年届满后的1个月内，乙方应出具税务部门认可的正式发票。（以上付款均不计利息）</w:t>
      </w:r>
    </w:p>
    <w:p>
      <w:pPr>
        <w:widowControl/>
        <w:adjustRightInd w:val="0"/>
        <w:snapToGrid w:val="0"/>
        <w:spacing w:line="440" w:lineRule="exact"/>
        <w:ind w:firstLine="420" w:firstLineChars="200"/>
        <w:contextualSpacing/>
        <w:textAlignment w:val="baseline"/>
        <w:rPr>
          <w:rFonts w:ascii="宋体" w:hAnsi="宋体" w:cs="宋体"/>
          <w:szCs w:val="21"/>
        </w:rPr>
      </w:pPr>
      <w:r>
        <w:rPr>
          <w:rFonts w:hint="eastAsia" w:ascii="宋体" w:hAnsi="宋体" w:cs="宋体"/>
          <w:szCs w:val="21"/>
        </w:rPr>
        <w:t>10.3.2考核评价与扣款机制</w:t>
      </w:r>
    </w:p>
    <w:p>
      <w:pPr>
        <w:adjustRightInd w:val="0"/>
        <w:snapToGrid w:val="0"/>
        <w:spacing w:line="440" w:lineRule="exact"/>
        <w:ind w:firstLine="420" w:firstLineChars="200"/>
        <w:rPr>
          <w:rFonts w:ascii="宋体" w:hAnsi="宋体" w:cs="宋体"/>
          <w:szCs w:val="21"/>
          <w:shd w:val="clear" w:color="auto" w:fill="FFFFFF"/>
        </w:rPr>
      </w:pPr>
      <w:r>
        <w:rPr>
          <w:rFonts w:hint="eastAsia" w:ascii="宋体" w:hAnsi="宋体"/>
          <w:szCs w:val="21"/>
        </w:rPr>
        <w:t>甲方对乙方的服务实行考核评价制度。考核分为日常管理考核与半年度考核。</w:t>
      </w:r>
      <w:r>
        <w:rPr>
          <w:rFonts w:hint="eastAsia" w:ascii="宋体" w:hAnsi="宋体" w:cs="宋体"/>
          <w:szCs w:val="21"/>
          <w:shd w:val="clear" w:color="auto" w:fill="FFFFFF"/>
        </w:rPr>
        <w:t>每半年实际付款金额按以下公式计算：</w:t>
      </w:r>
    </w:p>
    <w:p>
      <w:pPr>
        <w:adjustRightInd w:val="0"/>
        <w:snapToGrid w:val="0"/>
        <w:spacing w:line="440" w:lineRule="exact"/>
        <w:ind w:firstLine="422" w:firstLineChars="200"/>
        <w:rPr>
          <w:rFonts w:ascii="宋体" w:hAnsi="宋体"/>
          <w:szCs w:val="21"/>
        </w:rPr>
      </w:pPr>
      <w:r>
        <w:rPr>
          <w:rFonts w:hint="eastAsia" w:ascii="宋体" w:hAnsi="宋体"/>
          <w:b/>
          <w:bCs/>
          <w:szCs w:val="21"/>
        </w:rPr>
        <w:t>实际付款金额 = 合同应付款 － 半年度考核扣款 － 日常管理考核扣款</w:t>
      </w:r>
    </w:p>
    <w:p>
      <w:pPr>
        <w:widowControl/>
        <w:adjustRightInd w:val="0"/>
        <w:snapToGrid w:val="0"/>
        <w:spacing w:line="440" w:lineRule="exact"/>
        <w:ind w:firstLine="420" w:firstLineChars="200"/>
        <w:contextualSpacing/>
        <w:textAlignment w:val="baseline"/>
        <w:rPr>
          <w:rFonts w:ascii="宋体" w:hAnsi="宋体" w:cs="宋体"/>
          <w:szCs w:val="21"/>
          <w:shd w:val="clear" w:color="auto" w:fill="FFFFFF"/>
        </w:rPr>
      </w:pPr>
      <w:r>
        <w:rPr>
          <w:rFonts w:hint="eastAsia" w:ascii="宋体" w:hAnsi="宋体" w:cs="宋体"/>
          <w:szCs w:val="21"/>
          <w:shd w:val="clear" w:color="auto" w:fill="FFFFFF"/>
        </w:rPr>
        <w:t>其中：</w:t>
      </w:r>
      <w:r>
        <w:rPr>
          <w:rFonts w:hint="eastAsia" w:ascii="宋体" w:hAnsi="宋体" w:cs="宋体"/>
          <w:b/>
          <w:bCs/>
          <w:szCs w:val="21"/>
          <w:shd w:val="clear" w:color="auto" w:fill="FFFFFF"/>
        </w:rPr>
        <w:t>半年度考核扣款 = 合同应付款 × 半年度考核扣款比例；</w:t>
      </w:r>
    </w:p>
    <w:p>
      <w:pPr>
        <w:widowControl/>
        <w:adjustRightInd w:val="0"/>
        <w:snapToGrid w:val="0"/>
        <w:spacing w:line="440" w:lineRule="exact"/>
        <w:ind w:firstLine="422" w:firstLineChars="200"/>
        <w:contextualSpacing/>
        <w:textAlignment w:val="baseline"/>
        <w:rPr>
          <w:rFonts w:ascii="宋体" w:hAnsi="宋体" w:cs="宋体"/>
          <w:szCs w:val="21"/>
          <w:shd w:val="clear" w:color="auto" w:fill="FFFFFF"/>
        </w:rPr>
      </w:pPr>
      <w:r>
        <w:rPr>
          <w:rFonts w:hint="eastAsia" w:ascii="宋体" w:hAnsi="宋体" w:cs="宋体"/>
          <w:b/>
          <w:bCs/>
          <w:szCs w:val="21"/>
          <w:shd w:val="clear" w:color="auto" w:fill="FFFFFF"/>
        </w:rPr>
        <w:t>日常管理考核扣款为当期累计已发生扣款总额。</w:t>
      </w:r>
    </w:p>
    <w:p>
      <w:pPr>
        <w:widowControl/>
        <w:adjustRightInd w:val="0"/>
        <w:snapToGrid w:val="0"/>
        <w:spacing w:line="440" w:lineRule="exact"/>
        <w:ind w:firstLine="420" w:firstLineChars="200"/>
        <w:contextualSpacing/>
        <w:textAlignment w:val="baseline"/>
        <w:rPr>
          <w:rFonts w:ascii="宋体" w:hAnsi="宋体" w:cs="宋体"/>
          <w:szCs w:val="21"/>
        </w:rPr>
      </w:pPr>
      <w:r>
        <w:rPr>
          <w:rFonts w:hint="eastAsia" w:ascii="宋体" w:hAnsi="宋体" w:cs="宋体"/>
          <w:szCs w:val="21"/>
        </w:rPr>
        <w:t>10.4如乙方对服务缺陷不予更正，甲方有权另请其他单位更正，所发生的费用由乙方承担。</w:t>
      </w:r>
    </w:p>
    <w:p>
      <w:pPr>
        <w:widowControl/>
        <w:adjustRightInd w:val="0"/>
        <w:snapToGrid w:val="0"/>
        <w:spacing w:line="440" w:lineRule="exact"/>
        <w:ind w:firstLine="420" w:firstLineChars="200"/>
        <w:contextualSpacing/>
        <w:textAlignment w:val="baseline"/>
        <w:rPr>
          <w:rFonts w:ascii="宋体" w:hAnsi="宋体" w:cs="宋体"/>
          <w:szCs w:val="21"/>
        </w:rPr>
      </w:pPr>
      <w:r>
        <w:rPr>
          <w:rFonts w:hint="eastAsia" w:ascii="宋体" w:hAnsi="宋体" w:cs="宋体"/>
          <w:szCs w:val="21"/>
        </w:rPr>
        <w:t>10.5</w:t>
      </w:r>
      <w:r>
        <w:rPr>
          <w:rFonts w:hint="eastAsia" w:ascii="宋体" w:hAnsi="宋体"/>
          <w:kern w:val="2"/>
          <w:szCs w:val="21"/>
        </w:rPr>
        <w:t>若甲方因维保模式的变更而提出终止合同的要求，乙方应无条件地配合执行合同终止，</w:t>
      </w:r>
      <w:r>
        <w:rPr>
          <w:rFonts w:ascii="宋体" w:hAnsi="宋体"/>
          <w:kern w:val="2"/>
          <w:szCs w:val="21"/>
        </w:rPr>
        <w:t>并根据合同条款进行实际费用的结算</w:t>
      </w:r>
      <w:r>
        <w:rPr>
          <w:rFonts w:hint="eastAsia" w:ascii="宋体" w:hAnsi="宋体"/>
          <w:kern w:val="2"/>
          <w:szCs w:val="21"/>
        </w:rPr>
        <w:t>。</w:t>
      </w:r>
    </w:p>
    <w:p>
      <w:pPr>
        <w:widowControl/>
        <w:adjustRightInd w:val="0"/>
        <w:snapToGrid w:val="0"/>
        <w:spacing w:line="440" w:lineRule="exact"/>
        <w:ind w:firstLine="422" w:firstLineChars="200"/>
        <w:contextualSpacing/>
        <w:textAlignment w:val="baseline"/>
        <w:rPr>
          <w:rFonts w:ascii="宋体" w:hAnsi="宋体" w:cs="宋体"/>
          <w:b/>
          <w:bCs/>
          <w:szCs w:val="21"/>
        </w:rPr>
      </w:pPr>
      <w:r>
        <w:rPr>
          <w:rFonts w:hint="eastAsia" w:ascii="宋体" w:hAnsi="宋体" w:cs="宋体"/>
          <w:b/>
          <w:bCs/>
          <w:szCs w:val="21"/>
        </w:rPr>
        <w:t>11.税费</w:t>
      </w:r>
    </w:p>
    <w:p>
      <w:pPr>
        <w:widowControl/>
        <w:adjustRightInd w:val="0"/>
        <w:snapToGrid w:val="0"/>
        <w:spacing w:line="440" w:lineRule="exact"/>
        <w:ind w:firstLine="420" w:firstLineChars="200"/>
        <w:contextualSpacing/>
        <w:textAlignment w:val="baseline"/>
        <w:rPr>
          <w:rFonts w:ascii="宋体" w:hAnsi="宋体" w:cs="宋体"/>
          <w:szCs w:val="21"/>
        </w:rPr>
      </w:pPr>
      <w:r>
        <w:rPr>
          <w:rFonts w:hint="eastAsia" w:ascii="宋体" w:hAnsi="宋体" w:cs="宋体"/>
          <w:szCs w:val="21"/>
        </w:rPr>
        <w:t>本合同执行中相关的一切税费均由乙方负担。</w:t>
      </w:r>
    </w:p>
    <w:p>
      <w:pPr>
        <w:adjustRightInd w:val="0"/>
        <w:snapToGrid w:val="0"/>
        <w:spacing w:line="440" w:lineRule="exact"/>
        <w:ind w:firstLine="422" w:firstLineChars="200"/>
        <w:contextualSpacing/>
        <w:rPr>
          <w:rFonts w:ascii="宋体" w:hAnsi="宋体"/>
          <w:b/>
          <w:bCs/>
          <w:szCs w:val="21"/>
        </w:rPr>
      </w:pPr>
      <w:r>
        <w:rPr>
          <w:rFonts w:ascii="宋体" w:hAnsi="宋体"/>
          <w:b/>
          <w:bCs/>
          <w:szCs w:val="21"/>
        </w:rPr>
        <w:t>12</w:t>
      </w:r>
      <w:r>
        <w:rPr>
          <w:rFonts w:hint="eastAsia" w:ascii="宋体" w:hAnsi="宋体"/>
          <w:b/>
          <w:bCs/>
          <w:szCs w:val="21"/>
        </w:rPr>
        <w:t>.服务内容及标准要求</w:t>
      </w:r>
    </w:p>
    <w:p>
      <w:pPr>
        <w:adjustRightInd w:val="0"/>
        <w:snapToGrid w:val="0"/>
        <w:spacing w:line="440" w:lineRule="exact"/>
        <w:ind w:firstLine="422" w:firstLineChars="200"/>
        <w:contextualSpacing/>
        <w:rPr>
          <w:rFonts w:ascii="宋体" w:hAnsi="宋体"/>
          <w:b/>
          <w:bCs/>
          <w:szCs w:val="21"/>
        </w:rPr>
      </w:pPr>
      <w:r>
        <w:rPr>
          <w:rFonts w:hint="eastAsia" w:ascii="宋体" w:hAnsi="宋体"/>
          <w:b/>
          <w:bCs/>
          <w:szCs w:val="21"/>
        </w:rPr>
        <w:t>12.1项目服务标准</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12.1.1按照国家和特种设备相关规定（如新规定颁布按新规定执行），乙方须指派专业技术人员每月不少于二次利用电梯使用空闲时段（每天晚间，每周日下午）进行调整、检查、润滑、清洁、消除运行隐患等维护保养工作，以保证电梯正常安全工作，维保人员在维保过程中不得擅自改动电梯维保范围内的任何密码、协议等，每次维保须主动请甲方有关人员参与。</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12.1.2乙方必须提供24小时驻点服务及24小时应急响应免费电话。东西区分别至少派驻1名及以上持有《特种设备作业人员证》（T证）的电梯维修保养固定人员常驻甲方处。电梯维修保养固定人员未经甲方同意不得随意更换，否则甲方有权终止合同。</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12.1.3乙方需派专业技术人员对每台电梯按照TSG5002-2017要求进行全面检查（须在合同生效后一周内完成），出具每台电梯的检测报告，并由双方确认保养记录。此后，严格按照保养周期（半月保、季度保、半年保、年度保）在约定时间内对电梯进行日常维修保养工作，并免费提供例行保养所需之棉纱、润滑油和润滑脂等所有辅材以及维修时的电梯原厂零部件。</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12.1.4乙方负责按TSG T5002-2017《电梯维护保养规则》和《医疗和疾控机构后勤安全生产工作管理指南》相关要求进行维保和管理，相关日常维护保养项目（内容）和要求见附表《电梯日常维护保养项目（内容）和要求摘录》，保养需符合行业最新安全运行标准。</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12.1.5乙方对其维保电梯的安全性能负责。对承担维保的电梯是否符合安全技术规范要求应当进行确认，维保后的电梯应当符合相应的安全技术规范，并且处于正常的运行状态。</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12.1.6维保人员须持证上岗，严格按技术操作规程进行。</w:t>
      </w:r>
    </w:p>
    <w:p>
      <w:pPr>
        <w:adjustRightInd w:val="0"/>
        <w:snapToGrid w:val="0"/>
        <w:spacing w:line="440" w:lineRule="exact"/>
        <w:ind w:firstLine="420" w:firstLineChars="200"/>
        <w:contextualSpacing/>
        <w:rPr>
          <w:rFonts w:ascii="宋体" w:hAnsi="宋体"/>
          <w:szCs w:val="21"/>
          <w:lang w:val="zh-CN"/>
        </w:rPr>
      </w:pPr>
      <w:r>
        <w:rPr>
          <w:rFonts w:hint="eastAsia" w:ascii="宋体" w:hAnsi="宋体"/>
          <w:szCs w:val="21"/>
        </w:rPr>
        <w:t>12.1.7</w:t>
      </w:r>
      <w:r>
        <w:rPr>
          <w:rFonts w:hint="eastAsia" w:ascii="宋体" w:hAnsi="宋体"/>
          <w:szCs w:val="21"/>
          <w:lang w:val="zh-CN"/>
        </w:rPr>
        <w:t>维保施工过程中，必须设置必要的防护和警示标志。高空施工必需配戴安帽及安全带。因维保施工发生任何安生意外事故与</w:t>
      </w:r>
      <w:r>
        <w:rPr>
          <w:rFonts w:hint="eastAsia" w:ascii="宋体" w:hAnsi="宋体"/>
          <w:szCs w:val="21"/>
        </w:rPr>
        <w:t>甲方</w:t>
      </w:r>
      <w:r>
        <w:rPr>
          <w:rFonts w:hint="eastAsia" w:ascii="宋体" w:hAnsi="宋体"/>
          <w:szCs w:val="21"/>
          <w:lang w:val="zh-CN"/>
        </w:rPr>
        <w:t>无关，但维保施工中违规造成</w:t>
      </w:r>
      <w:r>
        <w:rPr>
          <w:rFonts w:hint="eastAsia" w:ascii="宋体" w:hAnsi="宋体"/>
          <w:szCs w:val="21"/>
        </w:rPr>
        <w:t>甲方</w:t>
      </w:r>
      <w:r>
        <w:rPr>
          <w:rFonts w:hint="eastAsia" w:ascii="宋体" w:hAnsi="宋体"/>
          <w:szCs w:val="21"/>
          <w:lang w:val="zh-CN"/>
        </w:rPr>
        <w:t>相关工作人员的人身和财产损害和损失的，将由乙方承担一切经济和法律责任。</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12.1.8乙方保证和负责甲方项目内设备通过年检并取得新一年度的《电梯准用证》。（检测通过检测费用由甲方承担，如不通过乙方负责整改并支付检测费用，由此造成的后果与损失乙方承担）。</w:t>
      </w:r>
    </w:p>
    <w:p>
      <w:pPr>
        <w:adjustRightInd w:val="0"/>
        <w:snapToGrid w:val="0"/>
        <w:spacing w:line="440" w:lineRule="exact"/>
        <w:ind w:firstLine="420" w:firstLineChars="200"/>
        <w:contextualSpacing/>
        <w:rPr>
          <w:rFonts w:ascii="宋体" w:hAnsi="宋体"/>
          <w:szCs w:val="21"/>
          <w:lang w:val="zh-CN"/>
        </w:rPr>
      </w:pPr>
      <w:r>
        <w:rPr>
          <w:rFonts w:hint="eastAsia" w:ascii="宋体" w:hAnsi="宋体"/>
          <w:szCs w:val="21"/>
        </w:rPr>
        <w:t>12.1.9在维保过程中如发现需更换零部件</w:t>
      </w:r>
      <w:r>
        <w:rPr>
          <w:rFonts w:hint="eastAsia" w:ascii="宋体" w:hAnsi="宋体"/>
          <w:szCs w:val="21"/>
          <w:lang w:val="zh-CN"/>
        </w:rPr>
        <w:t>，费用由维保方承担。乙方应及时通知招标方，提供的更换部件</w:t>
      </w:r>
      <w:r>
        <w:rPr>
          <w:rFonts w:hint="eastAsia" w:ascii="宋体" w:hAnsi="宋体"/>
          <w:szCs w:val="21"/>
        </w:rPr>
        <w:t>（原厂原品牌、型号配件）和维修方案</w:t>
      </w:r>
      <w:r>
        <w:rPr>
          <w:rFonts w:hint="eastAsia" w:ascii="宋体" w:hAnsi="宋体"/>
          <w:szCs w:val="21"/>
          <w:lang w:val="zh-CN"/>
        </w:rPr>
        <w:t>待招标方认可后方可实施。</w:t>
      </w:r>
    </w:p>
    <w:p>
      <w:pPr>
        <w:adjustRightInd w:val="0"/>
        <w:snapToGrid w:val="0"/>
        <w:spacing w:line="440" w:lineRule="exact"/>
        <w:ind w:firstLine="422" w:firstLineChars="200"/>
        <w:contextualSpacing/>
        <w:rPr>
          <w:rFonts w:ascii="宋体" w:hAnsi="宋体"/>
          <w:szCs w:val="21"/>
        </w:rPr>
      </w:pPr>
      <w:r>
        <w:rPr>
          <w:rFonts w:hint="eastAsia" w:ascii="宋体" w:hAnsi="宋体"/>
          <w:b/>
          <w:bCs/>
          <w:szCs w:val="21"/>
        </w:rPr>
        <w:t>12.2电梯维保的具体服务要求</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12.2.1乙方须按照政府法规和相关技术要求对电梯进行常规检查和例行保养，保养包括但不限于以下部件：安全部件、机房、轿厢、井道、底坑、曳引钢丝绳或曳引钢带、补偿钢丝绳、补偿链、限速器钢丝绳、曳引绳头组合、轿厢围壁、包括固定或可移动的面板、门面板、轿门扇、吊顶、轿厢照明、厅门扇、门框及地坎；与电梯相关的其它部件。</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12.2.2乙方维保应保留现行的工程线路，不得随意改动。</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12.2.3乙方免费提供例行保养所需之棉纱、润滑油和润滑脂等各种辅材。</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12.2.4乙方应承担因乙方原因引起电梯不能正常运行所造成的一切损失。</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12.2.</w:t>
      </w:r>
      <w:r>
        <w:rPr>
          <w:rFonts w:ascii="宋体" w:hAnsi="宋体"/>
          <w:szCs w:val="21"/>
        </w:rPr>
        <w:t>5</w:t>
      </w:r>
      <w:r>
        <w:rPr>
          <w:rFonts w:hint="eastAsia" w:ascii="宋体" w:hAnsi="宋体"/>
          <w:szCs w:val="21"/>
        </w:rPr>
        <w:t>乙方须对所维保的电梯进行每年不少于一次的全面电梯质量安全检查，检查结束应在一周内向甲方提供详细检查报告书一份。</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12.2.</w:t>
      </w:r>
      <w:r>
        <w:rPr>
          <w:rFonts w:ascii="宋体" w:hAnsi="宋体"/>
          <w:szCs w:val="21"/>
        </w:rPr>
        <w:t>6</w:t>
      </w:r>
      <w:r>
        <w:rPr>
          <w:rFonts w:hint="eastAsia" w:ascii="宋体" w:hAnsi="宋体"/>
          <w:szCs w:val="21"/>
        </w:rPr>
        <w:t>乙方按照电梯档案管理制度和电梯安全管理规章制度，制定巡检例行保养表，定期保养表，维保记录，把每一次维保起止时间，主要内容，更换主要配件，故障原因等记录在案，并由检修负责人和甲方电梯管理人员签章，并做好技监局检测检验记录及整改、中修、大修记录。乙方的电梯档案要做到一梯一档、记录完整、随时备查。</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12.2.</w:t>
      </w:r>
      <w:r>
        <w:rPr>
          <w:rFonts w:ascii="宋体" w:hAnsi="宋体"/>
          <w:szCs w:val="21"/>
        </w:rPr>
        <w:t>7</w:t>
      </w:r>
      <w:r>
        <w:rPr>
          <w:rFonts w:hint="eastAsia" w:ascii="宋体" w:hAnsi="宋体"/>
          <w:szCs w:val="21"/>
        </w:rPr>
        <w:t>乙方须按照国家及行业标准对电梯进行常规检查、维修和例行保养，检查、维修、保养内容包括但不限于以下内容，保养要求如下：</w:t>
      </w:r>
    </w:p>
    <w:p>
      <w:pPr>
        <w:adjustRightInd w:val="0"/>
        <w:snapToGrid w:val="0"/>
        <w:spacing w:line="440" w:lineRule="exact"/>
        <w:ind w:firstLine="420" w:firstLineChars="200"/>
        <w:contextualSpacing/>
        <w:rPr>
          <w:rFonts w:ascii="宋体" w:hAnsi="宋体"/>
          <w:szCs w:val="21"/>
        </w:rPr>
      </w:pPr>
      <w:r>
        <w:rPr>
          <w:rFonts w:ascii="宋体" w:hAnsi="宋体"/>
          <w:szCs w:val="21"/>
        </w:rPr>
        <w:t>a</w:t>
      </w:r>
      <w:r>
        <w:rPr>
          <w:rFonts w:hint="eastAsia" w:ascii="宋体" w:hAnsi="宋体"/>
          <w:szCs w:val="21"/>
        </w:rPr>
        <w:t>安全部件：如制动器各销轴部位、制动器间隙、限速器各销轴部位、轿顶检修和急停开关、轿厢检修和急停开关、轿门安全装置（安全触板，光幕、光电等）、轿门门锁电气触点、层门门锁电气触点、底坑急停开关、制动衬、验证轿门关闭的电气安全装置、限速器轮槽、限速器涨紧轮装置和电气安全装置、制动器上检测开关、上下极限开关、制动器铁芯（柱塞）、制动器制动弹簧压缩量、限速器安全钳联动、上行超速保护装置、轿厢称重装置、安全钳钳座等安全部件的检查、调整、清洁、润滑和更换。</w:t>
      </w:r>
    </w:p>
    <w:p>
      <w:pPr>
        <w:adjustRightInd w:val="0"/>
        <w:snapToGrid w:val="0"/>
        <w:spacing w:line="440" w:lineRule="exact"/>
        <w:ind w:firstLine="420" w:firstLineChars="200"/>
        <w:contextualSpacing/>
        <w:rPr>
          <w:rFonts w:ascii="宋体" w:hAnsi="宋体"/>
          <w:szCs w:val="21"/>
        </w:rPr>
      </w:pPr>
      <w:r>
        <w:rPr>
          <w:rFonts w:ascii="宋体" w:hAnsi="宋体"/>
          <w:szCs w:val="21"/>
        </w:rPr>
        <w:t>b</w:t>
      </w:r>
      <w:r>
        <w:rPr>
          <w:rFonts w:hint="eastAsia" w:ascii="宋体" w:hAnsi="宋体"/>
          <w:szCs w:val="21"/>
        </w:rPr>
        <w:t>机房：如机房滑轮间环境、手动紧急操作装置、编码器、曳引轮槽、电动机与减速机联轴器螺栓、曳引轮和导向轮轴承部、控制柜内各接线端子、控制柜各仪表、减速机内齿轮油、控制柜接触器和继电器触点、导电回路绝缘性等机房部件的检查、调整、清洁、润滑和更换。</w:t>
      </w:r>
    </w:p>
    <w:p>
      <w:pPr>
        <w:adjustRightInd w:val="0"/>
        <w:snapToGrid w:val="0"/>
        <w:spacing w:line="440" w:lineRule="exact"/>
        <w:ind w:firstLine="420" w:firstLineChars="200"/>
        <w:contextualSpacing/>
        <w:rPr>
          <w:rFonts w:ascii="宋体" w:hAnsi="宋体"/>
          <w:szCs w:val="21"/>
        </w:rPr>
      </w:pPr>
      <w:r>
        <w:rPr>
          <w:rFonts w:ascii="宋体" w:hAnsi="宋体"/>
          <w:szCs w:val="21"/>
        </w:rPr>
        <w:t>c</w:t>
      </w:r>
      <w:r>
        <w:rPr>
          <w:rFonts w:hint="eastAsia" w:ascii="宋体" w:hAnsi="宋体"/>
          <w:szCs w:val="21"/>
        </w:rPr>
        <w:t>轿厢：轿顶环境、导靴上油杯、轿厢风扇、应急照明、轿内报警装置、对讲系统、轿内显示、指令按钮、轿门在开启和关闭时的状况、轿厢平层精度、位置脉冲发生器、导靴靴衬或滚轮、各反绳轮轴承部、轿顶和轿厢架和轿门及其附件安装螺栓、轿底各安装螺栓等轿厢部件的检查、调整、清洁、润滑和更换。</w:t>
      </w:r>
    </w:p>
    <w:p>
      <w:pPr>
        <w:adjustRightInd w:val="0"/>
        <w:snapToGrid w:val="0"/>
        <w:spacing w:line="440" w:lineRule="exact"/>
        <w:ind w:firstLine="420" w:firstLineChars="200"/>
        <w:contextualSpacing/>
        <w:rPr>
          <w:rFonts w:ascii="宋体" w:hAnsi="宋体"/>
          <w:szCs w:val="21"/>
        </w:rPr>
      </w:pPr>
      <w:r>
        <w:rPr>
          <w:rFonts w:ascii="宋体" w:hAnsi="宋体"/>
          <w:szCs w:val="21"/>
        </w:rPr>
        <w:t>d</w:t>
      </w:r>
      <w:r>
        <w:rPr>
          <w:rFonts w:hint="eastAsia" w:ascii="宋体" w:hAnsi="宋体"/>
          <w:szCs w:val="21"/>
        </w:rPr>
        <w:t>井道：对重块及压板、井道照明、层站召唤、层楼显示、层门地坎、层门自动关门装置、层门门锁自动复位、层门锁紧元件啮合长度、层门和轿门系统中传动钢丝绳或链条或胶带、层门门导靴、消防开关、补偿链（绳）与轿厢和对重的连接处、轿厢和对重的导轨支架、轿厢和对重的导轨、随行电缆、层门装置等井道部件的检查、调整、清洁、润滑和更换。</w:t>
      </w:r>
    </w:p>
    <w:p>
      <w:pPr>
        <w:adjustRightInd w:val="0"/>
        <w:snapToGrid w:val="0"/>
        <w:spacing w:line="440" w:lineRule="exact"/>
        <w:ind w:firstLine="420" w:firstLineChars="200"/>
        <w:contextualSpacing/>
        <w:rPr>
          <w:rFonts w:ascii="宋体" w:hAnsi="宋体"/>
          <w:szCs w:val="21"/>
        </w:rPr>
      </w:pPr>
      <w:r>
        <w:rPr>
          <w:rFonts w:ascii="宋体" w:hAnsi="宋体"/>
          <w:szCs w:val="21"/>
        </w:rPr>
        <w:t>e</w:t>
      </w:r>
      <w:r>
        <w:rPr>
          <w:rFonts w:hint="eastAsia" w:ascii="宋体" w:hAnsi="宋体"/>
          <w:szCs w:val="21"/>
        </w:rPr>
        <w:t>底坑：底坑环境、缓冲器、对重缓冲距等底坑部件的检查、调整、清洁、润滑和更换。</w:t>
      </w:r>
    </w:p>
    <w:p>
      <w:pPr>
        <w:adjustRightInd w:val="0"/>
        <w:snapToGrid w:val="0"/>
        <w:spacing w:line="440" w:lineRule="exact"/>
        <w:ind w:firstLine="420" w:firstLineChars="200"/>
        <w:contextualSpacing/>
        <w:rPr>
          <w:rFonts w:ascii="宋体" w:hAnsi="宋体"/>
          <w:szCs w:val="21"/>
        </w:rPr>
      </w:pPr>
      <w:r>
        <w:rPr>
          <w:rFonts w:ascii="宋体" w:hAnsi="宋体"/>
          <w:szCs w:val="21"/>
        </w:rPr>
        <w:t>f</w:t>
      </w:r>
      <w:r>
        <w:rPr>
          <w:rFonts w:hint="eastAsia" w:ascii="宋体" w:hAnsi="宋体"/>
          <w:szCs w:val="21"/>
        </w:rPr>
        <w:t>曳引钢丝绳或曳引钢带、补偿钢丝绳、补偿链、限速器钢丝绳、曳引绳头组合的检查、调整、清洁、润滑和更换。</w:t>
      </w:r>
    </w:p>
    <w:p>
      <w:pPr>
        <w:adjustRightInd w:val="0"/>
        <w:snapToGrid w:val="0"/>
        <w:spacing w:line="440" w:lineRule="exact"/>
        <w:ind w:firstLine="420" w:firstLineChars="200"/>
        <w:contextualSpacing/>
        <w:rPr>
          <w:rFonts w:ascii="宋体" w:hAnsi="宋体"/>
          <w:szCs w:val="21"/>
        </w:rPr>
      </w:pPr>
      <w:r>
        <w:rPr>
          <w:rFonts w:ascii="宋体" w:hAnsi="宋体"/>
          <w:szCs w:val="21"/>
        </w:rPr>
        <w:t>g</w:t>
      </w:r>
      <w:r>
        <w:rPr>
          <w:rFonts w:hint="eastAsia" w:ascii="宋体" w:hAnsi="宋体"/>
          <w:szCs w:val="21"/>
        </w:rPr>
        <w:t>轿厢围壁、包括固定或可移动的面板、门面板、轿门扇、吊顶、轿厢照明、厅门扇、门框及地坎的检查。</w:t>
      </w:r>
    </w:p>
    <w:p>
      <w:pPr>
        <w:adjustRightInd w:val="0"/>
        <w:snapToGrid w:val="0"/>
        <w:spacing w:line="440" w:lineRule="exact"/>
        <w:ind w:firstLine="420" w:firstLineChars="200"/>
        <w:contextualSpacing/>
        <w:rPr>
          <w:rFonts w:ascii="宋体" w:hAnsi="宋体"/>
          <w:szCs w:val="21"/>
        </w:rPr>
      </w:pPr>
      <w:r>
        <w:rPr>
          <w:rFonts w:ascii="宋体" w:hAnsi="宋体"/>
          <w:szCs w:val="21"/>
        </w:rPr>
        <w:t>h</w:t>
      </w:r>
      <w:r>
        <w:rPr>
          <w:rFonts w:hint="eastAsia" w:ascii="宋体" w:hAnsi="宋体"/>
          <w:szCs w:val="21"/>
        </w:rPr>
        <w:t>机房温度、齿轮箱、齿轮箱轴承、油封、查看故障记录、限速器护罩和楔块、轿门、开门机、厅门导轨、隔光板或磁条、E&amp;I操纵盘、地坎护板、控制柜内保险、电子板和风扇、变频器、交/直流转换驱动器、可控硅、曳引轮防护、井道开关和换速开关、钢带PPT、补偿绳绳轮、补偿链防晃器、轿顶接线盒、安全钳开关及轴销、控制柜防尘网、电刷和换向器、曳引机固定螺栓和减震胶垫等部件的检查、调整、清洁、润滑和更换。</w:t>
      </w:r>
    </w:p>
    <w:p>
      <w:pPr>
        <w:adjustRightInd w:val="0"/>
        <w:snapToGrid w:val="0"/>
        <w:spacing w:line="440" w:lineRule="exact"/>
        <w:ind w:firstLine="420" w:firstLineChars="200"/>
        <w:contextualSpacing/>
        <w:rPr>
          <w:rFonts w:ascii="宋体" w:hAnsi="宋体"/>
          <w:szCs w:val="21"/>
        </w:rPr>
      </w:pPr>
      <w:r>
        <w:rPr>
          <w:rFonts w:ascii="宋体" w:hAnsi="宋体"/>
          <w:szCs w:val="21"/>
        </w:rPr>
        <w:t>i</w:t>
      </w:r>
      <w:r>
        <w:rPr>
          <w:rFonts w:hint="eastAsia" w:ascii="宋体" w:hAnsi="宋体"/>
          <w:szCs w:val="21"/>
        </w:rPr>
        <w:t>液压梯：除了上述电梯部件外，安全部件还包括：安全溢流阀、手动下降阀、手动泵、油温监控装置、柱塞限位装置等部件的检查、调整、清洁、润滑和更换。</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12.2.</w:t>
      </w:r>
      <w:r>
        <w:rPr>
          <w:rFonts w:ascii="宋体" w:hAnsi="宋体"/>
          <w:szCs w:val="21"/>
        </w:rPr>
        <w:t>8</w:t>
      </w:r>
      <w:r>
        <w:rPr>
          <w:rFonts w:hint="eastAsia" w:ascii="宋体" w:hAnsi="宋体"/>
          <w:szCs w:val="21"/>
        </w:rPr>
        <w:t>每次保养结束后对电梯的安全运行状况做出书面评估报告，对每台电梯做好保养记录，保存维修保养作业过程影像资料</w:t>
      </w:r>
      <w:r>
        <w:rPr>
          <w:rFonts w:hint="eastAsia" w:ascii="宋体" w:hAnsi="宋体"/>
          <w:b/>
          <w:bCs/>
          <w:szCs w:val="21"/>
        </w:rPr>
        <w:t>（维保人员在电梯前，拍录记述维保日期、维保人员姓名、地点、电梯型号等信息，拍录主要作业过程）</w:t>
      </w:r>
      <w:r>
        <w:rPr>
          <w:rFonts w:hint="eastAsia" w:ascii="宋体" w:hAnsi="宋体"/>
          <w:szCs w:val="21"/>
        </w:rPr>
        <w:t>，交由甲方电梯管理员签字确认，建立维修保养档案，交存甲方备案。</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12.2.</w:t>
      </w:r>
      <w:r>
        <w:rPr>
          <w:rFonts w:ascii="宋体" w:hAnsi="宋体"/>
          <w:szCs w:val="21"/>
        </w:rPr>
        <w:t>9</w:t>
      </w:r>
      <w:r>
        <w:rPr>
          <w:rFonts w:hint="eastAsia" w:ascii="宋体" w:hAnsi="宋体"/>
          <w:szCs w:val="21"/>
        </w:rPr>
        <w:t>乙方方应随时听取甲方对设备运行状况的反映，对不正常的运行状况，应做认真分析与纠正。</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12.2.1</w:t>
      </w:r>
      <w:r>
        <w:rPr>
          <w:rFonts w:ascii="宋体" w:hAnsi="宋体"/>
          <w:szCs w:val="21"/>
        </w:rPr>
        <w:t>0</w:t>
      </w:r>
      <w:r>
        <w:rPr>
          <w:rFonts w:hint="eastAsia" w:ascii="宋体" w:hAnsi="宋体"/>
          <w:szCs w:val="21"/>
        </w:rPr>
        <w:t>针对现场故障频发（或出现困人问题）的电梯，在故障原因没有查实和解决前，乙方有义务对因工作原因不能停运的电梯进行现场24小时保驾工作。</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12.2.1</w:t>
      </w:r>
      <w:r>
        <w:rPr>
          <w:rFonts w:ascii="宋体" w:hAnsi="宋体"/>
          <w:szCs w:val="21"/>
        </w:rPr>
        <w:t>1</w:t>
      </w:r>
      <w:r>
        <w:rPr>
          <w:rFonts w:hint="eastAsia" w:ascii="宋体" w:hAnsi="宋体"/>
          <w:szCs w:val="21"/>
        </w:rPr>
        <w:t>乙方对责任范围内的设备需按照《电梯监督检验和定期检验规则》（TSG_T7001 2023）要求每年度至少进行1次自检，自检时间安排在年度检验检测之前进行。自检项目不少于电梯年度检验检测规定的项目及内容，自检结束向甲方出具加盖乙方公章的记录和报告。配合政府主管部门对电梯实施年度检验检测，并保证年度检验检测的顺利通过。因乙方责任造成一次年度检验检测未通过的，再次检验检测的费用由乙方承担；如因检验检测不合格造成电梯停运，所造成的损失和影响由乙方承担。对政府主管部门检验检测及例行检查提出的相关整改内容，由乙方进行整改直至符合政府主管部门要求。同时，乙方负责免费提供电梯检验检测时载荷试验所需的配重块及其搬运工作。</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12.2.1</w:t>
      </w:r>
      <w:r>
        <w:rPr>
          <w:rFonts w:ascii="宋体" w:hAnsi="宋体"/>
          <w:szCs w:val="21"/>
        </w:rPr>
        <w:t>2</w:t>
      </w:r>
      <w:r>
        <w:rPr>
          <w:rFonts w:hint="eastAsia" w:ascii="宋体" w:hAnsi="宋体"/>
          <w:szCs w:val="21"/>
        </w:rPr>
        <w:t>应急维修须填写急修任务单，包含报修时间、到达时间、完工时间、故障原因、更换配件等。发生电梯困人时，在救出人员后须详细填写困人原因及救出时间，并且提交事故报告及保障预防措施建议等。</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12.2.1</w:t>
      </w:r>
      <w:r>
        <w:rPr>
          <w:rFonts w:ascii="宋体" w:hAnsi="宋体"/>
          <w:szCs w:val="21"/>
        </w:rPr>
        <w:t>3</w:t>
      </w:r>
      <w:r>
        <w:rPr>
          <w:rFonts w:hint="eastAsia" w:ascii="宋体" w:hAnsi="宋体"/>
          <w:szCs w:val="21"/>
        </w:rPr>
        <w:t>乙方需服从甲方的合理工作安排和统一调度指挥，保障工作进度；如甲方要求在非工作日或夜间进行电梯维护保养，乙方应予以满足。</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12.2.1</w:t>
      </w:r>
      <w:r>
        <w:rPr>
          <w:rFonts w:ascii="宋体" w:hAnsi="宋体"/>
          <w:szCs w:val="21"/>
        </w:rPr>
        <w:t>4</w:t>
      </w:r>
      <w:r>
        <w:rPr>
          <w:rFonts w:hint="eastAsia" w:ascii="宋体" w:hAnsi="宋体"/>
          <w:szCs w:val="21"/>
        </w:rPr>
        <w:t>在事故抢修时，乙方应根据工作需要及时进行抢修，保证在最短时间内完成故障抢修；当乙方责任范围内的设备出现危及院区安全或可靠运行等问题时，乙方需无条件按甲方要求以连续工作的方式及时完成问题处理。</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12.2.1</w:t>
      </w:r>
      <w:r>
        <w:rPr>
          <w:rFonts w:ascii="宋体" w:hAnsi="宋体"/>
          <w:szCs w:val="21"/>
        </w:rPr>
        <w:t>5</w:t>
      </w:r>
      <w:r>
        <w:rPr>
          <w:rFonts w:hint="eastAsia" w:ascii="宋体" w:hAnsi="宋体"/>
          <w:szCs w:val="21"/>
        </w:rPr>
        <w:t>乙方必须在每月25日前，向甲方提交次月维保计划。月度维保计划包含：维保时间、维保项目、维保目的、维保范围、维保达到的效果、参加人员名单。</w:t>
      </w:r>
    </w:p>
    <w:p>
      <w:pPr>
        <w:adjustRightInd w:val="0"/>
        <w:snapToGrid w:val="0"/>
        <w:spacing w:line="440" w:lineRule="exact"/>
        <w:ind w:firstLine="422" w:firstLineChars="200"/>
        <w:contextualSpacing/>
        <w:rPr>
          <w:rFonts w:ascii="宋体" w:hAnsi="宋体"/>
          <w:b/>
          <w:bCs/>
          <w:szCs w:val="21"/>
        </w:rPr>
      </w:pPr>
      <w:r>
        <w:rPr>
          <w:rFonts w:ascii="宋体" w:hAnsi="宋体"/>
          <w:b/>
          <w:bCs/>
          <w:szCs w:val="21"/>
        </w:rPr>
        <w:t>12.3</w:t>
      </w:r>
      <w:r>
        <w:rPr>
          <w:rFonts w:hint="eastAsia" w:ascii="宋体" w:hAnsi="宋体"/>
          <w:b/>
          <w:bCs/>
          <w:szCs w:val="21"/>
        </w:rPr>
        <w:t>电梯维保的具体服务标准</w:t>
      </w:r>
    </w:p>
    <w:p>
      <w:pPr>
        <w:adjustRightInd w:val="0"/>
        <w:snapToGrid w:val="0"/>
        <w:spacing w:line="440" w:lineRule="exact"/>
        <w:ind w:firstLine="420" w:firstLineChars="200"/>
        <w:contextualSpacing/>
        <w:rPr>
          <w:rFonts w:ascii="宋体" w:hAnsi="宋体"/>
          <w:szCs w:val="21"/>
        </w:rPr>
      </w:pPr>
      <w:r>
        <w:rPr>
          <w:rFonts w:ascii="宋体" w:hAnsi="宋体"/>
          <w:szCs w:val="21"/>
        </w:rPr>
        <w:t>12.</w:t>
      </w:r>
      <w:r>
        <w:rPr>
          <w:rFonts w:hint="eastAsia" w:ascii="宋体" w:hAnsi="宋体"/>
          <w:szCs w:val="21"/>
        </w:rPr>
        <w:t>3.1保证电梯安全运行。严格按照规定的服务内容实施服务，并根据“电梯保养年度作业计划方案”所列的项目和周期进行检查、调整、润滑和清洁等保养工作。每次维修保养后，必须在两个工作日内呈交维修保养报告。</w:t>
      </w:r>
    </w:p>
    <w:p>
      <w:pPr>
        <w:adjustRightInd w:val="0"/>
        <w:snapToGrid w:val="0"/>
        <w:spacing w:line="440" w:lineRule="exact"/>
        <w:ind w:firstLine="420" w:firstLineChars="200"/>
        <w:contextualSpacing/>
        <w:rPr>
          <w:rFonts w:ascii="宋体" w:hAnsi="宋体"/>
          <w:szCs w:val="21"/>
        </w:rPr>
      </w:pPr>
      <w:r>
        <w:rPr>
          <w:rFonts w:ascii="宋体" w:hAnsi="宋体"/>
          <w:szCs w:val="21"/>
        </w:rPr>
        <w:t>12.</w:t>
      </w:r>
      <w:r>
        <w:rPr>
          <w:rFonts w:hint="eastAsia" w:ascii="宋体" w:hAnsi="宋体"/>
          <w:szCs w:val="21"/>
        </w:rPr>
        <w:t>3.2在保证电梯安全运行的前提下满足正常使用的需求。电梯日常维修保养，应严格按照电梯使用管理与维修保养规则TSG-T5001-2017标准执行。</w:t>
      </w:r>
    </w:p>
    <w:p>
      <w:pPr>
        <w:adjustRightInd w:val="0"/>
        <w:snapToGrid w:val="0"/>
        <w:spacing w:line="440" w:lineRule="exact"/>
        <w:ind w:firstLine="420" w:firstLineChars="200"/>
        <w:contextualSpacing/>
        <w:rPr>
          <w:rFonts w:ascii="宋体" w:hAnsi="宋体"/>
          <w:szCs w:val="21"/>
        </w:rPr>
      </w:pPr>
      <w:r>
        <w:rPr>
          <w:rFonts w:ascii="宋体" w:hAnsi="宋体"/>
          <w:szCs w:val="21"/>
        </w:rPr>
        <w:t>12.</w:t>
      </w:r>
      <w:r>
        <w:rPr>
          <w:rFonts w:hint="eastAsia" w:ascii="宋体" w:hAnsi="宋体"/>
          <w:szCs w:val="21"/>
        </w:rPr>
        <w:t>3.3要求电梯日常维修保养驻点固定人员服务。确定成交后，乙方必须选派足够数量的技术精湛、经验丰富且工作负责的相对固定维保人员到场服务，并在甲方设有固定的驻场地点，服务时应严格遵守甲方有关的规章制度（包括驻场场所整洁干净、消防安全等）。</w:t>
      </w:r>
    </w:p>
    <w:p>
      <w:pPr>
        <w:adjustRightInd w:val="0"/>
        <w:snapToGrid w:val="0"/>
        <w:spacing w:line="440" w:lineRule="exact"/>
        <w:ind w:firstLine="420" w:firstLineChars="200"/>
        <w:contextualSpacing/>
        <w:rPr>
          <w:rFonts w:ascii="宋体" w:hAnsi="宋体"/>
          <w:szCs w:val="21"/>
        </w:rPr>
      </w:pPr>
      <w:r>
        <w:rPr>
          <w:rFonts w:ascii="宋体" w:hAnsi="宋体"/>
          <w:szCs w:val="21"/>
        </w:rPr>
        <w:t>12.</w:t>
      </w:r>
      <w:r>
        <w:rPr>
          <w:rFonts w:hint="eastAsia" w:ascii="宋体" w:hAnsi="宋体"/>
          <w:szCs w:val="21"/>
        </w:rPr>
        <w:t>3.4因没有实施保养或保养不当造成电梯停运，若在24小时内未能恢复运行的，甲方付款时扣除该台设备一个月的保养费；在48小时内未能恢复运行的，甲方付款时扣除该台设备一年的保养费。</w:t>
      </w:r>
    </w:p>
    <w:p>
      <w:pPr>
        <w:adjustRightInd w:val="0"/>
        <w:snapToGrid w:val="0"/>
        <w:spacing w:line="440" w:lineRule="exact"/>
        <w:ind w:firstLine="420" w:firstLineChars="200"/>
        <w:contextualSpacing/>
        <w:rPr>
          <w:rFonts w:ascii="宋体" w:hAnsi="宋体"/>
          <w:szCs w:val="21"/>
        </w:rPr>
      </w:pPr>
      <w:r>
        <w:rPr>
          <w:rFonts w:ascii="宋体" w:hAnsi="宋体"/>
          <w:szCs w:val="21"/>
        </w:rPr>
        <w:t>12.</w:t>
      </w:r>
      <w:r>
        <w:rPr>
          <w:rFonts w:hint="eastAsia" w:ascii="宋体" w:hAnsi="宋体"/>
          <w:szCs w:val="21"/>
        </w:rPr>
        <w:t>3.5</w:t>
      </w:r>
      <w:r>
        <w:rPr>
          <w:rFonts w:hint="eastAsia" w:ascii="宋体" w:hAnsi="宋体"/>
          <w:b/>
          <w:bCs/>
          <w:szCs w:val="21"/>
        </w:rPr>
        <w:t>须提供24小时的应急响应服务，对电梯困人事故要求在接到报警后10分钟内到达现场，20分钟内将乘客先从轿厢中救出后即时抢修故障。不能及时到场造成不良后果（如影响病员抢救、治疗等）视为严重违约，甲方有权随时解除合约。</w:t>
      </w:r>
      <w:bookmarkStart w:id="0" w:name="OLE_LINK6"/>
      <w:r>
        <w:rPr>
          <w:rFonts w:hint="eastAsia" w:ascii="宋体" w:hAnsi="宋体"/>
          <w:b/>
          <w:bCs/>
          <w:szCs w:val="21"/>
        </w:rPr>
        <w:t>电梯发生其他故障，乙方在接到甲方紧急报修通知后, 需10分钟内赶到现场排除。一般故障乙方接通知后派员到场处理，要求在60分钟内排除。重大故障应在2小时内确认，72小时内修复</w:t>
      </w:r>
      <w:bookmarkEnd w:id="0"/>
      <w:r>
        <w:rPr>
          <w:rFonts w:hint="eastAsia" w:ascii="宋体" w:hAnsi="宋体"/>
          <w:b/>
          <w:bCs/>
          <w:szCs w:val="21"/>
        </w:rPr>
        <w:t>。</w:t>
      </w:r>
    </w:p>
    <w:p>
      <w:pPr>
        <w:adjustRightInd w:val="0"/>
        <w:snapToGrid w:val="0"/>
        <w:spacing w:line="440" w:lineRule="exact"/>
        <w:ind w:firstLine="420" w:firstLineChars="200"/>
        <w:contextualSpacing/>
        <w:rPr>
          <w:rFonts w:ascii="宋体" w:hAnsi="宋体"/>
          <w:szCs w:val="21"/>
        </w:rPr>
      </w:pPr>
      <w:r>
        <w:rPr>
          <w:rFonts w:ascii="宋体" w:hAnsi="宋体"/>
          <w:szCs w:val="21"/>
        </w:rPr>
        <w:t>12.</w:t>
      </w:r>
      <w:r>
        <w:rPr>
          <w:rFonts w:hint="eastAsia" w:ascii="宋体" w:hAnsi="宋体"/>
          <w:szCs w:val="21"/>
        </w:rPr>
        <w:t>3.6非乙方责任造成的设备故障或运行安全隐患，需书面通知甲方整改，当故障或隐患严重影响设备安全运行时，应及时通知甲方停止使用该设备。及时的告知义务也是维保行为之一。</w:t>
      </w:r>
    </w:p>
    <w:p>
      <w:pPr>
        <w:adjustRightInd w:val="0"/>
        <w:snapToGrid w:val="0"/>
        <w:spacing w:line="440" w:lineRule="exact"/>
        <w:ind w:firstLine="420" w:firstLineChars="200"/>
        <w:contextualSpacing/>
        <w:rPr>
          <w:rFonts w:ascii="宋体" w:hAnsi="宋体"/>
          <w:szCs w:val="21"/>
        </w:rPr>
      </w:pPr>
      <w:r>
        <w:rPr>
          <w:rFonts w:ascii="宋体" w:hAnsi="宋体"/>
          <w:szCs w:val="21"/>
        </w:rPr>
        <w:t>12.</w:t>
      </w:r>
      <w:r>
        <w:rPr>
          <w:rFonts w:hint="eastAsia" w:ascii="宋体" w:hAnsi="宋体"/>
          <w:szCs w:val="21"/>
        </w:rPr>
        <w:t>3.7乙方应提供服务承诺书和维修电话号码并粘贴在轿厢显著位置。</w:t>
      </w:r>
    </w:p>
    <w:p>
      <w:pPr>
        <w:adjustRightInd w:val="0"/>
        <w:snapToGrid w:val="0"/>
        <w:spacing w:line="440" w:lineRule="exact"/>
        <w:ind w:firstLine="420" w:firstLineChars="200"/>
        <w:contextualSpacing/>
        <w:rPr>
          <w:rFonts w:ascii="宋体" w:hAnsi="宋体"/>
          <w:szCs w:val="21"/>
        </w:rPr>
      </w:pPr>
      <w:r>
        <w:rPr>
          <w:rFonts w:ascii="宋体" w:hAnsi="宋体"/>
          <w:szCs w:val="21"/>
        </w:rPr>
        <w:t>12.</w:t>
      </w:r>
      <w:r>
        <w:rPr>
          <w:rFonts w:hint="eastAsia" w:ascii="宋体" w:hAnsi="宋体"/>
          <w:szCs w:val="21"/>
        </w:rPr>
        <w:t>3.8乙方在履行义务过程中，因维保施工发生任何安生意外事故与甲方无关，但维保施工中违规造成采购方相关人员的人身和财产损害和损失的，将由乙方承担一切经济和法律责任。按照合约应购买全部维保电梯保险，并在甲方处备案。</w:t>
      </w:r>
    </w:p>
    <w:p>
      <w:pPr>
        <w:adjustRightInd w:val="0"/>
        <w:snapToGrid w:val="0"/>
        <w:spacing w:line="440" w:lineRule="exact"/>
        <w:ind w:firstLine="420" w:firstLineChars="200"/>
        <w:contextualSpacing/>
        <w:rPr>
          <w:rFonts w:ascii="宋体" w:hAnsi="宋体"/>
          <w:szCs w:val="21"/>
        </w:rPr>
      </w:pPr>
      <w:r>
        <w:rPr>
          <w:rFonts w:ascii="宋体" w:hAnsi="宋体"/>
          <w:szCs w:val="21"/>
        </w:rPr>
        <w:t>12.</w:t>
      </w:r>
      <w:r>
        <w:rPr>
          <w:rFonts w:hint="eastAsia" w:ascii="宋体" w:hAnsi="宋体"/>
          <w:szCs w:val="21"/>
        </w:rPr>
        <w:t>3.9</w:t>
      </w:r>
      <w:r>
        <w:rPr>
          <w:rFonts w:hint="eastAsia" w:ascii="宋体" w:hAnsi="宋体"/>
          <w:b/>
          <w:bCs/>
          <w:szCs w:val="21"/>
        </w:rPr>
        <w:t>甲方有重大活动或安全检查期间，乙方须指派专业技术人员在现场提供全面的保障服务。此类服务应为无偿提供。</w:t>
      </w:r>
    </w:p>
    <w:p>
      <w:pPr>
        <w:adjustRightInd w:val="0"/>
        <w:snapToGrid w:val="0"/>
        <w:spacing w:line="440" w:lineRule="exact"/>
        <w:ind w:firstLine="420" w:firstLineChars="200"/>
        <w:contextualSpacing/>
        <w:rPr>
          <w:rFonts w:ascii="宋体" w:hAnsi="宋体"/>
          <w:szCs w:val="21"/>
        </w:rPr>
      </w:pPr>
      <w:r>
        <w:rPr>
          <w:rFonts w:ascii="宋体" w:hAnsi="宋体"/>
          <w:szCs w:val="21"/>
        </w:rPr>
        <w:t>12.</w:t>
      </w:r>
      <w:r>
        <w:rPr>
          <w:rFonts w:hint="eastAsia" w:ascii="宋体" w:hAnsi="宋体"/>
          <w:szCs w:val="21"/>
        </w:rPr>
        <w:t>3.10</w:t>
      </w:r>
      <w:r>
        <w:rPr>
          <w:rFonts w:hint="eastAsia" w:ascii="宋体" w:hAnsi="宋体"/>
          <w:b/>
          <w:bCs/>
          <w:szCs w:val="21"/>
        </w:rPr>
        <w:t>维保期间电梯配件供货时间要求：一般电梯配件（如门滑块、按钮、外召显示板、内召显示板、光幕等）乙方需备存，随时更换；主要配件（如门机板、电梯主板、编码器等），乙方二天内到货更换；特殊大件（如变频器、钢丝绳、等）五天内到货更换。电梯配件品牌、规格、型号等经甲方认证确认后方可实施。</w:t>
      </w:r>
    </w:p>
    <w:p>
      <w:pPr>
        <w:adjustRightInd w:val="0"/>
        <w:snapToGrid w:val="0"/>
        <w:spacing w:line="440" w:lineRule="exact"/>
        <w:ind w:firstLine="420" w:firstLineChars="200"/>
        <w:contextualSpacing/>
        <w:rPr>
          <w:rFonts w:ascii="宋体" w:hAnsi="宋体"/>
          <w:szCs w:val="21"/>
        </w:rPr>
      </w:pPr>
      <w:r>
        <w:rPr>
          <w:rFonts w:ascii="宋体" w:hAnsi="宋体"/>
          <w:szCs w:val="21"/>
        </w:rPr>
        <w:t>12.</w:t>
      </w:r>
      <w:r>
        <w:rPr>
          <w:rFonts w:hint="eastAsia" w:ascii="宋体" w:hAnsi="宋体"/>
          <w:szCs w:val="21"/>
        </w:rPr>
        <w:t>3.11维修保养结束后须做到工完场清。对于维修保养所产生的废弃物进行分类，除了该交甲方的旧零配件，其他的废液、清洁污物、固体垃圾等由乙方负责处理，不得丢弃在甲方所属范围内。如果造成二次污染而无法恢复，由乙方负责赔偿。</w:t>
      </w:r>
    </w:p>
    <w:p>
      <w:pPr>
        <w:adjustRightInd w:val="0"/>
        <w:snapToGrid w:val="0"/>
        <w:spacing w:line="440" w:lineRule="exact"/>
        <w:ind w:firstLine="420" w:firstLineChars="200"/>
        <w:contextualSpacing/>
        <w:rPr>
          <w:rFonts w:ascii="宋体" w:hAnsi="宋体"/>
          <w:szCs w:val="21"/>
        </w:rPr>
      </w:pPr>
      <w:r>
        <w:rPr>
          <w:rFonts w:ascii="宋体" w:hAnsi="宋体"/>
          <w:szCs w:val="21"/>
        </w:rPr>
        <w:t>12.</w:t>
      </w:r>
      <w:r>
        <w:rPr>
          <w:rFonts w:hint="eastAsia" w:ascii="宋体" w:hAnsi="宋体"/>
          <w:szCs w:val="21"/>
        </w:rPr>
        <w:t>3.12乙方需与保险公司签订“电梯安全责任险”。</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12.4乙方应保证其提供的服务是全面和规范的，并完全符合招标文件及响应文件。如因乙方提供的服务有瑕疵造成甲方损失的，所需费用由乙方承担。</w:t>
      </w:r>
    </w:p>
    <w:p>
      <w:pPr>
        <w:adjustRightInd w:val="0"/>
        <w:snapToGrid w:val="0"/>
        <w:spacing w:line="440" w:lineRule="exact"/>
        <w:ind w:firstLine="420" w:firstLineChars="200"/>
        <w:contextualSpacing/>
        <w:rPr>
          <w:rFonts w:ascii="宋体" w:hAnsi="宋体" w:cs="宋体"/>
          <w:szCs w:val="21"/>
        </w:rPr>
      </w:pPr>
      <w:r>
        <w:rPr>
          <w:rFonts w:hint="eastAsia" w:ascii="宋体" w:hAnsi="宋体"/>
          <w:szCs w:val="21"/>
        </w:rPr>
        <w:t>12.5维保期内，乙方应对所提供服务出现的质量及安全问题负责处理解决并承担一切费</w:t>
      </w:r>
      <w:r>
        <w:rPr>
          <w:rFonts w:hint="eastAsia" w:ascii="宋体" w:hAnsi="宋体" w:cs="宋体"/>
          <w:szCs w:val="21"/>
        </w:rPr>
        <w:t>用。</w:t>
      </w:r>
    </w:p>
    <w:p>
      <w:pPr>
        <w:adjustRightInd w:val="0"/>
        <w:snapToGrid w:val="0"/>
        <w:spacing w:line="440" w:lineRule="exact"/>
        <w:ind w:firstLine="420" w:firstLineChars="200"/>
        <w:contextualSpacing/>
        <w:rPr>
          <w:rFonts w:ascii="宋体" w:hAnsi="宋体"/>
          <w:color w:val="000000"/>
          <w:szCs w:val="21"/>
        </w:rPr>
      </w:pPr>
      <w:r>
        <w:rPr>
          <w:rFonts w:hint="eastAsia" w:ascii="宋体" w:hAnsi="宋体"/>
          <w:color w:val="000000"/>
          <w:szCs w:val="21"/>
        </w:rPr>
        <w:t>12.6</w:t>
      </w:r>
      <w:r>
        <w:rPr>
          <w:rFonts w:ascii="宋体" w:hAnsi="宋体"/>
          <w:color w:val="000000"/>
          <w:szCs w:val="21"/>
        </w:rPr>
        <w:t>乙方所</w:t>
      </w:r>
      <w:r>
        <w:rPr>
          <w:rFonts w:hint="eastAsia" w:ascii="宋体" w:hAnsi="宋体"/>
          <w:color w:val="000000"/>
          <w:szCs w:val="21"/>
        </w:rPr>
        <w:t>更换的部件或维修更换</w:t>
      </w:r>
      <w:r>
        <w:rPr>
          <w:rFonts w:ascii="宋体" w:hAnsi="宋体"/>
          <w:color w:val="000000"/>
          <w:szCs w:val="21"/>
        </w:rPr>
        <w:t>的部件质量必须满足招标文件的要求以及国家标准要求，如经检验达不到合同约定要求，须进行退货处理，由此造成各项费用和损失由乙方自行承担，并赔偿甲方由此造成的人力物力损失。</w:t>
      </w:r>
    </w:p>
    <w:p>
      <w:pPr>
        <w:adjustRightInd w:val="0"/>
        <w:snapToGrid w:val="0"/>
        <w:spacing w:line="440" w:lineRule="exact"/>
        <w:ind w:firstLine="420" w:firstLineChars="200"/>
        <w:contextualSpacing/>
        <w:rPr>
          <w:rFonts w:ascii="宋体" w:hAnsi="宋体"/>
          <w:color w:val="000000"/>
          <w:szCs w:val="21"/>
        </w:rPr>
      </w:pPr>
      <w:r>
        <w:rPr>
          <w:rFonts w:hint="eastAsia" w:ascii="宋体" w:hAnsi="宋体"/>
          <w:color w:val="000000"/>
          <w:szCs w:val="21"/>
        </w:rPr>
        <w:t>12.7</w:t>
      </w:r>
      <w:r>
        <w:rPr>
          <w:rFonts w:ascii="宋体" w:hAnsi="宋体"/>
          <w:color w:val="000000"/>
          <w:szCs w:val="21"/>
        </w:rPr>
        <w:t>乙方应按</w:t>
      </w:r>
      <w:r>
        <w:rPr>
          <w:rFonts w:hint="eastAsia" w:ascii="宋体" w:hAnsi="宋体"/>
          <w:color w:val="000000"/>
          <w:szCs w:val="21"/>
        </w:rPr>
        <w:t>招标</w:t>
      </w:r>
      <w:r>
        <w:rPr>
          <w:rFonts w:ascii="宋体" w:hAnsi="宋体"/>
          <w:color w:val="000000"/>
          <w:szCs w:val="21"/>
        </w:rPr>
        <w:t>文件</w:t>
      </w:r>
      <w:r>
        <w:rPr>
          <w:rFonts w:hint="eastAsia" w:ascii="宋体" w:hAnsi="宋体"/>
          <w:color w:val="000000"/>
          <w:szCs w:val="21"/>
        </w:rPr>
        <w:t>和响应性文件</w:t>
      </w:r>
      <w:r>
        <w:rPr>
          <w:rFonts w:ascii="宋体" w:hAnsi="宋体"/>
          <w:color w:val="000000"/>
          <w:szCs w:val="21"/>
        </w:rPr>
        <w:t>的货物性能、技术要求、质量标准向甲方提供未经使用的全新产品。</w:t>
      </w:r>
    </w:p>
    <w:p>
      <w:pPr>
        <w:widowControl/>
        <w:adjustRightInd w:val="0"/>
        <w:snapToGrid w:val="0"/>
        <w:spacing w:line="440" w:lineRule="exact"/>
        <w:ind w:firstLine="420" w:firstLineChars="200"/>
        <w:contextualSpacing/>
        <w:textAlignment w:val="baseline"/>
        <w:rPr>
          <w:rFonts w:ascii="宋体" w:hAnsi="宋体"/>
          <w:color w:val="000000"/>
          <w:szCs w:val="21"/>
        </w:rPr>
      </w:pPr>
      <w:r>
        <w:rPr>
          <w:rFonts w:hint="eastAsia" w:ascii="宋体" w:hAnsi="宋体"/>
          <w:color w:val="000000"/>
          <w:szCs w:val="21"/>
        </w:rPr>
        <w:t>12.8</w:t>
      </w:r>
      <w:r>
        <w:rPr>
          <w:rFonts w:ascii="宋体" w:hAnsi="宋体"/>
          <w:color w:val="000000"/>
          <w:szCs w:val="21"/>
        </w:rPr>
        <w:t>在</w:t>
      </w:r>
      <w:r>
        <w:rPr>
          <w:rFonts w:hint="eastAsia" w:ascii="宋体" w:hAnsi="宋体"/>
          <w:color w:val="000000"/>
          <w:szCs w:val="21"/>
        </w:rPr>
        <w:t>维</w:t>
      </w:r>
      <w:r>
        <w:rPr>
          <w:rFonts w:ascii="宋体" w:hAnsi="宋体"/>
          <w:color w:val="000000"/>
          <w:szCs w:val="21"/>
        </w:rPr>
        <w:t>保期内</w:t>
      </w:r>
      <w:r>
        <w:rPr>
          <w:rFonts w:hint="eastAsia" w:ascii="宋体" w:hAnsi="宋体"/>
          <w:color w:val="000000"/>
          <w:szCs w:val="21"/>
        </w:rPr>
        <w:t>，</w:t>
      </w:r>
      <w:r>
        <w:rPr>
          <w:rFonts w:ascii="宋体" w:hAnsi="宋体"/>
          <w:color w:val="000000"/>
          <w:szCs w:val="21"/>
        </w:rPr>
        <w:t>乙方</w:t>
      </w:r>
      <w:r>
        <w:rPr>
          <w:rFonts w:hint="eastAsia" w:ascii="宋体" w:hAnsi="宋体"/>
          <w:color w:val="000000"/>
          <w:szCs w:val="21"/>
        </w:rPr>
        <w:t>须</w:t>
      </w:r>
      <w:r>
        <w:rPr>
          <w:rFonts w:ascii="宋体" w:hAnsi="宋体"/>
          <w:color w:val="000000"/>
          <w:szCs w:val="21"/>
        </w:rPr>
        <w:t>负责</w:t>
      </w:r>
      <w:r>
        <w:rPr>
          <w:rFonts w:hint="eastAsia" w:ascii="宋体" w:hAnsi="宋体"/>
          <w:color w:val="000000"/>
          <w:szCs w:val="21"/>
        </w:rPr>
        <w:t>处理</w:t>
      </w:r>
      <w:r>
        <w:rPr>
          <w:rFonts w:ascii="宋体" w:hAnsi="宋体"/>
          <w:color w:val="000000"/>
          <w:szCs w:val="21"/>
        </w:rPr>
        <w:t>解决货物出现的质量及安全问题</w:t>
      </w:r>
      <w:r>
        <w:rPr>
          <w:rFonts w:hint="eastAsia" w:ascii="宋体" w:hAnsi="宋体"/>
          <w:color w:val="000000"/>
          <w:szCs w:val="21"/>
        </w:rPr>
        <w:t>，</w:t>
      </w:r>
      <w:r>
        <w:rPr>
          <w:rFonts w:ascii="宋体" w:hAnsi="宋体"/>
          <w:color w:val="000000"/>
          <w:szCs w:val="21"/>
        </w:rPr>
        <w:t>并承担一切费用。</w:t>
      </w:r>
    </w:p>
    <w:p>
      <w:pPr>
        <w:widowControl/>
        <w:adjustRightInd w:val="0"/>
        <w:snapToGrid w:val="0"/>
        <w:spacing w:line="440" w:lineRule="exact"/>
        <w:ind w:firstLine="500" w:firstLineChars="200"/>
        <w:contextualSpacing/>
        <w:textAlignment w:val="baseline"/>
        <w:rPr>
          <w:rFonts w:ascii="宋体" w:hAnsi="宋体"/>
          <w:szCs w:val="21"/>
        </w:rPr>
      </w:pPr>
      <w:r>
        <w:rPr>
          <w:rFonts w:hint="eastAsia" w:ascii="宋体" w:hAnsi="宋体"/>
          <w:spacing w:val="20"/>
          <w:szCs w:val="21"/>
        </w:rPr>
        <w:t>12.9</w:t>
      </w:r>
      <w:r>
        <w:rPr>
          <w:rFonts w:hint="eastAsia" w:ascii="宋体" w:hAnsi="宋体"/>
          <w:szCs w:val="21"/>
        </w:rPr>
        <w:t>乙方24小时平台服务热</w:t>
      </w:r>
      <w:r>
        <w:rPr>
          <w:rFonts w:hint="eastAsia" w:ascii="宋体" w:hAnsi="宋体"/>
          <w:szCs w:val="21"/>
          <w:u w:val="single"/>
        </w:rPr>
        <w:t>4008925551</w:t>
      </w:r>
      <w:r>
        <w:rPr>
          <w:rFonts w:hint="eastAsia" w:ascii="宋体" w:hAnsi="宋体"/>
          <w:szCs w:val="21"/>
        </w:rPr>
        <w:t>；西区驻点人员：</w:t>
      </w:r>
      <w:r>
        <w:rPr>
          <w:rFonts w:hint="eastAsia" w:ascii="宋体" w:hAnsi="宋体"/>
          <w:szCs w:val="21"/>
          <w:u w:val="single"/>
        </w:rPr>
        <w:t>陈南翔</w:t>
      </w:r>
      <w:r>
        <w:rPr>
          <w:rFonts w:hint="eastAsia" w:ascii="宋体" w:hAnsi="宋体"/>
          <w:szCs w:val="21"/>
        </w:rPr>
        <w:t>、手机号码:</w:t>
      </w:r>
      <w:r>
        <w:rPr>
          <w:rFonts w:hint="eastAsia" w:ascii="宋体" w:hAnsi="宋体"/>
          <w:szCs w:val="21"/>
          <w:u w:val="single"/>
        </w:rPr>
        <w:t>18051445551</w:t>
      </w:r>
      <w:r>
        <w:rPr>
          <w:rFonts w:hint="eastAsia" w:ascii="宋体" w:hAnsi="宋体"/>
          <w:szCs w:val="21"/>
        </w:rPr>
        <w:t>；东区驻点人员：</w:t>
      </w:r>
      <w:r>
        <w:rPr>
          <w:rFonts w:hint="eastAsia" w:ascii="宋体" w:hAnsi="宋体"/>
          <w:szCs w:val="21"/>
          <w:u w:val="single"/>
        </w:rPr>
        <w:t>陈健</w:t>
      </w:r>
      <w:r>
        <w:rPr>
          <w:rFonts w:hint="eastAsia" w:ascii="宋体" w:hAnsi="宋体"/>
          <w:szCs w:val="21"/>
        </w:rPr>
        <w:t>、手机号码:</w:t>
      </w:r>
      <w:r>
        <w:rPr>
          <w:rFonts w:hint="eastAsia" w:ascii="宋体" w:hAnsi="宋体"/>
          <w:szCs w:val="21"/>
          <w:u w:val="single"/>
        </w:rPr>
        <w:t>19951088321</w:t>
      </w:r>
      <w:r>
        <w:rPr>
          <w:rFonts w:hint="eastAsia" w:ascii="宋体" w:hAnsi="宋体"/>
          <w:szCs w:val="21"/>
        </w:rPr>
        <w:t>。公司负责人电话：</w:t>
      </w:r>
      <w:r>
        <w:rPr>
          <w:rFonts w:hint="eastAsia" w:ascii="宋体" w:hAnsi="宋体"/>
          <w:szCs w:val="21"/>
          <w:u w:val="single"/>
        </w:rPr>
        <w:t>朱宝宏</w:t>
      </w:r>
      <w:r>
        <w:rPr>
          <w:rFonts w:hint="eastAsia" w:ascii="宋体" w:hAnsi="宋体"/>
          <w:szCs w:val="21"/>
        </w:rPr>
        <w:t>、手机号码:</w:t>
      </w:r>
      <w:r>
        <w:rPr>
          <w:rFonts w:hint="eastAsia" w:ascii="宋体" w:hAnsi="宋体"/>
          <w:szCs w:val="21"/>
          <w:u w:val="single"/>
        </w:rPr>
        <w:t>18051053269</w:t>
      </w:r>
      <w:r>
        <w:rPr>
          <w:rFonts w:hint="eastAsia" w:ascii="宋体" w:hAnsi="宋体"/>
          <w:szCs w:val="21"/>
        </w:rPr>
        <w:t>。</w:t>
      </w:r>
    </w:p>
    <w:p>
      <w:pPr>
        <w:adjustRightInd w:val="0"/>
        <w:snapToGrid w:val="0"/>
        <w:spacing w:line="440" w:lineRule="exact"/>
        <w:ind w:firstLineChars="200"/>
        <w:contextualSpacing/>
        <w:rPr>
          <w:rFonts w:hint="eastAsia" w:ascii="宋体" w:hAnsi="宋体"/>
          <w:color w:val="000000"/>
          <w:sz w:val="21"/>
          <w:szCs w:val="21"/>
        </w:rPr>
      </w:pPr>
      <w:r>
        <w:rPr>
          <w:rFonts w:hint="eastAsia" w:ascii="宋体" w:hAnsi="宋体"/>
          <w:color w:val="000000"/>
          <w:sz w:val="21"/>
          <w:szCs w:val="21"/>
        </w:rPr>
        <w:t>12.10备件更换</w:t>
      </w:r>
    </w:p>
    <w:p>
      <w:pPr>
        <w:adjustRightInd w:val="0"/>
        <w:snapToGrid w:val="0"/>
        <w:spacing w:line="440" w:lineRule="exact"/>
        <w:ind w:firstLineChars="200"/>
        <w:contextualSpacing/>
        <w:rPr>
          <w:rFonts w:hint="eastAsia" w:ascii="宋体" w:hAnsi="宋体" w:cs="Times New Roman"/>
          <w:color w:val="000000"/>
          <w:sz w:val="21"/>
          <w:szCs w:val="21"/>
        </w:rPr>
      </w:pPr>
      <w:r>
        <w:rPr>
          <w:rFonts w:hint="eastAsia" w:ascii="宋体" w:hAnsi="宋体"/>
          <w:color w:val="000000"/>
          <w:sz w:val="21"/>
          <w:szCs w:val="21"/>
        </w:rPr>
        <w:t>12.10.1乙方</w:t>
      </w:r>
      <w:r>
        <w:rPr>
          <w:rFonts w:hint="eastAsia" w:ascii="宋体" w:hAnsi="宋体" w:cs="Times New Roman"/>
          <w:color w:val="000000"/>
          <w:sz w:val="21"/>
          <w:szCs w:val="21"/>
        </w:rPr>
        <w:t>须储存合理数量的电梯常用备件和更换零部件寄存于甲方备品库，并列出清单，以备甲方抽查。</w:t>
      </w:r>
    </w:p>
    <w:p>
      <w:pPr>
        <w:adjustRightInd w:val="0"/>
        <w:snapToGrid w:val="0"/>
        <w:spacing w:line="440" w:lineRule="exact"/>
        <w:ind w:firstLineChars="200"/>
        <w:contextualSpacing/>
        <w:rPr>
          <w:rFonts w:hint="eastAsia" w:ascii="宋体" w:hAnsi="宋体" w:cs="Times New Roman"/>
          <w:color w:val="000000"/>
          <w:sz w:val="21"/>
          <w:szCs w:val="21"/>
        </w:rPr>
      </w:pPr>
      <w:r>
        <w:rPr>
          <w:rFonts w:hint="eastAsia" w:ascii="宋体" w:hAnsi="宋体" w:cs="Times New Roman"/>
          <w:color w:val="000000"/>
          <w:sz w:val="21"/>
          <w:szCs w:val="21"/>
        </w:rPr>
        <w:t>12.10.2乙方提供的所有零部件必须为所维保电梯完全匹配的电梯原厂原品牌的一级品，并经甲方认可的崭新零部件，以确保达到维修保养要求和标准。</w:t>
      </w:r>
    </w:p>
    <w:p>
      <w:pPr>
        <w:adjustRightInd w:val="0"/>
        <w:snapToGrid w:val="0"/>
        <w:spacing w:line="440" w:lineRule="exact"/>
        <w:ind w:firstLineChars="200"/>
        <w:contextualSpacing/>
        <w:rPr>
          <w:rFonts w:hint="eastAsia" w:ascii="宋体" w:hAnsi="宋体" w:cs="Times New Roman"/>
          <w:color w:val="000000"/>
          <w:sz w:val="21"/>
          <w:szCs w:val="21"/>
        </w:rPr>
      </w:pPr>
      <w:r>
        <w:rPr>
          <w:rFonts w:hint="eastAsia" w:ascii="宋体" w:hAnsi="宋体" w:cs="Times New Roman"/>
          <w:color w:val="000000"/>
          <w:sz w:val="21"/>
          <w:szCs w:val="21"/>
        </w:rPr>
        <w:t>12.11</w:t>
      </w:r>
      <w:r>
        <w:rPr>
          <w:rFonts w:hint="eastAsia" w:ascii="宋体" w:hAnsi="宋体" w:cs="Times New Roman"/>
          <w:b/>
          <w:bCs/>
          <w:color w:val="000000"/>
          <w:sz w:val="21"/>
          <w:szCs w:val="21"/>
        </w:rPr>
        <w:t>中标人需在合同期满前一个月呈交每台电梯运行情况分析报告。</w:t>
      </w:r>
    </w:p>
    <w:p>
      <w:pPr>
        <w:adjustRightInd w:val="0"/>
        <w:snapToGrid w:val="0"/>
        <w:spacing w:line="440" w:lineRule="exact"/>
        <w:ind w:firstLine="422" w:firstLineChars="200"/>
        <w:contextualSpacing/>
        <w:rPr>
          <w:rFonts w:ascii="宋体" w:hAnsi="宋体"/>
          <w:b/>
          <w:bCs/>
          <w:szCs w:val="21"/>
        </w:rPr>
      </w:pPr>
      <w:r>
        <w:rPr>
          <w:rFonts w:ascii="宋体" w:hAnsi="宋体"/>
          <w:b/>
          <w:bCs/>
          <w:szCs w:val="21"/>
        </w:rPr>
        <w:t>13</w:t>
      </w:r>
      <w:r>
        <w:rPr>
          <w:rFonts w:hint="eastAsia" w:ascii="宋体" w:hAnsi="宋体"/>
          <w:b/>
          <w:bCs/>
          <w:szCs w:val="21"/>
        </w:rPr>
        <w:t>.</w:t>
      </w:r>
      <w:r>
        <w:rPr>
          <w:rFonts w:ascii="宋体" w:hAnsi="宋体"/>
          <w:b/>
          <w:bCs/>
          <w:szCs w:val="21"/>
        </w:rPr>
        <w:t>交付和验收</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13.1乙方应当在合同签订后</w:t>
      </w:r>
      <w:r>
        <w:rPr>
          <w:rFonts w:hint="eastAsia" w:ascii="宋体" w:hAnsi="宋体"/>
          <w:szCs w:val="21"/>
          <w:u w:val="single"/>
        </w:rPr>
        <w:t>36个月</w:t>
      </w:r>
      <w:r>
        <w:rPr>
          <w:rFonts w:hint="eastAsia" w:ascii="宋体" w:hAnsi="宋体"/>
          <w:szCs w:val="21"/>
        </w:rPr>
        <w:t>内完成本项目服务事项，招标文件有约定的，从其约定。</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13.2验收标准：按乙方投标响应文件的承诺，并不低于国家相关标准。对于乙方要交付的服务，甲乙双方须在</w:t>
      </w:r>
      <w:r>
        <w:rPr>
          <w:rFonts w:hint="eastAsia" w:ascii="宋体" w:hAnsi="宋体"/>
          <w:szCs w:val="21"/>
          <w:u w:val="single"/>
        </w:rPr>
        <w:t xml:space="preserve"> 7 </w:t>
      </w:r>
      <w:r>
        <w:rPr>
          <w:rFonts w:hint="eastAsia" w:ascii="宋体" w:hAnsi="宋体"/>
          <w:szCs w:val="21"/>
        </w:rPr>
        <w:t>工作日内初验收，甲方对乙方提交的服务依据招标文件上的技术要求和国家有关质量标准进行现场初步验收，外观、说明书、包装符合招标文件技术要求的，给予签收，初步验收不合格的不予签收。</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13.3乙方按照招标文件要求负责安装并培训甲方的使用操作人员，乙方在甲方使用前进行调试，调试直到符合技术要求的甲方才做最终验收。</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13.4对技术复杂的服务内容，甲方可请国家认可的专业检测机构参与初步验收及最终验收，并由其出具质量检测报告。验收时乙方必须在现场，验收完毕后作出验收结果报告；若聘请第三方中立机构验收，验收费用由甲乙双方协商解决。</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13.5甲乙双方关于调试和验收的其他约定：</w:t>
      </w:r>
      <w:r>
        <w:rPr>
          <w:rFonts w:hint="eastAsia" w:ascii="宋体" w:hAnsi="宋体"/>
          <w:szCs w:val="21"/>
          <w:u w:val="single"/>
        </w:rPr>
        <w:t xml:space="preserve">  / </w:t>
      </w:r>
      <w:r>
        <w:rPr>
          <w:rFonts w:hint="eastAsia" w:ascii="宋体" w:hAnsi="宋体"/>
          <w:szCs w:val="21"/>
        </w:rPr>
        <w:t xml:space="preserve"> 。</w:t>
      </w:r>
    </w:p>
    <w:p>
      <w:pPr>
        <w:adjustRightInd w:val="0"/>
        <w:snapToGrid w:val="0"/>
        <w:spacing w:line="440" w:lineRule="exact"/>
        <w:ind w:firstLine="422" w:firstLineChars="200"/>
        <w:contextualSpacing/>
        <w:rPr>
          <w:rFonts w:ascii="宋体" w:hAnsi="宋体"/>
          <w:b/>
          <w:bCs/>
          <w:szCs w:val="21"/>
        </w:rPr>
      </w:pPr>
      <w:r>
        <w:rPr>
          <w:rFonts w:ascii="宋体" w:hAnsi="宋体"/>
          <w:b/>
          <w:bCs/>
          <w:szCs w:val="21"/>
        </w:rPr>
        <w:t>14</w:t>
      </w:r>
      <w:r>
        <w:rPr>
          <w:rFonts w:hint="eastAsia" w:ascii="宋体" w:hAnsi="宋体"/>
          <w:b/>
          <w:bCs/>
          <w:szCs w:val="21"/>
        </w:rPr>
        <w:t>.</w:t>
      </w:r>
      <w:r>
        <w:rPr>
          <w:rFonts w:ascii="宋体" w:hAnsi="宋体"/>
          <w:b/>
          <w:bCs/>
          <w:szCs w:val="21"/>
        </w:rPr>
        <w:t>包装、发运及运输</w:t>
      </w:r>
    </w:p>
    <w:p>
      <w:pPr>
        <w:adjustRightInd w:val="0"/>
        <w:snapToGrid w:val="0"/>
        <w:spacing w:line="440" w:lineRule="exact"/>
        <w:ind w:firstLine="420" w:firstLineChars="200"/>
        <w:contextualSpacing/>
        <w:rPr>
          <w:rFonts w:ascii="宋体" w:hAnsi="宋体"/>
          <w:szCs w:val="21"/>
        </w:rPr>
      </w:pPr>
      <w:r>
        <w:rPr>
          <w:rFonts w:ascii="宋体" w:hAnsi="宋体"/>
          <w:szCs w:val="21"/>
        </w:rPr>
        <w:t>14.1乙方应对其提供的服务所涉及物品在发运前对其进行满足运输距离、防潮、防震、防锈和防破损装卸等要求包装，以保证安全运达甲方指定地点。</w:t>
      </w:r>
    </w:p>
    <w:p>
      <w:pPr>
        <w:adjustRightInd w:val="0"/>
        <w:snapToGrid w:val="0"/>
        <w:spacing w:line="440" w:lineRule="exact"/>
        <w:ind w:firstLine="420" w:firstLineChars="200"/>
        <w:contextualSpacing/>
        <w:rPr>
          <w:rFonts w:ascii="宋体" w:hAnsi="宋体"/>
          <w:szCs w:val="21"/>
        </w:rPr>
      </w:pPr>
      <w:r>
        <w:rPr>
          <w:rFonts w:ascii="宋体" w:hAnsi="宋体"/>
          <w:szCs w:val="21"/>
        </w:rPr>
        <w:t>14.2乙方交付时，使用说明书、检验证明书、随配附件和工具以及清单一并附于内。</w:t>
      </w:r>
    </w:p>
    <w:p>
      <w:pPr>
        <w:adjustRightInd w:val="0"/>
        <w:snapToGrid w:val="0"/>
        <w:spacing w:line="440" w:lineRule="exact"/>
        <w:ind w:firstLine="420" w:firstLineChars="200"/>
        <w:contextualSpacing/>
        <w:rPr>
          <w:rFonts w:ascii="宋体" w:hAnsi="宋体"/>
          <w:szCs w:val="21"/>
        </w:rPr>
      </w:pPr>
      <w:r>
        <w:rPr>
          <w:rFonts w:ascii="宋体" w:hAnsi="宋体"/>
          <w:szCs w:val="21"/>
        </w:rPr>
        <w:t>14.3乙方在提供的服务所涉及物品在货物发运手续办理完毕后24小时内或货到甲方48小时前通知甲方，以准备甲方接货。根据甲方通知的时间和指定的地点，乙方负责安排送货、装卸、清点、堆放，设备初验收合格前的保管工作由乙方负责，费用乙方承担。</w:t>
      </w:r>
    </w:p>
    <w:p>
      <w:pPr>
        <w:adjustRightInd w:val="0"/>
        <w:snapToGrid w:val="0"/>
        <w:spacing w:line="440" w:lineRule="exact"/>
        <w:ind w:firstLine="420" w:firstLineChars="200"/>
        <w:contextualSpacing/>
        <w:rPr>
          <w:rFonts w:ascii="宋体" w:hAnsi="宋体"/>
          <w:szCs w:val="21"/>
        </w:rPr>
      </w:pPr>
      <w:r>
        <w:rPr>
          <w:rFonts w:ascii="宋体" w:hAnsi="宋体"/>
          <w:szCs w:val="21"/>
        </w:rPr>
        <w:t>14.4服务在交付甲方前发生的风险均由乙方负责。</w:t>
      </w:r>
    </w:p>
    <w:p>
      <w:pPr>
        <w:adjustRightInd w:val="0"/>
        <w:snapToGrid w:val="0"/>
        <w:spacing w:line="440" w:lineRule="exact"/>
        <w:ind w:firstLine="420" w:firstLineChars="200"/>
        <w:contextualSpacing/>
        <w:rPr>
          <w:rFonts w:ascii="宋体" w:hAnsi="宋体"/>
          <w:szCs w:val="21"/>
        </w:rPr>
      </w:pPr>
      <w:r>
        <w:rPr>
          <w:rFonts w:ascii="宋体" w:hAnsi="宋体"/>
          <w:szCs w:val="21"/>
        </w:rPr>
        <w:t>14.5服务在规定的交付期限内由乙方送达甲方指定的地点。</w:t>
      </w:r>
    </w:p>
    <w:p>
      <w:pPr>
        <w:adjustRightInd w:val="0"/>
        <w:snapToGrid w:val="0"/>
        <w:spacing w:line="440" w:lineRule="exact"/>
        <w:ind w:firstLine="422" w:firstLineChars="200"/>
        <w:contextualSpacing/>
        <w:rPr>
          <w:rFonts w:ascii="宋体" w:hAnsi="宋体" w:cs="Courier New"/>
          <w:b/>
          <w:bCs/>
          <w:szCs w:val="21"/>
        </w:rPr>
      </w:pPr>
      <w:r>
        <w:rPr>
          <w:rFonts w:ascii="宋体" w:hAnsi="宋体"/>
          <w:b/>
          <w:bCs/>
          <w:szCs w:val="21"/>
        </w:rPr>
        <w:t>15</w:t>
      </w:r>
      <w:r>
        <w:rPr>
          <w:rFonts w:hint="eastAsia" w:ascii="宋体" w:hAnsi="宋体"/>
          <w:b/>
          <w:bCs/>
          <w:szCs w:val="21"/>
        </w:rPr>
        <w:t>.</w:t>
      </w:r>
      <w:r>
        <w:rPr>
          <w:rFonts w:ascii="宋体" w:hAnsi="宋体"/>
          <w:b/>
          <w:bCs/>
          <w:szCs w:val="21"/>
        </w:rPr>
        <w:t>违约责任</w:t>
      </w:r>
    </w:p>
    <w:p>
      <w:pPr>
        <w:adjustRightInd w:val="0"/>
        <w:snapToGrid w:val="0"/>
        <w:spacing w:line="440" w:lineRule="exact"/>
        <w:ind w:firstLine="420" w:firstLineChars="200"/>
        <w:contextualSpacing/>
        <w:rPr>
          <w:rFonts w:ascii="宋体" w:hAnsi="宋体" w:cs="宋体"/>
          <w:szCs w:val="21"/>
        </w:rPr>
      </w:pPr>
      <w:r>
        <w:rPr>
          <w:rFonts w:ascii="宋体" w:hAnsi="宋体" w:cs="宋体"/>
          <w:szCs w:val="21"/>
        </w:rPr>
        <w:t>15.1甲方无正当理由拒绝初验收和终验收服务项目的，甲方应按未付服务项目款金额每日万分之五向乙方支付违约金。</w:t>
      </w:r>
    </w:p>
    <w:p>
      <w:pPr>
        <w:adjustRightInd w:val="0"/>
        <w:snapToGrid w:val="0"/>
        <w:spacing w:line="440" w:lineRule="exact"/>
        <w:ind w:firstLine="420" w:firstLineChars="200"/>
        <w:contextualSpacing/>
        <w:rPr>
          <w:rFonts w:ascii="宋体" w:hAnsi="宋体" w:cs="宋体"/>
          <w:szCs w:val="21"/>
        </w:rPr>
      </w:pPr>
      <w:r>
        <w:rPr>
          <w:rFonts w:ascii="宋体" w:hAnsi="宋体" w:cs="宋体"/>
          <w:szCs w:val="21"/>
        </w:rPr>
        <w:t>15.2甲方无故逾期验收和无故逾期办理款项支付手续的,甲方应按逾期付款金额每日万分之五向乙方支付违约金。</w:t>
      </w:r>
    </w:p>
    <w:p>
      <w:pPr>
        <w:adjustRightInd w:val="0"/>
        <w:snapToGrid w:val="0"/>
        <w:spacing w:line="440" w:lineRule="exact"/>
        <w:ind w:firstLine="420" w:firstLineChars="200"/>
        <w:contextualSpacing/>
        <w:rPr>
          <w:rFonts w:ascii="宋体" w:hAnsi="宋体" w:cs="宋体"/>
          <w:szCs w:val="21"/>
        </w:rPr>
      </w:pPr>
      <w:r>
        <w:rPr>
          <w:rFonts w:ascii="宋体" w:hAnsi="宋体" w:cs="宋体"/>
          <w:szCs w:val="21"/>
        </w:rPr>
        <w:t>15.3乙方违约，在消除违约情形前，应按本合同项目总额每日万分之五向甲方支付违约金，甲方可以从待付款项中扣除。</w:t>
      </w:r>
    </w:p>
    <w:p>
      <w:pPr>
        <w:adjustRightInd w:val="0"/>
        <w:snapToGrid w:val="0"/>
        <w:spacing w:line="440" w:lineRule="exact"/>
        <w:ind w:firstLine="420" w:firstLineChars="200"/>
        <w:contextualSpacing/>
        <w:rPr>
          <w:rFonts w:ascii="宋体" w:hAnsi="宋体" w:cs="宋体"/>
          <w:szCs w:val="21"/>
        </w:rPr>
      </w:pPr>
      <w:r>
        <w:rPr>
          <w:rFonts w:ascii="宋体" w:hAnsi="宋体" w:cs="宋体"/>
          <w:szCs w:val="21"/>
        </w:rPr>
        <w:t>15.4乙方因逾期交付服务项目或因其他违约行为，导致甲方解除合同的，乙方应向甲方支付合同总值5%的违约金，如造成甲方损失超过违约金的，超出部分由乙方继续承担赔偿责任。</w:t>
      </w:r>
    </w:p>
    <w:p>
      <w:pPr>
        <w:widowControl/>
        <w:adjustRightInd w:val="0"/>
        <w:snapToGrid w:val="0"/>
        <w:spacing w:line="440" w:lineRule="exact"/>
        <w:ind w:firstLine="420" w:firstLineChars="200"/>
        <w:contextualSpacing/>
        <w:textAlignment w:val="baseline"/>
        <w:rPr>
          <w:rFonts w:ascii="宋体" w:hAnsi="宋体" w:cs="宋体"/>
          <w:szCs w:val="21"/>
        </w:rPr>
      </w:pPr>
      <w:r>
        <w:rPr>
          <w:rFonts w:hint="eastAsia" w:ascii="宋体" w:hAnsi="宋体"/>
          <w:szCs w:val="21"/>
        </w:rPr>
        <w:t>1</w:t>
      </w:r>
      <w:r>
        <w:rPr>
          <w:rFonts w:ascii="宋体" w:hAnsi="宋体"/>
          <w:szCs w:val="21"/>
        </w:rPr>
        <w:t>5</w:t>
      </w:r>
      <w:r>
        <w:rPr>
          <w:rFonts w:hint="eastAsia" w:ascii="宋体" w:hAnsi="宋体"/>
          <w:szCs w:val="21"/>
        </w:rPr>
        <w:t>.5</w:t>
      </w:r>
      <w:r>
        <w:rPr>
          <w:rFonts w:ascii="宋体" w:hAnsi="宋体"/>
          <w:szCs w:val="21"/>
        </w:rPr>
        <w:t>在质量保证期内，如果乙方对</w:t>
      </w:r>
      <w:r>
        <w:rPr>
          <w:rFonts w:hint="eastAsia" w:ascii="宋体" w:hAnsi="宋体"/>
          <w:szCs w:val="21"/>
        </w:rPr>
        <w:t>所更换部件的</w:t>
      </w:r>
      <w:r>
        <w:rPr>
          <w:rFonts w:ascii="宋体" w:hAnsi="宋体"/>
          <w:szCs w:val="21"/>
        </w:rPr>
        <w:t>缺陷负有责任而甲方提出索赔，</w:t>
      </w:r>
      <w:r>
        <w:rPr>
          <w:rFonts w:hint="eastAsia" w:ascii="宋体" w:hAnsi="宋体"/>
          <w:szCs w:val="21"/>
        </w:rPr>
        <w:t>乙方须</w:t>
      </w:r>
      <w:r>
        <w:rPr>
          <w:rFonts w:ascii="宋体" w:hAnsi="宋体"/>
          <w:color w:val="000000"/>
          <w:szCs w:val="21"/>
        </w:rPr>
        <w:t>用符合合同规定的品牌规格、质量和性能要求的新零件、部件来更换有缺陷的部分或修补缺陷部分，</w:t>
      </w:r>
      <w:r>
        <w:rPr>
          <w:rFonts w:hint="eastAsia" w:ascii="宋体" w:hAnsi="宋体"/>
          <w:color w:val="000000"/>
          <w:szCs w:val="21"/>
        </w:rPr>
        <w:t>并</w:t>
      </w:r>
      <w:r>
        <w:rPr>
          <w:rFonts w:ascii="宋体" w:hAnsi="宋体"/>
          <w:color w:val="000000"/>
          <w:szCs w:val="21"/>
        </w:rPr>
        <w:t>承担一切费用和风险，</w:t>
      </w:r>
      <w:r>
        <w:rPr>
          <w:rFonts w:ascii="宋体" w:hAnsi="宋体"/>
          <w:szCs w:val="21"/>
        </w:rPr>
        <w:t>包括利息、银行手续费、运费、保险费、检验费、仓储费、装卸费以及为保护退回车辆所需的其他必要费用</w:t>
      </w:r>
      <w:r>
        <w:rPr>
          <w:rFonts w:hint="eastAsia" w:ascii="宋体" w:hAnsi="宋体"/>
          <w:szCs w:val="21"/>
        </w:rPr>
        <w:t>，</w:t>
      </w:r>
      <w:r>
        <w:rPr>
          <w:rFonts w:ascii="宋体" w:hAnsi="宋体"/>
          <w:color w:val="000000"/>
          <w:szCs w:val="21"/>
        </w:rPr>
        <w:t>负担甲方蒙受的全部损失。同时，乙方应对更换</w:t>
      </w:r>
      <w:r>
        <w:rPr>
          <w:rFonts w:hint="eastAsia" w:ascii="宋体" w:hAnsi="宋体"/>
          <w:color w:val="000000"/>
          <w:szCs w:val="21"/>
        </w:rPr>
        <w:t>的部</w:t>
      </w:r>
      <w:r>
        <w:rPr>
          <w:rFonts w:ascii="宋体" w:hAnsi="宋体"/>
          <w:color w:val="000000"/>
          <w:szCs w:val="21"/>
        </w:rPr>
        <w:t>件相应延长质量保证期。</w:t>
      </w:r>
    </w:p>
    <w:p>
      <w:pPr>
        <w:adjustRightInd w:val="0"/>
        <w:snapToGrid w:val="0"/>
        <w:spacing w:line="440" w:lineRule="exact"/>
        <w:ind w:firstLine="420" w:firstLineChars="200"/>
        <w:contextualSpacing/>
        <w:rPr>
          <w:rFonts w:ascii="宋体" w:hAnsi="宋体" w:cs="宋体"/>
          <w:szCs w:val="21"/>
        </w:rPr>
      </w:pPr>
      <w:r>
        <w:rPr>
          <w:rFonts w:ascii="宋体" w:hAnsi="宋体" w:cs="宋体"/>
          <w:szCs w:val="21"/>
        </w:rPr>
        <w:t>15.</w:t>
      </w:r>
      <w:r>
        <w:rPr>
          <w:rFonts w:hint="eastAsia" w:ascii="宋体" w:hAnsi="宋体" w:cs="宋体"/>
          <w:szCs w:val="21"/>
        </w:rPr>
        <w:t>6</w:t>
      </w:r>
      <w:r>
        <w:rPr>
          <w:rFonts w:ascii="宋体" w:hAnsi="宋体" w:cs="宋体"/>
          <w:szCs w:val="21"/>
        </w:rPr>
        <w:t>乙方所交的服务项目全部或部分品种、型号、规格、技术参数、质量不符合合同规定及</w:t>
      </w:r>
      <w:r>
        <w:rPr>
          <w:rFonts w:hint="eastAsia" w:ascii="宋体" w:hAnsi="宋体"/>
          <w:szCs w:val="21"/>
        </w:rPr>
        <w:t>招标</w:t>
      </w:r>
      <w:r>
        <w:rPr>
          <w:rFonts w:ascii="宋体" w:hAnsi="宋体" w:cs="宋体"/>
          <w:szCs w:val="21"/>
        </w:rPr>
        <w:t>文件规定标准的，乙方更换服务但逾期交付的（甲方拒绝接受的除外），按乙方逾期交付处理；乙方拒绝更换的，甲方可选择解除本合同或本合同的一部分，并可追究乙方的其他违约责任。</w:t>
      </w:r>
    </w:p>
    <w:p>
      <w:pPr>
        <w:widowControl/>
        <w:adjustRightInd w:val="0"/>
        <w:snapToGrid w:val="0"/>
        <w:spacing w:line="440" w:lineRule="exact"/>
        <w:ind w:firstLine="420" w:firstLineChars="200"/>
        <w:contextualSpacing/>
        <w:textAlignment w:val="baseline"/>
        <w:rPr>
          <w:rFonts w:ascii="宋体" w:hAnsi="宋体"/>
          <w:bCs/>
          <w:szCs w:val="21"/>
        </w:rPr>
      </w:pPr>
      <w:r>
        <w:rPr>
          <w:rFonts w:ascii="宋体" w:hAnsi="宋体" w:cs="宋体"/>
          <w:szCs w:val="21"/>
        </w:rPr>
        <w:t>15.</w:t>
      </w:r>
      <w:r>
        <w:rPr>
          <w:rFonts w:hint="eastAsia" w:ascii="宋体" w:hAnsi="宋体" w:cs="宋体"/>
          <w:szCs w:val="21"/>
        </w:rPr>
        <w:t>7</w:t>
      </w:r>
      <w:r>
        <w:rPr>
          <w:rFonts w:hint="eastAsia" w:ascii="宋体" w:hAnsi="宋体"/>
          <w:bCs/>
          <w:szCs w:val="21"/>
        </w:rPr>
        <w:t>乙方违反合同条款约定的，但合同的以上条款未做金额规定的，按每次200元处罚。处罚款项在之后的付款中扣除。处罚金额不足弥补，甲方有权追偿。</w:t>
      </w:r>
    </w:p>
    <w:p>
      <w:pPr>
        <w:widowControl/>
        <w:adjustRightInd w:val="0"/>
        <w:snapToGrid w:val="0"/>
        <w:spacing w:line="440" w:lineRule="exact"/>
        <w:ind w:firstLine="420" w:firstLineChars="200"/>
        <w:contextualSpacing/>
        <w:textAlignment w:val="baseline"/>
        <w:rPr>
          <w:rFonts w:ascii="宋体" w:hAnsi="宋体"/>
          <w:szCs w:val="21"/>
        </w:rPr>
      </w:pPr>
      <w:r>
        <w:rPr>
          <w:rFonts w:hint="eastAsia" w:ascii="宋体" w:hAnsi="宋体"/>
          <w:color w:val="000000"/>
          <w:szCs w:val="21"/>
        </w:rPr>
        <w:t>15.8</w:t>
      </w:r>
      <w:r>
        <w:rPr>
          <w:rFonts w:hint="eastAsia" w:ascii="宋体" w:hAnsi="宋体"/>
          <w:szCs w:val="21"/>
        </w:rPr>
        <w:t>若乙方因自身原因不履行本合同规定的工作，经甲方连续两次书面催告后10个工作日内仍未履行，甲方有权提前终止合同，同时乙方按合同价款的5%支付违约金并承担违约责任。</w:t>
      </w:r>
    </w:p>
    <w:p>
      <w:pPr>
        <w:widowControl/>
        <w:adjustRightInd w:val="0"/>
        <w:snapToGrid w:val="0"/>
        <w:spacing w:line="440" w:lineRule="exact"/>
        <w:ind w:firstLine="420" w:firstLineChars="200"/>
        <w:contextualSpacing/>
        <w:textAlignment w:val="baseline"/>
        <w:rPr>
          <w:rFonts w:ascii="宋体" w:hAnsi="宋体"/>
          <w:szCs w:val="21"/>
        </w:rPr>
      </w:pPr>
      <w:r>
        <w:rPr>
          <w:rFonts w:hint="eastAsia" w:ascii="宋体" w:hAnsi="宋体"/>
          <w:szCs w:val="21"/>
        </w:rPr>
        <w:t>15.9若甲方未能按合同规定的付款方式按时向乙方支付应付款项（乙方未符合合同条例管理规定除外）,经乙方连续发出两次书面催告后15个工作日后逾期付款,甲方需按逾期每日千分之五支付滞纳金。</w:t>
      </w:r>
    </w:p>
    <w:p>
      <w:pPr>
        <w:adjustRightInd w:val="0"/>
        <w:snapToGrid w:val="0"/>
        <w:spacing w:line="440" w:lineRule="exact"/>
        <w:ind w:firstLine="420" w:firstLineChars="200"/>
        <w:contextualSpacing/>
        <w:rPr>
          <w:rFonts w:ascii="宋体" w:hAnsi="宋体" w:cs="宋体"/>
          <w:szCs w:val="21"/>
        </w:rPr>
      </w:pPr>
      <w:r>
        <w:rPr>
          <w:rFonts w:hint="eastAsia" w:ascii="宋体" w:hAnsi="宋体" w:cs="宋体"/>
          <w:szCs w:val="21"/>
        </w:rPr>
        <w:t>15.10</w:t>
      </w:r>
      <w:r>
        <w:rPr>
          <w:rFonts w:ascii="宋体" w:hAnsi="宋体" w:cs="宋体"/>
          <w:szCs w:val="21"/>
        </w:rPr>
        <w:t>合同生效后，发现乙方投标属虚假承诺，或经权威部门监测提供的服务不能满足</w:t>
      </w:r>
      <w:r>
        <w:rPr>
          <w:rFonts w:hint="eastAsia" w:ascii="宋体" w:hAnsi="宋体"/>
          <w:szCs w:val="21"/>
        </w:rPr>
        <w:t>招标</w:t>
      </w:r>
      <w:r>
        <w:rPr>
          <w:rFonts w:ascii="宋体" w:hAnsi="宋体" w:cs="宋体"/>
          <w:szCs w:val="21"/>
        </w:rPr>
        <w:t>文件要求，造成合同无法继续履行的，乙方履约保证金不予退还外，还应向甲方支付不少于合同总价</w:t>
      </w:r>
      <w:r>
        <w:rPr>
          <w:rFonts w:hint="eastAsia" w:ascii="宋体" w:hAnsi="宋体" w:cs="宋体"/>
          <w:szCs w:val="21"/>
          <w:u w:val="single"/>
        </w:rPr>
        <w:t>5</w:t>
      </w:r>
      <w:r>
        <w:rPr>
          <w:rFonts w:ascii="宋体" w:hAnsi="宋体" w:cs="宋体"/>
          <w:szCs w:val="21"/>
        </w:rPr>
        <w:t>%赔偿金。</w:t>
      </w:r>
    </w:p>
    <w:p>
      <w:pPr>
        <w:adjustRightInd w:val="0"/>
        <w:snapToGrid w:val="0"/>
        <w:spacing w:line="440" w:lineRule="exact"/>
        <w:ind w:firstLine="420" w:firstLineChars="200"/>
        <w:contextualSpacing/>
        <w:rPr>
          <w:rFonts w:ascii="宋体" w:hAnsi="宋体"/>
          <w:color w:val="000000"/>
          <w:szCs w:val="21"/>
        </w:rPr>
      </w:pPr>
      <w:r>
        <w:rPr>
          <w:rFonts w:hint="eastAsia" w:ascii="宋体" w:hAnsi="宋体"/>
          <w:color w:val="000000"/>
          <w:szCs w:val="21"/>
        </w:rPr>
        <w:t>15.11</w:t>
      </w:r>
      <w:r>
        <w:rPr>
          <w:rFonts w:ascii="宋体" w:hAnsi="宋体"/>
          <w:color w:val="000000"/>
          <w:szCs w:val="21"/>
        </w:rPr>
        <w:t>如果在甲方发出索赔通知后14天内，乙方未作答复，上述索赔应视为已被乙方接受,甲方可从应付货款或从乙方开具的履约担保中扣回索赔金额，不足部分，甲方可向乙方追偿。</w:t>
      </w:r>
    </w:p>
    <w:p>
      <w:pPr>
        <w:adjustRightInd w:val="0"/>
        <w:snapToGrid w:val="0"/>
        <w:spacing w:line="440" w:lineRule="exact"/>
        <w:ind w:firstLine="420" w:firstLineChars="200"/>
        <w:contextualSpacing/>
        <w:rPr>
          <w:rFonts w:ascii="宋体" w:hAnsi="宋体" w:cs="宋体"/>
          <w:szCs w:val="21"/>
        </w:rPr>
      </w:pPr>
      <w:r>
        <w:rPr>
          <w:rFonts w:hint="eastAsia" w:ascii="宋体" w:hAnsi="宋体"/>
          <w:color w:val="000000"/>
          <w:szCs w:val="21"/>
        </w:rPr>
        <w:t>15.12</w:t>
      </w:r>
      <w:r>
        <w:rPr>
          <w:rFonts w:ascii="宋体" w:hAnsi="宋体"/>
          <w:color w:val="000000"/>
          <w:szCs w:val="21"/>
        </w:rPr>
        <w:t>乙方应加强工作人员的管理,禁止乙方以各种手段腐蚀、贿赂甲方单位工作人员，并将诚信档案记录的工作人员违规不良行为纳入违约行为,如有违反，甲方将停止履行合同，并追究乙方违约责任。</w:t>
      </w:r>
    </w:p>
    <w:p>
      <w:pPr>
        <w:adjustRightInd w:val="0"/>
        <w:snapToGrid w:val="0"/>
        <w:spacing w:line="440" w:lineRule="exact"/>
        <w:ind w:firstLine="422" w:firstLineChars="200"/>
        <w:contextualSpacing/>
        <w:rPr>
          <w:rFonts w:ascii="宋体" w:hAnsi="宋体"/>
          <w:b/>
          <w:bCs/>
          <w:szCs w:val="21"/>
        </w:rPr>
      </w:pPr>
      <w:r>
        <w:rPr>
          <w:rFonts w:hint="eastAsia" w:ascii="宋体" w:hAnsi="宋体"/>
          <w:b/>
          <w:bCs/>
          <w:szCs w:val="21"/>
        </w:rPr>
        <w:t>16.考核办法</w:t>
      </w:r>
    </w:p>
    <w:p>
      <w:pPr>
        <w:adjustRightInd w:val="0"/>
        <w:snapToGrid w:val="0"/>
        <w:spacing w:line="440" w:lineRule="exact"/>
        <w:ind w:firstLine="420" w:firstLineChars="200"/>
        <w:contextualSpacing/>
        <w:rPr>
          <w:rFonts w:ascii="宋体" w:hAnsi="宋体"/>
          <w:szCs w:val="21"/>
        </w:rPr>
      </w:pPr>
      <w:r>
        <w:rPr>
          <w:rFonts w:ascii="宋体" w:hAnsi="宋体"/>
          <w:szCs w:val="21"/>
        </w:rPr>
        <w:t>甲方对乙方的服务实行考核评价制度，包括：</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16.1日常管理考核：甲方根据乙方日常服务表现，按照下列项目进行考核</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16.1.1维保场所、值班区域、机房等场所环境卫生较差，经提醒后在规定时间内（3天）整改不到位的，扣罚300元一次。</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16.1.2维保人员24小时驻场，维保人员在接到使用单位通知后，未在合同约定时间（10分钟）内到达现场，一次扣罚500元。</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16.1.3上级部门各项检查中发现工作存在安全隐患的视情节轻重每次扣罚乙方300-1000元。</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16.1.4医护人员、患者、患者家属投诉维保人员服务质量和服务态度有问题，一经查实扣罚中标人300元。</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16.1.5维保不认真，未按照电梯维保标准进行维保工作的，视情节轻重每次扣罚乙方300-500元。</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16.1.6现场维保人员需持证上岗，无证、证书不在有效期内的，无证人员需立即退出维保岗位，扣罚乙方1000元。</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16.1.7由于维保人员工作不认真，导致的人身安全伤害（自身、医护人员、患者、家属或陪护）及财产损失的，视情节每次处罚中标人1000-3000元并承担损失。造成后果的，中标人承担全部责任。采购人保留通过法律途径追偿经济损失和社会名誉损失等法律权利。</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16.1.8电梯故障控制</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1）根据《GB/T24476-2017电梯安全评估规范》相关要求，按照电梯出现故障的严重程度，将电梯故障分为一、二、三、四共四个等级。每个等级对应的故障种类见下表。</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电梯故障等级划分表</w:t>
      </w:r>
    </w:p>
    <w:tbl>
      <w:tblPr>
        <w:tblStyle w:val="1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09"/>
        <w:gridCol w:w="1561"/>
        <w:gridCol w:w="34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8" w:hRule="atLeast"/>
        </w:trPr>
        <w:tc>
          <w:tcPr>
            <w:tcW w:w="3509" w:type="dxa"/>
            <w:vMerge w:val="restart"/>
            <w:noWrap/>
            <w:vAlign w:val="center"/>
          </w:tcPr>
          <w:p>
            <w:pPr>
              <w:adjustRightInd w:val="0"/>
              <w:snapToGrid w:val="0"/>
              <w:spacing w:line="440" w:lineRule="exact"/>
              <w:contextualSpacing/>
              <w:jc w:val="center"/>
              <w:rPr>
                <w:rFonts w:ascii="宋体" w:hAnsi="宋体"/>
                <w:szCs w:val="21"/>
              </w:rPr>
            </w:pPr>
            <w:r>
              <w:rPr>
                <w:rFonts w:hint="eastAsia" w:ascii="宋体" w:hAnsi="宋体"/>
                <w:szCs w:val="21"/>
              </w:rPr>
              <w:t>电梯故障等级四级</w:t>
            </w:r>
          </w:p>
          <w:p>
            <w:pPr>
              <w:adjustRightInd w:val="0"/>
              <w:snapToGrid w:val="0"/>
              <w:spacing w:line="440" w:lineRule="exact"/>
              <w:contextualSpacing/>
              <w:jc w:val="center"/>
              <w:rPr>
                <w:rFonts w:ascii="宋体" w:hAnsi="宋体"/>
                <w:szCs w:val="21"/>
              </w:rPr>
            </w:pPr>
            <w:r>
              <w:rPr>
                <w:rFonts w:hint="eastAsia" w:ascii="宋体" w:hAnsi="宋体"/>
                <w:szCs w:val="21"/>
              </w:rPr>
              <w:t>（灾难性故障）</w:t>
            </w:r>
          </w:p>
        </w:tc>
        <w:tc>
          <w:tcPr>
            <w:tcW w:w="1561" w:type="dxa"/>
            <w:noWrap/>
          </w:tcPr>
          <w:p>
            <w:pPr>
              <w:adjustRightInd w:val="0"/>
              <w:snapToGrid w:val="0"/>
              <w:spacing w:line="440" w:lineRule="exact"/>
              <w:contextualSpacing/>
              <w:jc w:val="center"/>
              <w:rPr>
                <w:rFonts w:ascii="宋体" w:hAnsi="宋体"/>
                <w:szCs w:val="21"/>
              </w:rPr>
            </w:pPr>
            <w:r>
              <w:rPr>
                <w:rFonts w:hint="eastAsia" w:ascii="宋体" w:hAnsi="宋体"/>
                <w:szCs w:val="21"/>
              </w:rPr>
              <w:t>序号</w:t>
            </w:r>
          </w:p>
        </w:tc>
        <w:tc>
          <w:tcPr>
            <w:tcW w:w="3452" w:type="dxa"/>
            <w:noWrap/>
          </w:tcPr>
          <w:p>
            <w:pPr>
              <w:adjustRightInd w:val="0"/>
              <w:snapToGrid w:val="0"/>
              <w:spacing w:line="440" w:lineRule="exact"/>
              <w:contextualSpacing/>
              <w:jc w:val="center"/>
              <w:rPr>
                <w:rFonts w:ascii="宋体" w:hAnsi="宋体"/>
                <w:szCs w:val="21"/>
              </w:rPr>
            </w:pPr>
            <w:r>
              <w:rPr>
                <w:rFonts w:hint="eastAsia" w:ascii="宋体" w:hAnsi="宋体"/>
                <w:szCs w:val="21"/>
              </w:rPr>
              <w:t>故障子目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09" w:type="dxa"/>
            <w:vMerge w:val="continue"/>
            <w:noWrap/>
            <w:vAlign w:val="center"/>
          </w:tcPr>
          <w:p>
            <w:pPr>
              <w:adjustRightInd w:val="0"/>
              <w:snapToGrid w:val="0"/>
              <w:spacing w:line="440" w:lineRule="exact"/>
              <w:contextualSpacing/>
              <w:jc w:val="center"/>
              <w:rPr>
                <w:rFonts w:ascii="宋体" w:hAnsi="宋体"/>
                <w:szCs w:val="21"/>
              </w:rPr>
            </w:pPr>
          </w:p>
        </w:tc>
        <w:tc>
          <w:tcPr>
            <w:tcW w:w="1561" w:type="dxa"/>
            <w:noWrap/>
          </w:tcPr>
          <w:p>
            <w:pPr>
              <w:adjustRightInd w:val="0"/>
              <w:snapToGrid w:val="0"/>
              <w:spacing w:line="440" w:lineRule="exact"/>
              <w:contextualSpacing/>
              <w:jc w:val="center"/>
              <w:rPr>
                <w:rFonts w:ascii="宋体" w:hAnsi="宋体"/>
                <w:szCs w:val="21"/>
              </w:rPr>
            </w:pPr>
            <w:r>
              <w:rPr>
                <w:rFonts w:hint="eastAsia" w:ascii="宋体" w:hAnsi="宋体"/>
                <w:szCs w:val="21"/>
              </w:rPr>
              <w:t>1</w:t>
            </w:r>
          </w:p>
        </w:tc>
        <w:tc>
          <w:tcPr>
            <w:tcW w:w="3452" w:type="dxa"/>
            <w:noWrap/>
          </w:tcPr>
          <w:p>
            <w:pPr>
              <w:adjustRightInd w:val="0"/>
              <w:snapToGrid w:val="0"/>
              <w:spacing w:line="440" w:lineRule="exact"/>
              <w:contextualSpacing/>
              <w:jc w:val="center"/>
              <w:rPr>
                <w:rFonts w:ascii="宋体" w:hAnsi="宋体"/>
                <w:szCs w:val="21"/>
              </w:rPr>
            </w:pPr>
            <w:r>
              <w:rPr>
                <w:rFonts w:hint="eastAsia" w:ascii="宋体" w:hAnsi="宋体"/>
                <w:szCs w:val="21"/>
              </w:rPr>
              <w:t>坠落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09" w:type="dxa"/>
            <w:vMerge w:val="continue"/>
            <w:noWrap/>
            <w:vAlign w:val="center"/>
          </w:tcPr>
          <w:p>
            <w:pPr>
              <w:adjustRightInd w:val="0"/>
              <w:snapToGrid w:val="0"/>
              <w:spacing w:line="440" w:lineRule="exact"/>
              <w:contextualSpacing/>
              <w:jc w:val="center"/>
              <w:rPr>
                <w:rFonts w:ascii="宋体" w:hAnsi="宋体"/>
                <w:szCs w:val="21"/>
              </w:rPr>
            </w:pPr>
          </w:p>
        </w:tc>
        <w:tc>
          <w:tcPr>
            <w:tcW w:w="1561" w:type="dxa"/>
            <w:noWrap/>
          </w:tcPr>
          <w:p>
            <w:pPr>
              <w:adjustRightInd w:val="0"/>
              <w:snapToGrid w:val="0"/>
              <w:spacing w:line="440" w:lineRule="exact"/>
              <w:contextualSpacing/>
              <w:jc w:val="center"/>
              <w:rPr>
                <w:rFonts w:ascii="宋体" w:hAnsi="宋体"/>
                <w:szCs w:val="21"/>
              </w:rPr>
            </w:pPr>
            <w:r>
              <w:rPr>
                <w:rFonts w:hint="eastAsia" w:ascii="宋体" w:hAnsi="宋体"/>
                <w:szCs w:val="21"/>
              </w:rPr>
              <w:t>2</w:t>
            </w:r>
          </w:p>
        </w:tc>
        <w:tc>
          <w:tcPr>
            <w:tcW w:w="3452" w:type="dxa"/>
            <w:noWrap/>
          </w:tcPr>
          <w:p>
            <w:pPr>
              <w:adjustRightInd w:val="0"/>
              <w:snapToGrid w:val="0"/>
              <w:spacing w:line="440" w:lineRule="exact"/>
              <w:contextualSpacing/>
              <w:jc w:val="center"/>
              <w:rPr>
                <w:rFonts w:ascii="宋体" w:hAnsi="宋体"/>
                <w:szCs w:val="21"/>
              </w:rPr>
            </w:pPr>
            <w:r>
              <w:rPr>
                <w:rFonts w:hint="eastAsia" w:ascii="宋体" w:hAnsi="宋体"/>
                <w:szCs w:val="21"/>
              </w:rPr>
              <w:t>冲顶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09" w:type="dxa"/>
            <w:vMerge w:val="continue"/>
            <w:noWrap/>
            <w:vAlign w:val="center"/>
          </w:tcPr>
          <w:p>
            <w:pPr>
              <w:adjustRightInd w:val="0"/>
              <w:snapToGrid w:val="0"/>
              <w:spacing w:line="440" w:lineRule="exact"/>
              <w:contextualSpacing/>
              <w:jc w:val="center"/>
              <w:rPr>
                <w:rFonts w:ascii="宋体" w:hAnsi="宋体"/>
                <w:szCs w:val="21"/>
              </w:rPr>
            </w:pPr>
          </w:p>
        </w:tc>
        <w:tc>
          <w:tcPr>
            <w:tcW w:w="1561" w:type="dxa"/>
            <w:noWrap/>
          </w:tcPr>
          <w:p>
            <w:pPr>
              <w:adjustRightInd w:val="0"/>
              <w:snapToGrid w:val="0"/>
              <w:spacing w:line="440" w:lineRule="exact"/>
              <w:contextualSpacing/>
              <w:jc w:val="center"/>
              <w:rPr>
                <w:rFonts w:ascii="宋体" w:hAnsi="宋体"/>
                <w:szCs w:val="21"/>
              </w:rPr>
            </w:pPr>
            <w:r>
              <w:rPr>
                <w:rFonts w:hint="eastAsia" w:ascii="宋体" w:hAnsi="宋体"/>
                <w:szCs w:val="21"/>
              </w:rPr>
              <w:t>3</w:t>
            </w:r>
          </w:p>
        </w:tc>
        <w:tc>
          <w:tcPr>
            <w:tcW w:w="3452" w:type="dxa"/>
            <w:noWrap/>
          </w:tcPr>
          <w:p>
            <w:pPr>
              <w:adjustRightInd w:val="0"/>
              <w:snapToGrid w:val="0"/>
              <w:spacing w:line="440" w:lineRule="exact"/>
              <w:contextualSpacing/>
              <w:jc w:val="center"/>
              <w:rPr>
                <w:rFonts w:ascii="宋体" w:hAnsi="宋体"/>
                <w:szCs w:val="21"/>
              </w:rPr>
            </w:pPr>
            <w:r>
              <w:rPr>
                <w:rFonts w:hint="eastAsia" w:ascii="宋体" w:hAnsi="宋体"/>
                <w:szCs w:val="21"/>
              </w:rPr>
              <w:t>蹲底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09" w:type="dxa"/>
            <w:vMerge w:val="continue"/>
            <w:noWrap/>
            <w:vAlign w:val="center"/>
          </w:tcPr>
          <w:p>
            <w:pPr>
              <w:adjustRightInd w:val="0"/>
              <w:snapToGrid w:val="0"/>
              <w:spacing w:line="440" w:lineRule="exact"/>
              <w:contextualSpacing/>
              <w:jc w:val="center"/>
              <w:rPr>
                <w:rFonts w:ascii="宋体" w:hAnsi="宋体"/>
                <w:szCs w:val="21"/>
              </w:rPr>
            </w:pPr>
          </w:p>
        </w:tc>
        <w:tc>
          <w:tcPr>
            <w:tcW w:w="1561" w:type="dxa"/>
            <w:noWrap/>
          </w:tcPr>
          <w:p>
            <w:pPr>
              <w:adjustRightInd w:val="0"/>
              <w:snapToGrid w:val="0"/>
              <w:spacing w:line="440" w:lineRule="exact"/>
              <w:contextualSpacing/>
              <w:jc w:val="center"/>
              <w:rPr>
                <w:rFonts w:ascii="宋体" w:hAnsi="宋体"/>
                <w:szCs w:val="21"/>
              </w:rPr>
            </w:pPr>
            <w:r>
              <w:rPr>
                <w:rFonts w:hint="eastAsia" w:ascii="宋体" w:hAnsi="宋体"/>
                <w:szCs w:val="21"/>
              </w:rPr>
              <w:t>4</w:t>
            </w:r>
          </w:p>
        </w:tc>
        <w:tc>
          <w:tcPr>
            <w:tcW w:w="3452" w:type="dxa"/>
            <w:noWrap/>
          </w:tcPr>
          <w:p>
            <w:pPr>
              <w:adjustRightInd w:val="0"/>
              <w:snapToGrid w:val="0"/>
              <w:spacing w:line="440" w:lineRule="exact"/>
              <w:contextualSpacing/>
              <w:jc w:val="center"/>
              <w:rPr>
                <w:rFonts w:ascii="宋体" w:hAnsi="宋体"/>
                <w:szCs w:val="21"/>
              </w:rPr>
            </w:pPr>
            <w:r>
              <w:rPr>
                <w:rFonts w:hint="eastAsia" w:ascii="宋体" w:hAnsi="宋体"/>
                <w:szCs w:val="21"/>
              </w:rPr>
              <w:t>电气系统起火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09" w:type="dxa"/>
            <w:vMerge w:val="restart"/>
            <w:noWrap/>
            <w:vAlign w:val="center"/>
          </w:tcPr>
          <w:p>
            <w:pPr>
              <w:adjustRightInd w:val="0"/>
              <w:snapToGrid w:val="0"/>
              <w:spacing w:line="440" w:lineRule="exact"/>
              <w:contextualSpacing/>
              <w:jc w:val="center"/>
              <w:rPr>
                <w:rFonts w:ascii="宋体" w:hAnsi="宋体"/>
                <w:szCs w:val="21"/>
              </w:rPr>
            </w:pPr>
            <w:r>
              <w:rPr>
                <w:rFonts w:hint="eastAsia" w:ascii="宋体" w:hAnsi="宋体"/>
                <w:szCs w:val="21"/>
              </w:rPr>
              <w:t>电梯故障等级三级</w:t>
            </w:r>
          </w:p>
          <w:p>
            <w:pPr>
              <w:adjustRightInd w:val="0"/>
              <w:snapToGrid w:val="0"/>
              <w:spacing w:line="440" w:lineRule="exact"/>
              <w:contextualSpacing/>
              <w:jc w:val="center"/>
              <w:rPr>
                <w:rFonts w:ascii="宋体" w:hAnsi="宋体"/>
                <w:szCs w:val="21"/>
              </w:rPr>
            </w:pPr>
            <w:r>
              <w:rPr>
                <w:rFonts w:hint="eastAsia" w:ascii="宋体" w:hAnsi="宋体"/>
                <w:szCs w:val="21"/>
              </w:rPr>
              <w:t>（严重故障）</w:t>
            </w:r>
          </w:p>
        </w:tc>
        <w:tc>
          <w:tcPr>
            <w:tcW w:w="1561" w:type="dxa"/>
            <w:noWrap/>
          </w:tcPr>
          <w:p>
            <w:pPr>
              <w:adjustRightInd w:val="0"/>
              <w:snapToGrid w:val="0"/>
              <w:spacing w:line="440" w:lineRule="exact"/>
              <w:contextualSpacing/>
              <w:jc w:val="center"/>
              <w:rPr>
                <w:rFonts w:ascii="宋体" w:hAnsi="宋体"/>
                <w:szCs w:val="21"/>
              </w:rPr>
            </w:pPr>
            <w:r>
              <w:rPr>
                <w:rFonts w:hint="eastAsia" w:ascii="宋体" w:hAnsi="宋体"/>
                <w:szCs w:val="21"/>
              </w:rPr>
              <w:t>5</w:t>
            </w:r>
          </w:p>
        </w:tc>
        <w:tc>
          <w:tcPr>
            <w:tcW w:w="3452" w:type="dxa"/>
            <w:noWrap/>
          </w:tcPr>
          <w:p>
            <w:pPr>
              <w:adjustRightInd w:val="0"/>
              <w:snapToGrid w:val="0"/>
              <w:spacing w:line="440" w:lineRule="exact"/>
              <w:contextualSpacing/>
              <w:jc w:val="center"/>
              <w:rPr>
                <w:rFonts w:ascii="宋体" w:hAnsi="宋体"/>
                <w:szCs w:val="21"/>
              </w:rPr>
            </w:pPr>
            <w:r>
              <w:rPr>
                <w:rFonts w:hint="eastAsia" w:ascii="宋体" w:hAnsi="宋体"/>
                <w:szCs w:val="21"/>
              </w:rPr>
              <w:t>困人事件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09" w:type="dxa"/>
            <w:vMerge w:val="continue"/>
            <w:noWrap/>
            <w:vAlign w:val="center"/>
          </w:tcPr>
          <w:p>
            <w:pPr>
              <w:adjustRightInd w:val="0"/>
              <w:snapToGrid w:val="0"/>
              <w:spacing w:line="440" w:lineRule="exact"/>
              <w:contextualSpacing/>
              <w:jc w:val="center"/>
              <w:rPr>
                <w:rFonts w:ascii="宋体" w:hAnsi="宋体"/>
                <w:szCs w:val="21"/>
              </w:rPr>
            </w:pPr>
          </w:p>
        </w:tc>
        <w:tc>
          <w:tcPr>
            <w:tcW w:w="1561" w:type="dxa"/>
            <w:noWrap/>
          </w:tcPr>
          <w:p>
            <w:pPr>
              <w:adjustRightInd w:val="0"/>
              <w:snapToGrid w:val="0"/>
              <w:spacing w:line="440" w:lineRule="exact"/>
              <w:contextualSpacing/>
              <w:jc w:val="center"/>
              <w:rPr>
                <w:rFonts w:ascii="宋体" w:hAnsi="宋体"/>
                <w:szCs w:val="21"/>
              </w:rPr>
            </w:pPr>
            <w:r>
              <w:rPr>
                <w:rFonts w:hint="eastAsia" w:ascii="宋体" w:hAnsi="宋体"/>
                <w:szCs w:val="21"/>
              </w:rPr>
              <w:t>6</w:t>
            </w:r>
          </w:p>
        </w:tc>
        <w:tc>
          <w:tcPr>
            <w:tcW w:w="3452" w:type="dxa"/>
            <w:noWrap/>
          </w:tcPr>
          <w:p>
            <w:pPr>
              <w:adjustRightInd w:val="0"/>
              <w:snapToGrid w:val="0"/>
              <w:spacing w:line="440" w:lineRule="exact"/>
              <w:contextualSpacing/>
              <w:jc w:val="center"/>
              <w:rPr>
                <w:rFonts w:ascii="宋体" w:hAnsi="宋体"/>
                <w:szCs w:val="21"/>
              </w:rPr>
            </w:pPr>
            <w:r>
              <w:rPr>
                <w:rFonts w:hint="eastAsia" w:ascii="宋体" w:hAnsi="宋体"/>
                <w:szCs w:val="21"/>
              </w:rPr>
              <w:t>制动器失效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09" w:type="dxa"/>
            <w:vMerge w:val="continue"/>
            <w:noWrap/>
            <w:vAlign w:val="center"/>
          </w:tcPr>
          <w:p>
            <w:pPr>
              <w:adjustRightInd w:val="0"/>
              <w:snapToGrid w:val="0"/>
              <w:spacing w:line="440" w:lineRule="exact"/>
              <w:contextualSpacing/>
              <w:jc w:val="center"/>
              <w:rPr>
                <w:rFonts w:ascii="宋体" w:hAnsi="宋体"/>
                <w:szCs w:val="21"/>
              </w:rPr>
            </w:pPr>
          </w:p>
        </w:tc>
        <w:tc>
          <w:tcPr>
            <w:tcW w:w="1561" w:type="dxa"/>
            <w:noWrap/>
          </w:tcPr>
          <w:p>
            <w:pPr>
              <w:adjustRightInd w:val="0"/>
              <w:snapToGrid w:val="0"/>
              <w:spacing w:line="440" w:lineRule="exact"/>
              <w:contextualSpacing/>
              <w:jc w:val="center"/>
              <w:rPr>
                <w:rFonts w:ascii="宋体" w:hAnsi="宋体"/>
                <w:szCs w:val="21"/>
              </w:rPr>
            </w:pPr>
            <w:r>
              <w:rPr>
                <w:rFonts w:hint="eastAsia" w:ascii="宋体" w:hAnsi="宋体"/>
                <w:szCs w:val="21"/>
              </w:rPr>
              <w:t>7</w:t>
            </w:r>
          </w:p>
        </w:tc>
        <w:tc>
          <w:tcPr>
            <w:tcW w:w="3452" w:type="dxa"/>
            <w:noWrap/>
          </w:tcPr>
          <w:p>
            <w:pPr>
              <w:adjustRightInd w:val="0"/>
              <w:snapToGrid w:val="0"/>
              <w:spacing w:line="440" w:lineRule="exact"/>
              <w:contextualSpacing/>
              <w:jc w:val="center"/>
              <w:rPr>
                <w:rFonts w:ascii="宋体" w:hAnsi="宋体"/>
                <w:szCs w:val="21"/>
              </w:rPr>
            </w:pPr>
            <w:r>
              <w:rPr>
                <w:rFonts w:hint="eastAsia" w:ascii="宋体" w:hAnsi="宋体"/>
                <w:szCs w:val="21"/>
              </w:rPr>
              <w:t>钢丝绳磨损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09" w:type="dxa"/>
            <w:vMerge w:val="continue"/>
            <w:noWrap/>
            <w:vAlign w:val="center"/>
          </w:tcPr>
          <w:p>
            <w:pPr>
              <w:adjustRightInd w:val="0"/>
              <w:snapToGrid w:val="0"/>
              <w:spacing w:line="440" w:lineRule="exact"/>
              <w:contextualSpacing/>
              <w:jc w:val="center"/>
              <w:rPr>
                <w:rFonts w:ascii="宋体" w:hAnsi="宋体"/>
                <w:szCs w:val="21"/>
              </w:rPr>
            </w:pPr>
          </w:p>
        </w:tc>
        <w:tc>
          <w:tcPr>
            <w:tcW w:w="1561" w:type="dxa"/>
            <w:noWrap/>
          </w:tcPr>
          <w:p>
            <w:pPr>
              <w:adjustRightInd w:val="0"/>
              <w:snapToGrid w:val="0"/>
              <w:spacing w:line="440" w:lineRule="exact"/>
              <w:contextualSpacing/>
              <w:jc w:val="center"/>
              <w:rPr>
                <w:rFonts w:ascii="宋体" w:hAnsi="宋体"/>
                <w:szCs w:val="21"/>
              </w:rPr>
            </w:pPr>
            <w:r>
              <w:rPr>
                <w:rFonts w:hint="eastAsia" w:ascii="宋体" w:hAnsi="宋体"/>
                <w:szCs w:val="21"/>
              </w:rPr>
              <w:t>8</w:t>
            </w:r>
          </w:p>
        </w:tc>
        <w:tc>
          <w:tcPr>
            <w:tcW w:w="3452" w:type="dxa"/>
            <w:noWrap/>
          </w:tcPr>
          <w:p>
            <w:pPr>
              <w:adjustRightInd w:val="0"/>
              <w:snapToGrid w:val="0"/>
              <w:spacing w:line="440" w:lineRule="exact"/>
              <w:contextualSpacing/>
              <w:jc w:val="center"/>
              <w:rPr>
                <w:rFonts w:ascii="宋体" w:hAnsi="宋体"/>
                <w:szCs w:val="21"/>
              </w:rPr>
            </w:pPr>
            <w:r>
              <w:rPr>
                <w:rFonts w:hint="eastAsia" w:ascii="宋体" w:hAnsi="宋体"/>
                <w:szCs w:val="21"/>
              </w:rPr>
              <w:t>控制系统瘫痪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09" w:type="dxa"/>
            <w:vMerge w:val="restart"/>
            <w:noWrap/>
            <w:vAlign w:val="center"/>
          </w:tcPr>
          <w:p>
            <w:pPr>
              <w:adjustRightInd w:val="0"/>
              <w:snapToGrid w:val="0"/>
              <w:spacing w:line="440" w:lineRule="exact"/>
              <w:contextualSpacing/>
              <w:jc w:val="center"/>
              <w:rPr>
                <w:rFonts w:ascii="宋体" w:hAnsi="宋体"/>
                <w:szCs w:val="21"/>
              </w:rPr>
            </w:pPr>
            <w:r>
              <w:rPr>
                <w:rFonts w:hint="eastAsia" w:ascii="宋体" w:hAnsi="宋体"/>
                <w:szCs w:val="21"/>
              </w:rPr>
              <w:t>电梯故障等级二级</w:t>
            </w:r>
          </w:p>
          <w:p>
            <w:pPr>
              <w:adjustRightInd w:val="0"/>
              <w:snapToGrid w:val="0"/>
              <w:spacing w:line="440" w:lineRule="exact"/>
              <w:contextualSpacing/>
              <w:jc w:val="center"/>
              <w:rPr>
                <w:rFonts w:ascii="宋体" w:hAnsi="宋体"/>
                <w:szCs w:val="21"/>
              </w:rPr>
            </w:pPr>
            <w:r>
              <w:rPr>
                <w:rFonts w:hint="eastAsia" w:ascii="宋体" w:hAnsi="宋体"/>
                <w:szCs w:val="21"/>
              </w:rPr>
              <w:t>（一般故障）</w:t>
            </w:r>
          </w:p>
        </w:tc>
        <w:tc>
          <w:tcPr>
            <w:tcW w:w="1561" w:type="dxa"/>
            <w:noWrap/>
          </w:tcPr>
          <w:p>
            <w:pPr>
              <w:adjustRightInd w:val="0"/>
              <w:snapToGrid w:val="0"/>
              <w:spacing w:line="440" w:lineRule="exact"/>
              <w:contextualSpacing/>
              <w:jc w:val="center"/>
              <w:rPr>
                <w:rFonts w:ascii="宋体" w:hAnsi="宋体"/>
                <w:szCs w:val="21"/>
              </w:rPr>
            </w:pPr>
            <w:r>
              <w:rPr>
                <w:rFonts w:hint="eastAsia" w:ascii="宋体" w:hAnsi="宋体"/>
                <w:szCs w:val="21"/>
              </w:rPr>
              <w:t>9</w:t>
            </w:r>
          </w:p>
        </w:tc>
        <w:tc>
          <w:tcPr>
            <w:tcW w:w="3452" w:type="dxa"/>
            <w:noWrap/>
          </w:tcPr>
          <w:p>
            <w:pPr>
              <w:adjustRightInd w:val="0"/>
              <w:snapToGrid w:val="0"/>
              <w:spacing w:line="440" w:lineRule="exact"/>
              <w:contextualSpacing/>
              <w:jc w:val="center"/>
              <w:rPr>
                <w:rFonts w:ascii="宋体" w:hAnsi="宋体"/>
                <w:szCs w:val="21"/>
              </w:rPr>
            </w:pPr>
            <w:r>
              <w:rPr>
                <w:rFonts w:hint="eastAsia" w:ascii="宋体" w:hAnsi="宋体"/>
                <w:szCs w:val="21"/>
              </w:rPr>
              <w:t>门锁接触不良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09" w:type="dxa"/>
            <w:vMerge w:val="continue"/>
            <w:noWrap/>
            <w:vAlign w:val="center"/>
          </w:tcPr>
          <w:p>
            <w:pPr>
              <w:adjustRightInd w:val="0"/>
              <w:snapToGrid w:val="0"/>
              <w:spacing w:line="440" w:lineRule="exact"/>
              <w:contextualSpacing/>
              <w:jc w:val="center"/>
              <w:rPr>
                <w:rFonts w:ascii="宋体" w:hAnsi="宋体"/>
                <w:szCs w:val="21"/>
              </w:rPr>
            </w:pPr>
          </w:p>
        </w:tc>
        <w:tc>
          <w:tcPr>
            <w:tcW w:w="1561" w:type="dxa"/>
            <w:noWrap/>
          </w:tcPr>
          <w:p>
            <w:pPr>
              <w:adjustRightInd w:val="0"/>
              <w:snapToGrid w:val="0"/>
              <w:spacing w:line="440" w:lineRule="exact"/>
              <w:contextualSpacing/>
              <w:jc w:val="center"/>
              <w:rPr>
                <w:rFonts w:ascii="宋体" w:hAnsi="宋体"/>
                <w:szCs w:val="21"/>
              </w:rPr>
            </w:pPr>
            <w:r>
              <w:rPr>
                <w:rFonts w:hint="eastAsia" w:ascii="宋体" w:hAnsi="宋体"/>
                <w:szCs w:val="21"/>
              </w:rPr>
              <w:t>10</w:t>
            </w:r>
          </w:p>
        </w:tc>
        <w:tc>
          <w:tcPr>
            <w:tcW w:w="3452" w:type="dxa"/>
            <w:noWrap/>
          </w:tcPr>
          <w:p>
            <w:pPr>
              <w:adjustRightInd w:val="0"/>
              <w:snapToGrid w:val="0"/>
              <w:spacing w:line="440" w:lineRule="exact"/>
              <w:contextualSpacing/>
              <w:jc w:val="center"/>
              <w:rPr>
                <w:rFonts w:ascii="宋体" w:hAnsi="宋体"/>
                <w:szCs w:val="21"/>
              </w:rPr>
            </w:pPr>
            <w:r>
              <w:rPr>
                <w:rFonts w:hint="eastAsia" w:ascii="宋体" w:hAnsi="宋体"/>
                <w:szCs w:val="21"/>
              </w:rPr>
              <w:t>平层误差较大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09" w:type="dxa"/>
            <w:vMerge w:val="continue"/>
            <w:noWrap/>
            <w:vAlign w:val="center"/>
          </w:tcPr>
          <w:p>
            <w:pPr>
              <w:adjustRightInd w:val="0"/>
              <w:snapToGrid w:val="0"/>
              <w:spacing w:line="440" w:lineRule="exact"/>
              <w:contextualSpacing/>
              <w:jc w:val="center"/>
              <w:rPr>
                <w:rFonts w:ascii="宋体" w:hAnsi="宋体"/>
                <w:szCs w:val="21"/>
              </w:rPr>
            </w:pPr>
          </w:p>
        </w:tc>
        <w:tc>
          <w:tcPr>
            <w:tcW w:w="1561" w:type="dxa"/>
            <w:noWrap/>
          </w:tcPr>
          <w:p>
            <w:pPr>
              <w:adjustRightInd w:val="0"/>
              <w:snapToGrid w:val="0"/>
              <w:spacing w:line="440" w:lineRule="exact"/>
              <w:contextualSpacing/>
              <w:jc w:val="center"/>
              <w:rPr>
                <w:rFonts w:ascii="宋体" w:hAnsi="宋体"/>
                <w:szCs w:val="21"/>
              </w:rPr>
            </w:pPr>
            <w:r>
              <w:rPr>
                <w:rFonts w:hint="eastAsia" w:ascii="宋体" w:hAnsi="宋体"/>
                <w:szCs w:val="21"/>
              </w:rPr>
              <w:t>11</w:t>
            </w:r>
          </w:p>
        </w:tc>
        <w:tc>
          <w:tcPr>
            <w:tcW w:w="3452" w:type="dxa"/>
            <w:noWrap/>
          </w:tcPr>
          <w:p>
            <w:pPr>
              <w:adjustRightInd w:val="0"/>
              <w:snapToGrid w:val="0"/>
              <w:spacing w:line="440" w:lineRule="exact"/>
              <w:contextualSpacing/>
              <w:jc w:val="center"/>
              <w:rPr>
                <w:rFonts w:ascii="宋体" w:hAnsi="宋体"/>
                <w:szCs w:val="21"/>
              </w:rPr>
            </w:pPr>
            <w:r>
              <w:rPr>
                <w:rFonts w:hint="eastAsia" w:ascii="宋体" w:hAnsi="宋体"/>
                <w:szCs w:val="21"/>
              </w:rPr>
              <w:t>控制系统偶发误报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09" w:type="dxa"/>
            <w:vMerge w:val="restart"/>
            <w:noWrap/>
            <w:vAlign w:val="center"/>
          </w:tcPr>
          <w:p>
            <w:pPr>
              <w:adjustRightInd w:val="0"/>
              <w:snapToGrid w:val="0"/>
              <w:spacing w:line="440" w:lineRule="exact"/>
              <w:contextualSpacing/>
              <w:jc w:val="center"/>
              <w:rPr>
                <w:rFonts w:ascii="宋体" w:hAnsi="宋体"/>
                <w:szCs w:val="21"/>
              </w:rPr>
            </w:pPr>
            <w:r>
              <w:rPr>
                <w:rFonts w:hint="eastAsia" w:ascii="宋体" w:hAnsi="宋体"/>
                <w:szCs w:val="21"/>
              </w:rPr>
              <w:t>电梯故障等级一级</w:t>
            </w:r>
          </w:p>
          <w:p>
            <w:pPr>
              <w:adjustRightInd w:val="0"/>
              <w:snapToGrid w:val="0"/>
              <w:spacing w:line="440" w:lineRule="exact"/>
              <w:contextualSpacing/>
              <w:jc w:val="center"/>
              <w:rPr>
                <w:rFonts w:ascii="宋体" w:hAnsi="宋体"/>
                <w:szCs w:val="21"/>
              </w:rPr>
            </w:pPr>
            <w:r>
              <w:rPr>
                <w:rFonts w:hint="eastAsia" w:ascii="宋体" w:hAnsi="宋体"/>
                <w:szCs w:val="21"/>
              </w:rPr>
              <w:t>（轻微故障）</w:t>
            </w:r>
          </w:p>
        </w:tc>
        <w:tc>
          <w:tcPr>
            <w:tcW w:w="1561" w:type="dxa"/>
            <w:noWrap/>
          </w:tcPr>
          <w:p>
            <w:pPr>
              <w:adjustRightInd w:val="0"/>
              <w:snapToGrid w:val="0"/>
              <w:spacing w:line="440" w:lineRule="exact"/>
              <w:contextualSpacing/>
              <w:jc w:val="center"/>
              <w:rPr>
                <w:rFonts w:ascii="宋体" w:hAnsi="宋体"/>
                <w:szCs w:val="21"/>
              </w:rPr>
            </w:pPr>
            <w:r>
              <w:rPr>
                <w:rFonts w:hint="eastAsia" w:ascii="宋体" w:hAnsi="宋体"/>
                <w:szCs w:val="21"/>
              </w:rPr>
              <w:t>12</w:t>
            </w:r>
          </w:p>
        </w:tc>
        <w:tc>
          <w:tcPr>
            <w:tcW w:w="3452" w:type="dxa"/>
            <w:noWrap/>
          </w:tcPr>
          <w:p>
            <w:pPr>
              <w:adjustRightInd w:val="0"/>
              <w:snapToGrid w:val="0"/>
              <w:spacing w:line="440" w:lineRule="exact"/>
              <w:contextualSpacing/>
              <w:jc w:val="center"/>
              <w:rPr>
                <w:rFonts w:ascii="宋体" w:hAnsi="宋体"/>
                <w:szCs w:val="21"/>
              </w:rPr>
            </w:pPr>
            <w:r>
              <w:rPr>
                <w:rFonts w:hint="eastAsia" w:ascii="宋体" w:hAnsi="宋体"/>
                <w:szCs w:val="21"/>
              </w:rPr>
              <w:t>按钮失灵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09" w:type="dxa"/>
            <w:vMerge w:val="continue"/>
            <w:noWrap/>
          </w:tcPr>
          <w:p>
            <w:pPr>
              <w:adjustRightInd w:val="0"/>
              <w:snapToGrid w:val="0"/>
              <w:spacing w:line="440" w:lineRule="exact"/>
              <w:ind w:firstLine="420" w:firstLineChars="200"/>
              <w:contextualSpacing/>
              <w:rPr>
                <w:rFonts w:ascii="宋体" w:hAnsi="宋体"/>
                <w:szCs w:val="21"/>
              </w:rPr>
            </w:pPr>
          </w:p>
        </w:tc>
        <w:tc>
          <w:tcPr>
            <w:tcW w:w="1561" w:type="dxa"/>
            <w:noWrap/>
          </w:tcPr>
          <w:p>
            <w:pPr>
              <w:adjustRightInd w:val="0"/>
              <w:snapToGrid w:val="0"/>
              <w:spacing w:line="440" w:lineRule="exact"/>
              <w:contextualSpacing/>
              <w:jc w:val="center"/>
              <w:rPr>
                <w:rFonts w:ascii="宋体" w:hAnsi="宋体"/>
                <w:szCs w:val="21"/>
              </w:rPr>
            </w:pPr>
            <w:r>
              <w:rPr>
                <w:rFonts w:hint="eastAsia" w:ascii="宋体" w:hAnsi="宋体"/>
                <w:szCs w:val="21"/>
              </w:rPr>
              <w:t>13</w:t>
            </w:r>
          </w:p>
        </w:tc>
        <w:tc>
          <w:tcPr>
            <w:tcW w:w="3452" w:type="dxa"/>
            <w:noWrap/>
          </w:tcPr>
          <w:p>
            <w:pPr>
              <w:adjustRightInd w:val="0"/>
              <w:snapToGrid w:val="0"/>
              <w:spacing w:line="440" w:lineRule="exact"/>
              <w:contextualSpacing/>
              <w:jc w:val="center"/>
              <w:rPr>
                <w:rFonts w:ascii="宋体" w:hAnsi="宋体"/>
                <w:szCs w:val="21"/>
              </w:rPr>
            </w:pPr>
            <w:r>
              <w:rPr>
                <w:rFonts w:hint="eastAsia" w:ascii="宋体" w:hAnsi="宋体"/>
                <w:szCs w:val="21"/>
              </w:rPr>
              <w:t>按钮显示异常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09" w:type="dxa"/>
            <w:vMerge w:val="continue"/>
            <w:noWrap/>
          </w:tcPr>
          <w:p>
            <w:pPr>
              <w:adjustRightInd w:val="0"/>
              <w:snapToGrid w:val="0"/>
              <w:spacing w:line="440" w:lineRule="exact"/>
              <w:ind w:firstLine="420" w:firstLineChars="200"/>
              <w:contextualSpacing/>
              <w:rPr>
                <w:rFonts w:ascii="宋体" w:hAnsi="宋体"/>
                <w:szCs w:val="21"/>
              </w:rPr>
            </w:pPr>
          </w:p>
        </w:tc>
        <w:tc>
          <w:tcPr>
            <w:tcW w:w="1561" w:type="dxa"/>
            <w:noWrap/>
          </w:tcPr>
          <w:p>
            <w:pPr>
              <w:adjustRightInd w:val="0"/>
              <w:snapToGrid w:val="0"/>
              <w:spacing w:line="440" w:lineRule="exact"/>
              <w:contextualSpacing/>
              <w:jc w:val="center"/>
              <w:rPr>
                <w:rFonts w:ascii="宋体" w:hAnsi="宋体"/>
                <w:szCs w:val="21"/>
              </w:rPr>
            </w:pPr>
            <w:r>
              <w:rPr>
                <w:rFonts w:hint="eastAsia" w:ascii="宋体" w:hAnsi="宋体"/>
                <w:szCs w:val="21"/>
              </w:rPr>
              <w:t>14</w:t>
            </w:r>
          </w:p>
        </w:tc>
        <w:tc>
          <w:tcPr>
            <w:tcW w:w="3452" w:type="dxa"/>
            <w:noWrap/>
          </w:tcPr>
          <w:p>
            <w:pPr>
              <w:adjustRightInd w:val="0"/>
              <w:snapToGrid w:val="0"/>
              <w:spacing w:line="440" w:lineRule="exact"/>
              <w:contextualSpacing/>
              <w:jc w:val="center"/>
              <w:rPr>
                <w:rFonts w:ascii="宋体" w:hAnsi="宋体"/>
                <w:szCs w:val="21"/>
              </w:rPr>
            </w:pPr>
            <w:r>
              <w:rPr>
                <w:rFonts w:hint="eastAsia" w:ascii="宋体" w:hAnsi="宋体"/>
                <w:szCs w:val="21"/>
              </w:rPr>
              <w:t>轻微异响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09" w:type="dxa"/>
            <w:vMerge w:val="continue"/>
            <w:noWrap/>
          </w:tcPr>
          <w:p>
            <w:pPr>
              <w:adjustRightInd w:val="0"/>
              <w:snapToGrid w:val="0"/>
              <w:spacing w:line="440" w:lineRule="exact"/>
              <w:ind w:firstLine="420" w:firstLineChars="200"/>
              <w:contextualSpacing/>
              <w:rPr>
                <w:rFonts w:ascii="宋体" w:hAnsi="宋体"/>
                <w:szCs w:val="21"/>
              </w:rPr>
            </w:pPr>
          </w:p>
        </w:tc>
        <w:tc>
          <w:tcPr>
            <w:tcW w:w="1561" w:type="dxa"/>
            <w:noWrap/>
          </w:tcPr>
          <w:p>
            <w:pPr>
              <w:adjustRightInd w:val="0"/>
              <w:snapToGrid w:val="0"/>
              <w:spacing w:line="440" w:lineRule="exact"/>
              <w:contextualSpacing/>
              <w:jc w:val="center"/>
              <w:rPr>
                <w:rFonts w:ascii="宋体" w:hAnsi="宋体"/>
                <w:szCs w:val="21"/>
              </w:rPr>
            </w:pPr>
            <w:r>
              <w:rPr>
                <w:rFonts w:hint="eastAsia" w:ascii="宋体" w:hAnsi="宋体"/>
                <w:szCs w:val="21"/>
              </w:rPr>
              <w:t>15</w:t>
            </w:r>
          </w:p>
        </w:tc>
        <w:tc>
          <w:tcPr>
            <w:tcW w:w="3452" w:type="dxa"/>
            <w:noWrap/>
          </w:tcPr>
          <w:p>
            <w:pPr>
              <w:adjustRightInd w:val="0"/>
              <w:snapToGrid w:val="0"/>
              <w:spacing w:line="440" w:lineRule="exact"/>
              <w:contextualSpacing/>
              <w:jc w:val="center"/>
              <w:rPr>
                <w:rFonts w:ascii="宋体" w:hAnsi="宋体"/>
                <w:szCs w:val="21"/>
              </w:rPr>
            </w:pPr>
            <w:r>
              <w:rPr>
                <w:rFonts w:hint="eastAsia" w:ascii="宋体" w:hAnsi="宋体"/>
                <w:szCs w:val="21"/>
              </w:rPr>
              <w:t>轻微震动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09" w:type="dxa"/>
            <w:vMerge w:val="continue"/>
            <w:noWrap/>
          </w:tcPr>
          <w:p>
            <w:pPr>
              <w:adjustRightInd w:val="0"/>
              <w:snapToGrid w:val="0"/>
              <w:spacing w:line="440" w:lineRule="exact"/>
              <w:ind w:firstLine="420" w:firstLineChars="200"/>
              <w:contextualSpacing/>
              <w:rPr>
                <w:rFonts w:ascii="宋体" w:hAnsi="宋体"/>
                <w:szCs w:val="21"/>
              </w:rPr>
            </w:pPr>
          </w:p>
        </w:tc>
        <w:tc>
          <w:tcPr>
            <w:tcW w:w="1561" w:type="dxa"/>
            <w:noWrap/>
          </w:tcPr>
          <w:p>
            <w:pPr>
              <w:adjustRightInd w:val="0"/>
              <w:snapToGrid w:val="0"/>
              <w:spacing w:line="440" w:lineRule="exact"/>
              <w:contextualSpacing/>
              <w:jc w:val="center"/>
              <w:rPr>
                <w:rFonts w:ascii="宋体" w:hAnsi="宋体"/>
                <w:szCs w:val="21"/>
              </w:rPr>
            </w:pPr>
            <w:r>
              <w:rPr>
                <w:rFonts w:hint="eastAsia" w:ascii="宋体" w:hAnsi="宋体"/>
                <w:szCs w:val="21"/>
              </w:rPr>
              <w:t>16</w:t>
            </w:r>
          </w:p>
        </w:tc>
        <w:tc>
          <w:tcPr>
            <w:tcW w:w="3452" w:type="dxa"/>
            <w:noWrap/>
          </w:tcPr>
          <w:p>
            <w:pPr>
              <w:adjustRightInd w:val="0"/>
              <w:snapToGrid w:val="0"/>
              <w:spacing w:line="440" w:lineRule="exact"/>
              <w:contextualSpacing/>
              <w:jc w:val="center"/>
              <w:rPr>
                <w:rFonts w:ascii="宋体" w:hAnsi="宋体"/>
                <w:szCs w:val="21"/>
              </w:rPr>
            </w:pPr>
            <w:r>
              <w:rPr>
                <w:rFonts w:hint="eastAsia" w:ascii="宋体" w:hAnsi="宋体"/>
                <w:szCs w:val="21"/>
              </w:rPr>
              <w:t>轿厢照明故障</w:t>
            </w:r>
          </w:p>
        </w:tc>
      </w:tr>
    </w:tbl>
    <w:p>
      <w:pPr>
        <w:adjustRightInd w:val="0"/>
        <w:snapToGrid w:val="0"/>
        <w:spacing w:line="440" w:lineRule="exact"/>
        <w:ind w:firstLine="420" w:firstLineChars="200"/>
        <w:contextualSpacing/>
        <w:rPr>
          <w:rFonts w:ascii="宋体" w:hAnsi="宋体"/>
          <w:szCs w:val="21"/>
        </w:rPr>
      </w:pPr>
      <w:r>
        <w:rPr>
          <w:rFonts w:hint="eastAsia" w:ascii="宋体" w:hAnsi="宋体"/>
          <w:szCs w:val="21"/>
        </w:rPr>
        <w:t>2）电梯如出现四级电梯故障，甲方有权直接解除合同，乙方赔偿甲方一切损失；</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3）电梯出现三级电梯故障，每部电梯的年故障率应控制在≤2次/年，若故障率超出此标准，每次扣罚乙方2000元；若同一部电梯在一周内发生两次或以上相同故障，每次扣罚乙方4000元。</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4）电梯出现二级电梯故障，每部电梯的年故障率应控制在≤4次/年，若故障率超出此标准，每次扣罚乙方2000元；若同一部电梯在一周内发生两次或以上相同故障，每次扣罚乙方4000元。</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5）电梯出现一级电梯故障，每部电梯的年故障率应控制在≤6次/年，若故障率超出此标准，每次扣罚乙方2000元；若同一部电梯在一周内发生两次或以上相同故障，每次扣罚乙方4000元。</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16.2半年度考核：甲方每半年对乙方服务质量进行一次综合评分，依据评分结果确定扣款比例（考核内容详见附件5《扬州大学附属医院设备维保质量考核表》）</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半年度考核包括制度落实情况与维保工作落实情况。甲方每半年初对上半年服务情况进行服务质量打分，按得分情况支付维保款，总得分100分，评价得分80分（含）以上，全额支付乙方维保费用；70分（含）至80分,扣除乙方半年度维保费用的1%；70分以下，视为考核不合格。考核合格，甲方可以与乙方续签合同；考核不合格，甲方有权不再与乙方续签，并重新组织采购，采购期间的维保服务的过度期由乙方负责，维保费用参照原合同执行。</w:t>
      </w:r>
    </w:p>
    <w:p>
      <w:pPr>
        <w:adjustRightInd w:val="0"/>
        <w:snapToGrid w:val="0"/>
        <w:spacing w:line="440" w:lineRule="exact"/>
        <w:ind w:firstLine="422" w:firstLineChars="200"/>
        <w:contextualSpacing/>
        <w:rPr>
          <w:rFonts w:ascii="宋体" w:hAnsi="宋体" w:cs="Courier New"/>
          <w:b/>
          <w:bCs/>
          <w:szCs w:val="21"/>
        </w:rPr>
      </w:pPr>
      <w:r>
        <w:rPr>
          <w:rFonts w:hint="eastAsia" w:ascii="宋体" w:hAnsi="宋体"/>
          <w:b/>
          <w:bCs/>
          <w:szCs w:val="21"/>
        </w:rPr>
        <w:t>17.</w:t>
      </w:r>
      <w:r>
        <w:rPr>
          <w:rFonts w:ascii="宋体" w:hAnsi="宋体"/>
          <w:b/>
          <w:bCs/>
          <w:szCs w:val="21"/>
        </w:rPr>
        <w:t>不可抗力事件处理</w:t>
      </w:r>
    </w:p>
    <w:p>
      <w:pPr>
        <w:adjustRightInd w:val="0"/>
        <w:snapToGrid w:val="0"/>
        <w:spacing w:line="440" w:lineRule="exact"/>
        <w:ind w:firstLine="420" w:firstLineChars="200"/>
        <w:contextualSpacing/>
        <w:rPr>
          <w:rFonts w:ascii="宋体" w:hAnsi="宋体"/>
          <w:szCs w:val="21"/>
        </w:rPr>
      </w:pPr>
      <w:r>
        <w:rPr>
          <w:rFonts w:ascii="宋体" w:hAnsi="宋体"/>
          <w:szCs w:val="21"/>
        </w:rPr>
        <w:t>1</w:t>
      </w:r>
      <w:r>
        <w:rPr>
          <w:rFonts w:hint="eastAsia" w:ascii="宋体" w:hAnsi="宋体"/>
          <w:szCs w:val="21"/>
        </w:rPr>
        <w:t>7</w:t>
      </w:r>
      <w:r>
        <w:rPr>
          <w:rFonts w:ascii="宋体" w:hAnsi="宋体"/>
          <w:szCs w:val="21"/>
        </w:rPr>
        <w:t>.1在合同有效期内，甲乙双方因不可抗力事件导致不能履行合同，则合同履行期可延长，其延长期与不可抗力影响期相同。不可抗力，是指不能预见、不能避免且不能克服的客观情况，例如战争、严重的地震、洪水等，但一方违约或疏忽导致合同不能履行的不属于不可抗力因素。</w:t>
      </w:r>
    </w:p>
    <w:p>
      <w:pPr>
        <w:adjustRightInd w:val="0"/>
        <w:snapToGrid w:val="0"/>
        <w:spacing w:line="440" w:lineRule="exact"/>
        <w:ind w:firstLine="420" w:firstLineChars="200"/>
        <w:contextualSpacing/>
        <w:rPr>
          <w:rFonts w:ascii="宋体" w:hAnsi="宋体"/>
          <w:szCs w:val="21"/>
        </w:rPr>
      </w:pPr>
      <w:r>
        <w:rPr>
          <w:rFonts w:ascii="宋体" w:hAnsi="宋体"/>
          <w:szCs w:val="21"/>
        </w:rPr>
        <w:t>1</w:t>
      </w:r>
      <w:r>
        <w:rPr>
          <w:rFonts w:hint="eastAsia" w:ascii="宋体" w:hAnsi="宋体"/>
          <w:szCs w:val="21"/>
        </w:rPr>
        <w:t>7</w:t>
      </w:r>
      <w:r>
        <w:rPr>
          <w:rFonts w:ascii="宋体" w:hAnsi="宋体"/>
          <w:szCs w:val="21"/>
        </w:rPr>
        <w:t>.2不可抗力事件发生后，应立即通知对方，并寄送有关权威机构出具的证明。除甲方书面另行要求外，乙方应尽实际可能继续履行合同义务，以及寻求采取合理的方案履行不受不可抗力影响的其他事项。若不可抗力事件延续120天以上，双方应通过友好协商，确定是否继续履行合同。</w:t>
      </w:r>
    </w:p>
    <w:p>
      <w:pPr>
        <w:adjustRightInd w:val="0"/>
        <w:snapToGrid w:val="0"/>
        <w:spacing w:line="440" w:lineRule="exact"/>
        <w:ind w:firstLine="422" w:firstLineChars="200"/>
        <w:contextualSpacing/>
        <w:rPr>
          <w:rFonts w:ascii="宋体" w:hAnsi="宋体"/>
          <w:b/>
          <w:bCs/>
          <w:szCs w:val="21"/>
        </w:rPr>
      </w:pPr>
      <w:r>
        <w:rPr>
          <w:rFonts w:ascii="宋体" w:hAnsi="宋体"/>
          <w:b/>
          <w:bCs/>
          <w:szCs w:val="21"/>
        </w:rPr>
        <w:t>1</w:t>
      </w:r>
      <w:r>
        <w:rPr>
          <w:rFonts w:hint="eastAsia" w:ascii="宋体" w:hAnsi="宋体"/>
          <w:b/>
          <w:bCs/>
          <w:szCs w:val="21"/>
        </w:rPr>
        <w:t>8.</w:t>
      </w:r>
      <w:r>
        <w:rPr>
          <w:rFonts w:ascii="宋体" w:hAnsi="宋体"/>
          <w:b/>
          <w:bCs/>
          <w:szCs w:val="21"/>
        </w:rPr>
        <w:t>争议解决</w:t>
      </w:r>
    </w:p>
    <w:p>
      <w:pPr>
        <w:adjustRightInd w:val="0"/>
        <w:snapToGrid w:val="0"/>
        <w:spacing w:line="440" w:lineRule="exact"/>
        <w:ind w:firstLine="420" w:firstLineChars="200"/>
        <w:contextualSpacing/>
        <w:rPr>
          <w:rFonts w:ascii="宋体" w:hAnsi="宋体"/>
          <w:szCs w:val="21"/>
        </w:rPr>
      </w:pPr>
      <w:r>
        <w:rPr>
          <w:rFonts w:ascii="宋体" w:hAnsi="宋体"/>
          <w:szCs w:val="21"/>
        </w:rPr>
        <w:t>1</w:t>
      </w:r>
      <w:r>
        <w:rPr>
          <w:rFonts w:hint="eastAsia" w:ascii="宋体" w:hAnsi="宋体"/>
          <w:szCs w:val="21"/>
        </w:rPr>
        <w:t>8</w:t>
      </w:r>
      <w:r>
        <w:rPr>
          <w:rFonts w:ascii="宋体" w:hAnsi="宋体"/>
          <w:szCs w:val="21"/>
        </w:rPr>
        <w:t>.1因服务的品质质量问题发生争议的，可在国家认可的质量检测机构对服务内容质量进行鉴定。服务符合标准的，鉴定费由甲方承担；服务项目不符合质量标准的，鉴定费由乙方承担。</w:t>
      </w:r>
    </w:p>
    <w:p>
      <w:pPr>
        <w:adjustRightInd w:val="0"/>
        <w:snapToGrid w:val="0"/>
        <w:spacing w:line="440" w:lineRule="exact"/>
        <w:ind w:firstLine="420" w:firstLineChars="200"/>
        <w:contextualSpacing/>
        <w:rPr>
          <w:rFonts w:ascii="宋体" w:hAnsi="宋体"/>
          <w:szCs w:val="21"/>
        </w:rPr>
      </w:pPr>
      <w:r>
        <w:rPr>
          <w:rFonts w:ascii="宋体" w:hAnsi="宋体"/>
          <w:szCs w:val="21"/>
        </w:rPr>
        <w:t>1</w:t>
      </w:r>
      <w:r>
        <w:rPr>
          <w:rFonts w:hint="eastAsia" w:ascii="宋体" w:hAnsi="宋体"/>
          <w:szCs w:val="21"/>
        </w:rPr>
        <w:t>8</w:t>
      </w:r>
      <w:r>
        <w:rPr>
          <w:rFonts w:ascii="宋体" w:hAnsi="宋体"/>
          <w:szCs w:val="21"/>
        </w:rPr>
        <w:t>.2因履行本合同引起的或与本合同有关的争议，甲、乙双方应首先通过友好协商解决；如果协商不能解决争议，甲乙双方同意采取下列两种方式的第</w:t>
      </w:r>
      <w:r>
        <w:rPr>
          <w:rFonts w:ascii="宋体" w:hAnsi="宋体"/>
          <w:szCs w:val="21"/>
          <w:u w:val="single"/>
        </w:rPr>
        <w:t xml:space="preserve">（ </w:t>
      </w:r>
      <w:r>
        <w:rPr>
          <w:rFonts w:hint="eastAsia" w:ascii="宋体" w:hAnsi="宋体"/>
          <w:szCs w:val="21"/>
          <w:u w:val="single"/>
        </w:rPr>
        <w:t>1</w:t>
      </w:r>
      <w:r>
        <w:rPr>
          <w:rFonts w:ascii="宋体" w:hAnsi="宋体"/>
          <w:szCs w:val="21"/>
          <w:u w:val="single"/>
        </w:rPr>
        <w:t xml:space="preserve"> ）</w:t>
      </w:r>
      <w:r>
        <w:rPr>
          <w:rFonts w:ascii="宋体" w:hAnsi="宋体"/>
          <w:szCs w:val="21"/>
        </w:rPr>
        <w:t>种方式解决争议：</w:t>
      </w:r>
    </w:p>
    <w:p>
      <w:pPr>
        <w:adjustRightInd w:val="0"/>
        <w:snapToGrid w:val="0"/>
        <w:spacing w:line="440" w:lineRule="exact"/>
        <w:ind w:firstLine="420" w:firstLineChars="200"/>
        <w:contextualSpacing/>
        <w:rPr>
          <w:rFonts w:ascii="宋体" w:hAnsi="宋体"/>
          <w:szCs w:val="21"/>
        </w:rPr>
      </w:pPr>
      <w:r>
        <w:rPr>
          <w:rFonts w:ascii="宋体" w:hAnsi="宋体"/>
          <w:szCs w:val="21"/>
        </w:rPr>
        <w:t>（1）向甲方所在地有管辖权的人民法院提起诉讼，适用中华人民共和国法律；</w:t>
      </w:r>
    </w:p>
    <w:p>
      <w:pPr>
        <w:adjustRightInd w:val="0"/>
        <w:snapToGrid w:val="0"/>
        <w:spacing w:line="440" w:lineRule="exact"/>
        <w:ind w:firstLine="420" w:firstLineChars="200"/>
        <w:contextualSpacing/>
        <w:rPr>
          <w:rFonts w:ascii="宋体" w:hAnsi="宋体"/>
          <w:szCs w:val="21"/>
        </w:rPr>
      </w:pPr>
      <w:r>
        <w:rPr>
          <w:rFonts w:ascii="宋体" w:hAnsi="宋体"/>
          <w:szCs w:val="21"/>
        </w:rPr>
        <w:t>（2）向扬州仲裁委员会按其仲裁规则申请仲裁。</w:t>
      </w:r>
    </w:p>
    <w:p>
      <w:pPr>
        <w:adjustRightInd w:val="0"/>
        <w:snapToGrid w:val="0"/>
        <w:spacing w:line="440" w:lineRule="exact"/>
        <w:ind w:firstLine="420" w:firstLineChars="200"/>
        <w:contextualSpacing/>
        <w:rPr>
          <w:rFonts w:ascii="宋体" w:hAnsi="宋体"/>
          <w:szCs w:val="21"/>
        </w:rPr>
      </w:pPr>
      <w:r>
        <w:rPr>
          <w:rFonts w:ascii="宋体" w:hAnsi="宋体"/>
          <w:szCs w:val="21"/>
        </w:rPr>
        <w:t>1</w:t>
      </w:r>
      <w:r>
        <w:rPr>
          <w:rFonts w:hint="eastAsia" w:ascii="宋体" w:hAnsi="宋体"/>
          <w:szCs w:val="21"/>
        </w:rPr>
        <w:t>8</w:t>
      </w:r>
      <w:r>
        <w:rPr>
          <w:rFonts w:ascii="宋体" w:hAnsi="宋体"/>
          <w:szCs w:val="21"/>
        </w:rPr>
        <w:t>.3若甲乙双方任何一方都没有选择解除合同的，为避免扩大损失，在诉讼或仲裁期间，双方应继续履行。</w:t>
      </w:r>
    </w:p>
    <w:p>
      <w:pPr>
        <w:adjustRightInd w:val="0"/>
        <w:snapToGrid w:val="0"/>
        <w:spacing w:line="440" w:lineRule="exact"/>
        <w:ind w:firstLine="422" w:firstLineChars="200"/>
        <w:contextualSpacing/>
        <w:rPr>
          <w:rFonts w:ascii="宋体" w:hAnsi="宋体"/>
          <w:b/>
          <w:bCs/>
          <w:szCs w:val="21"/>
        </w:rPr>
      </w:pPr>
      <w:r>
        <w:rPr>
          <w:rFonts w:ascii="宋体" w:hAnsi="宋体"/>
          <w:b/>
          <w:bCs/>
          <w:szCs w:val="21"/>
        </w:rPr>
        <w:t>1</w:t>
      </w:r>
      <w:r>
        <w:rPr>
          <w:rFonts w:hint="eastAsia" w:ascii="宋体" w:hAnsi="宋体"/>
          <w:b/>
          <w:bCs/>
          <w:szCs w:val="21"/>
        </w:rPr>
        <w:t>9.</w:t>
      </w:r>
      <w:r>
        <w:rPr>
          <w:rFonts w:ascii="宋体" w:hAnsi="宋体"/>
          <w:b/>
          <w:bCs/>
          <w:szCs w:val="21"/>
        </w:rPr>
        <w:t>合同其它</w:t>
      </w:r>
    </w:p>
    <w:p>
      <w:pPr>
        <w:widowControl/>
        <w:adjustRightInd w:val="0"/>
        <w:snapToGrid w:val="0"/>
        <w:spacing w:line="440" w:lineRule="exact"/>
        <w:ind w:firstLine="420" w:firstLineChars="200"/>
        <w:contextualSpacing/>
        <w:textAlignment w:val="baseline"/>
        <w:rPr>
          <w:rFonts w:ascii="宋体" w:hAnsi="宋体"/>
          <w:color w:val="000000"/>
          <w:szCs w:val="21"/>
        </w:rPr>
      </w:pPr>
      <w:r>
        <w:rPr>
          <w:rFonts w:hint="eastAsia" w:ascii="宋体" w:hAnsi="宋体"/>
          <w:color w:val="000000"/>
          <w:szCs w:val="21"/>
        </w:rPr>
        <w:t>19.1</w:t>
      </w:r>
      <w:r>
        <w:rPr>
          <w:rFonts w:ascii="宋体" w:hAnsi="宋体"/>
          <w:color w:val="000000"/>
          <w:szCs w:val="21"/>
        </w:rPr>
        <w:t>电梯设备及其附属装置均为甲方拥有,甲方有保管和保护的责任,甲方应禁止任何未经许可的人员接触电梯设备。</w:t>
      </w:r>
    </w:p>
    <w:p>
      <w:pPr>
        <w:widowControl/>
        <w:adjustRightInd w:val="0"/>
        <w:snapToGrid w:val="0"/>
        <w:spacing w:line="440" w:lineRule="exact"/>
        <w:ind w:firstLine="420" w:firstLineChars="200"/>
        <w:contextualSpacing/>
        <w:textAlignment w:val="baseline"/>
        <w:rPr>
          <w:rFonts w:ascii="宋体" w:hAnsi="宋体"/>
          <w:color w:val="000000"/>
          <w:szCs w:val="21"/>
        </w:rPr>
      </w:pPr>
      <w:r>
        <w:rPr>
          <w:rFonts w:hint="eastAsia" w:ascii="宋体" w:hAnsi="宋体"/>
          <w:color w:val="000000"/>
          <w:szCs w:val="21"/>
        </w:rPr>
        <w:t>19.2</w:t>
      </w:r>
      <w:r>
        <w:rPr>
          <w:rFonts w:ascii="宋体" w:hAnsi="宋体"/>
          <w:color w:val="000000"/>
          <w:szCs w:val="21"/>
        </w:rPr>
        <w:t>如果因用户的错误操作或人为损坏,火灾,水湿,水浸以及电梯以外技术条件的改变等原因而导致设备受损,其人工清理、修理费用和更换部件费用将由甲方承担。</w:t>
      </w:r>
    </w:p>
    <w:p>
      <w:pPr>
        <w:widowControl/>
        <w:adjustRightInd w:val="0"/>
        <w:snapToGrid w:val="0"/>
        <w:spacing w:line="440" w:lineRule="exact"/>
        <w:ind w:firstLine="420" w:firstLineChars="200"/>
        <w:contextualSpacing/>
        <w:textAlignment w:val="baseline"/>
        <w:rPr>
          <w:rFonts w:ascii="宋体" w:hAnsi="宋体"/>
          <w:color w:val="000000"/>
          <w:szCs w:val="21"/>
        </w:rPr>
      </w:pPr>
      <w:r>
        <w:rPr>
          <w:rFonts w:hint="eastAsia" w:ascii="宋体" w:hAnsi="宋体"/>
          <w:color w:val="000000"/>
          <w:szCs w:val="21"/>
        </w:rPr>
        <w:t>19.3</w:t>
      </w:r>
      <w:r>
        <w:rPr>
          <w:rFonts w:ascii="宋体" w:hAnsi="宋体"/>
          <w:color w:val="000000"/>
          <w:szCs w:val="21"/>
        </w:rPr>
        <w:t>在本合同有效期内,除非事先得到乙方书面同意,甲方不得允许任何人对设备进行维修,翻新,更改,加装等工程以及超出乙方保养范围的工作（除乙方未按合同履行外）,否则乙方将对此而产生的后果和损失不负任何责任。</w:t>
      </w:r>
    </w:p>
    <w:p>
      <w:pPr>
        <w:widowControl/>
        <w:adjustRightInd w:val="0"/>
        <w:snapToGrid w:val="0"/>
        <w:spacing w:line="440" w:lineRule="exact"/>
        <w:ind w:firstLine="420" w:firstLineChars="200"/>
        <w:contextualSpacing/>
        <w:textAlignment w:val="baseline"/>
        <w:rPr>
          <w:rFonts w:ascii="宋体" w:hAnsi="宋体"/>
          <w:szCs w:val="21"/>
        </w:rPr>
      </w:pPr>
      <w:r>
        <w:rPr>
          <w:rFonts w:hint="eastAsia" w:ascii="宋体" w:hAnsi="宋体"/>
          <w:color w:val="000000"/>
          <w:szCs w:val="21"/>
        </w:rPr>
        <w:t>19.4</w:t>
      </w:r>
      <w:r>
        <w:rPr>
          <w:rFonts w:ascii="宋体" w:hAnsi="宋体"/>
          <w:szCs w:val="21"/>
        </w:rPr>
        <w:t>乙方应诚实信用，严格按照</w:t>
      </w:r>
      <w:r>
        <w:rPr>
          <w:rFonts w:hint="eastAsia" w:ascii="宋体" w:hAnsi="宋体"/>
          <w:szCs w:val="21"/>
        </w:rPr>
        <w:t>招标</w:t>
      </w:r>
      <w:r>
        <w:rPr>
          <w:rFonts w:ascii="宋体" w:hAnsi="宋体"/>
          <w:szCs w:val="21"/>
        </w:rPr>
        <w:t>文件要求和投标承诺履行合同，不向甲方进行商业贿赂或者提供不正当利益。</w:t>
      </w:r>
    </w:p>
    <w:p>
      <w:pPr>
        <w:adjustRightInd w:val="0"/>
        <w:snapToGrid w:val="0"/>
        <w:spacing w:line="440" w:lineRule="exact"/>
        <w:ind w:firstLine="420" w:firstLineChars="200"/>
        <w:contextualSpacing/>
        <w:rPr>
          <w:rFonts w:ascii="宋体" w:hAnsi="宋体"/>
          <w:szCs w:val="21"/>
          <w:u w:val="single"/>
        </w:rPr>
      </w:pPr>
      <w:r>
        <w:rPr>
          <w:rFonts w:hint="eastAsia" w:ascii="宋体" w:hAnsi="宋体"/>
          <w:szCs w:val="21"/>
        </w:rPr>
        <w:t>19.5</w:t>
      </w:r>
      <w:r>
        <w:rPr>
          <w:rFonts w:ascii="宋体" w:hAnsi="宋体"/>
          <w:szCs w:val="21"/>
        </w:rPr>
        <w:t>合同经双方法定代表人或授权代表签字并盖章后生效。</w:t>
      </w:r>
    </w:p>
    <w:p>
      <w:pPr>
        <w:adjustRightInd w:val="0"/>
        <w:snapToGrid w:val="0"/>
        <w:spacing w:line="440" w:lineRule="exact"/>
        <w:ind w:firstLine="420" w:firstLineChars="200"/>
        <w:contextualSpacing/>
        <w:rPr>
          <w:rFonts w:ascii="宋体" w:hAnsi="宋体"/>
          <w:szCs w:val="21"/>
          <w:u w:val="single"/>
        </w:rPr>
      </w:pPr>
      <w:r>
        <w:rPr>
          <w:rFonts w:hint="eastAsia" w:ascii="宋体" w:hAnsi="宋体"/>
          <w:szCs w:val="21"/>
        </w:rPr>
        <w:t>19.6</w:t>
      </w:r>
      <w:r>
        <w:rPr>
          <w:rFonts w:ascii="宋体" w:hAnsi="宋体"/>
          <w:szCs w:val="21"/>
        </w:rPr>
        <w:t>本合同未尽事宜，遵照《</w:t>
      </w:r>
      <w:r>
        <w:rPr>
          <w:rFonts w:hint="eastAsia" w:ascii="宋体" w:hAnsi="宋体"/>
          <w:szCs w:val="21"/>
        </w:rPr>
        <w:t>中华人民共和国民法典</w:t>
      </w:r>
      <w:r>
        <w:rPr>
          <w:rFonts w:ascii="宋体" w:hAnsi="宋体"/>
          <w:szCs w:val="21"/>
        </w:rPr>
        <w:t>》有关条文执行。</w:t>
      </w:r>
    </w:p>
    <w:p>
      <w:pPr>
        <w:adjustRightInd w:val="0"/>
        <w:snapToGrid w:val="0"/>
        <w:spacing w:line="440" w:lineRule="exact"/>
        <w:ind w:firstLine="420" w:firstLineChars="200"/>
        <w:contextualSpacing/>
        <w:rPr>
          <w:rFonts w:ascii="宋体" w:hAnsi="宋体"/>
          <w:szCs w:val="21"/>
        </w:rPr>
      </w:pPr>
      <w:r>
        <w:rPr>
          <w:rFonts w:hint="eastAsia" w:ascii="宋体" w:hAnsi="宋体"/>
          <w:szCs w:val="21"/>
        </w:rPr>
        <w:t>19.7</w:t>
      </w:r>
      <w:r>
        <w:rPr>
          <w:rFonts w:ascii="宋体" w:hAnsi="宋体"/>
          <w:szCs w:val="21"/>
        </w:rPr>
        <w:t>本合同正本一式</w:t>
      </w:r>
      <w:r>
        <w:rPr>
          <w:rFonts w:hint="eastAsia" w:ascii="宋体" w:hAnsi="宋体"/>
          <w:szCs w:val="21"/>
        </w:rPr>
        <w:t>肆</w:t>
      </w:r>
      <w:r>
        <w:rPr>
          <w:rFonts w:ascii="宋体" w:hAnsi="宋体"/>
          <w:szCs w:val="21"/>
        </w:rPr>
        <w:t>份，具有同等法律效力，甲方执</w:t>
      </w:r>
      <w:r>
        <w:rPr>
          <w:rFonts w:hint="eastAsia" w:ascii="宋体" w:hAnsi="宋体"/>
          <w:szCs w:val="21"/>
        </w:rPr>
        <w:t>贰</w:t>
      </w:r>
      <w:r>
        <w:rPr>
          <w:rFonts w:ascii="宋体" w:hAnsi="宋体"/>
          <w:szCs w:val="21"/>
        </w:rPr>
        <w:t>份、乙方执</w:t>
      </w:r>
      <w:r>
        <w:rPr>
          <w:rFonts w:hint="eastAsia" w:ascii="宋体" w:hAnsi="宋体"/>
          <w:szCs w:val="21"/>
        </w:rPr>
        <w:t>贰</w:t>
      </w:r>
      <w:r>
        <w:rPr>
          <w:rFonts w:ascii="宋体" w:hAnsi="宋体"/>
          <w:szCs w:val="21"/>
        </w:rPr>
        <w:t>份。</w:t>
      </w:r>
    </w:p>
    <w:p>
      <w:pPr>
        <w:widowControl/>
        <w:textAlignment w:val="baseline"/>
        <w:rPr>
          <w:rFonts w:ascii="楷体_GB2312" w:hAnsi="Arial"/>
          <w:szCs w:val="21"/>
        </w:rPr>
      </w:pPr>
    </w:p>
    <w:p>
      <w:pPr>
        <w:widowControl/>
        <w:adjustRightInd w:val="0"/>
        <w:snapToGrid w:val="0"/>
        <w:spacing w:line="420" w:lineRule="exact"/>
        <w:ind w:left="5038" w:hanging="5037" w:hangingChars="2399"/>
        <w:contextualSpacing/>
        <w:textAlignment w:val="baseline"/>
        <w:rPr>
          <w:rFonts w:ascii="宋体" w:hAnsi="宋体"/>
          <w:color w:val="000000"/>
          <w:szCs w:val="21"/>
        </w:rPr>
      </w:pPr>
      <w:r>
        <w:rPr>
          <w:rFonts w:ascii="宋体" w:hAnsi="宋体"/>
          <w:color w:val="000000"/>
          <w:szCs w:val="21"/>
        </w:rPr>
        <w:t>甲方：</w:t>
      </w:r>
      <w:r>
        <w:rPr>
          <w:rFonts w:ascii="宋体" w:hAnsi="宋体"/>
          <w:b/>
          <w:bCs/>
          <w:color w:val="000000"/>
          <w:szCs w:val="21"/>
        </w:rPr>
        <w:t xml:space="preserve">扬州大学附属医院 </w:t>
      </w:r>
      <w:r>
        <w:rPr>
          <w:rFonts w:hint="eastAsia" w:ascii="宋体" w:hAnsi="宋体"/>
          <w:b/>
          <w:bCs/>
          <w:color w:val="000000"/>
          <w:szCs w:val="21"/>
          <w:lang w:val="en-US" w:eastAsia="zh-CN"/>
        </w:rPr>
        <w:t xml:space="preserve">           </w:t>
      </w:r>
      <w:r>
        <w:rPr>
          <w:rFonts w:ascii="宋体" w:hAnsi="宋体"/>
          <w:color w:val="000000"/>
          <w:szCs w:val="21"/>
        </w:rPr>
        <w:t>乙方：</w:t>
      </w:r>
      <w:r>
        <w:rPr>
          <w:rFonts w:hint="eastAsia" w:ascii="宋体" w:hAnsi="宋体"/>
          <w:b/>
          <w:bCs/>
          <w:color w:val="000000"/>
          <w:szCs w:val="21"/>
        </w:rPr>
        <w:t>扬州市捷鑫电梯安装工程有限公司</w:t>
      </w:r>
    </w:p>
    <w:p>
      <w:pPr>
        <w:widowControl/>
        <w:adjustRightInd w:val="0"/>
        <w:snapToGrid w:val="0"/>
        <w:spacing w:line="420" w:lineRule="exact"/>
        <w:contextualSpacing/>
        <w:textAlignment w:val="baseline"/>
        <w:rPr>
          <w:rFonts w:ascii="宋体" w:hAnsi="宋体"/>
          <w:color w:val="000000"/>
          <w:szCs w:val="21"/>
        </w:rPr>
      </w:pPr>
      <w:r>
        <w:rPr>
          <w:rFonts w:ascii="宋体" w:hAnsi="宋体"/>
          <w:color w:val="000000"/>
          <w:szCs w:val="21"/>
        </w:rPr>
        <w:t xml:space="preserve">法定代表人或授权签约人       </w:t>
      </w:r>
      <w:r>
        <w:rPr>
          <w:rFonts w:hint="eastAsia" w:ascii="宋体" w:hAnsi="宋体"/>
          <w:color w:val="000000"/>
          <w:szCs w:val="21"/>
          <w:lang w:val="en-US" w:eastAsia="zh-CN"/>
        </w:rPr>
        <w:t xml:space="preserve">    </w:t>
      </w:r>
      <w:r>
        <w:rPr>
          <w:rFonts w:ascii="宋体" w:hAnsi="宋体"/>
          <w:color w:val="000000"/>
          <w:szCs w:val="21"/>
        </w:rPr>
        <w:t xml:space="preserve"> 法定代表人或授权签约人</w:t>
      </w:r>
    </w:p>
    <w:p>
      <w:pPr>
        <w:widowControl/>
        <w:adjustRightInd w:val="0"/>
        <w:snapToGrid w:val="0"/>
        <w:spacing w:line="420" w:lineRule="exact"/>
        <w:contextualSpacing/>
        <w:textAlignment w:val="baseline"/>
        <w:rPr>
          <w:rFonts w:ascii="宋体" w:hAnsi="宋体"/>
          <w:color w:val="000000"/>
          <w:szCs w:val="21"/>
        </w:rPr>
      </w:pPr>
      <w:r>
        <w:rPr>
          <w:rFonts w:ascii="宋体" w:hAnsi="宋体"/>
          <w:color w:val="000000"/>
          <w:szCs w:val="21"/>
        </w:rPr>
        <w:t xml:space="preserve">（签字）：                   </w:t>
      </w:r>
      <w:r>
        <w:rPr>
          <w:rFonts w:hint="eastAsia" w:ascii="宋体" w:hAnsi="宋体"/>
          <w:color w:val="000000"/>
          <w:szCs w:val="21"/>
          <w:lang w:val="en-US" w:eastAsia="zh-CN"/>
        </w:rPr>
        <w:t xml:space="preserve">   </w:t>
      </w:r>
      <w:r>
        <w:rPr>
          <w:rFonts w:ascii="宋体" w:hAnsi="宋体"/>
          <w:color w:val="000000"/>
          <w:szCs w:val="21"/>
        </w:rPr>
        <w:t>（签字）：</w:t>
      </w:r>
    </w:p>
    <w:p>
      <w:pPr>
        <w:pStyle w:val="2"/>
      </w:pPr>
    </w:p>
    <w:p>
      <w:pPr>
        <w:widowControl/>
        <w:adjustRightInd w:val="0"/>
        <w:snapToGrid w:val="0"/>
        <w:spacing w:line="420" w:lineRule="exact"/>
        <w:contextualSpacing/>
        <w:textAlignment w:val="baseline"/>
        <w:rPr>
          <w:rFonts w:ascii="宋体" w:hAnsi="宋体"/>
          <w:color w:val="000000"/>
          <w:szCs w:val="21"/>
        </w:rPr>
      </w:pPr>
      <w:r>
        <w:rPr>
          <w:rFonts w:ascii="宋体" w:hAnsi="宋体"/>
          <w:color w:val="000000"/>
          <w:szCs w:val="21"/>
        </w:rPr>
        <w:t>地    址：扬州市</w:t>
      </w:r>
      <w:r>
        <w:rPr>
          <w:rFonts w:hint="eastAsia" w:ascii="宋体" w:hAnsi="宋体"/>
          <w:color w:val="000000"/>
          <w:szCs w:val="21"/>
        </w:rPr>
        <w:t>邗江中路368号</w:t>
      </w:r>
      <w:r>
        <w:rPr>
          <w:rFonts w:hint="eastAsia" w:ascii="宋体" w:hAnsi="宋体"/>
          <w:color w:val="000000"/>
          <w:szCs w:val="21"/>
          <w:lang w:val="en-US" w:eastAsia="zh-CN"/>
        </w:rPr>
        <w:t xml:space="preserve">    </w:t>
      </w:r>
      <w:r>
        <w:rPr>
          <w:rFonts w:ascii="宋体" w:hAnsi="宋体"/>
          <w:color w:val="000000"/>
          <w:szCs w:val="21"/>
        </w:rPr>
        <w:t xml:space="preserve">地    址： </w:t>
      </w:r>
    </w:p>
    <w:p>
      <w:pPr>
        <w:widowControl/>
        <w:adjustRightInd w:val="0"/>
        <w:snapToGrid w:val="0"/>
        <w:spacing w:line="420" w:lineRule="exact"/>
        <w:contextualSpacing/>
        <w:textAlignment w:val="baseline"/>
        <w:rPr>
          <w:rFonts w:ascii="宋体" w:hAnsi="宋体"/>
          <w:color w:val="000000"/>
          <w:szCs w:val="21"/>
        </w:rPr>
      </w:pPr>
      <w:r>
        <w:rPr>
          <w:rFonts w:ascii="宋体" w:hAnsi="宋体"/>
          <w:color w:val="000000"/>
          <w:szCs w:val="21"/>
        </w:rPr>
        <w:t xml:space="preserve">信用代码：                     </w:t>
      </w:r>
      <w:r>
        <w:rPr>
          <w:rFonts w:hint="eastAsia" w:ascii="宋体" w:hAnsi="宋体"/>
          <w:color w:val="000000"/>
          <w:szCs w:val="21"/>
          <w:lang w:val="en-US" w:eastAsia="zh-CN"/>
        </w:rPr>
        <w:t xml:space="preserve">   </w:t>
      </w:r>
      <w:r>
        <w:rPr>
          <w:rFonts w:ascii="宋体" w:hAnsi="宋体"/>
          <w:color w:val="000000"/>
          <w:szCs w:val="21"/>
        </w:rPr>
        <w:t>邮    编：</w:t>
      </w:r>
    </w:p>
    <w:p>
      <w:pPr>
        <w:widowControl/>
        <w:adjustRightInd w:val="0"/>
        <w:snapToGrid w:val="0"/>
        <w:spacing w:line="420" w:lineRule="exact"/>
        <w:contextualSpacing/>
        <w:textAlignment w:val="baseline"/>
        <w:rPr>
          <w:rFonts w:ascii="宋体" w:hAnsi="宋体"/>
          <w:color w:val="000000"/>
          <w:szCs w:val="21"/>
        </w:rPr>
      </w:pPr>
      <w:r>
        <w:rPr>
          <w:rFonts w:ascii="宋体" w:hAnsi="宋体"/>
          <w:color w:val="000000"/>
          <w:szCs w:val="21"/>
        </w:rPr>
        <w:t xml:space="preserve">电    话：  </w:t>
      </w:r>
      <w:r>
        <w:rPr>
          <w:rFonts w:hint="eastAsia" w:ascii="宋体" w:hAnsi="宋体"/>
          <w:color w:val="000000"/>
          <w:szCs w:val="21"/>
          <w:lang w:val="en-US" w:eastAsia="zh-CN"/>
        </w:rPr>
        <w:t xml:space="preserve">                 </w:t>
      </w:r>
      <w:r>
        <w:rPr>
          <w:rFonts w:ascii="宋体" w:hAnsi="宋体"/>
          <w:color w:val="000000"/>
          <w:szCs w:val="21"/>
        </w:rPr>
        <w:t xml:space="preserve">     电    话：</w:t>
      </w:r>
    </w:p>
    <w:p>
      <w:pPr>
        <w:widowControl/>
        <w:adjustRightInd w:val="0"/>
        <w:snapToGrid w:val="0"/>
        <w:spacing w:line="420" w:lineRule="exact"/>
        <w:contextualSpacing/>
        <w:textAlignment w:val="baseline"/>
        <w:rPr>
          <w:rFonts w:ascii="宋体" w:hAnsi="宋体"/>
          <w:color w:val="000000"/>
          <w:szCs w:val="21"/>
        </w:rPr>
      </w:pPr>
      <w:r>
        <w:rPr>
          <w:rFonts w:ascii="宋体" w:hAnsi="宋体"/>
          <w:color w:val="000000"/>
          <w:szCs w:val="21"/>
        </w:rPr>
        <w:t xml:space="preserve">开户银行：                     </w:t>
      </w:r>
      <w:r>
        <w:rPr>
          <w:rFonts w:hint="eastAsia" w:ascii="宋体" w:hAnsi="宋体"/>
          <w:color w:val="000000"/>
          <w:szCs w:val="21"/>
          <w:lang w:val="en-US" w:eastAsia="zh-CN"/>
        </w:rPr>
        <w:t xml:space="preserve">   </w:t>
      </w:r>
      <w:r>
        <w:rPr>
          <w:rFonts w:ascii="宋体" w:hAnsi="宋体"/>
          <w:color w:val="000000"/>
          <w:szCs w:val="21"/>
        </w:rPr>
        <w:t>开户银行：</w:t>
      </w:r>
    </w:p>
    <w:p>
      <w:pPr>
        <w:widowControl/>
        <w:adjustRightInd w:val="0"/>
        <w:snapToGrid w:val="0"/>
        <w:spacing w:line="420" w:lineRule="exact"/>
        <w:contextualSpacing/>
        <w:textAlignment w:val="baseline"/>
        <w:rPr>
          <w:rFonts w:ascii="宋体" w:hAnsi="宋体"/>
          <w:color w:val="000000"/>
          <w:szCs w:val="21"/>
        </w:rPr>
      </w:pPr>
      <w:r>
        <w:rPr>
          <w:rFonts w:ascii="宋体" w:hAnsi="宋体"/>
          <w:color w:val="000000"/>
          <w:szCs w:val="21"/>
        </w:rPr>
        <w:t xml:space="preserve">账    号：                    </w:t>
      </w:r>
      <w:r>
        <w:rPr>
          <w:rFonts w:hint="eastAsia" w:ascii="宋体" w:hAnsi="宋体"/>
          <w:color w:val="000000"/>
          <w:szCs w:val="21"/>
          <w:lang w:val="en-US" w:eastAsia="zh-CN"/>
        </w:rPr>
        <w:t xml:space="preserve">   </w:t>
      </w:r>
      <w:r>
        <w:rPr>
          <w:rFonts w:ascii="宋体" w:hAnsi="宋体"/>
          <w:color w:val="000000"/>
          <w:szCs w:val="21"/>
        </w:rPr>
        <w:t xml:space="preserve"> 账    号：</w:t>
      </w:r>
    </w:p>
    <w:p>
      <w:pPr>
        <w:widowControl/>
        <w:adjustRightInd w:val="0"/>
        <w:snapToGrid w:val="0"/>
        <w:spacing w:line="420" w:lineRule="exact"/>
        <w:contextualSpacing/>
        <w:textAlignment w:val="baseline"/>
        <w:rPr>
          <w:rFonts w:ascii="宋体" w:hAnsi="宋体"/>
          <w:color w:val="000000"/>
          <w:szCs w:val="21"/>
        </w:rPr>
      </w:pPr>
      <w:r>
        <w:rPr>
          <w:rFonts w:ascii="宋体" w:hAnsi="宋体"/>
          <w:color w:val="000000"/>
          <w:szCs w:val="21"/>
        </w:rPr>
        <w:t>签订日期： 20</w:t>
      </w:r>
      <w:r>
        <w:rPr>
          <w:rFonts w:hint="eastAsia" w:ascii="宋体" w:hAnsi="宋体"/>
          <w:color w:val="000000"/>
          <w:szCs w:val="21"/>
        </w:rPr>
        <w:t>25</w:t>
      </w:r>
      <w:r>
        <w:rPr>
          <w:rFonts w:ascii="宋体" w:hAnsi="宋体"/>
          <w:color w:val="000000"/>
          <w:szCs w:val="21"/>
        </w:rPr>
        <w:t xml:space="preserve">年   月   日  </w:t>
      </w:r>
      <w:r>
        <w:rPr>
          <w:rFonts w:hint="eastAsia" w:ascii="宋体" w:hAnsi="宋体"/>
          <w:color w:val="000000"/>
          <w:szCs w:val="21"/>
          <w:lang w:val="en-US" w:eastAsia="zh-CN"/>
        </w:rPr>
        <w:t xml:space="preserve">    </w:t>
      </w:r>
      <w:r>
        <w:rPr>
          <w:rFonts w:ascii="宋体" w:hAnsi="宋体"/>
          <w:color w:val="000000"/>
          <w:szCs w:val="21"/>
        </w:rPr>
        <w:t xml:space="preserve"> 签订日期： 20</w:t>
      </w:r>
      <w:r>
        <w:rPr>
          <w:rFonts w:hint="eastAsia" w:ascii="宋体" w:hAnsi="宋体"/>
          <w:color w:val="000000"/>
          <w:szCs w:val="21"/>
        </w:rPr>
        <w:t>25</w:t>
      </w:r>
      <w:r>
        <w:rPr>
          <w:rFonts w:ascii="宋体" w:hAnsi="宋体"/>
          <w:color w:val="000000"/>
          <w:szCs w:val="21"/>
        </w:rPr>
        <w:t>年   月   日</w:t>
      </w:r>
    </w:p>
    <w:p>
      <w:pPr>
        <w:rPr>
          <w:rFonts w:ascii="宋体" w:hAnsi="宋体" w:cs="宋体"/>
          <w:b/>
          <w:bCs/>
          <w:color w:val="000000"/>
          <w:kern w:val="36"/>
          <w:sz w:val="36"/>
          <w:szCs w:val="36"/>
        </w:rPr>
      </w:pPr>
      <w:r>
        <w:rPr>
          <w:rFonts w:hint="eastAsia" w:ascii="宋体" w:hAnsi="宋体" w:cs="宋体"/>
          <w:b/>
          <w:bCs/>
          <w:color w:val="000000"/>
          <w:kern w:val="36"/>
          <w:sz w:val="36"/>
          <w:szCs w:val="36"/>
        </w:rPr>
        <w:br w:type="page"/>
      </w:r>
    </w:p>
    <w:p>
      <w:pPr>
        <w:widowControl/>
        <w:tabs>
          <w:tab w:val="left" w:pos="3320"/>
          <w:tab w:val="center" w:pos="4596"/>
        </w:tabs>
        <w:spacing w:line="360" w:lineRule="exact"/>
        <w:jc w:val="center"/>
        <w:textAlignment w:val="baseline"/>
        <w:rPr>
          <w:rFonts w:ascii="宋体" w:hAnsi="宋体" w:cs="宋体"/>
          <w:b/>
          <w:bCs/>
          <w:color w:val="000000"/>
          <w:kern w:val="36"/>
          <w:sz w:val="36"/>
          <w:szCs w:val="36"/>
        </w:rPr>
      </w:pPr>
      <w:r>
        <w:rPr>
          <w:rFonts w:hint="eastAsia" w:ascii="宋体" w:hAnsi="宋体" w:cs="宋体"/>
          <w:b/>
          <w:bCs/>
          <w:color w:val="000000"/>
          <w:kern w:val="36"/>
          <w:sz w:val="36"/>
          <w:szCs w:val="36"/>
        </w:rPr>
        <w:t>廉洁合作协议</w:t>
      </w:r>
    </w:p>
    <w:p>
      <w:pPr>
        <w:widowControl/>
        <w:adjustRightInd w:val="0"/>
        <w:snapToGrid w:val="0"/>
        <w:spacing w:line="440" w:lineRule="exact"/>
        <w:contextualSpacing/>
        <w:textAlignment w:val="baseline"/>
        <w:rPr>
          <w:rFonts w:ascii="宋体" w:hAnsi="宋体" w:cs="宋体"/>
          <w:b/>
          <w:color w:val="000000"/>
          <w:szCs w:val="21"/>
        </w:rPr>
      </w:pPr>
      <w:r>
        <w:rPr>
          <w:rFonts w:hint="eastAsia" w:ascii="宋体" w:hAnsi="宋体" w:cs="宋体"/>
          <w:color w:val="000000"/>
          <w:szCs w:val="21"/>
        </w:rPr>
        <w:t>甲方名称：</w:t>
      </w:r>
      <w:r>
        <w:rPr>
          <w:rFonts w:hint="eastAsia" w:ascii="宋体" w:hAnsi="宋体" w:cs="宋体"/>
          <w:b/>
          <w:color w:val="000000"/>
          <w:szCs w:val="21"/>
        </w:rPr>
        <w:t>扬州大学附属医院</w:t>
      </w:r>
    </w:p>
    <w:p>
      <w:pPr>
        <w:widowControl/>
        <w:adjustRightInd w:val="0"/>
        <w:snapToGrid w:val="0"/>
        <w:spacing w:line="440" w:lineRule="exact"/>
        <w:contextualSpacing/>
        <w:textAlignment w:val="baseline"/>
        <w:rPr>
          <w:rFonts w:ascii="宋体" w:hAnsi="宋体" w:cs="宋体"/>
          <w:color w:val="000000"/>
          <w:szCs w:val="21"/>
        </w:rPr>
      </w:pPr>
      <w:r>
        <w:rPr>
          <w:rFonts w:hint="eastAsia" w:ascii="宋体" w:hAnsi="宋体" w:cs="宋体"/>
          <w:color w:val="000000"/>
          <w:szCs w:val="21"/>
        </w:rPr>
        <w:t>乙方名称：</w:t>
      </w:r>
      <w:r>
        <w:rPr>
          <w:rFonts w:hint="eastAsia" w:ascii="宋体" w:hAnsi="宋体" w:cs="宋体"/>
          <w:b/>
          <w:bCs/>
          <w:color w:val="000000"/>
          <w:szCs w:val="21"/>
        </w:rPr>
        <w:t>扬州市捷鑫电梯安装工程有限公司</w:t>
      </w:r>
    </w:p>
    <w:p>
      <w:pPr>
        <w:widowControl/>
        <w:adjustRightInd w:val="0"/>
        <w:snapToGrid w:val="0"/>
        <w:spacing w:line="360" w:lineRule="exact"/>
        <w:ind w:left="-420" w:leftChars="-200" w:right="-313" w:rightChars="-149" w:firstLine="367" w:firstLineChars="175"/>
        <w:contextualSpacing/>
        <w:textAlignment w:val="baseline"/>
        <w:rPr>
          <w:rFonts w:ascii="宋体" w:hAnsi="宋体" w:cs="宋体"/>
          <w:color w:val="000000"/>
          <w:szCs w:val="21"/>
        </w:rPr>
      </w:pPr>
      <w:r>
        <w:rPr>
          <w:rFonts w:hint="eastAsia" w:ascii="宋体" w:hAnsi="宋体" w:cs="宋体"/>
          <w:color w:val="000000"/>
          <w:szCs w:val="21"/>
        </w:rPr>
        <w:t>在甲乙双方订立、履行合同过程中，为保持廉洁自律的工作作风，防止各种不正当行为的发生，甲乙双方订立协议如下：</w:t>
      </w:r>
    </w:p>
    <w:p>
      <w:pPr>
        <w:widowControl/>
        <w:adjustRightInd w:val="0"/>
        <w:snapToGrid w:val="0"/>
        <w:spacing w:line="360" w:lineRule="exact"/>
        <w:ind w:left="-420" w:leftChars="-200" w:right="-313" w:rightChars="-149" w:firstLine="367" w:firstLineChars="175"/>
        <w:contextualSpacing/>
        <w:textAlignment w:val="baseline"/>
        <w:rPr>
          <w:rFonts w:ascii="宋体" w:hAnsi="宋体" w:cs="宋体"/>
          <w:color w:val="000000"/>
          <w:szCs w:val="21"/>
        </w:rPr>
      </w:pPr>
      <w:r>
        <w:rPr>
          <w:rFonts w:hint="eastAsia" w:ascii="宋体" w:hAnsi="宋体" w:cs="宋体"/>
          <w:color w:val="000000"/>
          <w:szCs w:val="21"/>
        </w:rPr>
        <w:t>一、甲乙双方应当自觉遵守国家、地方法律法规以及本协议的约定，在合同的订立、履行过程中廉洁自律。</w:t>
      </w:r>
    </w:p>
    <w:p>
      <w:pPr>
        <w:widowControl/>
        <w:adjustRightInd w:val="0"/>
        <w:snapToGrid w:val="0"/>
        <w:spacing w:line="360" w:lineRule="exact"/>
        <w:ind w:left="-420" w:leftChars="-200" w:right="-313" w:rightChars="-149" w:firstLine="367" w:firstLineChars="175"/>
        <w:contextualSpacing/>
        <w:textAlignment w:val="baseline"/>
        <w:rPr>
          <w:rFonts w:ascii="宋体" w:hAnsi="宋体" w:cs="宋体"/>
          <w:color w:val="000000"/>
          <w:szCs w:val="21"/>
        </w:rPr>
      </w:pPr>
      <w:r>
        <w:rPr>
          <w:rFonts w:hint="eastAsia" w:ascii="宋体" w:hAnsi="宋体" w:cs="宋体"/>
          <w:color w:val="000000"/>
          <w:szCs w:val="21"/>
        </w:rPr>
        <w:t>二、甲方工作人员</w:t>
      </w:r>
      <w:r>
        <w:rPr>
          <w:rFonts w:hint="eastAsia" w:ascii="宋体" w:hAnsi="宋体" w:cs="宋体"/>
          <w:szCs w:val="21"/>
        </w:rPr>
        <w:t>严禁进行商业目的的统方，不得</w:t>
      </w:r>
      <w:r>
        <w:rPr>
          <w:rFonts w:hint="eastAsia" w:ascii="宋体" w:hAnsi="宋体" w:cs="宋体"/>
          <w:color w:val="000000"/>
          <w:szCs w:val="21"/>
        </w:rPr>
        <w:t>以任何形式向乙方索要和收受个人回扣等好处费。</w:t>
      </w:r>
    </w:p>
    <w:p>
      <w:pPr>
        <w:widowControl/>
        <w:adjustRightInd w:val="0"/>
        <w:snapToGrid w:val="0"/>
        <w:spacing w:line="360" w:lineRule="exact"/>
        <w:ind w:left="-420" w:leftChars="-200" w:right="-313" w:rightChars="-149" w:firstLine="367" w:firstLineChars="175"/>
        <w:contextualSpacing/>
        <w:textAlignment w:val="baseline"/>
        <w:rPr>
          <w:rFonts w:ascii="宋体" w:hAnsi="宋体" w:cs="宋体"/>
          <w:color w:val="000000"/>
          <w:szCs w:val="21"/>
        </w:rPr>
      </w:pPr>
      <w:r>
        <w:rPr>
          <w:rFonts w:hint="eastAsia" w:ascii="宋体" w:hAnsi="宋体" w:cs="宋体"/>
          <w:color w:val="000000"/>
          <w:szCs w:val="21"/>
        </w:rPr>
        <w:t>三、甲方工作人员应当保持与乙方的正常业务交往，不得接受乙方的礼金、有价证券和贵重物品，不得在乙方报销任何应由其个人承担的费用。</w:t>
      </w:r>
    </w:p>
    <w:p>
      <w:pPr>
        <w:widowControl/>
        <w:adjustRightInd w:val="0"/>
        <w:snapToGrid w:val="0"/>
        <w:spacing w:line="360" w:lineRule="exact"/>
        <w:ind w:left="-420" w:leftChars="-200" w:right="-313" w:rightChars="-149" w:firstLine="367" w:firstLineChars="175"/>
        <w:contextualSpacing/>
        <w:textAlignment w:val="baseline"/>
        <w:rPr>
          <w:rFonts w:ascii="宋体" w:hAnsi="宋体" w:cs="宋体"/>
          <w:color w:val="000000"/>
          <w:szCs w:val="21"/>
        </w:rPr>
      </w:pPr>
      <w:r>
        <w:rPr>
          <w:rFonts w:hint="eastAsia" w:ascii="宋体" w:hAnsi="宋体" w:cs="宋体"/>
          <w:color w:val="000000"/>
          <w:szCs w:val="21"/>
        </w:rPr>
        <w:t>四、甲方工作人员不得参加可能对公正开展业务有影响的宴请和娱乐活动。如甲方工作人员确因实际情况须参加宴请、进行娱乐活动的，须事先报上一级批准。</w:t>
      </w:r>
    </w:p>
    <w:p>
      <w:pPr>
        <w:widowControl/>
        <w:adjustRightInd w:val="0"/>
        <w:snapToGrid w:val="0"/>
        <w:spacing w:line="360" w:lineRule="exact"/>
        <w:ind w:left="-420" w:leftChars="-200" w:right="-313" w:rightChars="-149" w:firstLine="367" w:firstLineChars="175"/>
        <w:contextualSpacing/>
        <w:textAlignment w:val="baseline"/>
        <w:rPr>
          <w:rFonts w:ascii="宋体" w:hAnsi="宋体" w:cs="宋体"/>
          <w:color w:val="000000"/>
          <w:szCs w:val="21"/>
        </w:rPr>
      </w:pPr>
      <w:r>
        <w:rPr>
          <w:rFonts w:hint="eastAsia" w:ascii="宋体" w:hAnsi="宋体" w:cs="宋体"/>
          <w:color w:val="000000"/>
          <w:szCs w:val="21"/>
        </w:rPr>
        <w:t>五、甲方工作人员不得要求或者接受乙方为其住房装修、婚丧嫁娶、家属和子女的工作安排以及出国等提供方便。</w:t>
      </w:r>
    </w:p>
    <w:p>
      <w:pPr>
        <w:widowControl/>
        <w:adjustRightInd w:val="0"/>
        <w:snapToGrid w:val="0"/>
        <w:spacing w:line="360" w:lineRule="exact"/>
        <w:ind w:left="-420" w:leftChars="-200" w:right="-313" w:rightChars="-149" w:firstLine="367" w:firstLineChars="175"/>
        <w:contextualSpacing/>
        <w:textAlignment w:val="baseline"/>
        <w:rPr>
          <w:rFonts w:ascii="宋体" w:hAnsi="宋体" w:cs="宋体"/>
          <w:color w:val="000000"/>
          <w:szCs w:val="21"/>
        </w:rPr>
      </w:pPr>
      <w:r>
        <w:rPr>
          <w:rFonts w:hint="eastAsia" w:ascii="宋体" w:hAnsi="宋体" w:cs="宋体"/>
          <w:color w:val="000000"/>
          <w:szCs w:val="21"/>
        </w:rPr>
        <w:t>六、乙方不得接受甲方工作人员介绍的家属或者亲友从事与合同相关的业务。</w:t>
      </w:r>
    </w:p>
    <w:p>
      <w:pPr>
        <w:widowControl/>
        <w:adjustRightInd w:val="0"/>
        <w:snapToGrid w:val="0"/>
        <w:spacing w:line="360" w:lineRule="exact"/>
        <w:ind w:left="-420" w:leftChars="-200" w:right="-313" w:rightChars="-149" w:firstLine="367" w:firstLineChars="175"/>
        <w:contextualSpacing/>
        <w:textAlignment w:val="baseline"/>
        <w:rPr>
          <w:rFonts w:ascii="宋体" w:hAnsi="宋体" w:cs="宋体"/>
          <w:color w:val="000000"/>
          <w:szCs w:val="21"/>
        </w:rPr>
      </w:pPr>
      <w:r>
        <w:rPr>
          <w:rFonts w:hint="eastAsia" w:ascii="宋体" w:hAnsi="宋体" w:cs="宋体"/>
          <w:color w:val="000000"/>
          <w:szCs w:val="21"/>
        </w:rPr>
        <w:t>七、乙方应当通过正常途径开展相关业务，不得为获取某些不正当利益而向甲方工作人员赠送礼金、有价证券和贵重物品等，或给甲方工作人员报销其个人费用，或邀请甲方工作人员外出旅游和进入营业性娱乐场所，或为甲方工作人员住房装修、婚丧嫁娶、家属和子女的工作安排以及出国等提供方便。</w:t>
      </w:r>
    </w:p>
    <w:p>
      <w:pPr>
        <w:widowControl/>
        <w:adjustRightInd w:val="0"/>
        <w:snapToGrid w:val="0"/>
        <w:spacing w:line="360" w:lineRule="exact"/>
        <w:ind w:left="-420" w:leftChars="-200" w:right="-313" w:rightChars="-149" w:firstLine="367" w:firstLineChars="175"/>
        <w:contextualSpacing/>
        <w:textAlignment w:val="baseline"/>
        <w:rPr>
          <w:rFonts w:ascii="宋体" w:hAnsi="宋体" w:cs="宋体"/>
          <w:color w:val="000000"/>
          <w:szCs w:val="21"/>
        </w:rPr>
      </w:pPr>
      <w:r>
        <w:rPr>
          <w:rFonts w:hint="eastAsia" w:ascii="宋体" w:hAnsi="宋体" w:cs="宋体"/>
          <w:color w:val="000000"/>
          <w:szCs w:val="21"/>
        </w:rPr>
        <w:t>八、乙方如发现甲方工作人员有违反上述协议者，应向甲方举报（甲方举报接待部门：纪委办公室；举报电话：87907263）。甲方不得找任何借口对乙方进行报复。甲方对举报属实和严格遵守廉洁协议的乙方，在同等条件下优先考虑与乙方继续合作。</w:t>
      </w:r>
    </w:p>
    <w:p>
      <w:pPr>
        <w:widowControl/>
        <w:adjustRightInd w:val="0"/>
        <w:snapToGrid w:val="0"/>
        <w:spacing w:line="360" w:lineRule="exact"/>
        <w:ind w:left="-420" w:leftChars="-200" w:right="-313" w:rightChars="-149" w:firstLine="367" w:firstLineChars="175"/>
        <w:contextualSpacing/>
        <w:textAlignment w:val="baseline"/>
        <w:rPr>
          <w:rFonts w:ascii="宋体" w:hAnsi="宋体" w:cs="宋体"/>
          <w:color w:val="000000"/>
          <w:szCs w:val="21"/>
        </w:rPr>
      </w:pPr>
      <w:r>
        <w:rPr>
          <w:rFonts w:hint="eastAsia" w:ascii="宋体" w:hAnsi="宋体" w:cs="宋体"/>
          <w:color w:val="000000"/>
          <w:szCs w:val="21"/>
        </w:rPr>
        <w:t>九、甲方发现乙方有违反本协议或者采用不正当的手段行贿甲方工作人员等不正当竞争行为的，甲方有权解除合同。</w:t>
      </w:r>
    </w:p>
    <w:p>
      <w:pPr>
        <w:widowControl/>
        <w:adjustRightInd w:val="0"/>
        <w:snapToGrid w:val="0"/>
        <w:spacing w:line="360" w:lineRule="exact"/>
        <w:ind w:left="-420" w:leftChars="-200" w:right="-313" w:rightChars="-149" w:firstLine="367" w:firstLineChars="175"/>
        <w:contextualSpacing/>
        <w:textAlignment w:val="baseline"/>
        <w:rPr>
          <w:rFonts w:ascii="宋体" w:hAnsi="宋体" w:cs="宋体"/>
          <w:color w:val="000000"/>
          <w:szCs w:val="21"/>
        </w:rPr>
      </w:pPr>
      <w:r>
        <w:rPr>
          <w:rFonts w:hint="eastAsia" w:ascii="宋体" w:hAnsi="宋体" w:cs="宋体"/>
          <w:color w:val="000000"/>
          <w:szCs w:val="21"/>
        </w:rPr>
        <w:t>十、本廉洁协议作为合同的附件，与合同具有同等法律效力。经协议双方签署后立即生效。</w:t>
      </w:r>
    </w:p>
    <w:p>
      <w:pPr>
        <w:widowControl/>
        <w:adjustRightInd w:val="0"/>
        <w:snapToGrid w:val="0"/>
        <w:spacing w:line="360" w:lineRule="exact"/>
        <w:ind w:left="-420" w:leftChars="-200" w:right="-313" w:rightChars="-149" w:firstLine="367" w:firstLineChars="175"/>
        <w:contextualSpacing/>
        <w:textAlignment w:val="baseline"/>
        <w:rPr>
          <w:rFonts w:ascii="宋体" w:hAnsi="宋体" w:cs="宋体"/>
          <w:color w:val="000000"/>
          <w:szCs w:val="21"/>
        </w:rPr>
      </w:pPr>
      <w:r>
        <w:rPr>
          <w:rFonts w:hint="eastAsia" w:ascii="宋体" w:hAnsi="宋体" w:cs="宋体"/>
          <w:color w:val="000000"/>
          <w:szCs w:val="21"/>
        </w:rPr>
        <w:t>十一、本协议一式肆份，甲方执贰份、乙方执贰份，并从签订之日起生效。</w:t>
      </w:r>
    </w:p>
    <w:p>
      <w:pPr>
        <w:widowControl/>
        <w:tabs>
          <w:tab w:val="left" w:pos="780"/>
        </w:tabs>
        <w:spacing w:line="440" w:lineRule="exact"/>
        <w:textAlignment w:val="baseline"/>
        <w:rPr>
          <w:szCs w:val="21"/>
        </w:rPr>
      </w:pPr>
    </w:p>
    <w:p>
      <w:pPr>
        <w:widowControl/>
        <w:adjustRightInd w:val="0"/>
        <w:snapToGrid w:val="0"/>
        <w:spacing w:line="440" w:lineRule="exact"/>
        <w:ind w:left="57" w:leftChars="27" w:right="-483" w:rightChars="-230" w:firstLine="50" w:firstLineChars="24"/>
        <w:contextualSpacing/>
        <w:textAlignment w:val="baseline"/>
        <w:rPr>
          <w:rFonts w:ascii="宋体" w:hAnsi="宋体" w:cs="宋体"/>
          <w:b/>
          <w:szCs w:val="21"/>
        </w:rPr>
      </w:pPr>
      <w:r>
        <w:rPr>
          <w:rFonts w:hint="eastAsia" w:ascii="宋体" w:hAnsi="宋体" w:cs="宋体"/>
          <w:color w:val="000000"/>
          <w:szCs w:val="21"/>
        </w:rPr>
        <w:t>甲方：（盖章）</w:t>
      </w:r>
      <w:r>
        <w:rPr>
          <w:rFonts w:hint="eastAsia" w:ascii="宋体" w:hAnsi="宋体" w:cs="宋体"/>
          <w:b/>
          <w:color w:val="000000"/>
          <w:szCs w:val="21"/>
        </w:rPr>
        <w:t>扬州大学附属医院</w:t>
      </w:r>
      <w:r>
        <w:rPr>
          <w:rFonts w:hint="eastAsia" w:ascii="宋体" w:hAnsi="宋体" w:cs="宋体"/>
          <w:color w:val="000000"/>
          <w:szCs w:val="21"/>
        </w:rPr>
        <w:t xml:space="preserve">   乙方：（盖章</w:t>
      </w:r>
      <w:r>
        <w:rPr>
          <w:rFonts w:hint="eastAsia" w:ascii="宋体" w:hAnsi="宋体" w:cs="宋体"/>
          <w:b/>
          <w:color w:val="000000"/>
          <w:szCs w:val="21"/>
        </w:rPr>
        <w:t>） 扬州市捷鑫电梯安装工程有限公司</w:t>
      </w:r>
    </w:p>
    <w:p>
      <w:pPr>
        <w:widowControl/>
        <w:adjustRightInd w:val="0"/>
        <w:snapToGrid w:val="0"/>
        <w:spacing w:line="440" w:lineRule="exact"/>
        <w:ind w:left="57" w:leftChars="27" w:firstLine="50" w:firstLineChars="24"/>
        <w:contextualSpacing/>
        <w:textAlignment w:val="baseline"/>
        <w:rPr>
          <w:rFonts w:ascii="宋体" w:hAnsi="宋体" w:cs="宋体"/>
          <w:color w:val="000000"/>
          <w:szCs w:val="21"/>
        </w:rPr>
      </w:pPr>
      <w:r>
        <w:rPr>
          <w:rFonts w:hint="eastAsia" w:ascii="宋体" w:hAnsi="宋体" w:cs="宋体"/>
          <w:color w:val="000000"/>
          <w:szCs w:val="21"/>
        </w:rPr>
        <w:t>法定代表人：                     法定代表人：</w:t>
      </w:r>
    </w:p>
    <w:p>
      <w:pPr>
        <w:widowControl/>
        <w:adjustRightInd w:val="0"/>
        <w:snapToGrid w:val="0"/>
        <w:spacing w:line="440" w:lineRule="exact"/>
        <w:ind w:left="57" w:leftChars="27" w:firstLine="50" w:firstLineChars="24"/>
        <w:contextualSpacing/>
        <w:textAlignment w:val="baseline"/>
        <w:rPr>
          <w:rFonts w:ascii="宋体" w:hAnsi="宋体" w:cs="宋体"/>
          <w:color w:val="000000"/>
          <w:szCs w:val="21"/>
        </w:rPr>
      </w:pPr>
      <w:r>
        <w:rPr>
          <w:rFonts w:hint="eastAsia" w:ascii="宋体" w:hAnsi="宋体" w:cs="宋体"/>
          <w:color w:val="000000"/>
          <w:szCs w:val="21"/>
        </w:rPr>
        <w:t>（或授权签约人）：              （或授权签约人）：</w:t>
      </w:r>
    </w:p>
    <w:p>
      <w:pPr>
        <w:widowControl/>
        <w:adjustRightInd w:val="0"/>
        <w:snapToGrid w:val="0"/>
        <w:spacing w:line="440" w:lineRule="exact"/>
        <w:ind w:left="-53" w:leftChars="-202" w:hanging="371" w:hangingChars="177"/>
        <w:contextualSpacing/>
        <w:textAlignment w:val="baseline"/>
        <w:rPr>
          <w:rFonts w:ascii="宋体" w:hAnsi="宋体" w:cs="宋体"/>
          <w:color w:val="000000"/>
          <w:szCs w:val="21"/>
        </w:rPr>
      </w:pPr>
    </w:p>
    <w:p>
      <w:pPr>
        <w:widowControl/>
        <w:adjustRightInd w:val="0"/>
        <w:snapToGrid w:val="0"/>
        <w:spacing w:line="440" w:lineRule="exact"/>
        <w:ind w:left="57" w:leftChars="27" w:firstLine="50" w:firstLineChars="24"/>
        <w:contextualSpacing/>
        <w:textAlignment w:val="baseline"/>
        <w:rPr>
          <w:szCs w:val="21"/>
        </w:rPr>
      </w:pPr>
      <w:r>
        <w:rPr>
          <w:rFonts w:hint="eastAsia" w:ascii="宋体" w:hAnsi="宋体" w:cs="宋体"/>
          <w:color w:val="000000"/>
          <w:szCs w:val="21"/>
        </w:rPr>
        <w:t>日  期:2025年   月   日          日   期:2025年   月   日</w:t>
      </w:r>
    </w:p>
    <w:p>
      <w:pPr>
        <w:rPr>
          <w:rFonts w:ascii="宋体" w:hAnsi="宋体" w:cs="宋体"/>
          <w:b/>
          <w:bCs/>
          <w:sz w:val="30"/>
          <w:szCs w:val="30"/>
        </w:rPr>
      </w:pPr>
      <w:r>
        <w:rPr>
          <w:szCs w:val="21"/>
        </w:rPr>
        <w:br w:type="page"/>
      </w:r>
      <w:r>
        <w:rPr>
          <w:rFonts w:hint="eastAsia" w:ascii="宋体" w:hAnsi="宋体" w:cs="宋体"/>
          <w:b/>
          <w:bCs/>
          <w:sz w:val="30"/>
          <w:szCs w:val="30"/>
        </w:rPr>
        <w:t>附件1</w:t>
      </w:r>
    </w:p>
    <w:p>
      <w:pPr>
        <w:jc w:val="center"/>
        <w:rPr>
          <w:rFonts w:ascii="宋体" w:hAnsi="宋体" w:cs="宋体"/>
          <w:b/>
          <w:bCs/>
          <w:sz w:val="30"/>
          <w:szCs w:val="30"/>
        </w:rPr>
      </w:pPr>
      <w:r>
        <w:rPr>
          <w:rFonts w:hint="eastAsia" w:ascii="宋体" w:hAnsi="宋体" w:cs="宋体"/>
          <w:b/>
          <w:bCs/>
          <w:sz w:val="30"/>
          <w:szCs w:val="30"/>
        </w:rPr>
        <w:t>维保电梯清单</w:t>
      </w:r>
    </w:p>
    <w:tbl>
      <w:tblPr>
        <w:tblStyle w:val="10"/>
        <w:tblpPr w:leftFromText="180" w:rightFromText="180" w:vertAnchor="text" w:horzAnchor="margin" w:tblpXSpec="center" w:tblpY="56"/>
        <w:tblOverlap w:val="never"/>
        <w:tblW w:w="93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84"/>
        <w:gridCol w:w="1896"/>
        <w:gridCol w:w="1781"/>
        <w:gridCol w:w="1843"/>
        <w:gridCol w:w="850"/>
        <w:gridCol w:w="709"/>
        <w:gridCol w:w="15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58" w:hRule="atLeast"/>
        </w:trPr>
        <w:tc>
          <w:tcPr>
            <w:tcW w:w="684" w:type="dxa"/>
            <w:noWrap/>
            <w:vAlign w:val="center"/>
          </w:tcPr>
          <w:p>
            <w:pPr>
              <w:jc w:val="center"/>
              <w:rPr>
                <w:rFonts w:ascii="宋体" w:hAnsi="宋体" w:cs="宋体"/>
                <w:b/>
                <w:sz w:val="24"/>
                <w:szCs w:val="24"/>
              </w:rPr>
            </w:pPr>
            <w:r>
              <w:rPr>
                <w:rFonts w:hint="eastAsia" w:ascii="宋体" w:hAnsi="宋体" w:cs="宋体"/>
                <w:b/>
                <w:sz w:val="24"/>
                <w:szCs w:val="24"/>
              </w:rPr>
              <w:t>序号</w:t>
            </w:r>
          </w:p>
        </w:tc>
        <w:tc>
          <w:tcPr>
            <w:tcW w:w="1896" w:type="dxa"/>
            <w:noWrap/>
            <w:vAlign w:val="center"/>
          </w:tcPr>
          <w:p>
            <w:pPr>
              <w:jc w:val="center"/>
              <w:rPr>
                <w:rFonts w:ascii="宋体" w:hAnsi="宋体" w:cs="宋体"/>
                <w:b/>
                <w:sz w:val="24"/>
                <w:szCs w:val="24"/>
              </w:rPr>
            </w:pPr>
            <w:r>
              <w:rPr>
                <w:rFonts w:hint="eastAsia" w:ascii="宋体" w:hAnsi="宋体" w:cs="宋体"/>
                <w:b/>
                <w:sz w:val="24"/>
                <w:szCs w:val="24"/>
              </w:rPr>
              <w:t>设备名称</w:t>
            </w:r>
          </w:p>
        </w:tc>
        <w:tc>
          <w:tcPr>
            <w:tcW w:w="1781" w:type="dxa"/>
            <w:noWrap/>
            <w:vAlign w:val="center"/>
          </w:tcPr>
          <w:p>
            <w:pPr>
              <w:jc w:val="center"/>
              <w:rPr>
                <w:rFonts w:ascii="宋体" w:hAnsi="宋体" w:cs="宋体"/>
                <w:b/>
                <w:sz w:val="24"/>
                <w:szCs w:val="24"/>
              </w:rPr>
            </w:pPr>
            <w:r>
              <w:rPr>
                <w:rFonts w:hint="eastAsia" w:ascii="宋体" w:hAnsi="宋体" w:cs="宋体"/>
                <w:b/>
                <w:sz w:val="24"/>
                <w:szCs w:val="24"/>
              </w:rPr>
              <w:t>安装场所</w:t>
            </w:r>
          </w:p>
        </w:tc>
        <w:tc>
          <w:tcPr>
            <w:tcW w:w="1843" w:type="dxa"/>
            <w:noWrap/>
            <w:vAlign w:val="center"/>
          </w:tcPr>
          <w:p>
            <w:pPr>
              <w:jc w:val="center"/>
              <w:rPr>
                <w:rFonts w:ascii="宋体" w:hAnsi="宋体" w:cs="宋体"/>
                <w:b/>
                <w:sz w:val="24"/>
                <w:szCs w:val="24"/>
              </w:rPr>
            </w:pPr>
            <w:r>
              <w:rPr>
                <w:rFonts w:hint="eastAsia" w:ascii="宋体" w:hAnsi="宋体" w:cs="宋体"/>
                <w:b/>
                <w:sz w:val="24"/>
                <w:szCs w:val="24"/>
              </w:rPr>
              <w:t>型号</w:t>
            </w:r>
          </w:p>
        </w:tc>
        <w:tc>
          <w:tcPr>
            <w:tcW w:w="850" w:type="dxa"/>
            <w:noWrap/>
            <w:vAlign w:val="center"/>
          </w:tcPr>
          <w:p>
            <w:pPr>
              <w:jc w:val="center"/>
              <w:rPr>
                <w:rFonts w:ascii="宋体" w:hAnsi="宋体" w:cs="宋体"/>
                <w:b/>
                <w:sz w:val="24"/>
                <w:szCs w:val="24"/>
              </w:rPr>
            </w:pPr>
            <w:r>
              <w:rPr>
                <w:rFonts w:hint="eastAsia" w:ascii="宋体" w:hAnsi="宋体" w:cs="宋体"/>
                <w:b/>
                <w:sz w:val="24"/>
                <w:szCs w:val="24"/>
              </w:rPr>
              <w:t>品牌</w:t>
            </w:r>
          </w:p>
        </w:tc>
        <w:tc>
          <w:tcPr>
            <w:tcW w:w="709" w:type="dxa"/>
            <w:noWrap/>
            <w:vAlign w:val="center"/>
          </w:tcPr>
          <w:p>
            <w:pPr>
              <w:jc w:val="center"/>
              <w:rPr>
                <w:rFonts w:ascii="宋体" w:hAnsi="宋体" w:cs="宋体"/>
                <w:b/>
                <w:sz w:val="24"/>
                <w:szCs w:val="24"/>
              </w:rPr>
            </w:pPr>
            <w:r>
              <w:rPr>
                <w:rFonts w:hint="eastAsia" w:ascii="宋体" w:hAnsi="宋体" w:cs="宋体"/>
                <w:b/>
                <w:sz w:val="24"/>
                <w:szCs w:val="24"/>
              </w:rPr>
              <w:t>层站</w:t>
            </w:r>
          </w:p>
        </w:tc>
        <w:tc>
          <w:tcPr>
            <w:tcW w:w="1559" w:type="dxa"/>
            <w:noWrap/>
            <w:vAlign w:val="center"/>
          </w:tcPr>
          <w:p>
            <w:pPr>
              <w:jc w:val="center"/>
              <w:rPr>
                <w:rFonts w:ascii="宋体" w:hAnsi="宋体" w:cs="宋体"/>
                <w:b/>
                <w:sz w:val="24"/>
                <w:szCs w:val="24"/>
              </w:rPr>
            </w:pPr>
            <w:r>
              <w:rPr>
                <w:rFonts w:hint="eastAsia" w:ascii="宋体" w:hAnsi="宋体" w:cs="宋体"/>
                <w:b/>
                <w:sz w:val="24"/>
                <w:szCs w:val="24"/>
              </w:rPr>
              <w:t>投用日期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9322" w:type="dxa"/>
            <w:gridSpan w:val="7"/>
            <w:noWrap/>
            <w:vAlign w:val="center"/>
          </w:tcPr>
          <w:p>
            <w:pPr>
              <w:spacing w:line="320" w:lineRule="exact"/>
              <w:contextualSpacing/>
              <w:jc w:val="center"/>
              <w:rPr>
                <w:rFonts w:ascii="宋体" w:hAnsi="宋体" w:cs="宋体"/>
                <w:szCs w:val="21"/>
              </w:rPr>
            </w:pPr>
            <w:r>
              <w:rPr>
                <w:rFonts w:hint="eastAsia" w:ascii="宋体" w:hAnsi="宋体" w:cs="宋体"/>
                <w:b/>
                <w:bCs/>
                <w:szCs w:val="21"/>
              </w:rPr>
              <w:t>东区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w:t>
            </w:r>
          </w:p>
        </w:tc>
        <w:tc>
          <w:tcPr>
            <w:tcW w:w="1896" w:type="dxa"/>
            <w:noWrap/>
            <w:vAlign w:val="center"/>
          </w:tcPr>
          <w:p>
            <w:pPr>
              <w:jc w:val="center"/>
              <w:rPr>
                <w:rFonts w:ascii="宋体" w:hAnsi="宋体" w:cs="宋体"/>
                <w:szCs w:val="21"/>
              </w:rPr>
            </w:pPr>
            <w:r>
              <w:rPr>
                <w:rFonts w:hint="eastAsia" w:ascii="宋体" w:hAnsi="宋体" w:cs="宋体"/>
                <w:szCs w:val="21"/>
              </w:rPr>
              <w:t>自动扶梯</w:t>
            </w:r>
          </w:p>
        </w:tc>
        <w:tc>
          <w:tcPr>
            <w:tcW w:w="1781" w:type="dxa"/>
            <w:noWrap/>
            <w:vAlign w:val="center"/>
          </w:tcPr>
          <w:p>
            <w:pPr>
              <w:jc w:val="center"/>
              <w:rPr>
                <w:rFonts w:ascii="宋体" w:hAnsi="宋体" w:cs="宋体"/>
                <w:szCs w:val="21"/>
              </w:rPr>
            </w:pPr>
            <w:r>
              <w:rPr>
                <w:rFonts w:hint="eastAsia" w:ascii="宋体" w:hAnsi="宋体" w:cs="宋体"/>
                <w:szCs w:val="21"/>
              </w:rPr>
              <w:t>1号楼（门诊）</w:t>
            </w:r>
          </w:p>
        </w:tc>
        <w:tc>
          <w:tcPr>
            <w:tcW w:w="1843" w:type="dxa"/>
            <w:noWrap/>
            <w:vAlign w:val="center"/>
          </w:tcPr>
          <w:p>
            <w:pPr>
              <w:jc w:val="center"/>
              <w:rPr>
                <w:rFonts w:ascii="宋体" w:hAnsi="宋体" w:cs="宋体"/>
                <w:szCs w:val="21"/>
              </w:rPr>
            </w:pPr>
            <w:r>
              <w:rPr>
                <w:rFonts w:hint="eastAsia" w:ascii="宋体" w:hAnsi="宋体" w:cs="宋体"/>
                <w:szCs w:val="21"/>
              </w:rPr>
              <w:t>506NCE</w:t>
            </w:r>
          </w:p>
        </w:tc>
        <w:tc>
          <w:tcPr>
            <w:tcW w:w="850" w:type="dxa"/>
            <w:noWrap/>
            <w:vAlign w:val="center"/>
          </w:tcPr>
          <w:p>
            <w:pPr>
              <w:jc w:val="center"/>
              <w:rPr>
                <w:rFonts w:ascii="宋体" w:hAnsi="宋体" w:cs="宋体"/>
                <w:szCs w:val="21"/>
              </w:rPr>
            </w:pPr>
            <w:r>
              <w:rPr>
                <w:rFonts w:hint="eastAsia" w:ascii="宋体" w:hAnsi="宋体" w:cs="宋体"/>
                <w:szCs w:val="21"/>
              </w:rPr>
              <w:t>奥的斯</w:t>
            </w:r>
          </w:p>
        </w:tc>
        <w:tc>
          <w:tcPr>
            <w:tcW w:w="709" w:type="dxa"/>
            <w:noWrap/>
            <w:vAlign w:val="center"/>
          </w:tcPr>
          <w:p>
            <w:pPr>
              <w:jc w:val="center"/>
              <w:rPr>
                <w:rFonts w:ascii="宋体" w:hAnsi="宋体" w:cs="宋体"/>
                <w:szCs w:val="21"/>
              </w:rPr>
            </w:pPr>
            <w:r>
              <w:rPr>
                <w:rFonts w:hint="eastAsia" w:ascii="宋体" w:hAnsi="宋体" w:cs="宋体"/>
                <w:szCs w:val="21"/>
              </w:rPr>
              <w:t>1-2</w:t>
            </w:r>
          </w:p>
        </w:tc>
        <w:tc>
          <w:tcPr>
            <w:tcW w:w="1559" w:type="dxa"/>
            <w:noWrap/>
            <w:vAlign w:val="center"/>
          </w:tcPr>
          <w:p>
            <w:pPr>
              <w:jc w:val="center"/>
              <w:rPr>
                <w:rFonts w:ascii="宋体" w:hAnsi="宋体" w:cs="宋体"/>
                <w:szCs w:val="21"/>
              </w:rPr>
            </w:pPr>
            <w:r>
              <w:rPr>
                <w:rFonts w:hint="eastAsia" w:ascii="宋体" w:hAnsi="宋体" w:cs="宋体"/>
                <w:szCs w:val="21"/>
              </w:rPr>
              <w:t>2012-09-24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2</w:t>
            </w:r>
          </w:p>
        </w:tc>
        <w:tc>
          <w:tcPr>
            <w:tcW w:w="1896" w:type="dxa"/>
            <w:noWrap/>
            <w:vAlign w:val="center"/>
          </w:tcPr>
          <w:p>
            <w:pPr>
              <w:jc w:val="center"/>
              <w:rPr>
                <w:rFonts w:ascii="宋体" w:hAnsi="宋体" w:cs="宋体"/>
                <w:szCs w:val="21"/>
              </w:rPr>
            </w:pPr>
            <w:r>
              <w:rPr>
                <w:rFonts w:hint="eastAsia" w:ascii="宋体" w:hAnsi="宋体" w:cs="宋体"/>
                <w:szCs w:val="21"/>
              </w:rPr>
              <w:t>自动扶梯</w:t>
            </w:r>
          </w:p>
        </w:tc>
        <w:tc>
          <w:tcPr>
            <w:tcW w:w="1781" w:type="dxa"/>
            <w:noWrap/>
            <w:vAlign w:val="center"/>
          </w:tcPr>
          <w:p>
            <w:pPr>
              <w:jc w:val="center"/>
              <w:rPr>
                <w:rFonts w:ascii="宋体" w:hAnsi="宋体" w:cs="宋体"/>
                <w:szCs w:val="21"/>
              </w:rPr>
            </w:pPr>
            <w:r>
              <w:rPr>
                <w:rFonts w:hint="eastAsia" w:ascii="宋体" w:hAnsi="宋体" w:cs="宋体"/>
                <w:szCs w:val="21"/>
              </w:rPr>
              <w:t>1号楼（门诊）</w:t>
            </w:r>
          </w:p>
        </w:tc>
        <w:tc>
          <w:tcPr>
            <w:tcW w:w="1843" w:type="dxa"/>
            <w:noWrap/>
            <w:vAlign w:val="center"/>
          </w:tcPr>
          <w:p>
            <w:pPr>
              <w:jc w:val="center"/>
              <w:rPr>
                <w:rFonts w:ascii="宋体" w:hAnsi="宋体" w:cs="宋体"/>
                <w:szCs w:val="21"/>
              </w:rPr>
            </w:pPr>
            <w:r>
              <w:rPr>
                <w:rFonts w:hint="eastAsia" w:ascii="宋体" w:hAnsi="宋体" w:cs="宋体"/>
                <w:szCs w:val="21"/>
              </w:rPr>
              <w:t>506NCE</w:t>
            </w:r>
          </w:p>
        </w:tc>
        <w:tc>
          <w:tcPr>
            <w:tcW w:w="850" w:type="dxa"/>
            <w:noWrap/>
            <w:vAlign w:val="center"/>
          </w:tcPr>
          <w:p>
            <w:pPr>
              <w:jc w:val="center"/>
              <w:rPr>
                <w:rFonts w:ascii="宋体" w:hAnsi="宋体" w:cs="宋体"/>
                <w:szCs w:val="21"/>
              </w:rPr>
            </w:pPr>
            <w:r>
              <w:rPr>
                <w:rFonts w:hint="eastAsia" w:ascii="宋体" w:hAnsi="宋体" w:cs="宋体"/>
                <w:szCs w:val="21"/>
              </w:rPr>
              <w:t>奥的斯</w:t>
            </w:r>
          </w:p>
        </w:tc>
        <w:tc>
          <w:tcPr>
            <w:tcW w:w="709" w:type="dxa"/>
            <w:noWrap/>
            <w:vAlign w:val="center"/>
          </w:tcPr>
          <w:p>
            <w:pPr>
              <w:jc w:val="center"/>
              <w:rPr>
                <w:rFonts w:ascii="宋体" w:hAnsi="宋体" w:cs="宋体"/>
                <w:szCs w:val="21"/>
              </w:rPr>
            </w:pPr>
            <w:r>
              <w:rPr>
                <w:rFonts w:hint="eastAsia" w:ascii="宋体" w:hAnsi="宋体" w:cs="宋体"/>
                <w:szCs w:val="21"/>
              </w:rPr>
              <w:t>2-1</w:t>
            </w:r>
          </w:p>
        </w:tc>
        <w:tc>
          <w:tcPr>
            <w:tcW w:w="1559" w:type="dxa"/>
            <w:noWrap/>
            <w:vAlign w:val="center"/>
          </w:tcPr>
          <w:p>
            <w:pPr>
              <w:jc w:val="center"/>
              <w:rPr>
                <w:rFonts w:ascii="宋体" w:hAnsi="宋体" w:cs="宋体"/>
                <w:szCs w:val="21"/>
              </w:rPr>
            </w:pPr>
            <w:r>
              <w:rPr>
                <w:rFonts w:hint="eastAsia" w:ascii="宋体" w:hAnsi="宋体" w:cs="宋体"/>
                <w:szCs w:val="21"/>
              </w:rPr>
              <w:t>2012-09-24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3</w:t>
            </w:r>
          </w:p>
        </w:tc>
        <w:tc>
          <w:tcPr>
            <w:tcW w:w="1896" w:type="dxa"/>
            <w:noWrap/>
            <w:vAlign w:val="center"/>
          </w:tcPr>
          <w:p>
            <w:pPr>
              <w:jc w:val="center"/>
              <w:rPr>
                <w:rFonts w:ascii="宋体" w:hAnsi="宋体" w:cs="宋体"/>
                <w:szCs w:val="21"/>
              </w:rPr>
            </w:pPr>
            <w:r>
              <w:rPr>
                <w:rFonts w:hint="eastAsia" w:ascii="宋体" w:hAnsi="宋体" w:cs="宋体"/>
                <w:szCs w:val="21"/>
              </w:rPr>
              <w:t>自动扶梯</w:t>
            </w:r>
          </w:p>
        </w:tc>
        <w:tc>
          <w:tcPr>
            <w:tcW w:w="1781" w:type="dxa"/>
            <w:noWrap/>
            <w:vAlign w:val="center"/>
          </w:tcPr>
          <w:p>
            <w:pPr>
              <w:jc w:val="center"/>
              <w:rPr>
                <w:rFonts w:ascii="宋体" w:hAnsi="宋体" w:cs="宋体"/>
                <w:szCs w:val="21"/>
              </w:rPr>
            </w:pPr>
            <w:r>
              <w:rPr>
                <w:rFonts w:hint="eastAsia" w:ascii="宋体" w:hAnsi="宋体" w:cs="宋体"/>
                <w:szCs w:val="21"/>
              </w:rPr>
              <w:t>1号楼（门诊）</w:t>
            </w:r>
          </w:p>
        </w:tc>
        <w:tc>
          <w:tcPr>
            <w:tcW w:w="1843" w:type="dxa"/>
            <w:noWrap/>
            <w:vAlign w:val="center"/>
          </w:tcPr>
          <w:p>
            <w:pPr>
              <w:jc w:val="center"/>
              <w:rPr>
                <w:rFonts w:ascii="宋体" w:hAnsi="宋体" w:cs="宋体"/>
                <w:szCs w:val="21"/>
              </w:rPr>
            </w:pPr>
            <w:r>
              <w:rPr>
                <w:rFonts w:hint="eastAsia" w:ascii="宋体" w:hAnsi="宋体" w:cs="宋体"/>
                <w:szCs w:val="21"/>
              </w:rPr>
              <w:t>506NCE</w:t>
            </w:r>
          </w:p>
        </w:tc>
        <w:tc>
          <w:tcPr>
            <w:tcW w:w="850" w:type="dxa"/>
            <w:noWrap/>
            <w:vAlign w:val="center"/>
          </w:tcPr>
          <w:p>
            <w:pPr>
              <w:jc w:val="center"/>
              <w:rPr>
                <w:rFonts w:ascii="宋体" w:hAnsi="宋体" w:cs="宋体"/>
                <w:szCs w:val="21"/>
              </w:rPr>
            </w:pPr>
            <w:r>
              <w:rPr>
                <w:rFonts w:hint="eastAsia" w:ascii="宋体" w:hAnsi="宋体" w:cs="宋体"/>
                <w:szCs w:val="21"/>
              </w:rPr>
              <w:t>奥的斯</w:t>
            </w:r>
          </w:p>
        </w:tc>
        <w:tc>
          <w:tcPr>
            <w:tcW w:w="709" w:type="dxa"/>
            <w:noWrap/>
            <w:vAlign w:val="center"/>
          </w:tcPr>
          <w:p>
            <w:pPr>
              <w:jc w:val="center"/>
              <w:rPr>
                <w:rFonts w:ascii="宋体" w:hAnsi="宋体" w:cs="宋体"/>
                <w:szCs w:val="21"/>
              </w:rPr>
            </w:pPr>
            <w:r>
              <w:rPr>
                <w:rFonts w:hint="eastAsia" w:ascii="宋体" w:hAnsi="宋体" w:cs="宋体"/>
                <w:szCs w:val="21"/>
              </w:rPr>
              <w:t>2-3</w:t>
            </w:r>
          </w:p>
        </w:tc>
        <w:tc>
          <w:tcPr>
            <w:tcW w:w="1559" w:type="dxa"/>
            <w:noWrap/>
            <w:vAlign w:val="center"/>
          </w:tcPr>
          <w:p>
            <w:pPr>
              <w:jc w:val="center"/>
              <w:rPr>
                <w:rFonts w:ascii="宋体" w:hAnsi="宋体" w:cs="宋体"/>
                <w:szCs w:val="21"/>
              </w:rPr>
            </w:pPr>
            <w:r>
              <w:rPr>
                <w:rFonts w:hint="eastAsia" w:ascii="宋体" w:hAnsi="宋体" w:cs="宋体"/>
                <w:szCs w:val="21"/>
              </w:rPr>
              <w:t>2012-09-24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4</w:t>
            </w:r>
          </w:p>
        </w:tc>
        <w:tc>
          <w:tcPr>
            <w:tcW w:w="1896" w:type="dxa"/>
            <w:noWrap/>
            <w:vAlign w:val="center"/>
          </w:tcPr>
          <w:p>
            <w:pPr>
              <w:jc w:val="center"/>
              <w:rPr>
                <w:rFonts w:ascii="宋体" w:hAnsi="宋体" w:cs="宋体"/>
                <w:szCs w:val="21"/>
              </w:rPr>
            </w:pPr>
            <w:r>
              <w:rPr>
                <w:rFonts w:hint="eastAsia" w:ascii="宋体" w:hAnsi="宋体" w:cs="宋体"/>
                <w:szCs w:val="21"/>
              </w:rPr>
              <w:t>自动扶梯</w:t>
            </w:r>
          </w:p>
        </w:tc>
        <w:tc>
          <w:tcPr>
            <w:tcW w:w="1781" w:type="dxa"/>
            <w:noWrap/>
            <w:vAlign w:val="center"/>
          </w:tcPr>
          <w:p>
            <w:pPr>
              <w:jc w:val="center"/>
              <w:rPr>
                <w:rFonts w:ascii="宋体" w:hAnsi="宋体" w:cs="宋体"/>
                <w:szCs w:val="21"/>
              </w:rPr>
            </w:pPr>
            <w:r>
              <w:rPr>
                <w:rFonts w:hint="eastAsia" w:ascii="宋体" w:hAnsi="宋体" w:cs="宋体"/>
                <w:szCs w:val="21"/>
              </w:rPr>
              <w:t>1号楼（门诊）</w:t>
            </w:r>
          </w:p>
        </w:tc>
        <w:tc>
          <w:tcPr>
            <w:tcW w:w="1843" w:type="dxa"/>
            <w:noWrap/>
            <w:vAlign w:val="center"/>
          </w:tcPr>
          <w:p>
            <w:pPr>
              <w:jc w:val="center"/>
              <w:rPr>
                <w:rFonts w:ascii="宋体" w:hAnsi="宋体" w:cs="宋体"/>
                <w:szCs w:val="21"/>
              </w:rPr>
            </w:pPr>
            <w:r>
              <w:rPr>
                <w:rFonts w:hint="eastAsia" w:ascii="宋体" w:hAnsi="宋体" w:cs="宋体"/>
                <w:szCs w:val="21"/>
              </w:rPr>
              <w:t>506NCE</w:t>
            </w:r>
          </w:p>
        </w:tc>
        <w:tc>
          <w:tcPr>
            <w:tcW w:w="850" w:type="dxa"/>
            <w:noWrap/>
            <w:vAlign w:val="center"/>
          </w:tcPr>
          <w:p>
            <w:pPr>
              <w:jc w:val="center"/>
              <w:rPr>
                <w:rFonts w:ascii="宋体" w:hAnsi="宋体" w:cs="宋体"/>
                <w:szCs w:val="21"/>
              </w:rPr>
            </w:pPr>
            <w:r>
              <w:rPr>
                <w:rFonts w:hint="eastAsia" w:ascii="宋体" w:hAnsi="宋体" w:cs="宋体"/>
                <w:szCs w:val="21"/>
              </w:rPr>
              <w:t>奥的斯</w:t>
            </w:r>
          </w:p>
        </w:tc>
        <w:tc>
          <w:tcPr>
            <w:tcW w:w="709" w:type="dxa"/>
            <w:noWrap/>
            <w:vAlign w:val="center"/>
          </w:tcPr>
          <w:p>
            <w:pPr>
              <w:jc w:val="center"/>
              <w:rPr>
                <w:rFonts w:ascii="宋体" w:hAnsi="宋体" w:cs="宋体"/>
                <w:szCs w:val="21"/>
              </w:rPr>
            </w:pPr>
            <w:r>
              <w:rPr>
                <w:rFonts w:hint="eastAsia" w:ascii="宋体" w:hAnsi="宋体" w:cs="宋体"/>
                <w:szCs w:val="21"/>
              </w:rPr>
              <w:t>3-2</w:t>
            </w:r>
          </w:p>
        </w:tc>
        <w:tc>
          <w:tcPr>
            <w:tcW w:w="1559" w:type="dxa"/>
            <w:noWrap/>
            <w:vAlign w:val="center"/>
          </w:tcPr>
          <w:p>
            <w:pPr>
              <w:jc w:val="center"/>
              <w:rPr>
                <w:rFonts w:ascii="宋体" w:hAnsi="宋体" w:cs="宋体"/>
                <w:szCs w:val="21"/>
              </w:rPr>
            </w:pPr>
            <w:r>
              <w:rPr>
                <w:rFonts w:hint="eastAsia" w:ascii="宋体" w:hAnsi="宋体" w:cs="宋体"/>
                <w:szCs w:val="21"/>
              </w:rPr>
              <w:t>2012-09-24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5</w:t>
            </w:r>
          </w:p>
        </w:tc>
        <w:tc>
          <w:tcPr>
            <w:tcW w:w="1896" w:type="dxa"/>
            <w:noWrap/>
            <w:vAlign w:val="center"/>
          </w:tcPr>
          <w:p>
            <w:pPr>
              <w:jc w:val="center"/>
              <w:rPr>
                <w:rFonts w:ascii="宋体" w:hAnsi="宋体" w:cs="宋体"/>
                <w:szCs w:val="21"/>
              </w:rPr>
            </w:pPr>
            <w:r>
              <w:rPr>
                <w:rFonts w:hint="eastAsia" w:ascii="宋体" w:hAnsi="宋体" w:cs="宋体"/>
                <w:szCs w:val="21"/>
              </w:rPr>
              <w:t>自动扶梯</w:t>
            </w:r>
          </w:p>
        </w:tc>
        <w:tc>
          <w:tcPr>
            <w:tcW w:w="1781" w:type="dxa"/>
            <w:noWrap/>
            <w:vAlign w:val="center"/>
          </w:tcPr>
          <w:p>
            <w:pPr>
              <w:jc w:val="center"/>
              <w:rPr>
                <w:rFonts w:ascii="宋体" w:hAnsi="宋体" w:cs="宋体"/>
                <w:szCs w:val="21"/>
              </w:rPr>
            </w:pPr>
            <w:r>
              <w:rPr>
                <w:rFonts w:hint="eastAsia" w:ascii="宋体" w:hAnsi="宋体" w:cs="宋体"/>
                <w:szCs w:val="21"/>
              </w:rPr>
              <w:t>1号楼（门诊）</w:t>
            </w:r>
          </w:p>
        </w:tc>
        <w:tc>
          <w:tcPr>
            <w:tcW w:w="1843" w:type="dxa"/>
            <w:noWrap/>
            <w:vAlign w:val="center"/>
          </w:tcPr>
          <w:p>
            <w:pPr>
              <w:jc w:val="center"/>
              <w:rPr>
                <w:rFonts w:ascii="宋体" w:hAnsi="宋体" w:cs="宋体"/>
                <w:szCs w:val="21"/>
              </w:rPr>
            </w:pPr>
            <w:r>
              <w:rPr>
                <w:rFonts w:hint="eastAsia" w:ascii="宋体" w:hAnsi="宋体" w:cs="宋体"/>
                <w:szCs w:val="21"/>
              </w:rPr>
              <w:t>506NCE</w:t>
            </w:r>
          </w:p>
        </w:tc>
        <w:tc>
          <w:tcPr>
            <w:tcW w:w="850" w:type="dxa"/>
            <w:noWrap/>
            <w:vAlign w:val="center"/>
          </w:tcPr>
          <w:p>
            <w:pPr>
              <w:jc w:val="center"/>
              <w:rPr>
                <w:rFonts w:ascii="宋体" w:hAnsi="宋体" w:cs="宋体"/>
                <w:szCs w:val="21"/>
              </w:rPr>
            </w:pPr>
            <w:r>
              <w:rPr>
                <w:rFonts w:hint="eastAsia" w:ascii="宋体" w:hAnsi="宋体" w:cs="宋体"/>
                <w:szCs w:val="21"/>
              </w:rPr>
              <w:t>奥的斯</w:t>
            </w:r>
          </w:p>
        </w:tc>
        <w:tc>
          <w:tcPr>
            <w:tcW w:w="709" w:type="dxa"/>
            <w:noWrap/>
            <w:vAlign w:val="center"/>
          </w:tcPr>
          <w:p>
            <w:pPr>
              <w:jc w:val="center"/>
              <w:rPr>
                <w:rFonts w:ascii="宋体" w:hAnsi="宋体" w:cs="宋体"/>
                <w:szCs w:val="21"/>
              </w:rPr>
            </w:pPr>
            <w:r>
              <w:rPr>
                <w:rFonts w:hint="eastAsia" w:ascii="宋体" w:hAnsi="宋体" w:cs="宋体"/>
                <w:szCs w:val="21"/>
              </w:rPr>
              <w:t>3-4</w:t>
            </w:r>
          </w:p>
        </w:tc>
        <w:tc>
          <w:tcPr>
            <w:tcW w:w="1559" w:type="dxa"/>
            <w:noWrap/>
            <w:vAlign w:val="center"/>
          </w:tcPr>
          <w:p>
            <w:pPr>
              <w:jc w:val="center"/>
              <w:rPr>
                <w:rFonts w:ascii="宋体" w:hAnsi="宋体" w:cs="宋体"/>
                <w:szCs w:val="21"/>
              </w:rPr>
            </w:pPr>
            <w:r>
              <w:rPr>
                <w:rFonts w:hint="eastAsia" w:ascii="宋体" w:hAnsi="宋体" w:cs="宋体"/>
                <w:szCs w:val="21"/>
              </w:rPr>
              <w:t>2012-09-24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6</w:t>
            </w:r>
          </w:p>
        </w:tc>
        <w:tc>
          <w:tcPr>
            <w:tcW w:w="1896" w:type="dxa"/>
            <w:noWrap/>
            <w:vAlign w:val="center"/>
          </w:tcPr>
          <w:p>
            <w:pPr>
              <w:jc w:val="center"/>
              <w:rPr>
                <w:rFonts w:ascii="宋体" w:hAnsi="宋体" w:cs="宋体"/>
                <w:szCs w:val="21"/>
              </w:rPr>
            </w:pPr>
            <w:r>
              <w:rPr>
                <w:rFonts w:hint="eastAsia" w:ascii="宋体" w:hAnsi="宋体" w:cs="宋体"/>
                <w:szCs w:val="21"/>
              </w:rPr>
              <w:t>自动扶梯</w:t>
            </w:r>
          </w:p>
        </w:tc>
        <w:tc>
          <w:tcPr>
            <w:tcW w:w="1781" w:type="dxa"/>
            <w:noWrap/>
            <w:vAlign w:val="center"/>
          </w:tcPr>
          <w:p>
            <w:pPr>
              <w:jc w:val="center"/>
              <w:rPr>
                <w:rFonts w:ascii="宋体" w:hAnsi="宋体" w:cs="宋体"/>
                <w:szCs w:val="21"/>
              </w:rPr>
            </w:pPr>
            <w:r>
              <w:rPr>
                <w:rFonts w:hint="eastAsia" w:ascii="宋体" w:hAnsi="宋体" w:cs="宋体"/>
                <w:szCs w:val="21"/>
              </w:rPr>
              <w:t>1号楼（门诊）</w:t>
            </w:r>
          </w:p>
        </w:tc>
        <w:tc>
          <w:tcPr>
            <w:tcW w:w="1843" w:type="dxa"/>
            <w:noWrap/>
            <w:vAlign w:val="center"/>
          </w:tcPr>
          <w:p>
            <w:pPr>
              <w:jc w:val="center"/>
              <w:rPr>
                <w:rFonts w:ascii="宋体" w:hAnsi="宋体" w:cs="宋体"/>
                <w:szCs w:val="21"/>
              </w:rPr>
            </w:pPr>
            <w:r>
              <w:rPr>
                <w:rFonts w:hint="eastAsia" w:ascii="宋体" w:hAnsi="宋体" w:cs="宋体"/>
                <w:szCs w:val="21"/>
              </w:rPr>
              <w:t>506NCE</w:t>
            </w:r>
          </w:p>
        </w:tc>
        <w:tc>
          <w:tcPr>
            <w:tcW w:w="850" w:type="dxa"/>
            <w:noWrap/>
            <w:vAlign w:val="center"/>
          </w:tcPr>
          <w:p>
            <w:pPr>
              <w:jc w:val="center"/>
              <w:rPr>
                <w:rFonts w:ascii="宋体" w:hAnsi="宋体" w:cs="宋体"/>
                <w:szCs w:val="21"/>
              </w:rPr>
            </w:pPr>
            <w:r>
              <w:rPr>
                <w:rFonts w:hint="eastAsia" w:ascii="宋体" w:hAnsi="宋体" w:cs="宋体"/>
                <w:szCs w:val="21"/>
              </w:rPr>
              <w:t>奥的斯</w:t>
            </w:r>
          </w:p>
        </w:tc>
        <w:tc>
          <w:tcPr>
            <w:tcW w:w="709" w:type="dxa"/>
            <w:noWrap/>
            <w:vAlign w:val="center"/>
          </w:tcPr>
          <w:p>
            <w:pPr>
              <w:jc w:val="center"/>
              <w:rPr>
                <w:rFonts w:ascii="宋体" w:hAnsi="宋体" w:cs="宋体"/>
                <w:szCs w:val="21"/>
              </w:rPr>
            </w:pPr>
            <w:r>
              <w:rPr>
                <w:rFonts w:hint="eastAsia" w:ascii="宋体" w:hAnsi="宋体" w:cs="宋体"/>
                <w:szCs w:val="21"/>
              </w:rPr>
              <w:t>4-3</w:t>
            </w:r>
          </w:p>
        </w:tc>
        <w:tc>
          <w:tcPr>
            <w:tcW w:w="1559" w:type="dxa"/>
            <w:noWrap/>
            <w:vAlign w:val="center"/>
          </w:tcPr>
          <w:p>
            <w:pPr>
              <w:jc w:val="center"/>
              <w:rPr>
                <w:rFonts w:ascii="宋体" w:hAnsi="宋体" w:cs="宋体"/>
                <w:szCs w:val="21"/>
              </w:rPr>
            </w:pPr>
            <w:r>
              <w:rPr>
                <w:rFonts w:hint="eastAsia" w:ascii="宋体" w:hAnsi="宋体" w:cs="宋体"/>
                <w:szCs w:val="21"/>
              </w:rPr>
              <w:t>2012-09-24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7</w:t>
            </w:r>
          </w:p>
        </w:tc>
        <w:tc>
          <w:tcPr>
            <w:tcW w:w="1896" w:type="dxa"/>
            <w:noWrap/>
            <w:vAlign w:val="center"/>
          </w:tcPr>
          <w:p>
            <w:pPr>
              <w:jc w:val="center"/>
              <w:rPr>
                <w:rFonts w:ascii="宋体" w:hAnsi="宋体" w:cs="宋体"/>
                <w:szCs w:val="21"/>
              </w:rPr>
            </w:pPr>
            <w:r>
              <w:rPr>
                <w:rFonts w:hint="eastAsia" w:ascii="宋体" w:hAnsi="宋体" w:cs="宋体"/>
                <w:szCs w:val="21"/>
              </w:rPr>
              <w:t>曳引式客梯</w:t>
            </w:r>
          </w:p>
        </w:tc>
        <w:tc>
          <w:tcPr>
            <w:tcW w:w="1781" w:type="dxa"/>
            <w:noWrap/>
            <w:vAlign w:val="center"/>
          </w:tcPr>
          <w:p>
            <w:pPr>
              <w:jc w:val="center"/>
              <w:rPr>
                <w:rFonts w:ascii="宋体" w:hAnsi="宋体" w:cs="宋体"/>
                <w:szCs w:val="21"/>
              </w:rPr>
            </w:pPr>
            <w:r>
              <w:rPr>
                <w:rFonts w:hint="eastAsia" w:ascii="宋体" w:hAnsi="宋体" w:cs="宋体"/>
                <w:szCs w:val="21"/>
              </w:rPr>
              <w:t>1号楼西北</w:t>
            </w:r>
          </w:p>
        </w:tc>
        <w:tc>
          <w:tcPr>
            <w:tcW w:w="1843" w:type="dxa"/>
            <w:noWrap/>
            <w:vAlign w:val="center"/>
          </w:tcPr>
          <w:p>
            <w:pPr>
              <w:jc w:val="center"/>
              <w:rPr>
                <w:rFonts w:ascii="宋体" w:hAnsi="宋体" w:cs="宋体"/>
                <w:szCs w:val="21"/>
              </w:rPr>
            </w:pPr>
            <w:r>
              <w:rPr>
                <w:rFonts w:hint="eastAsia" w:ascii="宋体" w:hAnsi="宋体" w:cs="宋体"/>
                <w:szCs w:val="21"/>
              </w:rPr>
              <w:t>GeN2 CN-MRL</w:t>
            </w:r>
          </w:p>
        </w:tc>
        <w:tc>
          <w:tcPr>
            <w:tcW w:w="850" w:type="dxa"/>
            <w:noWrap/>
            <w:vAlign w:val="center"/>
          </w:tcPr>
          <w:p>
            <w:pPr>
              <w:jc w:val="center"/>
              <w:rPr>
                <w:rFonts w:ascii="宋体" w:hAnsi="宋体" w:cs="宋体"/>
                <w:szCs w:val="21"/>
              </w:rPr>
            </w:pPr>
            <w:r>
              <w:rPr>
                <w:rFonts w:hint="eastAsia" w:ascii="宋体" w:hAnsi="宋体" w:cs="宋体"/>
                <w:szCs w:val="21"/>
              </w:rPr>
              <w:t>奥的斯</w:t>
            </w:r>
          </w:p>
        </w:tc>
        <w:tc>
          <w:tcPr>
            <w:tcW w:w="709" w:type="dxa"/>
            <w:noWrap/>
            <w:vAlign w:val="center"/>
          </w:tcPr>
          <w:p>
            <w:pPr>
              <w:jc w:val="center"/>
              <w:rPr>
                <w:rFonts w:ascii="宋体" w:hAnsi="宋体" w:cs="宋体"/>
                <w:szCs w:val="21"/>
              </w:rPr>
            </w:pPr>
            <w:r>
              <w:rPr>
                <w:rFonts w:hint="eastAsia" w:ascii="宋体" w:hAnsi="宋体" w:cs="宋体"/>
                <w:szCs w:val="21"/>
              </w:rPr>
              <w:t>6</w:t>
            </w:r>
          </w:p>
        </w:tc>
        <w:tc>
          <w:tcPr>
            <w:tcW w:w="1559" w:type="dxa"/>
            <w:noWrap/>
            <w:vAlign w:val="center"/>
          </w:tcPr>
          <w:p>
            <w:pPr>
              <w:jc w:val="center"/>
              <w:rPr>
                <w:rFonts w:ascii="宋体" w:hAnsi="宋体" w:cs="宋体"/>
                <w:szCs w:val="21"/>
              </w:rPr>
            </w:pPr>
            <w:r>
              <w:rPr>
                <w:rFonts w:hint="eastAsia" w:ascii="宋体" w:hAnsi="宋体" w:cs="宋体"/>
                <w:szCs w:val="21"/>
              </w:rPr>
              <w:t>2012-08-30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8</w:t>
            </w:r>
          </w:p>
        </w:tc>
        <w:tc>
          <w:tcPr>
            <w:tcW w:w="1896" w:type="dxa"/>
            <w:noWrap/>
            <w:vAlign w:val="center"/>
          </w:tcPr>
          <w:p>
            <w:pPr>
              <w:jc w:val="center"/>
              <w:rPr>
                <w:rFonts w:ascii="宋体" w:hAnsi="宋体" w:cs="宋体"/>
                <w:szCs w:val="21"/>
              </w:rPr>
            </w:pPr>
            <w:r>
              <w:rPr>
                <w:rFonts w:hint="eastAsia" w:ascii="宋体" w:hAnsi="宋体" w:cs="宋体"/>
                <w:szCs w:val="21"/>
              </w:rPr>
              <w:t>曳引式客梯</w:t>
            </w:r>
          </w:p>
        </w:tc>
        <w:tc>
          <w:tcPr>
            <w:tcW w:w="1781" w:type="dxa"/>
            <w:noWrap/>
            <w:vAlign w:val="center"/>
          </w:tcPr>
          <w:p>
            <w:pPr>
              <w:jc w:val="center"/>
              <w:rPr>
                <w:rFonts w:ascii="宋体" w:hAnsi="宋体" w:cs="宋体"/>
                <w:szCs w:val="21"/>
              </w:rPr>
            </w:pPr>
            <w:r>
              <w:rPr>
                <w:rFonts w:hint="eastAsia" w:ascii="宋体" w:hAnsi="宋体" w:cs="宋体"/>
                <w:szCs w:val="21"/>
              </w:rPr>
              <w:t>1号楼大厅东</w:t>
            </w:r>
          </w:p>
        </w:tc>
        <w:tc>
          <w:tcPr>
            <w:tcW w:w="1843" w:type="dxa"/>
            <w:noWrap/>
            <w:vAlign w:val="center"/>
          </w:tcPr>
          <w:p>
            <w:pPr>
              <w:jc w:val="center"/>
              <w:rPr>
                <w:rFonts w:ascii="宋体" w:hAnsi="宋体" w:cs="宋体"/>
                <w:szCs w:val="21"/>
              </w:rPr>
            </w:pPr>
            <w:r>
              <w:rPr>
                <w:rFonts w:hint="eastAsia" w:ascii="宋体" w:hAnsi="宋体" w:cs="宋体"/>
                <w:szCs w:val="21"/>
              </w:rPr>
              <w:t>GeN2 CN-MRL</w:t>
            </w:r>
          </w:p>
        </w:tc>
        <w:tc>
          <w:tcPr>
            <w:tcW w:w="850" w:type="dxa"/>
            <w:noWrap/>
            <w:vAlign w:val="center"/>
          </w:tcPr>
          <w:p>
            <w:pPr>
              <w:jc w:val="center"/>
              <w:rPr>
                <w:rFonts w:ascii="宋体" w:hAnsi="宋体" w:cs="宋体"/>
                <w:szCs w:val="21"/>
              </w:rPr>
            </w:pPr>
            <w:r>
              <w:rPr>
                <w:rFonts w:hint="eastAsia" w:ascii="宋体" w:hAnsi="宋体" w:cs="宋体"/>
                <w:szCs w:val="21"/>
              </w:rPr>
              <w:t>奥的斯</w:t>
            </w:r>
          </w:p>
        </w:tc>
        <w:tc>
          <w:tcPr>
            <w:tcW w:w="709" w:type="dxa"/>
            <w:noWrap/>
            <w:vAlign w:val="center"/>
          </w:tcPr>
          <w:p>
            <w:pPr>
              <w:jc w:val="center"/>
              <w:rPr>
                <w:rFonts w:ascii="宋体" w:hAnsi="宋体" w:cs="宋体"/>
                <w:szCs w:val="21"/>
              </w:rPr>
            </w:pPr>
            <w:r>
              <w:rPr>
                <w:rFonts w:hint="eastAsia" w:ascii="宋体" w:hAnsi="宋体" w:cs="宋体"/>
                <w:szCs w:val="21"/>
              </w:rPr>
              <w:t>6</w:t>
            </w:r>
          </w:p>
        </w:tc>
        <w:tc>
          <w:tcPr>
            <w:tcW w:w="1559" w:type="dxa"/>
            <w:noWrap/>
            <w:vAlign w:val="center"/>
          </w:tcPr>
          <w:p>
            <w:pPr>
              <w:jc w:val="center"/>
              <w:rPr>
                <w:rFonts w:ascii="宋体" w:hAnsi="宋体" w:cs="宋体"/>
                <w:szCs w:val="21"/>
              </w:rPr>
            </w:pPr>
            <w:r>
              <w:rPr>
                <w:rFonts w:hint="eastAsia" w:ascii="宋体" w:hAnsi="宋体" w:cs="宋体"/>
                <w:szCs w:val="21"/>
              </w:rPr>
              <w:t>2012-08-30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9</w:t>
            </w:r>
          </w:p>
        </w:tc>
        <w:tc>
          <w:tcPr>
            <w:tcW w:w="1896" w:type="dxa"/>
            <w:noWrap/>
            <w:vAlign w:val="center"/>
          </w:tcPr>
          <w:p>
            <w:pPr>
              <w:jc w:val="center"/>
              <w:rPr>
                <w:rFonts w:ascii="宋体" w:hAnsi="宋体" w:cs="宋体"/>
                <w:szCs w:val="21"/>
              </w:rPr>
            </w:pPr>
            <w:r>
              <w:rPr>
                <w:rFonts w:hint="eastAsia" w:ascii="宋体" w:hAnsi="宋体" w:cs="宋体"/>
                <w:szCs w:val="21"/>
              </w:rPr>
              <w:t>曳引式客梯</w:t>
            </w:r>
          </w:p>
        </w:tc>
        <w:tc>
          <w:tcPr>
            <w:tcW w:w="1781" w:type="dxa"/>
            <w:noWrap/>
            <w:vAlign w:val="center"/>
          </w:tcPr>
          <w:p>
            <w:pPr>
              <w:jc w:val="center"/>
              <w:rPr>
                <w:rFonts w:ascii="宋体" w:hAnsi="宋体" w:cs="宋体"/>
                <w:szCs w:val="21"/>
              </w:rPr>
            </w:pPr>
            <w:r>
              <w:rPr>
                <w:rFonts w:hint="eastAsia" w:ascii="宋体" w:hAnsi="宋体" w:cs="宋体"/>
                <w:szCs w:val="21"/>
              </w:rPr>
              <w:t>1号楼大厅西</w:t>
            </w:r>
          </w:p>
        </w:tc>
        <w:tc>
          <w:tcPr>
            <w:tcW w:w="1843" w:type="dxa"/>
            <w:noWrap/>
            <w:vAlign w:val="center"/>
          </w:tcPr>
          <w:p>
            <w:pPr>
              <w:jc w:val="center"/>
              <w:rPr>
                <w:rFonts w:ascii="宋体" w:hAnsi="宋体" w:cs="宋体"/>
                <w:szCs w:val="21"/>
              </w:rPr>
            </w:pPr>
            <w:r>
              <w:rPr>
                <w:rFonts w:hint="eastAsia" w:ascii="宋体" w:hAnsi="宋体" w:cs="宋体"/>
                <w:szCs w:val="21"/>
              </w:rPr>
              <w:t>GeN2 CN-MRL</w:t>
            </w:r>
          </w:p>
        </w:tc>
        <w:tc>
          <w:tcPr>
            <w:tcW w:w="850" w:type="dxa"/>
            <w:noWrap/>
            <w:vAlign w:val="center"/>
          </w:tcPr>
          <w:p>
            <w:pPr>
              <w:jc w:val="center"/>
              <w:rPr>
                <w:rFonts w:ascii="宋体" w:hAnsi="宋体" w:cs="宋体"/>
                <w:szCs w:val="21"/>
              </w:rPr>
            </w:pPr>
            <w:r>
              <w:rPr>
                <w:rFonts w:hint="eastAsia" w:ascii="宋体" w:hAnsi="宋体" w:cs="宋体"/>
                <w:szCs w:val="21"/>
              </w:rPr>
              <w:t>奥的斯</w:t>
            </w:r>
          </w:p>
        </w:tc>
        <w:tc>
          <w:tcPr>
            <w:tcW w:w="709" w:type="dxa"/>
            <w:noWrap/>
            <w:vAlign w:val="center"/>
          </w:tcPr>
          <w:p>
            <w:pPr>
              <w:jc w:val="center"/>
              <w:rPr>
                <w:rFonts w:ascii="宋体" w:hAnsi="宋体" w:cs="宋体"/>
                <w:szCs w:val="21"/>
              </w:rPr>
            </w:pPr>
            <w:r>
              <w:rPr>
                <w:rFonts w:hint="eastAsia" w:ascii="宋体" w:hAnsi="宋体" w:cs="宋体"/>
                <w:szCs w:val="21"/>
              </w:rPr>
              <w:t>6</w:t>
            </w:r>
          </w:p>
        </w:tc>
        <w:tc>
          <w:tcPr>
            <w:tcW w:w="1559" w:type="dxa"/>
            <w:noWrap/>
            <w:vAlign w:val="center"/>
          </w:tcPr>
          <w:p>
            <w:pPr>
              <w:jc w:val="center"/>
              <w:rPr>
                <w:rFonts w:ascii="宋体" w:hAnsi="宋体" w:cs="宋体"/>
                <w:szCs w:val="21"/>
              </w:rPr>
            </w:pPr>
            <w:r>
              <w:rPr>
                <w:rFonts w:hint="eastAsia" w:ascii="宋体" w:hAnsi="宋体" w:cs="宋体"/>
                <w:szCs w:val="21"/>
              </w:rPr>
              <w:t>2012-08-30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10</w:t>
            </w:r>
          </w:p>
        </w:tc>
        <w:tc>
          <w:tcPr>
            <w:tcW w:w="1896" w:type="dxa"/>
            <w:noWrap/>
            <w:vAlign w:val="center"/>
          </w:tcPr>
          <w:p>
            <w:pPr>
              <w:jc w:val="center"/>
              <w:rPr>
                <w:rFonts w:ascii="宋体" w:hAnsi="宋体" w:cs="宋体"/>
                <w:szCs w:val="21"/>
              </w:rPr>
            </w:pPr>
            <w:r>
              <w:rPr>
                <w:rFonts w:hint="eastAsia" w:ascii="宋体" w:hAnsi="宋体" w:cs="宋体"/>
                <w:szCs w:val="21"/>
              </w:rPr>
              <w:t>曳引式客梯</w:t>
            </w:r>
          </w:p>
        </w:tc>
        <w:tc>
          <w:tcPr>
            <w:tcW w:w="1781" w:type="dxa"/>
            <w:noWrap/>
            <w:vAlign w:val="center"/>
          </w:tcPr>
          <w:p>
            <w:pPr>
              <w:jc w:val="center"/>
              <w:rPr>
                <w:rFonts w:ascii="宋体" w:hAnsi="宋体" w:cs="宋体"/>
                <w:szCs w:val="21"/>
              </w:rPr>
            </w:pPr>
            <w:r>
              <w:rPr>
                <w:rFonts w:hint="eastAsia" w:ascii="宋体" w:hAnsi="宋体" w:cs="宋体"/>
                <w:szCs w:val="21"/>
              </w:rPr>
              <w:t>食堂楼</w:t>
            </w:r>
          </w:p>
        </w:tc>
        <w:tc>
          <w:tcPr>
            <w:tcW w:w="1843" w:type="dxa"/>
            <w:noWrap/>
            <w:vAlign w:val="center"/>
          </w:tcPr>
          <w:p>
            <w:pPr>
              <w:jc w:val="center"/>
              <w:rPr>
                <w:rFonts w:ascii="宋体" w:hAnsi="宋体" w:cs="宋体"/>
                <w:szCs w:val="21"/>
              </w:rPr>
            </w:pPr>
            <w:r>
              <w:rPr>
                <w:rFonts w:hint="eastAsia" w:ascii="宋体" w:hAnsi="宋体" w:cs="宋体"/>
                <w:szCs w:val="21"/>
              </w:rPr>
              <w:t>GeN2 CN-MRL</w:t>
            </w:r>
          </w:p>
        </w:tc>
        <w:tc>
          <w:tcPr>
            <w:tcW w:w="850" w:type="dxa"/>
            <w:noWrap/>
            <w:vAlign w:val="center"/>
          </w:tcPr>
          <w:p>
            <w:pPr>
              <w:jc w:val="center"/>
              <w:rPr>
                <w:rFonts w:ascii="宋体" w:hAnsi="宋体" w:cs="宋体"/>
                <w:szCs w:val="21"/>
              </w:rPr>
            </w:pPr>
            <w:r>
              <w:rPr>
                <w:rFonts w:hint="eastAsia" w:ascii="宋体" w:hAnsi="宋体" w:cs="宋体"/>
                <w:szCs w:val="21"/>
              </w:rPr>
              <w:t>奥的斯</w:t>
            </w:r>
          </w:p>
        </w:tc>
        <w:tc>
          <w:tcPr>
            <w:tcW w:w="709" w:type="dxa"/>
            <w:noWrap/>
            <w:vAlign w:val="center"/>
          </w:tcPr>
          <w:p>
            <w:pPr>
              <w:jc w:val="center"/>
              <w:rPr>
                <w:rFonts w:ascii="宋体" w:hAnsi="宋体" w:cs="宋体"/>
                <w:szCs w:val="21"/>
              </w:rPr>
            </w:pPr>
            <w:r>
              <w:rPr>
                <w:rFonts w:hint="eastAsia" w:ascii="宋体" w:hAnsi="宋体" w:cs="宋体"/>
                <w:szCs w:val="21"/>
              </w:rPr>
              <w:t>5</w:t>
            </w:r>
          </w:p>
        </w:tc>
        <w:tc>
          <w:tcPr>
            <w:tcW w:w="1559" w:type="dxa"/>
            <w:noWrap/>
            <w:vAlign w:val="center"/>
          </w:tcPr>
          <w:p>
            <w:pPr>
              <w:jc w:val="center"/>
              <w:rPr>
                <w:rFonts w:ascii="宋体" w:hAnsi="宋体" w:cs="宋体"/>
                <w:szCs w:val="21"/>
              </w:rPr>
            </w:pPr>
            <w:r>
              <w:rPr>
                <w:rFonts w:hint="eastAsia" w:ascii="宋体" w:hAnsi="宋体" w:cs="宋体"/>
                <w:szCs w:val="21"/>
              </w:rPr>
              <w:t>2010-09-06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11</w:t>
            </w:r>
          </w:p>
        </w:tc>
        <w:tc>
          <w:tcPr>
            <w:tcW w:w="1896" w:type="dxa"/>
            <w:noWrap/>
            <w:vAlign w:val="center"/>
          </w:tcPr>
          <w:p>
            <w:pPr>
              <w:jc w:val="center"/>
              <w:rPr>
                <w:rFonts w:ascii="宋体" w:hAnsi="宋体" w:cs="宋体"/>
                <w:szCs w:val="21"/>
              </w:rPr>
            </w:pPr>
            <w:r>
              <w:rPr>
                <w:rFonts w:hint="eastAsia" w:ascii="宋体" w:hAnsi="宋体" w:cs="宋体"/>
                <w:szCs w:val="21"/>
              </w:rPr>
              <w:t>曳引式货梯</w:t>
            </w:r>
          </w:p>
        </w:tc>
        <w:tc>
          <w:tcPr>
            <w:tcW w:w="1781" w:type="dxa"/>
            <w:noWrap/>
            <w:vAlign w:val="center"/>
          </w:tcPr>
          <w:p>
            <w:pPr>
              <w:jc w:val="center"/>
              <w:rPr>
                <w:rFonts w:ascii="宋体" w:hAnsi="宋体" w:cs="宋体"/>
                <w:szCs w:val="21"/>
              </w:rPr>
            </w:pPr>
            <w:r>
              <w:rPr>
                <w:rFonts w:hint="eastAsia" w:ascii="宋体" w:hAnsi="宋体" w:cs="宋体"/>
                <w:szCs w:val="21"/>
              </w:rPr>
              <w:t>2号楼西</w:t>
            </w:r>
          </w:p>
        </w:tc>
        <w:tc>
          <w:tcPr>
            <w:tcW w:w="1843" w:type="dxa"/>
            <w:noWrap/>
            <w:vAlign w:val="center"/>
          </w:tcPr>
          <w:p>
            <w:pPr>
              <w:jc w:val="center"/>
              <w:rPr>
                <w:rFonts w:ascii="宋体" w:hAnsi="宋体" w:cs="宋体"/>
                <w:szCs w:val="21"/>
              </w:rPr>
            </w:pPr>
            <w:r>
              <w:rPr>
                <w:rFonts w:hint="eastAsia" w:ascii="宋体" w:hAnsi="宋体" w:cs="宋体"/>
                <w:szCs w:val="21"/>
              </w:rPr>
              <w:t>GE1600/1.0-K</w:t>
            </w:r>
          </w:p>
        </w:tc>
        <w:tc>
          <w:tcPr>
            <w:tcW w:w="850" w:type="dxa"/>
            <w:noWrap/>
            <w:vAlign w:val="center"/>
          </w:tcPr>
          <w:p>
            <w:pPr>
              <w:jc w:val="center"/>
              <w:rPr>
                <w:rFonts w:ascii="宋体" w:hAnsi="宋体" w:cs="宋体"/>
                <w:szCs w:val="21"/>
              </w:rPr>
            </w:pPr>
            <w:r>
              <w:rPr>
                <w:rFonts w:hint="eastAsia" w:ascii="宋体" w:hAnsi="宋体" w:cs="宋体"/>
                <w:szCs w:val="21"/>
              </w:rPr>
              <w:t>通用</w:t>
            </w:r>
          </w:p>
        </w:tc>
        <w:tc>
          <w:tcPr>
            <w:tcW w:w="709" w:type="dxa"/>
            <w:noWrap/>
            <w:vAlign w:val="center"/>
          </w:tcPr>
          <w:p>
            <w:pPr>
              <w:jc w:val="center"/>
              <w:rPr>
                <w:rFonts w:ascii="宋体" w:hAnsi="宋体" w:cs="宋体"/>
                <w:szCs w:val="21"/>
              </w:rPr>
            </w:pPr>
            <w:r>
              <w:rPr>
                <w:rFonts w:hint="eastAsia" w:ascii="宋体" w:hAnsi="宋体" w:cs="宋体"/>
                <w:szCs w:val="21"/>
              </w:rPr>
              <w:t>10</w:t>
            </w:r>
          </w:p>
        </w:tc>
        <w:tc>
          <w:tcPr>
            <w:tcW w:w="1559" w:type="dxa"/>
            <w:noWrap/>
            <w:vAlign w:val="center"/>
          </w:tcPr>
          <w:p>
            <w:pPr>
              <w:jc w:val="center"/>
              <w:rPr>
                <w:rFonts w:ascii="宋体" w:hAnsi="宋体" w:cs="宋体"/>
                <w:szCs w:val="21"/>
              </w:rPr>
            </w:pPr>
            <w:r>
              <w:rPr>
                <w:rFonts w:hint="eastAsia" w:ascii="宋体" w:hAnsi="宋体" w:cs="宋体"/>
                <w:szCs w:val="21"/>
              </w:rPr>
              <w:t>2012-09-01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12</w:t>
            </w:r>
          </w:p>
        </w:tc>
        <w:tc>
          <w:tcPr>
            <w:tcW w:w="1896" w:type="dxa"/>
            <w:noWrap/>
            <w:vAlign w:val="center"/>
          </w:tcPr>
          <w:p>
            <w:pPr>
              <w:jc w:val="center"/>
              <w:rPr>
                <w:rFonts w:ascii="宋体" w:hAnsi="宋体" w:cs="宋体"/>
                <w:szCs w:val="21"/>
              </w:rPr>
            </w:pPr>
            <w:r>
              <w:rPr>
                <w:rFonts w:hint="eastAsia" w:ascii="宋体" w:hAnsi="宋体" w:cs="宋体"/>
                <w:szCs w:val="21"/>
              </w:rPr>
              <w:t>曳引式客梯</w:t>
            </w:r>
          </w:p>
        </w:tc>
        <w:tc>
          <w:tcPr>
            <w:tcW w:w="1781" w:type="dxa"/>
            <w:noWrap/>
            <w:vAlign w:val="center"/>
          </w:tcPr>
          <w:p>
            <w:pPr>
              <w:jc w:val="center"/>
              <w:rPr>
                <w:rFonts w:ascii="宋体" w:hAnsi="宋体" w:cs="宋体"/>
                <w:szCs w:val="21"/>
              </w:rPr>
            </w:pPr>
            <w:r>
              <w:rPr>
                <w:rFonts w:hint="eastAsia" w:ascii="宋体" w:hAnsi="宋体" w:cs="宋体"/>
                <w:szCs w:val="21"/>
              </w:rPr>
              <w:t>2号楼大厅南</w:t>
            </w:r>
          </w:p>
        </w:tc>
        <w:tc>
          <w:tcPr>
            <w:tcW w:w="1843" w:type="dxa"/>
            <w:noWrap/>
            <w:vAlign w:val="center"/>
          </w:tcPr>
          <w:p>
            <w:pPr>
              <w:jc w:val="center"/>
              <w:rPr>
                <w:rFonts w:ascii="宋体" w:hAnsi="宋体" w:cs="宋体"/>
                <w:szCs w:val="21"/>
              </w:rPr>
            </w:pPr>
            <w:r>
              <w:rPr>
                <w:rFonts w:hint="eastAsia" w:ascii="宋体" w:hAnsi="宋体" w:cs="宋体"/>
                <w:szCs w:val="21"/>
              </w:rPr>
              <w:t>GE1600/1.5-B</w:t>
            </w:r>
          </w:p>
        </w:tc>
        <w:tc>
          <w:tcPr>
            <w:tcW w:w="850" w:type="dxa"/>
            <w:noWrap/>
            <w:vAlign w:val="center"/>
          </w:tcPr>
          <w:p>
            <w:pPr>
              <w:jc w:val="center"/>
              <w:rPr>
                <w:rFonts w:ascii="宋体" w:hAnsi="宋体" w:cs="宋体"/>
                <w:szCs w:val="21"/>
              </w:rPr>
            </w:pPr>
            <w:r>
              <w:rPr>
                <w:rFonts w:hint="eastAsia" w:ascii="宋体" w:hAnsi="宋体" w:cs="宋体"/>
                <w:szCs w:val="21"/>
              </w:rPr>
              <w:t>通用</w:t>
            </w:r>
          </w:p>
        </w:tc>
        <w:tc>
          <w:tcPr>
            <w:tcW w:w="709" w:type="dxa"/>
            <w:noWrap/>
            <w:vAlign w:val="center"/>
          </w:tcPr>
          <w:p>
            <w:pPr>
              <w:jc w:val="center"/>
              <w:rPr>
                <w:rFonts w:ascii="宋体" w:hAnsi="宋体" w:cs="宋体"/>
                <w:szCs w:val="21"/>
              </w:rPr>
            </w:pPr>
            <w:r>
              <w:rPr>
                <w:rFonts w:hint="eastAsia" w:ascii="宋体" w:hAnsi="宋体" w:cs="宋体"/>
                <w:szCs w:val="21"/>
              </w:rPr>
              <w:t>10</w:t>
            </w:r>
          </w:p>
        </w:tc>
        <w:tc>
          <w:tcPr>
            <w:tcW w:w="1559" w:type="dxa"/>
            <w:noWrap/>
            <w:vAlign w:val="center"/>
          </w:tcPr>
          <w:p>
            <w:pPr>
              <w:jc w:val="center"/>
              <w:rPr>
                <w:rFonts w:ascii="宋体" w:hAnsi="宋体" w:cs="宋体"/>
                <w:szCs w:val="21"/>
              </w:rPr>
            </w:pPr>
            <w:r>
              <w:rPr>
                <w:rFonts w:hint="eastAsia" w:ascii="宋体" w:hAnsi="宋体" w:cs="宋体"/>
                <w:szCs w:val="21"/>
              </w:rPr>
              <w:t>2016-03-22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13</w:t>
            </w:r>
          </w:p>
        </w:tc>
        <w:tc>
          <w:tcPr>
            <w:tcW w:w="1896" w:type="dxa"/>
            <w:noWrap/>
            <w:vAlign w:val="center"/>
          </w:tcPr>
          <w:p>
            <w:pPr>
              <w:jc w:val="center"/>
              <w:rPr>
                <w:rFonts w:ascii="宋体" w:hAnsi="宋体" w:cs="宋体"/>
                <w:szCs w:val="21"/>
              </w:rPr>
            </w:pPr>
            <w:r>
              <w:rPr>
                <w:rFonts w:hint="eastAsia" w:ascii="宋体" w:hAnsi="宋体" w:cs="宋体"/>
                <w:szCs w:val="21"/>
              </w:rPr>
              <w:t>曳引式客梯</w:t>
            </w:r>
          </w:p>
        </w:tc>
        <w:tc>
          <w:tcPr>
            <w:tcW w:w="1781" w:type="dxa"/>
            <w:noWrap/>
            <w:vAlign w:val="center"/>
          </w:tcPr>
          <w:p>
            <w:pPr>
              <w:jc w:val="center"/>
              <w:rPr>
                <w:rFonts w:ascii="宋体" w:hAnsi="宋体" w:cs="宋体"/>
                <w:szCs w:val="21"/>
              </w:rPr>
            </w:pPr>
            <w:r>
              <w:rPr>
                <w:rFonts w:hint="eastAsia" w:ascii="宋体" w:hAnsi="宋体" w:cs="宋体"/>
                <w:szCs w:val="21"/>
              </w:rPr>
              <w:t>2号楼大厅北</w:t>
            </w:r>
          </w:p>
        </w:tc>
        <w:tc>
          <w:tcPr>
            <w:tcW w:w="1843" w:type="dxa"/>
            <w:noWrap/>
            <w:vAlign w:val="center"/>
          </w:tcPr>
          <w:p>
            <w:pPr>
              <w:jc w:val="center"/>
              <w:rPr>
                <w:rFonts w:ascii="宋体" w:hAnsi="宋体" w:cs="宋体"/>
                <w:szCs w:val="21"/>
              </w:rPr>
            </w:pPr>
            <w:r>
              <w:rPr>
                <w:rFonts w:hint="eastAsia" w:ascii="宋体" w:hAnsi="宋体" w:cs="宋体"/>
                <w:szCs w:val="21"/>
              </w:rPr>
              <w:t>GE1600/1.5-B</w:t>
            </w:r>
          </w:p>
        </w:tc>
        <w:tc>
          <w:tcPr>
            <w:tcW w:w="850" w:type="dxa"/>
            <w:noWrap/>
            <w:vAlign w:val="center"/>
          </w:tcPr>
          <w:p>
            <w:pPr>
              <w:jc w:val="center"/>
              <w:rPr>
                <w:rFonts w:ascii="宋体" w:hAnsi="宋体" w:cs="宋体"/>
                <w:szCs w:val="21"/>
              </w:rPr>
            </w:pPr>
            <w:r>
              <w:rPr>
                <w:rFonts w:hint="eastAsia" w:ascii="宋体" w:hAnsi="宋体" w:cs="宋体"/>
                <w:szCs w:val="21"/>
              </w:rPr>
              <w:t>通用</w:t>
            </w:r>
          </w:p>
        </w:tc>
        <w:tc>
          <w:tcPr>
            <w:tcW w:w="709" w:type="dxa"/>
            <w:noWrap/>
            <w:vAlign w:val="center"/>
          </w:tcPr>
          <w:p>
            <w:pPr>
              <w:jc w:val="center"/>
              <w:rPr>
                <w:rFonts w:ascii="宋体" w:hAnsi="宋体" w:cs="宋体"/>
                <w:szCs w:val="21"/>
              </w:rPr>
            </w:pPr>
            <w:r>
              <w:rPr>
                <w:rFonts w:hint="eastAsia" w:ascii="宋体" w:hAnsi="宋体" w:cs="宋体"/>
                <w:szCs w:val="21"/>
              </w:rPr>
              <w:t>10</w:t>
            </w:r>
          </w:p>
        </w:tc>
        <w:tc>
          <w:tcPr>
            <w:tcW w:w="1559" w:type="dxa"/>
            <w:noWrap/>
            <w:vAlign w:val="center"/>
          </w:tcPr>
          <w:p>
            <w:pPr>
              <w:jc w:val="center"/>
              <w:rPr>
                <w:rFonts w:ascii="宋体" w:hAnsi="宋体" w:cs="宋体"/>
                <w:szCs w:val="21"/>
              </w:rPr>
            </w:pPr>
            <w:r>
              <w:rPr>
                <w:rFonts w:hint="eastAsia" w:ascii="宋体" w:hAnsi="宋体" w:cs="宋体"/>
                <w:szCs w:val="21"/>
              </w:rPr>
              <w:t>2016-03-22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14</w:t>
            </w:r>
          </w:p>
        </w:tc>
        <w:tc>
          <w:tcPr>
            <w:tcW w:w="1896" w:type="dxa"/>
            <w:noWrap/>
            <w:vAlign w:val="center"/>
          </w:tcPr>
          <w:p>
            <w:pPr>
              <w:jc w:val="center"/>
              <w:rPr>
                <w:rFonts w:ascii="宋体" w:hAnsi="宋体" w:cs="宋体"/>
                <w:szCs w:val="21"/>
              </w:rPr>
            </w:pPr>
            <w:r>
              <w:rPr>
                <w:rFonts w:hint="eastAsia" w:ascii="宋体" w:hAnsi="宋体" w:cs="宋体"/>
                <w:szCs w:val="21"/>
              </w:rPr>
              <w:t>曳引式客梯</w:t>
            </w:r>
          </w:p>
        </w:tc>
        <w:tc>
          <w:tcPr>
            <w:tcW w:w="1781" w:type="dxa"/>
            <w:noWrap/>
            <w:vAlign w:val="center"/>
          </w:tcPr>
          <w:p>
            <w:pPr>
              <w:jc w:val="center"/>
              <w:rPr>
                <w:rFonts w:ascii="宋体" w:hAnsi="宋体" w:cs="宋体"/>
                <w:szCs w:val="21"/>
              </w:rPr>
            </w:pPr>
            <w:r>
              <w:rPr>
                <w:rFonts w:hint="eastAsia" w:ascii="宋体" w:hAnsi="宋体" w:cs="宋体"/>
                <w:szCs w:val="21"/>
              </w:rPr>
              <w:t>4#楼儿童病房</w:t>
            </w:r>
          </w:p>
        </w:tc>
        <w:tc>
          <w:tcPr>
            <w:tcW w:w="1843" w:type="dxa"/>
            <w:noWrap/>
            <w:vAlign w:val="center"/>
          </w:tcPr>
          <w:p>
            <w:pPr>
              <w:jc w:val="center"/>
              <w:rPr>
                <w:rFonts w:ascii="宋体" w:hAnsi="宋体" w:cs="宋体"/>
                <w:szCs w:val="21"/>
              </w:rPr>
            </w:pPr>
            <w:r>
              <w:rPr>
                <w:rFonts w:hint="eastAsia" w:ascii="宋体" w:hAnsi="宋体" w:cs="宋体"/>
                <w:szCs w:val="21"/>
              </w:rPr>
              <w:t>MCA-B1600-C060</w:t>
            </w:r>
          </w:p>
        </w:tc>
        <w:tc>
          <w:tcPr>
            <w:tcW w:w="850" w:type="dxa"/>
            <w:noWrap/>
            <w:vAlign w:val="center"/>
          </w:tcPr>
          <w:p>
            <w:pPr>
              <w:jc w:val="center"/>
              <w:rPr>
                <w:rFonts w:ascii="宋体" w:hAnsi="宋体" w:cs="宋体"/>
                <w:szCs w:val="21"/>
              </w:rPr>
            </w:pPr>
            <w:r>
              <w:rPr>
                <w:rFonts w:hint="eastAsia" w:ascii="宋体" w:hAnsi="宋体" w:cs="宋体"/>
                <w:szCs w:val="21"/>
              </w:rPr>
              <w:t>日立</w:t>
            </w:r>
          </w:p>
        </w:tc>
        <w:tc>
          <w:tcPr>
            <w:tcW w:w="709" w:type="dxa"/>
            <w:noWrap/>
            <w:vAlign w:val="center"/>
          </w:tcPr>
          <w:p>
            <w:pPr>
              <w:jc w:val="center"/>
              <w:rPr>
                <w:rFonts w:ascii="宋体" w:hAnsi="宋体" w:cs="宋体"/>
                <w:szCs w:val="21"/>
              </w:rPr>
            </w:pPr>
            <w:r>
              <w:rPr>
                <w:rFonts w:hint="eastAsia" w:ascii="宋体" w:hAnsi="宋体" w:cs="宋体"/>
                <w:szCs w:val="21"/>
              </w:rPr>
              <w:t>7</w:t>
            </w:r>
          </w:p>
        </w:tc>
        <w:tc>
          <w:tcPr>
            <w:tcW w:w="1559" w:type="dxa"/>
            <w:noWrap/>
            <w:vAlign w:val="center"/>
          </w:tcPr>
          <w:p>
            <w:pPr>
              <w:jc w:val="center"/>
              <w:rPr>
                <w:rFonts w:ascii="宋体" w:hAnsi="宋体" w:cs="宋体"/>
                <w:szCs w:val="21"/>
              </w:rPr>
            </w:pPr>
            <w:r>
              <w:rPr>
                <w:rFonts w:hint="eastAsia" w:ascii="宋体" w:hAnsi="宋体" w:cs="宋体"/>
                <w:szCs w:val="21"/>
              </w:rPr>
              <w:t>2018-04-13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15</w:t>
            </w:r>
          </w:p>
        </w:tc>
        <w:tc>
          <w:tcPr>
            <w:tcW w:w="1896" w:type="dxa"/>
            <w:noWrap/>
            <w:vAlign w:val="center"/>
          </w:tcPr>
          <w:p>
            <w:pPr>
              <w:jc w:val="center"/>
              <w:rPr>
                <w:rFonts w:ascii="宋体" w:hAnsi="宋体" w:cs="宋体"/>
                <w:szCs w:val="21"/>
              </w:rPr>
            </w:pPr>
            <w:r>
              <w:rPr>
                <w:rFonts w:hint="eastAsia" w:ascii="宋体" w:hAnsi="宋体" w:cs="宋体"/>
                <w:szCs w:val="21"/>
              </w:rPr>
              <w:t>曳引式客梯</w:t>
            </w:r>
          </w:p>
        </w:tc>
        <w:tc>
          <w:tcPr>
            <w:tcW w:w="1781" w:type="dxa"/>
            <w:noWrap/>
            <w:vAlign w:val="center"/>
          </w:tcPr>
          <w:p>
            <w:pPr>
              <w:jc w:val="center"/>
              <w:rPr>
                <w:rFonts w:ascii="宋体" w:hAnsi="宋体" w:cs="宋体"/>
                <w:szCs w:val="21"/>
              </w:rPr>
            </w:pPr>
            <w:r>
              <w:rPr>
                <w:rFonts w:hint="eastAsia" w:ascii="宋体" w:hAnsi="宋体" w:cs="宋体"/>
                <w:szCs w:val="21"/>
              </w:rPr>
              <w:t>6#楼东</w:t>
            </w:r>
          </w:p>
        </w:tc>
        <w:tc>
          <w:tcPr>
            <w:tcW w:w="1843" w:type="dxa"/>
            <w:noWrap/>
            <w:vAlign w:val="center"/>
          </w:tcPr>
          <w:p>
            <w:pPr>
              <w:jc w:val="center"/>
              <w:rPr>
                <w:rFonts w:ascii="宋体" w:hAnsi="宋体" w:cs="宋体"/>
                <w:szCs w:val="21"/>
              </w:rPr>
            </w:pPr>
            <w:r>
              <w:rPr>
                <w:rFonts w:hint="eastAsia" w:ascii="宋体" w:hAnsi="宋体" w:cs="宋体"/>
                <w:szCs w:val="21"/>
              </w:rPr>
              <w:t>OTIS-SKY</w:t>
            </w:r>
          </w:p>
        </w:tc>
        <w:tc>
          <w:tcPr>
            <w:tcW w:w="850" w:type="dxa"/>
            <w:noWrap/>
            <w:vAlign w:val="center"/>
          </w:tcPr>
          <w:p>
            <w:pPr>
              <w:jc w:val="center"/>
              <w:rPr>
                <w:rFonts w:ascii="宋体" w:hAnsi="宋体" w:cs="宋体"/>
                <w:szCs w:val="21"/>
              </w:rPr>
            </w:pPr>
            <w:r>
              <w:rPr>
                <w:rFonts w:hint="eastAsia" w:ascii="宋体" w:hAnsi="宋体" w:cs="宋体"/>
                <w:szCs w:val="21"/>
              </w:rPr>
              <w:t>奥的斯</w:t>
            </w:r>
          </w:p>
        </w:tc>
        <w:tc>
          <w:tcPr>
            <w:tcW w:w="709" w:type="dxa"/>
            <w:noWrap/>
            <w:vAlign w:val="center"/>
          </w:tcPr>
          <w:p>
            <w:pPr>
              <w:jc w:val="center"/>
              <w:rPr>
                <w:rFonts w:ascii="宋体" w:hAnsi="宋体" w:cs="宋体"/>
                <w:szCs w:val="21"/>
              </w:rPr>
            </w:pPr>
            <w:r>
              <w:rPr>
                <w:rFonts w:hint="eastAsia" w:ascii="宋体" w:hAnsi="宋体" w:cs="宋体"/>
                <w:szCs w:val="21"/>
              </w:rPr>
              <w:t>5</w:t>
            </w:r>
          </w:p>
        </w:tc>
        <w:tc>
          <w:tcPr>
            <w:tcW w:w="1559" w:type="dxa"/>
            <w:noWrap/>
            <w:vAlign w:val="center"/>
          </w:tcPr>
          <w:p>
            <w:pPr>
              <w:jc w:val="center"/>
              <w:rPr>
                <w:rFonts w:ascii="宋体" w:hAnsi="宋体" w:cs="宋体"/>
                <w:szCs w:val="21"/>
              </w:rPr>
            </w:pPr>
            <w:r>
              <w:rPr>
                <w:rFonts w:hint="eastAsia" w:ascii="宋体" w:hAnsi="宋体" w:cs="宋体"/>
                <w:szCs w:val="21"/>
              </w:rPr>
              <w:t>2010-08-27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16</w:t>
            </w:r>
          </w:p>
        </w:tc>
        <w:tc>
          <w:tcPr>
            <w:tcW w:w="1896" w:type="dxa"/>
            <w:noWrap/>
            <w:vAlign w:val="center"/>
          </w:tcPr>
          <w:p>
            <w:pPr>
              <w:jc w:val="center"/>
              <w:rPr>
                <w:rFonts w:ascii="宋体" w:hAnsi="宋体" w:cs="宋体"/>
                <w:szCs w:val="21"/>
              </w:rPr>
            </w:pPr>
            <w:r>
              <w:rPr>
                <w:rFonts w:hint="eastAsia" w:ascii="宋体" w:hAnsi="宋体" w:cs="宋体"/>
                <w:szCs w:val="21"/>
              </w:rPr>
              <w:t>曳引式客梯</w:t>
            </w:r>
          </w:p>
        </w:tc>
        <w:tc>
          <w:tcPr>
            <w:tcW w:w="1781" w:type="dxa"/>
            <w:noWrap/>
            <w:vAlign w:val="center"/>
          </w:tcPr>
          <w:p>
            <w:pPr>
              <w:jc w:val="center"/>
              <w:rPr>
                <w:rFonts w:ascii="宋体" w:hAnsi="宋体" w:cs="宋体"/>
                <w:szCs w:val="21"/>
              </w:rPr>
            </w:pPr>
            <w:r>
              <w:rPr>
                <w:rFonts w:hint="eastAsia" w:ascii="宋体" w:hAnsi="宋体" w:cs="宋体"/>
                <w:szCs w:val="21"/>
              </w:rPr>
              <w:t>6#楼西</w:t>
            </w:r>
          </w:p>
        </w:tc>
        <w:tc>
          <w:tcPr>
            <w:tcW w:w="1843" w:type="dxa"/>
            <w:noWrap/>
            <w:vAlign w:val="center"/>
          </w:tcPr>
          <w:p>
            <w:pPr>
              <w:jc w:val="center"/>
              <w:rPr>
                <w:rFonts w:ascii="宋体" w:hAnsi="宋体" w:cs="宋体"/>
                <w:szCs w:val="21"/>
              </w:rPr>
            </w:pPr>
            <w:r>
              <w:rPr>
                <w:rFonts w:hint="eastAsia" w:ascii="宋体" w:hAnsi="宋体" w:cs="宋体"/>
                <w:szCs w:val="21"/>
              </w:rPr>
              <w:t>OTIS-SKY</w:t>
            </w:r>
          </w:p>
        </w:tc>
        <w:tc>
          <w:tcPr>
            <w:tcW w:w="850" w:type="dxa"/>
            <w:noWrap/>
            <w:vAlign w:val="center"/>
          </w:tcPr>
          <w:p>
            <w:pPr>
              <w:jc w:val="center"/>
              <w:rPr>
                <w:rFonts w:ascii="宋体" w:hAnsi="宋体" w:cs="宋体"/>
                <w:szCs w:val="21"/>
              </w:rPr>
            </w:pPr>
            <w:r>
              <w:rPr>
                <w:rFonts w:hint="eastAsia" w:ascii="宋体" w:hAnsi="宋体" w:cs="宋体"/>
                <w:szCs w:val="21"/>
              </w:rPr>
              <w:t>奥的斯</w:t>
            </w:r>
          </w:p>
        </w:tc>
        <w:tc>
          <w:tcPr>
            <w:tcW w:w="709" w:type="dxa"/>
            <w:noWrap/>
            <w:vAlign w:val="center"/>
          </w:tcPr>
          <w:p>
            <w:pPr>
              <w:jc w:val="center"/>
              <w:rPr>
                <w:rFonts w:ascii="宋体" w:hAnsi="宋体" w:cs="宋体"/>
                <w:szCs w:val="21"/>
              </w:rPr>
            </w:pPr>
            <w:r>
              <w:rPr>
                <w:rFonts w:hint="eastAsia" w:ascii="宋体" w:hAnsi="宋体" w:cs="宋体"/>
                <w:szCs w:val="21"/>
              </w:rPr>
              <w:t>5</w:t>
            </w:r>
          </w:p>
        </w:tc>
        <w:tc>
          <w:tcPr>
            <w:tcW w:w="1559" w:type="dxa"/>
            <w:noWrap/>
            <w:vAlign w:val="center"/>
          </w:tcPr>
          <w:p>
            <w:pPr>
              <w:jc w:val="center"/>
              <w:rPr>
                <w:rFonts w:ascii="宋体" w:hAnsi="宋体" w:cs="宋体"/>
                <w:szCs w:val="21"/>
              </w:rPr>
            </w:pPr>
            <w:r>
              <w:rPr>
                <w:rFonts w:hint="eastAsia" w:ascii="宋体" w:hAnsi="宋体" w:cs="宋体"/>
                <w:szCs w:val="21"/>
              </w:rPr>
              <w:t>2010-08-27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17</w:t>
            </w:r>
          </w:p>
        </w:tc>
        <w:tc>
          <w:tcPr>
            <w:tcW w:w="1896" w:type="dxa"/>
            <w:noWrap/>
            <w:vAlign w:val="center"/>
          </w:tcPr>
          <w:p>
            <w:pPr>
              <w:jc w:val="center"/>
              <w:rPr>
                <w:rFonts w:ascii="宋体" w:hAnsi="宋体" w:cs="宋体"/>
                <w:szCs w:val="21"/>
              </w:rPr>
            </w:pPr>
            <w:r>
              <w:rPr>
                <w:rFonts w:hint="eastAsia" w:ascii="宋体" w:hAnsi="宋体" w:cs="宋体"/>
                <w:szCs w:val="21"/>
              </w:rPr>
              <w:t>曳引式客梯</w:t>
            </w:r>
          </w:p>
        </w:tc>
        <w:tc>
          <w:tcPr>
            <w:tcW w:w="1781" w:type="dxa"/>
            <w:noWrap/>
            <w:vAlign w:val="center"/>
          </w:tcPr>
          <w:p>
            <w:pPr>
              <w:jc w:val="center"/>
              <w:rPr>
                <w:rFonts w:ascii="宋体" w:hAnsi="宋体" w:cs="宋体"/>
                <w:szCs w:val="21"/>
              </w:rPr>
            </w:pPr>
            <w:r>
              <w:rPr>
                <w:rFonts w:hint="eastAsia" w:ascii="宋体" w:hAnsi="宋体" w:cs="宋体"/>
                <w:szCs w:val="21"/>
              </w:rPr>
              <w:t>7#楼南</w:t>
            </w:r>
          </w:p>
        </w:tc>
        <w:tc>
          <w:tcPr>
            <w:tcW w:w="1843" w:type="dxa"/>
            <w:noWrap/>
            <w:vAlign w:val="center"/>
          </w:tcPr>
          <w:p>
            <w:pPr>
              <w:jc w:val="center"/>
              <w:rPr>
                <w:rFonts w:ascii="宋体" w:hAnsi="宋体" w:cs="宋体"/>
                <w:szCs w:val="21"/>
              </w:rPr>
            </w:pPr>
            <w:r>
              <w:rPr>
                <w:rFonts w:hint="eastAsia" w:ascii="宋体" w:hAnsi="宋体" w:cs="宋体"/>
                <w:szCs w:val="21"/>
              </w:rPr>
              <w:t>OTIS-3000B</w:t>
            </w:r>
          </w:p>
        </w:tc>
        <w:tc>
          <w:tcPr>
            <w:tcW w:w="850" w:type="dxa"/>
            <w:noWrap/>
            <w:vAlign w:val="center"/>
          </w:tcPr>
          <w:p>
            <w:pPr>
              <w:jc w:val="center"/>
              <w:rPr>
                <w:rFonts w:ascii="宋体" w:hAnsi="宋体" w:cs="宋体"/>
                <w:szCs w:val="21"/>
              </w:rPr>
            </w:pPr>
            <w:r>
              <w:rPr>
                <w:rFonts w:hint="eastAsia" w:ascii="宋体" w:hAnsi="宋体" w:cs="宋体"/>
                <w:szCs w:val="21"/>
              </w:rPr>
              <w:t>奥的斯</w:t>
            </w:r>
          </w:p>
        </w:tc>
        <w:tc>
          <w:tcPr>
            <w:tcW w:w="709" w:type="dxa"/>
            <w:noWrap/>
            <w:vAlign w:val="center"/>
          </w:tcPr>
          <w:p>
            <w:pPr>
              <w:jc w:val="center"/>
              <w:rPr>
                <w:rFonts w:ascii="宋体" w:hAnsi="宋体" w:cs="宋体"/>
                <w:szCs w:val="21"/>
              </w:rPr>
            </w:pPr>
            <w:r>
              <w:rPr>
                <w:rFonts w:hint="eastAsia" w:ascii="宋体" w:hAnsi="宋体" w:cs="宋体"/>
                <w:szCs w:val="21"/>
              </w:rPr>
              <w:t>6</w:t>
            </w:r>
          </w:p>
        </w:tc>
        <w:tc>
          <w:tcPr>
            <w:tcW w:w="1559" w:type="dxa"/>
            <w:noWrap/>
            <w:vAlign w:val="center"/>
          </w:tcPr>
          <w:p>
            <w:pPr>
              <w:jc w:val="center"/>
              <w:rPr>
                <w:rFonts w:ascii="宋体" w:hAnsi="宋体" w:cs="宋体"/>
                <w:szCs w:val="21"/>
              </w:rPr>
            </w:pPr>
            <w:r>
              <w:rPr>
                <w:rFonts w:hint="eastAsia" w:ascii="宋体" w:hAnsi="宋体" w:cs="宋体"/>
                <w:szCs w:val="21"/>
              </w:rPr>
              <w:t>2002-08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18</w:t>
            </w:r>
          </w:p>
        </w:tc>
        <w:tc>
          <w:tcPr>
            <w:tcW w:w="1896" w:type="dxa"/>
            <w:noWrap/>
            <w:vAlign w:val="center"/>
          </w:tcPr>
          <w:p>
            <w:pPr>
              <w:jc w:val="center"/>
              <w:rPr>
                <w:rFonts w:ascii="宋体" w:hAnsi="宋体" w:cs="宋体"/>
                <w:szCs w:val="21"/>
              </w:rPr>
            </w:pPr>
            <w:r>
              <w:rPr>
                <w:rFonts w:hint="eastAsia" w:ascii="宋体" w:hAnsi="宋体" w:cs="宋体"/>
                <w:szCs w:val="21"/>
              </w:rPr>
              <w:t>曳引式客梯</w:t>
            </w:r>
          </w:p>
        </w:tc>
        <w:tc>
          <w:tcPr>
            <w:tcW w:w="1781" w:type="dxa"/>
            <w:noWrap/>
            <w:vAlign w:val="center"/>
          </w:tcPr>
          <w:p>
            <w:pPr>
              <w:jc w:val="center"/>
              <w:rPr>
                <w:rFonts w:ascii="宋体" w:hAnsi="宋体" w:cs="宋体"/>
                <w:szCs w:val="21"/>
              </w:rPr>
            </w:pPr>
            <w:r>
              <w:rPr>
                <w:rFonts w:hint="eastAsia" w:ascii="宋体" w:hAnsi="宋体" w:cs="宋体"/>
                <w:szCs w:val="21"/>
              </w:rPr>
              <w:t>7#楼北</w:t>
            </w:r>
          </w:p>
        </w:tc>
        <w:tc>
          <w:tcPr>
            <w:tcW w:w="1843" w:type="dxa"/>
            <w:noWrap/>
            <w:vAlign w:val="center"/>
          </w:tcPr>
          <w:p>
            <w:pPr>
              <w:jc w:val="center"/>
              <w:rPr>
                <w:rFonts w:ascii="宋体" w:hAnsi="宋体" w:cs="宋体"/>
                <w:szCs w:val="21"/>
              </w:rPr>
            </w:pPr>
            <w:r>
              <w:rPr>
                <w:rFonts w:hint="eastAsia" w:ascii="宋体" w:hAnsi="宋体" w:cs="宋体"/>
                <w:szCs w:val="21"/>
              </w:rPr>
              <w:t>OTIS-3000B</w:t>
            </w:r>
          </w:p>
        </w:tc>
        <w:tc>
          <w:tcPr>
            <w:tcW w:w="850" w:type="dxa"/>
            <w:noWrap/>
            <w:vAlign w:val="center"/>
          </w:tcPr>
          <w:p>
            <w:pPr>
              <w:jc w:val="center"/>
              <w:rPr>
                <w:rFonts w:ascii="宋体" w:hAnsi="宋体" w:cs="宋体"/>
                <w:szCs w:val="21"/>
              </w:rPr>
            </w:pPr>
            <w:r>
              <w:rPr>
                <w:rFonts w:hint="eastAsia" w:ascii="宋体" w:hAnsi="宋体" w:cs="宋体"/>
                <w:szCs w:val="21"/>
              </w:rPr>
              <w:t>奥的斯</w:t>
            </w:r>
          </w:p>
        </w:tc>
        <w:tc>
          <w:tcPr>
            <w:tcW w:w="709" w:type="dxa"/>
            <w:noWrap/>
            <w:vAlign w:val="center"/>
          </w:tcPr>
          <w:p>
            <w:pPr>
              <w:jc w:val="center"/>
              <w:rPr>
                <w:rFonts w:ascii="宋体" w:hAnsi="宋体" w:cs="宋体"/>
                <w:szCs w:val="21"/>
              </w:rPr>
            </w:pPr>
            <w:r>
              <w:rPr>
                <w:rFonts w:hint="eastAsia" w:ascii="宋体" w:hAnsi="宋体" w:cs="宋体"/>
                <w:szCs w:val="21"/>
              </w:rPr>
              <w:t>6</w:t>
            </w:r>
          </w:p>
        </w:tc>
        <w:tc>
          <w:tcPr>
            <w:tcW w:w="1559" w:type="dxa"/>
            <w:noWrap/>
            <w:vAlign w:val="center"/>
          </w:tcPr>
          <w:p>
            <w:pPr>
              <w:jc w:val="center"/>
              <w:rPr>
                <w:rFonts w:ascii="宋体" w:hAnsi="宋体" w:cs="宋体"/>
                <w:szCs w:val="21"/>
              </w:rPr>
            </w:pPr>
            <w:r>
              <w:rPr>
                <w:rFonts w:hint="eastAsia" w:ascii="宋体" w:hAnsi="宋体" w:cs="宋体"/>
                <w:szCs w:val="21"/>
              </w:rPr>
              <w:t>2002-08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58" w:hRule="atLeast"/>
        </w:trPr>
        <w:tc>
          <w:tcPr>
            <w:tcW w:w="9322" w:type="dxa"/>
            <w:gridSpan w:val="7"/>
            <w:noWrap/>
            <w:vAlign w:val="center"/>
          </w:tcPr>
          <w:p>
            <w:pPr>
              <w:jc w:val="center"/>
              <w:rPr>
                <w:rFonts w:ascii="宋体" w:hAnsi="宋体" w:cs="宋体"/>
                <w:b/>
                <w:sz w:val="24"/>
                <w:szCs w:val="24"/>
              </w:rPr>
            </w:pPr>
            <w:r>
              <w:rPr>
                <w:rFonts w:hint="eastAsia" w:ascii="宋体" w:hAnsi="宋体" w:cs="宋体"/>
                <w:b/>
                <w:sz w:val="24"/>
                <w:szCs w:val="24"/>
              </w:rPr>
              <w:t>西区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w:t>
            </w:r>
          </w:p>
        </w:tc>
        <w:tc>
          <w:tcPr>
            <w:tcW w:w="1896" w:type="dxa"/>
            <w:noWrap/>
            <w:vAlign w:val="center"/>
          </w:tcPr>
          <w:p>
            <w:pPr>
              <w:jc w:val="center"/>
              <w:rPr>
                <w:rFonts w:ascii="宋体" w:hAnsi="宋体" w:cs="宋体"/>
                <w:szCs w:val="21"/>
              </w:rPr>
            </w:pPr>
            <w:r>
              <w:rPr>
                <w:rFonts w:hint="eastAsia" w:ascii="宋体" w:hAnsi="宋体" w:cs="宋体"/>
                <w:szCs w:val="21"/>
              </w:rPr>
              <w:t>自动扶梯</w:t>
            </w:r>
          </w:p>
        </w:tc>
        <w:tc>
          <w:tcPr>
            <w:tcW w:w="1781" w:type="dxa"/>
            <w:noWrap/>
            <w:vAlign w:val="center"/>
          </w:tcPr>
          <w:p>
            <w:pPr>
              <w:jc w:val="center"/>
              <w:rPr>
                <w:rFonts w:ascii="宋体" w:hAnsi="宋体" w:cs="宋体"/>
                <w:szCs w:val="21"/>
              </w:rPr>
            </w:pPr>
            <w:r>
              <w:rPr>
                <w:rFonts w:hint="eastAsia" w:ascii="宋体" w:hAnsi="宋体" w:cs="宋体"/>
                <w:szCs w:val="21"/>
              </w:rPr>
              <w:t>门诊大楼南</w:t>
            </w:r>
          </w:p>
        </w:tc>
        <w:tc>
          <w:tcPr>
            <w:tcW w:w="1843" w:type="dxa"/>
            <w:noWrap/>
            <w:vAlign w:val="center"/>
          </w:tcPr>
          <w:p>
            <w:pPr>
              <w:jc w:val="center"/>
              <w:rPr>
                <w:rFonts w:ascii="宋体" w:hAnsi="宋体" w:cs="宋体"/>
                <w:szCs w:val="21"/>
              </w:rPr>
            </w:pPr>
            <w:r>
              <w:rPr>
                <w:rFonts w:hint="eastAsia" w:ascii="宋体" w:hAnsi="宋体" w:cs="宋体"/>
                <w:szCs w:val="21"/>
              </w:rPr>
              <w:t>1200EX-EN</w:t>
            </w:r>
          </w:p>
        </w:tc>
        <w:tc>
          <w:tcPr>
            <w:tcW w:w="850" w:type="dxa"/>
            <w:noWrap/>
            <w:vAlign w:val="center"/>
          </w:tcPr>
          <w:p>
            <w:pPr>
              <w:jc w:val="center"/>
              <w:rPr>
                <w:rFonts w:ascii="宋体" w:hAnsi="宋体" w:cs="宋体"/>
                <w:szCs w:val="21"/>
              </w:rPr>
            </w:pPr>
            <w:r>
              <w:rPr>
                <w:rFonts w:hint="eastAsia" w:ascii="宋体" w:hAnsi="宋体" w:cs="宋体"/>
                <w:szCs w:val="21"/>
              </w:rPr>
              <w:t>日立</w:t>
            </w:r>
          </w:p>
        </w:tc>
        <w:tc>
          <w:tcPr>
            <w:tcW w:w="709" w:type="dxa"/>
            <w:noWrap/>
            <w:vAlign w:val="center"/>
          </w:tcPr>
          <w:p>
            <w:pPr>
              <w:jc w:val="center"/>
              <w:rPr>
                <w:rFonts w:ascii="宋体" w:hAnsi="宋体" w:cs="宋体"/>
                <w:szCs w:val="21"/>
              </w:rPr>
            </w:pPr>
            <w:r>
              <w:rPr>
                <w:rFonts w:hint="eastAsia" w:ascii="宋体" w:hAnsi="宋体" w:cs="宋体"/>
                <w:szCs w:val="21"/>
              </w:rPr>
              <w:t>2</w:t>
            </w:r>
          </w:p>
        </w:tc>
        <w:tc>
          <w:tcPr>
            <w:tcW w:w="1559" w:type="dxa"/>
            <w:noWrap/>
            <w:vAlign w:val="center"/>
          </w:tcPr>
          <w:p>
            <w:pPr>
              <w:jc w:val="center"/>
              <w:rPr>
                <w:rFonts w:ascii="宋体" w:hAnsi="宋体" w:cs="宋体"/>
                <w:szCs w:val="21"/>
              </w:rPr>
            </w:pPr>
            <w:r>
              <w:rPr>
                <w:rFonts w:hint="eastAsia" w:ascii="宋体" w:hAnsi="宋体" w:cs="宋体"/>
                <w:szCs w:val="21"/>
              </w:rPr>
              <w:t>2008-06-26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2</w:t>
            </w:r>
          </w:p>
        </w:tc>
        <w:tc>
          <w:tcPr>
            <w:tcW w:w="1896" w:type="dxa"/>
            <w:noWrap/>
            <w:vAlign w:val="center"/>
          </w:tcPr>
          <w:p>
            <w:pPr>
              <w:jc w:val="center"/>
              <w:rPr>
                <w:rFonts w:ascii="宋体" w:hAnsi="宋体" w:cs="宋体"/>
                <w:szCs w:val="21"/>
              </w:rPr>
            </w:pPr>
            <w:r>
              <w:rPr>
                <w:rFonts w:hint="eastAsia" w:ascii="宋体" w:hAnsi="宋体" w:cs="宋体"/>
                <w:szCs w:val="21"/>
              </w:rPr>
              <w:t>自动扶梯</w:t>
            </w:r>
          </w:p>
        </w:tc>
        <w:tc>
          <w:tcPr>
            <w:tcW w:w="1781" w:type="dxa"/>
            <w:noWrap/>
            <w:vAlign w:val="center"/>
          </w:tcPr>
          <w:p>
            <w:pPr>
              <w:jc w:val="center"/>
              <w:rPr>
                <w:rFonts w:ascii="宋体" w:hAnsi="宋体" w:cs="宋体"/>
                <w:szCs w:val="21"/>
              </w:rPr>
            </w:pPr>
            <w:r>
              <w:rPr>
                <w:rFonts w:hint="eastAsia" w:ascii="宋体" w:hAnsi="宋体" w:cs="宋体"/>
                <w:szCs w:val="21"/>
              </w:rPr>
              <w:t>门诊大楼北</w:t>
            </w:r>
          </w:p>
        </w:tc>
        <w:tc>
          <w:tcPr>
            <w:tcW w:w="1843" w:type="dxa"/>
            <w:noWrap/>
            <w:vAlign w:val="center"/>
          </w:tcPr>
          <w:p>
            <w:pPr>
              <w:jc w:val="center"/>
              <w:rPr>
                <w:rFonts w:ascii="宋体" w:hAnsi="宋体" w:cs="宋体"/>
                <w:szCs w:val="21"/>
              </w:rPr>
            </w:pPr>
            <w:r>
              <w:rPr>
                <w:rFonts w:hint="eastAsia" w:ascii="宋体" w:hAnsi="宋体" w:cs="宋体"/>
                <w:szCs w:val="21"/>
              </w:rPr>
              <w:t>1200EX-EN</w:t>
            </w:r>
          </w:p>
        </w:tc>
        <w:tc>
          <w:tcPr>
            <w:tcW w:w="850" w:type="dxa"/>
            <w:noWrap/>
            <w:vAlign w:val="center"/>
          </w:tcPr>
          <w:p>
            <w:pPr>
              <w:jc w:val="center"/>
              <w:rPr>
                <w:rFonts w:ascii="宋体" w:hAnsi="宋体" w:cs="宋体"/>
                <w:szCs w:val="21"/>
              </w:rPr>
            </w:pPr>
            <w:r>
              <w:rPr>
                <w:rFonts w:hint="eastAsia" w:ascii="宋体" w:hAnsi="宋体" w:cs="宋体"/>
                <w:szCs w:val="21"/>
              </w:rPr>
              <w:t>日立</w:t>
            </w:r>
          </w:p>
        </w:tc>
        <w:tc>
          <w:tcPr>
            <w:tcW w:w="709" w:type="dxa"/>
            <w:noWrap/>
            <w:vAlign w:val="center"/>
          </w:tcPr>
          <w:p>
            <w:pPr>
              <w:jc w:val="center"/>
              <w:rPr>
                <w:rFonts w:ascii="宋体" w:hAnsi="宋体" w:cs="宋体"/>
                <w:szCs w:val="21"/>
              </w:rPr>
            </w:pPr>
            <w:r>
              <w:rPr>
                <w:rFonts w:hint="eastAsia" w:ascii="宋体" w:hAnsi="宋体" w:cs="宋体"/>
                <w:szCs w:val="21"/>
              </w:rPr>
              <w:t>2</w:t>
            </w:r>
          </w:p>
        </w:tc>
        <w:tc>
          <w:tcPr>
            <w:tcW w:w="1559" w:type="dxa"/>
            <w:noWrap/>
            <w:vAlign w:val="center"/>
          </w:tcPr>
          <w:p>
            <w:pPr>
              <w:jc w:val="center"/>
              <w:rPr>
                <w:rFonts w:ascii="宋体" w:hAnsi="宋体" w:cs="宋体"/>
                <w:szCs w:val="21"/>
              </w:rPr>
            </w:pPr>
            <w:r>
              <w:rPr>
                <w:rFonts w:hint="eastAsia" w:ascii="宋体" w:hAnsi="宋体" w:cs="宋体"/>
                <w:szCs w:val="21"/>
              </w:rPr>
              <w:t>2008-06-26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3</w:t>
            </w:r>
          </w:p>
        </w:tc>
        <w:tc>
          <w:tcPr>
            <w:tcW w:w="1896" w:type="dxa"/>
            <w:noWrap/>
            <w:vAlign w:val="center"/>
          </w:tcPr>
          <w:p>
            <w:pPr>
              <w:jc w:val="center"/>
              <w:rPr>
                <w:rFonts w:ascii="宋体" w:hAnsi="宋体" w:cs="宋体"/>
                <w:szCs w:val="21"/>
              </w:rPr>
            </w:pPr>
            <w:r>
              <w:rPr>
                <w:rFonts w:hint="eastAsia" w:ascii="宋体" w:hAnsi="宋体" w:cs="宋体"/>
                <w:szCs w:val="21"/>
              </w:rPr>
              <w:t>曳引式客梯</w:t>
            </w:r>
          </w:p>
        </w:tc>
        <w:tc>
          <w:tcPr>
            <w:tcW w:w="1781" w:type="dxa"/>
            <w:noWrap/>
            <w:vAlign w:val="center"/>
          </w:tcPr>
          <w:p>
            <w:pPr>
              <w:jc w:val="center"/>
              <w:rPr>
                <w:rFonts w:ascii="宋体" w:hAnsi="宋体" w:cs="宋体"/>
                <w:szCs w:val="21"/>
              </w:rPr>
            </w:pPr>
            <w:r>
              <w:rPr>
                <w:rFonts w:hint="eastAsia" w:ascii="宋体" w:hAnsi="宋体" w:cs="宋体"/>
                <w:szCs w:val="21"/>
              </w:rPr>
              <w:t>门诊大楼南</w:t>
            </w:r>
          </w:p>
        </w:tc>
        <w:tc>
          <w:tcPr>
            <w:tcW w:w="1843" w:type="dxa"/>
            <w:noWrap/>
            <w:vAlign w:val="center"/>
          </w:tcPr>
          <w:p>
            <w:pPr>
              <w:jc w:val="center"/>
              <w:rPr>
                <w:rFonts w:ascii="宋体" w:hAnsi="宋体" w:cs="宋体"/>
                <w:szCs w:val="21"/>
              </w:rPr>
            </w:pPr>
            <w:r>
              <w:rPr>
                <w:rFonts w:hint="eastAsia" w:ascii="宋体" w:hAnsi="宋体" w:cs="宋体"/>
                <w:szCs w:val="21"/>
              </w:rPr>
              <w:t>KLB/VF-1600/1.0</w:t>
            </w:r>
          </w:p>
        </w:tc>
        <w:tc>
          <w:tcPr>
            <w:tcW w:w="850" w:type="dxa"/>
            <w:noWrap/>
            <w:vAlign w:val="center"/>
          </w:tcPr>
          <w:p>
            <w:pPr>
              <w:jc w:val="center"/>
              <w:rPr>
                <w:rFonts w:ascii="宋体" w:hAnsi="宋体" w:cs="宋体"/>
                <w:szCs w:val="21"/>
              </w:rPr>
            </w:pPr>
            <w:r>
              <w:rPr>
                <w:rFonts w:hint="eastAsia" w:ascii="宋体" w:hAnsi="宋体" w:cs="宋体"/>
                <w:szCs w:val="21"/>
              </w:rPr>
              <w:t>康力</w:t>
            </w:r>
          </w:p>
        </w:tc>
        <w:tc>
          <w:tcPr>
            <w:tcW w:w="709" w:type="dxa"/>
            <w:noWrap/>
            <w:vAlign w:val="center"/>
          </w:tcPr>
          <w:p>
            <w:pPr>
              <w:jc w:val="center"/>
              <w:rPr>
                <w:rFonts w:ascii="宋体" w:hAnsi="宋体" w:cs="宋体"/>
                <w:szCs w:val="21"/>
              </w:rPr>
            </w:pPr>
            <w:r>
              <w:rPr>
                <w:rFonts w:hint="eastAsia" w:ascii="宋体" w:hAnsi="宋体" w:cs="宋体"/>
                <w:szCs w:val="21"/>
              </w:rPr>
              <w:t>4</w:t>
            </w:r>
          </w:p>
        </w:tc>
        <w:tc>
          <w:tcPr>
            <w:tcW w:w="1559" w:type="dxa"/>
            <w:noWrap/>
            <w:vAlign w:val="center"/>
          </w:tcPr>
          <w:p>
            <w:pPr>
              <w:jc w:val="center"/>
              <w:rPr>
                <w:rFonts w:ascii="宋体" w:hAnsi="宋体" w:cs="宋体"/>
                <w:szCs w:val="21"/>
              </w:rPr>
            </w:pPr>
            <w:r>
              <w:rPr>
                <w:rFonts w:hint="eastAsia" w:ascii="宋体" w:hAnsi="宋体" w:cs="宋体"/>
                <w:szCs w:val="21"/>
              </w:rPr>
              <w:t>2008-06-26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4</w:t>
            </w:r>
          </w:p>
        </w:tc>
        <w:tc>
          <w:tcPr>
            <w:tcW w:w="1896" w:type="dxa"/>
            <w:noWrap/>
            <w:vAlign w:val="center"/>
          </w:tcPr>
          <w:p>
            <w:pPr>
              <w:jc w:val="center"/>
              <w:rPr>
                <w:rFonts w:ascii="宋体" w:hAnsi="宋体" w:cs="宋体"/>
                <w:szCs w:val="21"/>
              </w:rPr>
            </w:pPr>
            <w:r>
              <w:rPr>
                <w:rFonts w:hint="eastAsia" w:ascii="宋体" w:hAnsi="宋体" w:cs="宋体"/>
                <w:szCs w:val="21"/>
              </w:rPr>
              <w:t>曳引式客梯</w:t>
            </w:r>
          </w:p>
        </w:tc>
        <w:tc>
          <w:tcPr>
            <w:tcW w:w="1781" w:type="dxa"/>
            <w:noWrap/>
            <w:vAlign w:val="center"/>
          </w:tcPr>
          <w:p>
            <w:pPr>
              <w:jc w:val="center"/>
              <w:rPr>
                <w:rFonts w:ascii="宋体" w:hAnsi="宋体" w:cs="宋体"/>
                <w:szCs w:val="21"/>
              </w:rPr>
            </w:pPr>
            <w:r>
              <w:rPr>
                <w:rFonts w:hint="eastAsia" w:ascii="宋体" w:hAnsi="宋体" w:cs="宋体"/>
                <w:szCs w:val="21"/>
              </w:rPr>
              <w:t>门诊大楼北</w:t>
            </w:r>
          </w:p>
        </w:tc>
        <w:tc>
          <w:tcPr>
            <w:tcW w:w="1843" w:type="dxa"/>
            <w:noWrap/>
            <w:vAlign w:val="center"/>
          </w:tcPr>
          <w:p>
            <w:pPr>
              <w:jc w:val="center"/>
              <w:rPr>
                <w:rFonts w:ascii="宋体" w:hAnsi="宋体" w:cs="宋体"/>
                <w:szCs w:val="21"/>
              </w:rPr>
            </w:pPr>
            <w:r>
              <w:rPr>
                <w:rFonts w:hint="eastAsia" w:ascii="宋体" w:hAnsi="宋体" w:cs="宋体"/>
                <w:szCs w:val="21"/>
              </w:rPr>
              <w:t>KLB/VF-1600/1.0</w:t>
            </w:r>
          </w:p>
        </w:tc>
        <w:tc>
          <w:tcPr>
            <w:tcW w:w="850" w:type="dxa"/>
            <w:noWrap/>
            <w:vAlign w:val="center"/>
          </w:tcPr>
          <w:p>
            <w:pPr>
              <w:jc w:val="center"/>
              <w:rPr>
                <w:rFonts w:ascii="宋体" w:hAnsi="宋体" w:cs="宋体"/>
                <w:szCs w:val="21"/>
              </w:rPr>
            </w:pPr>
            <w:r>
              <w:rPr>
                <w:rFonts w:hint="eastAsia" w:ascii="宋体" w:hAnsi="宋体" w:cs="宋体"/>
                <w:szCs w:val="21"/>
              </w:rPr>
              <w:t>康力</w:t>
            </w:r>
          </w:p>
        </w:tc>
        <w:tc>
          <w:tcPr>
            <w:tcW w:w="709" w:type="dxa"/>
            <w:noWrap/>
            <w:vAlign w:val="center"/>
          </w:tcPr>
          <w:p>
            <w:pPr>
              <w:jc w:val="center"/>
              <w:rPr>
                <w:rFonts w:ascii="宋体" w:hAnsi="宋体" w:cs="宋体"/>
                <w:szCs w:val="21"/>
              </w:rPr>
            </w:pPr>
            <w:r>
              <w:rPr>
                <w:rFonts w:hint="eastAsia" w:ascii="宋体" w:hAnsi="宋体" w:cs="宋体"/>
                <w:szCs w:val="21"/>
              </w:rPr>
              <w:t>4</w:t>
            </w:r>
          </w:p>
        </w:tc>
        <w:tc>
          <w:tcPr>
            <w:tcW w:w="1559" w:type="dxa"/>
            <w:noWrap/>
            <w:vAlign w:val="center"/>
          </w:tcPr>
          <w:p>
            <w:pPr>
              <w:jc w:val="center"/>
              <w:rPr>
                <w:rFonts w:ascii="宋体" w:hAnsi="宋体" w:cs="宋体"/>
                <w:szCs w:val="21"/>
              </w:rPr>
            </w:pPr>
            <w:r>
              <w:rPr>
                <w:rFonts w:hint="eastAsia" w:ascii="宋体" w:hAnsi="宋体" w:cs="宋体"/>
                <w:szCs w:val="21"/>
              </w:rPr>
              <w:t>2008-06-26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5</w:t>
            </w:r>
          </w:p>
        </w:tc>
        <w:tc>
          <w:tcPr>
            <w:tcW w:w="1896" w:type="dxa"/>
            <w:noWrap/>
            <w:vAlign w:val="center"/>
          </w:tcPr>
          <w:p>
            <w:pPr>
              <w:jc w:val="center"/>
              <w:rPr>
                <w:rFonts w:ascii="宋体" w:hAnsi="宋体" w:cs="宋体"/>
                <w:szCs w:val="21"/>
              </w:rPr>
            </w:pPr>
            <w:r>
              <w:rPr>
                <w:rFonts w:hint="eastAsia" w:ascii="宋体" w:hAnsi="宋体" w:cs="宋体"/>
                <w:szCs w:val="21"/>
              </w:rPr>
              <w:t>曳引式客梯</w:t>
            </w:r>
          </w:p>
        </w:tc>
        <w:tc>
          <w:tcPr>
            <w:tcW w:w="1781" w:type="dxa"/>
            <w:noWrap/>
            <w:vAlign w:val="center"/>
          </w:tcPr>
          <w:p>
            <w:pPr>
              <w:jc w:val="center"/>
              <w:rPr>
                <w:rFonts w:ascii="宋体" w:hAnsi="宋体" w:cs="宋体"/>
                <w:szCs w:val="21"/>
              </w:rPr>
            </w:pPr>
            <w:r>
              <w:rPr>
                <w:rFonts w:hint="eastAsia" w:ascii="宋体" w:hAnsi="宋体" w:cs="宋体"/>
                <w:szCs w:val="21"/>
              </w:rPr>
              <w:t>医技楼东</w:t>
            </w:r>
          </w:p>
        </w:tc>
        <w:tc>
          <w:tcPr>
            <w:tcW w:w="1843" w:type="dxa"/>
            <w:noWrap/>
            <w:vAlign w:val="center"/>
          </w:tcPr>
          <w:p>
            <w:pPr>
              <w:jc w:val="center"/>
              <w:rPr>
                <w:rFonts w:ascii="宋体" w:hAnsi="宋体" w:cs="宋体"/>
                <w:szCs w:val="21"/>
              </w:rPr>
            </w:pPr>
            <w:r>
              <w:rPr>
                <w:rFonts w:hint="eastAsia" w:ascii="宋体" w:hAnsi="宋体" w:cs="宋体"/>
                <w:szCs w:val="21"/>
              </w:rPr>
              <w:t>KLB/VF-1600/1.0</w:t>
            </w:r>
          </w:p>
        </w:tc>
        <w:tc>
          <w:tcPr>
            <w:tcW w:w="850" w:type="dxa"/>
            <w:noWrap/>
            <w:vAlign w:val="center"/>
          </w:tcPr>
          <w:p>
            <w:pPr>
              <w:jc w:val="center"/>
              <w:rPr>
                <w:rFonts w:ascii="宋体" w:hAnsi="宋体" w:cs="宋体"/>
                <w:szCs w:val="21"/>
              </w:rPr>
            </w:pPr>
            <w:r>
              <w:rPr>
                <w:rFonts w:hint="eastAsia" w:ascii="宋体" w:hAnsi="宋体" w:cs="宋体"/>
                <w:szCs w:val="21"/>
              </w:rPr>
              <w:t>康力</w:t>
            </w:r>
          </w:p>
        </w:tc>
        <w:tc>
          <w:tcPr>
            <w:tcW w:w="709" w:type="dxa"/>
            <w:noWrap/>
            <w:vAlign w:val="center"/>
          </w:tcPr>
          <w:p>
            <w:pPr>
              <w:jc w:val="center"/>
              <w:rPr>
                <w:rFonts w:ascii="宋体" w:hAnsi="宋体" w:cs="宋体"/>
                <w:szCs w:val="21"/>
              </w:rPr>
            </w:pPr>
            <w:r>
              <w:rPr>
                <w:rFonts w:hint="eastAsia" w:ascii="宋体" w:hAnsi="宋体" w:cs="宋体"/>
                <w:szCs w:val="21"/>
              </w:rPr>
              <w:t>5</w:t>
            </w:r>
          </w:p>
        </w:tc>
        <w:tc>
          <w:tcPr>
            <w:tcW w:w="1559" w:type="dxa"/>
            <w:noWrap/>
            <w:vAlign w:val="center"/>
          </w:tcPr>
          <w:p>
            <w:pPr>
              <w:jc w:val="center"/>
              <w:rPr>
                <w:rFonts w:ascii="宋体" w:hAnsi="宋体" w:cs="宋体"/>
                <w:szCs w:val="21"/>
              </w:rPr>
            </w:pPr>
            <w:r>
              <w:rPr>
                <w:rFonts w:hint="eastAsia" w:ascii="宋体" w:hAnsi="宋体" w:cs="宋体"/>
                <w:szCs w:val="21"/>
              </w:rPr>
              <w:t>2008-12-27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6</w:t>
            </w:r>
          </w:p>
        </w:tc>
        <w:tc>
          <w:tcPr>
            <w:tcW w:w="1896" w:type="dxa"/>
            <w:noWrap/>
            <w:vAlign w:val="center"/>
          </w:tcPr>
          <w:p>
            <w:pPr>
              <w:jc w:val="center"/>
              <w:rPr>
                <w:rFonts w:ascii="宋体" w:hAnsi="宋体" w:cs="宋体"/>
                <w:szCs w:val="21"/>
              </w:rPr>
            </w:pPr>
            <w:r>
              <w:rPr>
                <w:rFonts w:hint="eastAsia" w:ascii="宋体" w:hAnsi="宋体" w:cs="宋体"/>
                <w:szCs w:val="21"/>
              </w:rPr>
              <w:t>曳引式客梯</w:t>
            </w:r>
          </w:p>
        </w:tc>
        <w:tc>
          <w:tcPr>
            <w:tcW w:w="1781" w:type="dxa"/>
            <w:noWrap/>
            <w:vAlign w:val="center"/>
          </w:tcPr>
          <w:p>
            <w:pPr>
              <w:jc w:val="center"/>
              <w:rPr>
                <w:rFonts w:ascii="宋体" w:hAnsi="宋体" w:cs="宋体"/>
                <w:szCs w:val="21"/>
              </w:rPr>
            </w:pPr>
            <w:r>
              <w:rPr>
                <w:rFonts w:hint="eastAsia" w:ascii="宋体" w:hAnsi="宋体" w:cs="宋体"/>
                <w:szCs w:val="21"/>
              </w:rPr>
              <w:t>医技楼西</w:t>
            </w:r>
          </w:p>
        </w:tc>
        <w:tc>
          <w:tcPr>
            <w:tcW w:w="1843" w:type="dxa"/>
            <w:noWrap/>
            <w:vAlign w:val="center"/>
          </w:tcPr>
          <w:p>
            <w:pPr>
              <w:jc w:val="center"/>
              <w:rPr>
                <w:rFonts w:ascii="宋体" w:hAnsi="宋体" w:cs="宋体"/>
                <w:szCs w:val="21"/>
              </w:rPr>
            </w:pPr>
            <w:r>
              <w:rPr>
                <w:rFonts w:hint="eastAsia" w:ascii="宋体" w:hAnsi="宋体" w:cs="宋体"/>
                <w:szCs w:val="21"/>
              </w:rPr>
              <w:t>KLB/VF-1600/1.0</w:t>
            </w:r>
          </w:p>
        </w:tc>
        <w:tc>
          <w:tcPr>
            <w:tcW w:w="850" w:type="dxa"/>
            <w:noWrap/>
            <w:vAlign w:val="center"/>
          </w:tcPr>
          <w:p>
            <w:pPr>
              <w:jc w:val="center"/>
              <w:rPr>
                <w:rFonts w:ascii="宋体" w:hAnsi="宋体" w:cs="宋体"/>
                <w:szCs w:val="21"/>
              </w:rPr>
            </w:pPr>
            <w:r>
              <w:rPr>
                <w:rFonts w:hint="eastAsia" w:ascii="宋体" w:hAnsi="宋体" w:cs="宋体"/>
                <w:szCs w:val="21"/>
              </w:rPr>
              <w:t>康力</w:t>
            </w:r>
          </w:p>
        </w:tc>
        <w:tc>
          <w:tcPr>
            <w:tcW w:w="709" w:type="dxa"/>
            <w:noWrap/>
            <w:vAlign w:val="center"/>
          </w:tcPr>
          <w:p>
            <w:pPr>
              <w:jc w:val="center"/>
              <w:rPr>
                <w:rFonts w:ascii="宋体" w:hAnsi="宋体" w:cs="宋体"/>
                <w:szCs w:val="21"/>
              </w:rPr>
            </w:pPr>
            <w:r>
              <w:rPr>
                <w:rFonts w:hint="eastAsia" w:ascii="宋体" w:hAnsi="宋体" w:cs="宋体"/>
                <w:szCs w:val="21"/>
              </w:rPr>
              <w:t>5</w:t>
            </w:r>
          </w:p>
        </w:tc>
        <w:tc>
          <w:tcPr>
            <w:tcW w:w="1559" w:type="dxa"/>
            <w:noWrap/>
            <w:vAlign w:val="center"/>
          </w:tcPr>
          <w:p>
            <w:pPr>
              <w:jc w:val="center"/>
              <w:rPr>
                <w:rFonts w:ascii="宋体" w:hAnsi="宋体" w:cs="宋体"/>
                <w:szCs w:val="21"/>
              </w:rPr>
            </w:pPr>
            <w:r>
              <w:rPr>
                <w:rFonts w:hint="eastAsia" w:ascii="宋体" w:hAnsi="宋体" w:cs="宋体"/>
                <w:szCs w:val="21"/>
              </w:rPr>
              <w:t>2008-12-27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7</w:t>
            </w:r>
          </w:p>
        </w:tc>
        <w:tc>
          <w:tcPr>
            <w:tcW w:w="1896" w:type="dxa"/>
            <w:noWrap/>
            <w:vAlign w:val="center"/>
          </w:tcPr>
          <w:p>
            <w:pPr>
              <w:jc w:val="center"/>
              <w:rPr>
                <w:rFonts w:ascii="宋体" w:hAnsi="宋体" w:cs="宋体"/>
                <w:szCs w:val="21"/>
              </w:rPr>
            </w:pPr>
            <w:r>
              <w:rPr>
                <w:rFonts w:hint="eastAsia" w:ascii="宋体" w:hAnsi="宋体" w:cs="宋体"/>
                <w:szCs w:val="21"/>
              </w:rPr>
              <w:t>曳引式客梯</w:t>
            </w:r>
          </w:p>
        </w:tc>
        <w:tc>
          <w:tcPr>
            <w:tcW w:w="1781" w:type="dxa"/>
            <w:noWrap/>
            <w:vAlign w:val="center"/>
          </w:tcPr>
          <w:p>
            <w:pPr>
              <w:jc w:val="center"/>
              <w:rPr>
                <w:rFonts w:ascii="宋体" w:hAnsi="宋体" w:cs="宋体"/>
                <w:szCs w:val="21"/>
              </w:rPr>
            </w:pPr>
            <w:r>
              <w:rPr>
                <w:rFonts w:hint="eastAsia" w:ascii="宋体" w:hAnsi="宋体" w:cs="宋体"/>
                <w:szCs w:val="21"/>
              </w:rPr>
              <w:t>老行政楼南</w:t>
            </w:r>
          </w:p>
        </w:tc>
        <w:tc>
          <w:tcPr>
            <w:tcW w:w="1843" w:type="dxa"/>
            <w:noWrap/>
            <w:vAlign w:val="center"/>
          </w:tcPr>
          <w:p>
            <w:pPr>
              <w:jc w:val="center"/>
              <w:rPr>
                <w:rFonts w:ascii="宋体" w:hAnsi="宋体" w:cs="宋体"/>
                <w:szCs w:val="21"/>
              </w:rPr>
            </w:pPr>
            <w:r>
              <w:rPr>
                <w:rFonts w:hint="eastAsia" w:ascii="宋体" w:hAnsi="宋体" w:cs="宋体"/>
                <w:szCs w:val="21"/>
              </w:rPr>
              <w:t>KLK/VF-1000/1.0</w:t>
            </w:r>
          </w:p>
        </w:tc>
        <w:tc>
          <w:tcPr>
            <w:tcW w:w="850" w:type="dxa"/>
            <w:noWrap/>
            <w:vAlign w:val="center"/>
          </w:tcPr>
          <w:p>
            <w:pPr>
              <w:jc w:val="center"/>
              <w:rPr>
                <w:rFonts w:ascii="宋体" w:hAnsi="宋体" w:cs="宋体"/>
                <w:szCs w:val="21"/>
              </w:rPr>
            </w:pPr>
            <w:r>
              <w:rPr>
                <w:rFonts w:hint="eastAsia" w:ascii="宋体" w:hAnsi="宋体" w:cs="宋体"/>
                <w:szCs w:val="21"/>
              </w:rPr>
              <w:t>康力</w:t>
            </w:r>
          </w:p>
        </w:tc>
        <w:tc>
          <w:tcPr>
            <w:tcW w:w="709" w:type="dxa"/>
            <w:noWrap/>
            <w:vAlign w:val="center"/>
          </w:tcPr>
          <w:p>
            <w:pPr>
              <w:jc w:val="center"/>
              <w:rPr>
                <w:rFonts w:ascii="宋体" w:hAnsi="宋体" w:cs="宋体"/>
                <w:szCs w:val="21"/>
              </w:rPr>
            </w:pPr>
            <w:r>
              <w:rPr>
                <w:rFonts w:hint="eastAsia" w:ascii="宋体" w:hAnsi="宋体" w:cs="宋体"/>
                <w:szCs w:val="21"/>
              </w:rPr>
              <w:t>7</w:t>
            </w:r>
          </w:p>
        </w:tc>
        <w:tc>
          <w:tcPr>
            <w:tcW w:w="1559" w:type="dxa"/>
            <w:noWrap/>
            <w:vAlign w:val="center"/>
          </w:tcPr>
          <w:p>
            <w:pPr>
              <w:jc w:val="center"/>
              <w:rPr>
                <w:rFonts w:ascii="宋体" w:hAnsi="宋体" w:cs="宋体"/>
                <w:szCs w:val="21"/>
              </w:rPr>
            </w:pPr>
            <w:r>
              <w:rPr>
                <w:rFonts w:hint="eastAsia" w:ascii="宋体" w:hAnsi="宋体" w:cs="宋体"/>
                <w:szCs w:val="21"/>
              </w:rPr>
              <w:t>2008-06-26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8</w:t>
            </w:r>
          </w:p>
        </w:tc>
        <w:tc>
          <w:tcPr>
            <w:tcW w:w="1896" w:type="dxa"/>
            <w:noWrap/>
            <w:vAlign w:val="center"/>
          </w:tcPr>
          <w:p>
            <w:pPr>
              <w:jc w:val="center"/>
              <w:rPr>
                <w:rFonts w:ascii="宋体" w:hAnsi="宋体" w:cs="宋体"/>
                <w:szCs w:val="21"/>
              </w:rPr>
            </w:pPr>
            <w:r>
              <w:rPr>
                <w:rFonts w:hint="eastAsia" w:ascii="宋体" w:hAnsi="宋体" w:cs="宋体"/>
                <w:szCs w:val="21"/>
              </w:rPr>
              <w:t>曳引式客梯</w:t>
            </w:r>
          </w:p>
        </w:tc>
        <w:tc>
          <w:tcPr>
            <w:tcW w:w="1781" w:type="dxa"/>
            <w:noWrap/>
            <w:vAlign w:val="center"/>
          </w:tcPr>
          <w:p>
            <w:pPr>
              <w:jc w:val="center"/>
              <w:rPr>
                <w:rFonts w:ascii="宋体" w:hAnsi="宋体" w:cs="宋体"/>
                <w:szCs w:val="21"/>
              </w:rPr>
            </w:pPr>
            <w:r>
              <w:rPr>
                <w:rFonts w:hint="eastAsia" w:ascii="宋体" w:hAnsi="宋体" w:cs="宋体"/>
                <w:szCs w:val="21"/>
              </w:rPr>
              <w:t>老行政楼北</w:t>
            </w:r>
          </w:p>
        </w:tc>
        <w:tc>
          <w:tcPr>
            <w:tcW w:w="1843" w:type="dxa"/>
            <w:noWrap/>
            <w:vAlign w:val="center"/>
          </w:tcPr>
          <w:p>
            <w:pPr>
              <w:jc w:val="center"/>
              <w:rPr>
                <w:rFonts w:ascii="宋体" w:hAnsi="宋体" w:cs="宋体"/>
                <w:szCs w:val="21"/>
              </w:rPr>
            </w:pPr>
            <w:r>
              <w:rPr>
                <w:rFonts w:hint="eastAsia" w:ascii="宋体" w:hAnsi="宋体" w:cs="宋体"/>
                <w:szCs w:val="21"/>
              </w:rPr>
              <w:t>GE1000/1.0-K</w:t>
            </w:r>
          </w:p>
        </w:tc>
        <w:tc>
          <w:tcPr>
            <w:tcW w:w="850" w:type="dxa"/>
            <w:noWrap/>
            <w:vAlign w:val="center"/>
          </w:tcPr>
          <w:p>
            <w:pPr>
              <w:jc w:val="center"/>
              <w:rPr>
                <w:rFonts w:ascii="宋体" w:hAnsi="宋体" w:cs="宋体"/>
                <w:szCs w:val="21"/>
              </w:rPr>
            </w:pPr>
            <w:r>
              <w:rPr>
                <w:rFonts w:hint="eastAsia" w:ascii="宋体" w:hAnsi="宋体" w:cs="宋体"/>
                <w:szCs w:val="21"/>
              </w:rPr>
              <w:t>通用</w:t>
            </w:r>
          </w:p>
        </w:tc>
        <w:tc>
          <w:tcPr>
            <w:tcW w:w="709" w:type="dxa"/>
            <w:noWrap/>
            <w:vAlign w:val="center"/>
          </w:tcPr>
          <w:p>
            <w:pPr>
              <w:jc w:val="center"/>
              <w:rPr>
                <w:rFonts w:ascii="宋体" w:hAnsi="宋体" w:cs="宋体"/>
                <w:szCs w:val="21"/>
              </w:rPr>
            </w:pPr>
            <w:r>
              <w:rPr>
                <w:rFonts w:hint="eastAsia" w:ascii="宋体" w:hAnsi="宋体" w:cs="宋体"/>
                <w:szCs w:val="21"/>
              </w:rPr>
              <w:t>7</w:t>
            </w:r>
          </w:p>
        </w:tc>
        <w:tc>
          <w:tcPr>
            <w:tcW w:w="1559" w:type="dxa"/>
            <w:noWrap/>
            <w:vAlign w:val="center"/>
          </w:tcPr>
          <w:p>
            <w:pPr>
              <w:jc w:val="center"/>
              <w:rPr>
                <w:rFonts w:ascii="宋体" w:hAnsi="宋体" w:cs="宋体"/>
                <w:szCs w:val="21"/>
              </w:rPr>
            </w:pPr>
            <w:r>
              <w:rPr>
                <w:rFonts w:hint="eastAsia" w:ascii="宋体" w:hAnsi="宋体" w:cs="宋体"/>
                <w:szCs w:val="21"/>
              </w:rPr>
              <w:t>2015-08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9</w:t>
            </w:r>
          </w:p>
        </w:tc>
        <w:tc>
          <w:tcPr>
            <w:tcW w:w="1896" w:type="dxa"/>
            <w:noWrap/>
            <w:vAlign w:val="center"/>
          </w:tcPr>
          <w:p>
            <w:pPr>
              <w:jc w:val="center"/>
              <w:rPr>
                <w:rFonts w:ascii="宋体" w:hAnsi="宋体" w:cs="宋体"/>
                <w:szCs w:val="21"/>
              </w:rPr>
            </w:pPr>
            <w:r>
              <w:rPr>
                <w:rFonts w:hint="eastAsia" w:ascii="宋体" w:hAnsi="宋体" w:cs="宋体"/>
                <w:szCs w:val="21"/>
              </w:rPr>
              <w:t>曳引式客梯</w:t>
            </w:r>
          </w:p>
        </w:tc>
        <w:tc>
          <w:tcPr>
            <w:tcW w:w="1781" w:type="dxa"/>
            <w:noWrap/>
            <w:vAlign w:val="center"/>
          </w:tcPr>
          <w:p>
            <w:pPr>
              <w:jc w:val="center"/>
              <w:rPr>
                <w:rFonts w:ascii="宋体" w:hAnsi="宋体" w:cs="宋体"/>
                <w:szCs w:val="21"/>
              </w:rPr>
            </w:pPr>
            <w:r>
              <w:rPr>
                <w:rFonts w:hint="eastAsia" w:ascii="宋体" w:hAnsi="宋体" w:cs="宋体"/>
                <w:szCs w:val="21"/>
              </w:rPr>
              <w:t>食堂楼东</w:t>
            </w:r>
          </w:p>
        </w:tc>
        <w:tc>
          <w:tcPr>
            <w:tcW w:w="1843" w:type="dxa"/>
            <w:noWrap/>
            <w:vAlign w:val="center"/>
          </w:tcPr>
          <w:p>
            <w:pPr>
              <w:jc w:val="center"/>
              <w:rPr>
                <w:rFonts w:ascii="宋体" w:hAnsi="宋体" w:cs="宋体"/>
                <w:szCs w:val="21"/>
              </w:rPr>
            </w:pPr>
            <w:r>
              <w:rPr>
                <w:rFonts w:hint="eastAsia" w:ascii="宋体" w:hAnsi="宋体" w:cs="宋体"/>
                <w:szCs w:val="21"/>
              </w:rPr>
              <w:t>KLK1/VF-800/1.0</w:t>
            </w:r>
          </w:p>
        </w:tc>
        <w:tc>
          <w:tcPr>
            <w:tcW w:w="850" w:type="dxa"/>
            <w:noWrap/>
            <w:vAlign w:val="center"/>
          </w:tcPr>
          <w:p>
            <w:pPr>
              <w:jc w:val="center"/>
              <w:rPr>
                <w:rFonts w:ascii="宋体" w:hAnsi="宋体" w:cs="宋体"/>
                <w:szCs w:val="21"/>
              </w:rPr>
            </w:pPr>
            <w:r>
              <w:rPr>
                <w:rFonts w:hint="eastAsia" w:ascii="宋体" w:hAnsi="宋体" w:cs="宋体"/>
                <w:szCs w:val="21"/>
              </w:rPr>
              <w:t>康力</w:t>
            </w:r>
          </w:p>
        </w:tc>
        <w:tc>
          <w:tcPr>
            <w:tcW w:w="709" w:type="dxa"/>
            <w:noWrap/>
            <w:vAlign w:val="center"/>
          </w:tcPr>
          <w:p>
            <w:pPr>
              <w:jc w:val="center"/>
              <w:rPr>
                <w:rFonts w:ascii="宋体" w:hAnsi="宋体" w:cs="宋体"/>
                <w:szCs w:val="21"/>
              </w:rPr>
            </w:pPr>
            <w:r>
              <w:rPr>
                <w:rFonts w:hint="eastAsia" w:ascii="宋体" w:hAnsi="宋体" w:cs="宋体"/>
                <w:szCs w:val="21"/>
              </w:rPr>
              <w:t>4</w:t>
            </w:r>
          </w:p>
        </w:tc>
        <w:tc>
          <w:tcPr>
            <w:tcW w:w="1559" w:type="dxa"/>
            <w:noWrap/>
            <w:vAlign w:val="center"/>
          </w:tcPr>
          <w:p>
            <w:pPr>
              <w:jc w:val="center"/>
              <w:rPr>
                <w:rFonts w:ascii="宋体" w:hAnsi="宋体" w:cs="宋体"/>
                <w:szCs w:val="21"/>
              </w:rPr>
            </w:pPr>
            <w:r>
              <w:rPr>
                <w:rFonts w:hint="eastAsia" w:ascii="宋体" w:hAnsi="宋体" w:cs="宋体"/>
                <w:szCs w:val="21"/>
              </w:rPr>
              <w:t>2009-2-21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10</w:t>
            </w:r>
          </w:p>
        </w:tc>
        <w:tc>
          <w:tcPr>
            <w:tcW w:w="1896" w:type="dxa"/>
            <w:noWrap/>
            <w:vAlign w:val="center"/>
          </w:tcPr>
          <w:p>
            <w:pPr>
              <w:jc w:val="center"/>
              <w:rPr>
                <w:rFonts w:ascii="宋体" w:hAnsi="宋体" w:cs="宋体"/>
                <w:szCs w:val="21"/>
              </w:rPr>
            </w:pPr>
            <w:r>
              <w:rPr>
                <w:rFonts w:hint="eastAsia" w:ascii="宋体" w:hAnsi="宋体" w:cs="宋体"/>
                <w:szCs w:val="21"/>
              </w:rPr>
              <w:t>曳引式客梯</w:t>
            </w:r>
          </w:p>
        </w:tc>
        <w:tc>
          <w:tcPr>
            <w:tcW w:w="1781" w:type="dxa"/>
            <w:noWrap/>
            <w:vAlign w:val="center"/>
          </w:tcPr>
          <w:p>
            <w:pPr>
              <w:jc w:val="center"/>
              <w:rPr>
                <w:rFonts w:ascii="宋体" w:hAnsi="宋体" w:cs="宋体"/>
                <w:szCs w:val="21"/>
              </w:rPr>
            </w:pPr>
            <w:r>
              <w:rPr>
                <w:rFonts w:hint="eastAsia" w:ascii="宋体" w:hAnsi="宋体" w:cs="宋体"/>
                <w:szCs w:val="21"/>
              </w:rPr>
              <w:t>食堂楼西</w:t>
            </w:r>
          </w:p>
        </w:tc>
        <w:tc>
          <w:tcPr>
            <w:tcW w:w="1843" w:type="dxa"/>
            <w:noWrap/>
            <w:vAlign w:val="center"/>
          </w:tcPr>
          <w:p>
            <w:pPr>
              <w:jc w:val="center"/>
              <w:rPr>
                <w:rFonts w:ascii="宋体" w:hAnsi="宋体" w:cs="宋体"/>
                <w:szCs w:val="21"/>
              </w:rPr>
            </w:pPr>
            <w:r>
              <w:rPr>
                <w:rFonts w:hint="eastAsia" w:ascii="宋体" w:hAnsi="宋体" w:cs="宋体"/>
                <w:szCs w:val="21"/>
              </w:rPr>
              <w:t>KLK1/VF-800/1.0</w:t>
            </w:r>
          </w:p>
        </w:tc>
        <w:tc>
          <w:tcPr>
            <w:tcW w:w="850" w:type="dxa"/>
            <w:noWrap/>
            <w:vAlign w:val="center"/>
          </w:tcPr>
          <w:p>
            <w:pPr>
              <w:jc w:val="center"/>
              <w:rPr>
                <w:rFonts w:ascii="宋体" w:hAnsi="宋体" w:cs="宋体"/>
                <w:szCs w:val="21"/>
              </w:rPr>
            </w:pPr>
            <w:r>
              <w:rPr>
                <w:rFonts w:hint="eastAsia" w:ascii="宋体" w:hAnsi="宋体" w:cs="宋体"/>
                <w:szCs w:val="21"/>
              </w:rPr>
              <w:t>康力</w:t>
            </w:r>
          </w:p>
        </w:tc>
        <w:tc>
          <w:tcPr>
            <w:tcW w:w="709" w:type="dxa"/>
            <w:noWrap/>
            <w:vAlign w:val="center"/>
          </w:tcPr>
          <w:p>
            <w:pPr>
              <w:jc w:val="center"/>
              <w:rPr>
                <w:rFonts w:ascii="宋体" w:hAnsi="宋体" w:cs="宋体"/>
                <w:szCs w:val="21"/>
              </w:rPr>
            </w:pPr>
            <w:r>
              <w:rPr>
                <w:rFonts w:hint="eastAsia" w:ascii="宋体" w:hAnsi="宋体" w:cs="宋体"/>
                <w:szCs w:val="21"/>
              </w:rPr>
              <w:t>4</w:t>
            </w:r>
          </w:p>
        </w:tc>
        <w:tc>
          <w:tcPr>
            <w:tcW w:w="1559" w:type="dxa"/>
            <w:noWrap/>
            <w:vAlign w:val="center"/>
          </w:tcPr>
          <w:p>
            <w:pPr>
              <w:jc w:val="center"/>
              <w:rPr>
                <w:rFonts w:ascii="宋体" w:hAnsi="宋体" w:cs="宋体"/>
                <w:szCs w:val="21"/>
              </w:rPr>
            </w:pPr>
            <w:r>
              <w:rPr>
                <w:rFonts w:hint="eastAsia" w:ascii="宋体" w:hAnsi="宋体" w:cs="宋体"/>
                <w:szCs w:val="21"/>
              </w:rPr>
              <w:t>2008-12-27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11</w:t>
            </w:r>
          </w:p>
        </w:tc>
        <w:tc>
          <w:tcPr>
            <w:tcW w:w="1896" w:type="dxa"/>
            <w:noWrap/>
            <w:vAlign w:val="center"/>
          </w:tcPr>
          <w:p>
            <w:pPr>
              <w:jc w:val="center"/>
              <w:rPr>
                <w:rFonts w:ascii="宋体" w:hAnsi="宋体" w:cs="宋体"/>
                <w:szCs w:val="21"/>
              </w:rPr>
            </w:pPr>
            <w:r>
              <w:rPr>
                <w:rFonts w:hint="eastAsia" w:ascii="宋体" w:hAnsi="宋体" w:cs="宋体"/>
                <w:szCs w:val="21"/>
              </w:rPr>
              <w:t>无机房客梯</w:t>
            </w:r>
          </w:p>
        </w:tc>
        <w:tc>
          <w:tcPr>
            <w:tcW w:w="1781" w:type="dxa"/>
            <w:noWrap/>
            <w:vAlign w:val="center"/>
          </w:tcPr>
          <w:p>
            <w:pPr>
              <w:jc w:val="center"/>
              <w:rPr>
                <w:rFonts w:ascii="宋体" w:hAnsi="宋体" w:cs="宋体"/>
                <w:szCs w:val="21"/>
              </w:rPr>
            </w:pPr>
            <w:r>
              <w:rPr>
                <w:rFonts w:hint="eastAsia" w:ascii="宋体" w:hAnsi="宋体" w:cs="宋体"/>
                <w:szCs w:val="21"/>
              </w:rPr>
              <w:t>洗衣房</w:t>
            </w:r>
          </w:p>
        </w:tc>
        <w:tc>
          <w:tcPr>
            <w:tcW w:w="1843" w:type="dxa"/>
            <w:noWrap/>
            <w:vAlign w:val="center"/>
          </w:tcPr>
          <w:p>
            <w:pPr>
              <w:jc w:val="center"/>
              <w:rPr>
                <w:rFonts w:ascii="宋体" w:hAnsi="宋体" w:cs="宋体"/>
                <w:szCs w:val="21"/>
              </w:rPr>
            </w:pPr>
            <w:r>
              <w:rPr>
                <w:rFonts w:hint="eastAsia" w:ascii="宋体" w:hAnsi="宋体" w:cs="宋体"/>
                <w:szCs w:val="21"/>
              </w:rPr>
              <w:t>KLW/VF-1000/1.0</w:t>
            </w:r>
          </w:p>
        </w:tc>
        <w:tc>
          <w:tcPr>
            <w:tcW w:w="850" w:type="dxa"/>
            <w:noWrap/>
            <w:vAlign w:val="center"/>
          </w:tcPr>
          <w:p>
            <w:pPr>
              <w:jc w:val="center"/>
              <w:rPr>
                <w:rFonts w:ascii="宋体" w:hAnsi="宋体" w:cs="宋体"/>
                <w:szCs w:val="21"/>
              </w:rPr>
            </w:pPr>
            <w:r>
              <w:rPr>
                <w:rFonts w:hint="eastAsia" w:ascii="宋体" w:hAnsi="宋体" w:cs="宋体"/>
                <w:szCs w:val="21"/>
              </w:rPr>
              <w:t>康力</w:t>
            </w:r>
          </w:p>
        </w:tc>
        <w:tc>
          <w:tcPr>
            <w:tcW w:w="709" w:type="dxa"/>
            <w:noWrap/>
            <w:vAlign w:val="center"/>
          </w:tcPr>
          <w:p>
            <w:pPr>
              <w:jc w:val="center"/>
              <w:rPr>
                <w:rFonts w:ascii="宋体" w:hAnsi="宋体" w:cs="宋体"/>
                <w:szCs w:val="21"/>
              </w:rPr>
            </w:pPr>
            <w:r>
              <w:rPr>
                <w:rFonts w:hint="eastAsia" w:ascii="宋体" w:hAnsi="宋体" w:cs="宋体"/>
                <w:szCs w:val="21"/>
              </w:rPr>
              <w:t>3</w:t>
            </w:r>
          </w:p>
        </w:tc>
        <w:tc>
          <w:tcPr>
            <w:tcW w:w="1559" w:type="dxa"/>
            <w:noWrap/>
            <w:vAlign w:val="center"/>
          </w:tcPr>
          <w:p>
            <w:pPr>
              <w:jc w:val="center"/>
              <w:rPr>
                <w:rFonts w:ascii="宋体" w:hAnsi="宋体" w:cs="宋体"/>
                <w:szCs w:val="21"/>
              </w:rPr>
            </w:pPr>
            <w:r>
              <w:rPr>
                <w:rFonts w:hint="eastAsia" w:ascii="宋体" w:hAnsi="宋体" w:cs="宋体"/>
                <w:szCs w:val="21"/>
              </w:rPr>
              <w:t>2009-2-21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12</w:t>
            </w:r>
          </w:p>
        </w:tc>
        <w:tc>
          <w:tcPr>
            <w:tcW w:w="1896" w:type="dxa"/>
            <w:noWrap/>
            <w:vAlign w:val="center"/>
          </w:tcPr>
          <w:p>
            <w:pPr>
              <w:jc w:val="center"/>
              <w:rPr>
                <w:rFonts w:ascii="宋体" w:hAnsi="宋体" w:cs="宋体"/>
                <w:szCs w:val="21"/>
              </w:rPr>
            </w:pPr>
            <w:r>
              <w:rPr>
                <w:rFonts w:hint="eastAsia" w:ascii="宋体" w:hAnsi="宋体" w:cs="宋体"/>
                <w:szCs w:val="21"/>
              </w:rPr>
              <w:t>杂物电梯（洁梯）</w:t>
            </w:r>
          </w:p>
        </w:tc>
        <w:tc>
          <w:tcPr>
            <w:tcW w:w="1781" w:type="dxa"/>
            <w:noWrap/>
            <w:vAlign w:val="center"/>
          </w:tcPr>
          <w:p>
            <w:pPr>
              <w:jc w:val="center"/>
              <w:rPr>
                <w:rFonts w:ascii="宋体" w:hAnsi="宋体" w:cs="宋体"/>
                <w:szCs w:val="21"/>
              </w:rPr>
            </w:pPr>
            <w:r>
              <w:rPr>
                <w:rFonts w:hint="eastAsia" w:ascii="宋体" w:hAnsi="宋体" w:cs="宋体"/>
                <w:szCs w:val="21"/>
              </w:rPr>
              <w:t>手术室东</w:t>
            </w:r>
          </w:p>
        </w:tc>
        <w:tc>
          <w:tcPr>
            <w:tcW w:w="1843" w:type="dxa"/>
            <w:noWrap/>
            <w:vAlign w:val="center"/>
          </w:tcPr>
          <w:p>
            <w:pPr>
              <w:jc w:val="center"/>
              <w:rPr>
                <w:rFonts w:ascii="宋体" w:hAnsi="宋体" w:cs="宋体"/>
                <w:szCs w:val="21"/>
              </w:rPr>
            </w:pPr>
            <w:r>
              <w:rPr>
                <w:rFonts w:hint="eastAsia" w:ascii="宋体" w:hAnsi="宋体" w:cs="宋体"/>
                <w:szCs w:val="21"/>
              </w:rPr>
              <w:t>TWJ200/0.4-AS</w:t>
            </w:r>
          </w:p>
        </w:tc>
        <w:tc>
          <w:tcPr>
            <w:tcW w:w="850" w:type="dxa"/>
            <w:noWrap/>
            <w:vAlign w:val="center"/>
          </w:tcPr>
          <w:p>
            <w:pPr>
              <w:jc w:val="center"/>
              <w:rPr>
                <w:rFonts w:ascii="宋体" w:hAnsi="宋体" w:cs="宋体"/>
                <w:szCs w:val="21"/>
              </w:rPr>
            </w:pPr>
            <w:r>
              <w:rPr>
                <w:rFonts w:hint="eastAsia" w:ascii="宋体" w:hAnsi="宋体" w:cs="宋体"/>
                <w:szCs w:val="21"/>
              </w:rPr>
              <w:t>誉美</w:t>
            </w:r>
          </w:p>
        </w:tc>
        <w:tc>
          <w:tcPr>
            <w:tcW w:w="709" w:type="dxa"/>
            <w:noWrap/>
            <w:vAlign w:val="center"/>
          </w:tcPr>
          <w:p>
            <w:pPr>
              <w:jc w:val="center"/>
              <w:rPr>
                <w:rFonts w:ascii="宋体" w:hAnsi="宋体" w:cs="宋体"/>
                <w:szCs w:val="21"/>
              </w:rPr>
            </w:pPr>
            <w:r>
              <w:rPr>
                <w:rFonts w:hint="eastAsia" w:ascii="宋体" w:hAnsi="宋体" w:cs="宋体"/>
                <w:szCs w:val="21"/>
              </w:rPr>
              <w:t>2</w:t>
            </w:r>
          </w:p>
        </w:tc>
        <w:tc>
          <w:tcPr>
            <w:tcW w:w="1559" w:type="dxa"/>
            <w:noWrap/>
            <w:vAlign w:val="center"/>
          </w:tcPr>
          <w:p>
            <w:pPr>
              <w:jc w:val="center"/>
              <w:rPr>
                <w:rFonts w:ascii="宋体" w:hAnsi="宋体" w:cs="宋体"/>
                <w:szCs w:val="21"/>
              </w:rPr>
            </w:pPr>
            <w:r>
              <w:rPr>
                <w:rFonts w:hint="eastAsia" w:ascii="宋体" w:hAnsi="宋体" w:cs="宋体"/>
                <w:szCs w:val="21"/>
              </w:rPr>
              <w:t>2008-12-17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13</w:t>
            </w:r>
          </w:p>
        </w:tc>
        <w:tc>
          <w:tcPr>
            <w:tcW w:w="1896" w:type="dxa"/>
            <w:noWrap/>
            <w:vAlign w:val="center"/>
          </w:tcPr>
          <w:p>
            <w:pPr>
              <w:jc w:val="center"/>
              <w:rPr>
                <w:rFonts w:ascii="宋体" w:hAnsi="宋体" w:cs="宋体"/>
                <w:szCs w:val="21"/>
              </w:rPr>
            </w:pPr>
            <w:r>
              <w:rPr>
                <w:rFonts w:hint="eastAsia" w:ascii="宋体" w:hAnsi="宋体" w:cs="宋体"/>
                <w:szCs w:val="21"/>
              </w:rPr>
              <w:t>杂物电梯（污梯）</w:t>
            </w:r>
          </w:p>
        </w:tc>
        <w:tc>
          <w:tcPr>
            <w:tcW w:w="1781" w:type="dxa"/>
            <w:noWrap/>
            <w:vAlign w:val="center"/>
          </w:tcPr>
          <w:p>
            <w:pPr>
              <w:jc w:val="center"/>
              <w:rPr>
                <w:rFonts w:ascii="宋体" w:hAnsi="宋体" w:cs="宋体"/>
                <w:szCs w:val="21"/>
              </w:rPr>
            </w:pPr>
            <w:r>
              <w:rPr>
                <w:rFonts w:hint="eastAsia" w:ascii="宋体" w:hAnsi="宋体" w:cs="宋体"/>
                <w:szCs w:val="21"/>
              </w:rPr>
              <w:t>手术室西</w:t>
            </w:r>
          </w:p>
        </w:tc>
        <w:tc>
          <w:tcPr>
            <w:tcW w:w="1843" w:type="dxa"/>
            <w:noWrap/>
            <w:vAlign w:val="center"/>
          </w:tcPr>
          <w:p>
            <w:pPr>
              <w:jc w:val="center"/>
              <w:rPr>
                <w:rFonts w:ascii="宋体" w:hAnsi="宋体" w:cs="宋体"/>
                <w:szCs w:val="21"/>
              </w:rPr>
            </w:pPr>
            <w:r>
              <w:rPr>
                <w:rFonts w:hint="eastAsia" w:ascii="宋体" w:hAnsi="宋体" w:cs="宋体"/>
                <w:szCs w:val="21"/>
              </w:rPr>
              <w:t>TWJ200/0.4-AS</w:t>
            </w:r>
          </w:p>
        </w:tc>
        <w:tc>
          <w:tcPr>
            <w:tcW w:w="850" w:type="dxa"/>
            <w:noWrap/>
            <w:vAlign w:val="center"/>
          </w:tcPr>
          <w:p>
            <w:pPr>
              <w:jc w:val="center"/>
              <w:rPr>
                <w:rFonts w:ascii="宋体" w:hAnsi="宋体" w:cs="宋体"/>
                <w:szCs w:val="21"/>
              </w:rPr>
            </w:pPr>
            <w:r>
              <w:rPr>
                <w:rFonts w:hint="eastAsia" w:ascii="宋体" w:hAnsi="宋体" w:cs="宋体"/>
                <w:szCs w:val="21"/>
              </w:rPr>
              <w:t>誉美</w:t>
            </w:r>
          </w:p>
        </w:tc>
        <w:tc>
          <w:tcPr>
            <w:tcW w:w="709" w:type="dxa"/>
            <w:noWrap/>
            <w:vAlign w:val="center"/>
          </w:tcPr>
          <w:p>
            <w:pPr>
              <w:jc w:val="center"/>
              <w:rPr>
                <w:rFonts w:ascii="宋体" w:hAnsi="宋体" w:cs="宋体"/>
                <w:szCs w:val="21"/>
              </w:rPr>
            </w:pPr>
            <w:r>
              <w:rPr>
                <w:rFonts w:hint="eastAsia" w:ascii="宋体" w:hAnsi="宋体" w:cs="宋体"/>
                <w:szCs w:val="21"/>
              </w:rPr>
              <w:t>2</w:t>
            </w:r>
          </w:p>
        </w:tc>
        <w:tc>
          <w:tcPr>
            <w:tcW w:w="1559" w:type="dxa"/>
            <w:noWrap/>
            <w:vAlign w:val="center"/>
          </w:tcPr>
          <w:p>
            <w:pPr>
              <w:jc w:val="center"/>
              <w:rPr>
                <w:rFonts w:ascii="宋体" w:hAnsi="宋体" w:cs="宋体"/>
                <w:szCs w:val="21"/>
              </w:rPr>
            </w:pPr>
            <w:r>
              <w:rPr>
                <w:rFonts w:hint="eastAsia" w:ascii="宋体" w:hAnsi="宋体" w:cs="宋体"/>
                <w:szCs w:val="21"/>
              </w:rPr>
              <w:t>2008-12-17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14</w:t>
            </w:r>
          </w:p>
        </w:tc>
        <w:tc>
          <w:tcPr>
            <w:tcW w:w="1896" w:type="dxa"/>
            <w:noWrap/>
            <w:vAlign w:val="center"/>
          </w:tcPr>
          <w:p>
            <w:pPr>
              <w:spacing w:line="320" w:lineRule="exact"/>
              <w:contextualSpacing/>
              <w:jc w:val="center"/>
              <w:rPr>
                <w:rFonts w:ascii="宋体" w:hAnsi="宋体" w:cs="宋体"/>
                <w:szCs w:val="21"/>
              </w:rPr>
            </w:pPr>
            <w:r>
              <w:rPr>
                <w:rFonts w:hint="eastAsia" w:ascii="宋体" w:hAnsi="宋体" w:cs="宋体"/>
                <w:szCs w:val="21"/>
              </w:rPr>
              <w:t>曳引式客梯（1）</w:t>
            </w:r>
          </w:p>
        </w:tc>
        <w:tc>
          <w:tcPr>
            <w:tcW w:w="1781" w:type="dxa"/>
            <w:noWrap/>
            <w:vAlign w:val="center"/>
          </w:tcPr>
          <w:p>
            <w:pPr>
              <w:spacing w:line="320" w:lineRule="exact"/>
              <w:contextualSpacing/>
              <w:jc w:val="center"/>
              <w:rPr>
                <w:rFonts w:ascii="宋体" w:hAnsi="宋体" w:cs="宋体"/>
                <w:szCs w:val="21"/>
              </w:rPr>
            </w:pPr>
            <w:r>
              <w:rPr>
                <w:rFonts w:hint="eastAsia" w:ascii="宋体" w:hAnsi="宋体" w:cs="宋体"/>
                <w:szCs w:val="21"/>
              </w:rPr>
              <w:t>病房楼东南</w:t>
            </w:r>
          </w:p>
        </w:tc>
        <w:tc>
          <w:tcPr>
            <w:tcW w:w="1843" w:type="dxa"/>
            <w:noWrap/>
            <w:vAlign w:val="center"/>
          </w:tcPr>
          <w:p>
            <w:pPr>
              <w:spacing w:line="320" w:lineRule="exact"/>
              <w:contextualSpacing/>
              <w:jc w:val="center"/>
              <w:rPr>
                <w:rFonts w:ascii="宋体" w:hAnsi="宋体" w:cs="宋体"/>
                <w:szCs w:val="21"/>
              </w:rPr>
            </w:pPr>
            <w:r>
              <w:rPr>
                <w:rFonts w:hint="eastAsia" w:ascii="宋体" w:hAnsi="宋体" w:cs="宋体"/>
                <w:szCs w:val="21"/>
              </w:rPr>
              <w:t>VE1600/2.0-VVVF</w:t>
            </w:r>
          </w:p>
        </w:tc>
        <w:tc>
          <w:tcPr>
            <w:tcW w:w="850" w:type="dxa"/>
            <w:noWrap/>
            <w:vAlign w:val="center"/>
          </w:tcPr>
          <w:p>
            <w:pPr>
              <w:spacing w:line="320" w:lineRule="exact"/>
              <w:contextualSpacing/>
              <w:jc w:val="center"/>
              <w:rPr>
                <w:rFonts w:ascii="宋体" w:hAnsi="宋体" w:cs="宋体"/>
                <w:szCs w:val="21"/>
              </w:rPr>
            </w:pPr>
            <w:r>
              <w:rPr>
                <w:rFonts w:hint="eastAsia" w:ascii="宋体" w:hAnsi="宋体" w:cs="宋体"/>
                <w:szCs w:val="21"/>
              </w:rPr>
              <w:t>沃克斯</w:t>
            </w:r>
          </w:p>
        </w:tc>
        <w:tc>
          <w:tcPr>
            <w:tcW w:w="709" w:type="dxa"/>
            <w:noWrap/>
            <w:vAlign w:val="center"/>
          </w:tcPr>
          <w:p>
            <w:pPr>
              <w:spacing w:line="320" w:lineRule="exact"/>
              <w:contextualSpacing/>
              <w:jc w:val="center"/>
              <w:rPr>
                <w:rFonts w:ascii="宋体" w:hAnsi="宋体" w:cs="宋体"/>
                <w:szCs w:val="21"/>
              </w:rPr>
            </w:pPr>
            <w:r>
              <w:rPr>
                <w:rFonts w:hint="eastAsia" w:ascii="宋体" w:hAnsi="宋体" w:cs="宋体"/>
                <w:szCs w:val="21"/>
              </w:rPr>
              <w:t>23</w:t>
            </w:r>
          </w:p>
        </w:tc>
        <w:tc>
          <w:tcPr>
            <w:tcW w:w="1559" w:type="dxa"/>
            <w:noWrap/>
            <w:vAlign w:val="center"/>
          </w:tcPr>
          <w:p>
            <w:pPr>
              <w:spacing w:line="320" w:lineRule="exact"/>
              <w:contextualSpacing/>
              <w:jc w:val="center"/>
              <w:rPr>
                <w:rFonts w:ascii="宋体" w:hAnsi="宋体" w:cs="宋体"/>
                <w:szCs w:val="21"/>
              </w:rPr>
            </w:pPr>
            <w:r>
              <w:rPr>
                <w:rFonts w:hint="eastAsia" w:ascii="宋体" w:hAnsi="宋体" w:cs="宋体"/>
                <w:szCs w:val="21"/>
              </w:rPr>
              <w:t>2021-09-29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15</w:t>
            </w:r>
          </w:p>
        </w:tc>
        <w:tc>
          <w:tcPr>
            <w:tcW w:w="1896" w:type="dxa"/>
            <w:noWrap/>
            <w:vAlign w:val="center"/>
          </w:tcPr>
          <w:p>
            <w:pPr>
              <w:spacing w:line="240" w:lineRule="exact"/>
              <w:jc w:val="center"/>
              <w:rPr>
                <w:rFonts w:ascii="宋体" w:hAnsi="宋体" w:cs="宋体"/>
                <w:szCs w:val="21"/>
              </w:rPr>
            </w:pPr>
            <w:r>
              <w:rPr>
                <w:rFonts w:hint="eastAsia" w:ascii="宋体" w:hAnsi="宋体" w:cs="宋体"/>
                <w:szCs w:val="21"/>
              </w:rPr>
              <w:t>曳引式客梯（2）</w:t>
            </w:r>
          </w:p>
        </w:tc>
        <w:tc>
          <w:tcPr>
            <w:tcW w:w="1781" w:type="dxa"/>
            <w:noWrap/>
            <w:vAlign w:val="center"/>
          </w:tcPr>
          <w:p>
            <w:pPr>
              <w:jc w:val="center"/>
              <w:rPr>
                <w:rFonts w:ascii="宋体" w:hAnsi="宋体" w:cs="宋体"/>
                <w:szCs w:val="21"/>
              </w:rPr>
            </w:pPr>
            <w:r>
              <w:rPr>
                <w:rFonts w:hint="eastAsia" w:ascii="宋体" w:hAnsi="宋体" w:cs="宋体"/>
                <w:szCs w:val="21"/>
              </w:rPr>
              <w:t>病房楼东中</w:t>
            </w:r>
          </w:p>
        </w:tc>
        <w:tc>
          <w:tcPr>
            <w:tcW w:w="1843" w:type="dxa"/>
            <w:noWrap/>
            <w:vAlign w:val="center"/>
          </w:tcPr>
          <w:p>
            <w:pPr>
              <w:jc w:val="center"/>
              <w:rPr>
                <w:rFonts w:ascii="宋体" w:hAnsi="宋体" w:cs="宋体"/>
                <w:szCs w:val="21"/>
              </w:rPr>
            </w:pPr>
            <w:r>
              <w:rPr>
                <w:rFonts w:hint="eastAsia" w:ascii="宋体" w:hAnsi="宋体" w:cs="宋体"/>
                <w:szCs w:val="21"/>
              </w:rPr>
              <w:t>NPH-B1600-2S120</w:t>
            </w:r>
          </w:p>
        </w:tc>
        <w:tc>
          <w:tcPr>
            <w:tcW w:w="850" w:type="dxa"/>
            <w:noWrap/>
            <w:vAlign w:val="center"/>
          </w:tcPr>
          <w:p>
            <w:pPr>
              <w:jc w:val="center"/>
              <w:rPr>
                <w:rFonts w:ascii="宋体" w:hAnsi="宋体" w:cs="宋体"/>
                <w:szCs w:val="21"/>
              </w:rPr>
            </w:pPr>
            <w:r>
              <w:rPr>
                <w:rFonts w:hint="eastAsia" w:ascii="宋体" w:hAnsi="宋体" w:cs="宋体"/>
                <w:szCs w:val="21"/>
              </w:rPr>
              <w:t>日立</w:t>
            </w:r>
          </w:p>
        </w:tc>
        <w:tc>
          <w:tcPr>
            <w:tcW w:w="709" w:type="dxa"/>
            <w:noWrap/>
            <w:vAlign w:val="center"/>
          </w:tcPr>
          <w:p>
            <w:pPr>
              <w:jc w:val="center"/>
              <w:rPr>
                <w:rFonts w:ascii="宋体" w:hAnsi="宋体" w:cs="宋体"/>
                <w:szCs w:val="21"/>
              </w:rPr>
            </w:pPr>
            <w:r>
              <w:rPr>
                <w:rFonts w:hint="eastAsia" w:ascii="宋体" w:hAnsi="宋体" w:cs="宋体"/>
                <w:szCs w:val="21"/>
              </w:rPr>
              <w:t>23</w:t>
            </w:r>
          </w:p>
        </w:tc>
        <w:tc>
          <w:tcPr>
            <w:tcW w:w="1559" w:type="dxa"/>
            <w:noWrap/>
            <w:vAlign w:val="center"/>
          </w:tcPr>
          <w:p>
            <w:pPr>
              <w:jc w:val="center"/>
              <w:rPr>
                <w:rFonts w:ascii="宋体" w:hAnsi="宋体" w:cs="宋体"/>
                <w:szCs w:val="21"/>
              </w:rPr>
            </w:pPr>
            <w:r>
              <w:rPr>
                <w:rFonts w:hint="eastAsia" w:ascii="宋体" w:hAnsi="宋体" w:cs="宋体"/>
                <w:szCs w:val="21"/>
              </w:rPr>
              <w:t>2009-02-28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16</w:t>
            </w:r>
          </w:p>
        </w:tc>
        <w:tc>
          <w:tcPr>
            <w:tcW w:w="1896" w:type="dxa"/>
            <w:noWrap/>
            <w:vAlign w:val="center"/>
          </w:tcPr>
          <w:p>
            <w:pPr>
              <w:spacing w:line="240" w:lineRule="exact"/>
              <w:jc w:val="center"/>
              <w:rPr>
                <w:rFonts w:ascii="宋体" w:hAnsi="宋体" w:cs="宋体"/>
                <w:szCs w:val="21"/>
              </w:rPr>
            </w:pPr>
            <w:r>
              <w:rPr>
                <w:rFonts w:hint="eastAsia" w:ascii="宋体" w:hAnsi="宋体" w:cs="宋体"/>
                <w:szCs w:val="21"/>
              </w:rPr>
              <w:t>曳引式客梯（3）</w:t>
            </w:r>
          </w:p>
        </w:tc>
        <w:tc>
          <w:tcPr>
            <w:tcW w:w="1781" w:type="dxa"/>
            <w:noWrap/>
            <w:vAlign w:val="center"/>
          </w:tcPr>
          <w:p>
            <w:pPr>
              <w:jc w:val="center"/>
              <w:rPr>
                <w:rFonts w:ascii="宋体" w:hAnsi="宋体" w:cs="宋体"/>
                <w:szCs w:val="21"/>
              </w:rPr>
            </w:pPr>
            <w:r>
              <w:rPr>
                <w:rFonts w:hint="eastAsia" w:ascii="宋体" w:hAnsi="宋体" w:cs="宋体"/>
                <w:szCs w:val="21"/>
              </w:rPr>
              <w:t>病房楼东中北</w:t>
            </w:r>
          </w:p>
        </w:tc>
        <w:tc>
          <w:tcPr>
            <w:tcW w:w="1843" w:type="dxa"/>
            <w:noWrap/>
            <w:vAlign w:val="center"/>
          </w:tcPr>
          <w:p>
            <w:pPr>
              <w:jc w:val="center"/>
              <w:rPr>
                <w:rFonts w:ascii="宋体" w:hAnsi="宋体" w:cs="宋体"/>
                <w:szCs w:val="21"/>
              </w:rPr>
            </w:pPr>
            <w:r>
              <w:rPr>
                <w:rFonts w:hint="eastAsia" w:ascii="宋体" w:hAnsi="宋体" w:cs="宋体"/>
                <w:szCs w:val="21"/>
              </w:rPr>
              <w:t>NPH-B1600-2S120</w:t>
            </w:r>
          </w:p>
        </w:tc>
        <w:tc>
          <w:tcPr>
            <w:tcW w:w="850" w:type="dxa"/>
            <w:noWrap/>
            <w:vAlign w:val="center"/>
          </w:tcPr>
          <w:p>
            <w:pPr>
              <w:jc w:val="center"/>
              <w:rPr>
                <w:rFonts w:ascii="宋体" w:hAnsi="宋体" w:cs="宋体"/>
                <w:szCs w:val="21"/>
              </w:rPr>
            </w:pPr>
            <w:r>
              <w:rPr>
                <w:rFonts w:hint="eastAsia" w:ascii="宋体" w:hAnsi="宋体" w:cs="宋体"/>
                <w:szCs w:val="21"/>
              </w:rPr>
              <w:t>日立</w:t>
            </w:r>
          </w:p>
        </w:tc>
        <w:tc>
          <w:tcPr>
            <w:tcW w:w="709" w:type="dxa"/>
            <w:noWrap/>
            <w:vAlign w:val="center"/>
          </w:tcPr>
          <w:p>
            <w:pPr>
              <w:jc w:val="center"/>
              <w:rPr>
                <w:rFonts w:ascii="宋体" w:hAnsi="宋体" w:cs="宋体"/>
                <w:szCs w:val="21"/>
              </w:rPr>
            </w:pPr>
            <w:r>
              <w:rPr>
                <w:rFonts w:hint="eastAsia" w:ascii="宋体" w:hAnsi="宋体" w:cs="宋体"/>
                <w:szCs w:val="21"/>
              </w:rPr>
              <w:t>23</w:t>
            </w:r>
          </w:p>
        </w:tc>
        <w:tc>
          <w:tcPr>
            <w:tcW w:w="1559" w:type="dxa"/>
            <w:noWrap/>
            <w:vAlign w:val="center"/>
          </w:tcPr>
          <w:p>
            <w:pPr>
              <w:jc w:val="center"/>
              <w:rPr>
                <w:rFonts w:ascii="宋体" w:hAnsi="宋体" w:cs="宋体"/>
                <w:szCs w:val="21"/>
              </w:rPr>
            </w:pPr>
            <w:r>
              <w:rPr>
                <w:rFonts w:hint="eastAsia" w:ascii="宋体" w:hAnsi="宋体" w:cs="宋体"/>
                <w:szCs w:val="21"/>
              </w:rPr>
              <w:t>2009-02-28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17</w:t>
            </w:r>
          </w:p>
        </w:tc>
        <w:tc>
          <w:tcPr>
            <w:tcW w:w="1896" w:type="dxa"/>
            <w:noWrap/>
            <w:vAlign w:val="center"/>
          </w:tcPr>
          <w:p>
            <w:pPr>
              <w:spacing w:line="320" w:lineRule="exact"/>
              <w:contextualSpacing/>
              <w:jc w:val="center"/>
              <w:rPr>
                <w:rFonts w:ascii="宋体" w:hAnsi="宋体" w:cs="宋体"/>
                <w:szCs w:val="21"/>
              </w:rPr>
            </w:pPr>
            <w:r>
              <w:rPr>
                <w:rFonts w:hint="eastAsia" w:ascii="宋体" w:hAnsi="宋体" w:cs="宋体"/>
                <w:szCs w:val="21"/>
              </w:rPr>
              <w:t>曳引式客梯（4）</w:t>
            </w:r>
          </w:p>
        </w:tc>
        <w:tc>
          <w:tcPr>
            <w:tcW w:w="1781" w:type="dxa"/>
            <w:noWrap/>
            <w:vAlign w:val="center"/>
          </w:tcPr>
          <w:p>
            <w:pPr>
              <w:spacing w:line="320" w:lineRule="exact"/>
              <w:contextualSpacing/>
              <w:jc w:val="center"/>
              <w:rPr>
                <w:rFonts w:ascii="宋体" w:hAnsi="宋体" w:cs="宋体"/>
                <w:szCs w:val="21"/>
              </w:rPr>
            </w:pPr>
            <w:r>
              <w:rPr>
                <w:rFonts w:hint="eastAsia" w:ascii="宋体" w:hAnsi="宋体" w:cs="宋体"/>
                <w:szCs w:val="21"/>
              </w:rPr>
              <w:t>病房楼东北</w:t>
            </w:r>
          </w:p>
        </w:tc>
        <w:tc>
          <w:tcPr>
            <w:tcW w:w="1843" w:type="dxa"/>
            <w:noWrap/>
            <w:vAlign w:val="center"/>
          </w:tcPr>
          <w:p>
            <w:pPr>
              <w:spacing w:line="320" w:lineRule="exact"/>
              <w:contextualSpacing/>
              <w:jc w:val="center"/>
              <w:rPr>
                <w:rFonts w:ascii="宋体" w:hAnsi="宋体" w:cs="宋体"/>
                <w:szCs w:val="21"/>
              </w:rPr>
            </w:pPr>
            <w:r>
              <w:rPr>
                <w:rFonts w:hint="eastAsia" w:ascii="宋体" w:hAnsi="宋体" w:cs="宋体"/>
                <w:szCs w:val="21"/>
              </w:rPr>
              <w:t>MCA-1050-CO150</w:t>
            </w:r>
          </w:p>
        </w:tc>
        <w:tc>
          <w:tcPr>
            <w:tcW w:w="850" w:type="dxa"/>
            <w:noWrap/>
            <w:vAlign w:val="center"/>
          </w:tcPr>
          <w:p>
            <w:pPr>
              <w:spacing w:line="320" w:lineRule="exact"/>
              <w:contextualSpacing/>
              <w:jc w:val="center"/>
              <w:rPr>
                <w:rFonts w:ascii="宋体" w:hAnsi="宋体" w:cs="宋体"/>
                <w:szCs w:val="21"/>
              </w:rPr>
            </w:pPr>
            <w:r>
              <w:rPr>
                <w:rFonts w:hint="eastAsia" w:ascii="宋体" w:hAnsi="宋体" w:cs="宋体"/>
                <w:szCs w:val="21"/>
              </w:rPr>
              <w:t>日立</w:t>
            </w:r>
          </w:p>
        </w:tc>
        <w:tc>
          <w:tcPr>
            <w:tcW w:w="709" w:type="dxa"/>
            <w:noWrap/>
            <w:vAlign w:val="center"/>
          </w:tcPr>
          <w:p>
            <w:pPr>
              <w:spacing w:line="320" w:lineRule="exact"/>
              <w:contextualSpacing/>
              <w:jc w:val="center"/>
              <w:rPr>
                <w:rFonts w:ascii="宋体" w:hAnsi="宋体" w:cs="宋体"/>
                <w:szCs w:val="21"/>
              </w:rPr>
            </w:pPr>
            <w:r>
              <w:rPr>
                <w:rFonts w:hint="eastAsia" w:ascii="宋体" w:hAnsi="宋体" w:cs="宋体"/>
                <w:szCs w:val="21"/>
              </w:rPr>
              <w:t>23</w:t>
            </w:r>
          </w:p>
        </w:tc>
        <w:tc>
          <w:tcPr>
            <w:tcW w:w="1559" w:type="dxa"/>
            <w:noWrap/>
            <w:vAlign w:val="center"/>
          </w:tcPr>
          <w:p>
            <w:pPr>
              <w:spacing w:line="320" w:lineRule="exact"/>
              <w:contextualSpacing/>
              <w:jc w:val="center"/>
              <w:rPr>
                <w:rFonts w:ascii="宋体" w:hAnsi="宋体" w:cs="宋体"/>
                <w:szCs w:val="21"/>
              </w:rPr>
            </w:pPr>
            <w:r>
              <w:rPr>
                <w:rFonts w:hint="eastAsia" w:ascii="宋体" w:hAnsi="宋体" w:cs="宋体"/>
                <w:szCs w:val="21"/>
              </w:rPr>
              <w:t>2013-08-09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18</w:t>
            </w:r>
          </w:p>
        </w:tc>
        <w:tc>
          <w:tcPr>
            <w:tcW w:w="1896" w:type="dxa"/>
            <w:noWrap/>
            <w:vAlign w:val="center"/>
          </w:tcPr>
          <w:p>
            <w:pPr>
              <w:spacing w:line="240" w:lineRule="exact"/>
              <w:jc w:val="center"/>
              <w:rPr>
                <w:rFonts w:ascii="宋体" w:hAnsi="宋体" w:cs="宋体"/>
                <w:szCs w:val="21"/>
              </w:rPr>
            </w:pPr>
            <w:r>
              <w:rPr>
                <w:rFonts w:hint="eastAsia" w:ascii="宋体" w:hAnsi="宋体" w:cs="宋体"/>
                <w:szCs w:val="21"/>
              </w:rPr>
              <w:t>曳引式客梯（5）</w:t>
            </w:r>
          </w:p>
        </w:tc>
        <w:tc>
          <w:tcPr>
            <w:tcW w:w="1781" w:type="dxa"/>
            <w:noWrap/>
            <w:vAlign w:val="center"/>
          </w:tcPr>
          <w:p>
            <w:pPr>
              <w:jc w:val="center"/>
              <w:rPr>
                <w:rFonts w:ascii="宋体" w:hAnsi="宋体" w:cs="宋体"/>
                <w:szCs w:val="21"/>
              </w:rPr>
            </w:pPr>
            <w:r>
              <w:rPr>
                <w:rFonts w:hint="eastAsia" w:ascii="宋体" w:hAnsi="宋体" w:cs="宋体"/>
                <w:szCs w:val="21"/>
              </w:rPr>
              <w:t>病房楼西南</w:t>
            </w:r>
          </w:p>
        </w:tc>
        <w:tc>
          <w:tcPr>
            <w:tcW w:w="1843" w:type="dxa"/>
            <w:noWrap/>
            <w:vAlign w:val="center"/>
          </w:tcPr>
          <w:p>
            <w:pPr>
              <w:jc w:val="center"/>
              <w:rPr>
                <w:rFonts w:ascii="宋体" w:hAnsi="宋体" w:cs="宋体"/>
                <w:szCs w:val="21"/>
              </w:rPr>
            </w:pPr>
            <w:r>
              <w:rPr>
                <w:rFonts w:hint="eastAsia" w:ascii="宋体" w:hAnsi="宋体" w:cs="宋体"/>
                <w:szCs w:val="21"/>
              </w:rPr>
              <w:t>NPH-B1600-2S120</w:t>
            </w:r>
          </w:p>
        </w:tc>
        <w:tc>
          <w:tcPr>
            <w:tcW w:w="850" w:type="dxa"/>
            <w:noWrap/>
            <w:vAlign w:val="center"/>
          </w:tcPr>
          <w:p>
            <w:pPr>
              <w:jc w:val="center"/>
              <w:rPr>
                <w:rFonts w:ascii="宋体" w:hAnsi="宋体" w:cs="宋体"/>
                <w:szCs w:val="21"/>
              </w:rPr>
            </w:pPr>
            <w:r>
              <w:rPr>
                <w:rFonts w:hint="eastAsia" w:ascii="宋体" w:hAnsi="宋体" w:cs="宋体"/>
                <w:szCs w:val="21"/>
              </w:rPr>
              <w:t>日立</w:t>
            </w:r>
          </w:p>
        </w:tc>
        <w:tc>
          <w:tcPr>
            <w:tcW w:w="709" w:type="dxa"/>
            <w:noWrap/>
            <w:vAlign w:val="center"/>
          </w:tcPr>
          <w:p>
            <w:pPr>
              <w:jc w:val="center"/>
              <w:rPr>
                <w:rFonts w:ascii="宋体" w:hAnsi="宋体" w:cs="宋体"/>
                <w:szCs w:val="21"/>
              </w:rPr>
            </w:pPr>
            <w:r>
              <w:rPr>
                <w:rFonts w:hint="eastAsia" w:ascii="宋体" w:hAnsi="宋体" w:cs="宋体"/>
                <w:szCs w:val="21"/>
              </w:rPr>
              <w:t>24</w:t>
            </w:r>
          </w:p>
        </w:tc>
        <w:tc>
          <w:tcPr>
            <w:tcW w:w="1559" w:type="dxa"/>
            <w:noWrap/>
            <w:vAlign w:val="center"/>
          </w:tcPr>
          <w:p>
            <w:pPr>
              <w:jc w:val="center"/>
              <w:rPr>
                <w:rFonts w:ascii="宋体" w:hAnsi="宋体" w:cs="宋体"/>
                <w:szCs w:val="21"/>
              </w:rPr>
            </w:pPr>
            <w:r>
              <w:rPr>
                <w:rFonts w:hint="eastAsia" w:ascii="宋体" w:hAnsi="宋体" w:cs="宋体"/>
                <w:szCs w:val="21"/>
              </w:rPr>
              <w:t>2010-02-17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19</w:t>
            </w:r>
          </w:p>
        </w:tc>
        <w:tc>
          <w:tcPr>
            <w:tcW w:w="1896" w:type="dxa"/>
            <w:noWrap/>
            <w:vAlign w:val="center"/>
          </w:tcPr>
          <w:p>
            <w:pPr>
              <w:spacing w:line="240" w:lineRule="exact"/>
              <w:jc w:val="center"/>
              <w:rPr>
                <w:rFonts w:ascii="宋体" w:hAnsi="宋体" w:cs="宋体"/>
                <w:szCs w:val="21"/>
              </w:rPr>
            </w:pPr>
            <w:r>
              <w:rPr>
                <w:rFonts w:hint="eastAsia" w:ascii="宋体" w:hAnsi="宋体" w:cs="宋体"/>
                <w:szCs w:val="21"/>
              </w:rPr>
              <w:t>曳引式客梯（6）</w:t>
            </w:r>
          </w:p>
        </w:tc>
        <w:tc>
          <w:tcPr>
            <w:tcW w:w="1781" w:type="dxa"/>
            <w:noWrap/>
            <w:vAlign w:val="center"/>
          </w:tcPr>
          <w:p>
            <w:pPr>
              <w:jc w:val="center"/>
              <w:rPr>
                <w:rFonts w:ascii="宋体" w:hAnsi="宋体" w:cs="宋体"/>
                <w:szCs w:val="21"/>
              </w:rPr>
            </w:pPr>
            <w:r>
              <w:rPr>
                <w:rFonts w:hint="eastAsia" w:ascii="宋体" w:hAnsi="宋体" w:cs="宋体"/>
                <w:szCs w:val="21"/>
              </w:rPr>
              <w:t>病房楼西中</w:t>
            </w:r>
          </w:p>
        </w:tc>
        <w:tc>
          <w:tcPr>
            <w:tcW w:w="1843" w:type="dxa"/>
            <w:noWrap/>
            <w:vAlign w:val="center"/>
          </w:tcPr>
          <w:p>
            <w:pPr>
              <w:jc w:val="center"/>
              <w:rPr>
                <w:rFonts w:ascii="宋体" w:hAnsi="宋体" w:cs="宋体"/>
                <w:szCs w:val="21"/>
              </w:rPr>
            </w:pPr>
            <w:r>
              <w:rPr>
                <w:rFonts w:hint="eastAsia" w:ascii="宋体" w:hAnsi="宋体" w:cs="宋体"/>
                <w:szCs w:val="21"/>
              </w:rPr>
              <w:t>NPH-B1600-2S120</w:t>
            </w:r>
          </w:p>
        </w:tc>
        <w:tc>
          <w:tcPr>
            <w:tcW w:w="850" w:type="dxa"/>
            <w:noWrap/>
            <w:vAlign w:val="center"/>
          </w:tcPr>
          <w:p>
            <w:pPr>
              <w:jc w:val="center"/>
              <w:rPr>
                <w:rFonts w:ascii="宋体" w:hAnsi="宋体" w:cs="宋体"/>
                <w:szCs w:val="21"/>
              </w:rPr>
            </w:pPr>
            <w:r>
              <w:rPr>
                <w:rFonts w:hint="eastAsia" w:ascii="宋体" w:hAnsi="宋体" w:cs="宋体"/>
                <w:szCs w:val="21"/>
              </w:rPr>
              <w:t>日立</w:t>
            </w:r>
          </w:p>
        </w:tc>
        <w:tc>
          <w:tcPr>
            <w:tcW w:w="709" w:type="dxa"/>
            <w:noWrap/>
            <w:vAlign w:val="center"/>
          </w:tcPr>
          <w:p>
            <w:pPr>
              <w:jc w:val="center"/>
              <w:rPr>
                <w:rFonts w:ascii="宋体" w:hAnsi="宋体" w:cs="宋体"/>
                <w:szCs w:val="21"/>
              </w:rPr>
            </w:pPr>
            <w:r>
              <w:rPr>
                <w:rFonts w:hint="eastAsia" w:ascii="宋体" w:hAnsi="宋体" w:cs="宋体"/>
                <w:szCs w:val="21"/>
              </w:rPr>
              <w:t>23</w:t>
            </w:r>
          </w:p>
        </w:tc>
        <w:tc>
          <w:tcPr>
            <w:tcW w:w="1559" w:type="dxa"/>
            <w:noWrap/>
            <w:vAlign w:val="center"/>
          </w:tcPr>
          <w:p>
            <w:pPr>
              <w:jc w:val="center"/>
              <w:rPr>
                <w:rFonts w:ascii="宋体" w:hAnsi="宋体" w:cs="宋体"/>
                <w:szCs w:val="21"/>
              </w:rPr>
            </w:pPr>
            <w:r>
              <w:rPr>
                <w:rFonts w:hint="eastAsia" w:ascii="宋体" w:hAnsi="宋体" w:cs="宋体"/>
                <w:szCs w:val="21"/>
              </w:rPr>
              <w:t>2010-02-17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20</w:t>
            </w:r>
          </w:p>
        </w:tc>
        <w:tc>
          <w:tcPr>
            <w:tcW w:w="1896" w:type="dxa"/>
            <w:noWrap/>
            <w:vAlign w:val="center"/>
          </w:tcPr>
          <w:p>
            <w:pPr>
              <w:spacing w:line="240" w:lineRule="exact"/>
              <w:jc w:val="center"/>
              <w:rPr>
                <w:rFonts w:ascii="宋体" w:hAnsi="宋体" w:cs="宋体"/>
                <w:szCs w:val="21"/>
              </w:rPr>
            </w:pPr>
            <w:r>
              <w:rPr>
                <w:rFonts w:hint="eastAsia" w:ascii="宋体" w:hAnsi="宋体" w:cs="宋体"/>
                <w:szCs w:val="21"/>
              </w:rPr>
              <w:t>曳引式客梯（7）</w:t>
            </w:r>
          </w:p>
        </w:tc>
        <w:tc>
          <w:tcPr>
            <w:tcW w:w="1781" w:type="dxa"/>
            <w:noWrap/>
            <w:vAlign w:val="center"/>
          </w:tcPr>
          <w:p>
            <w:pPr>
              <w:jc w:val="center"/>
              <w:rPr>
                <w:rFonts w:ascii="宋体" w:hAnsi="宋体" w:cs="宋体"/>
                <w:szCs w:val="21"/>
              </w:rPr>
            </w:pPr>
            <w:r>
              <w:rPr>
                <w:rFonts w:hint="eastAsia" w:ascii="宋体" w:hAnsi="宋体" w:cs="宋体"/>
                <w:szCs w:val="21"/>
              </w:rPr>
              <w:t>病房楼西中北</w:t>
            </w:r>
          </w:p>
        </w:tc>
        <w:tc>
          <w:tcPr>
            <w:tcW w:w="1843" w:type="dxa"/>
            <w:noWrap/>
            <w:vAlign w:val="center"/>
          </w:tcPr>
          <w:p>
            <w:pPr>
              <w:jc w:val="center"/>
              <w:rPr>
                <w:rFonts w:ascii="宋体" w:hAnsi="宋体" w:cs="宋体"/>
                <w:szCs w:val="21"/>
              </w:rPr>
            </w:pPr>
            <w:r>
              <w:rPr>
                <w:rFonts w:hint="eastAsia" w:ascii="宋体" w:hAnsi="宋体" w:cs="宋体"/>
                <w:szCs w:val="21"/>
              </w:rPr>
              <w:t>NPH-B1600-2S120</w:t>
            </w:r>
          </w:p>
        </w:tc>
        <w:tc>
          <w:tcPr>
            <w:tcW w:w="850" w:type="dxa"/>
            <w:noWrap/>
            <w:vAlign w:val="center"/>
          </w:tcPr>
          <w:p>
            <w:pPr>
              <w:jc w:val="center"/>
              <w:rPr>
                <w:rFonts w:ascii="宋体" w:hAnsi="宋体" w:cs="宋体"/>
                <w:szCs w:val="21"/>
              </w:rPr>
            </w:pPr>
            <w:r>
              <w:rPr>
                <w:rFonts w:hint="eastAsia" w:ascii="宋体" w:hAnsi="宋体" w:cs="宋体"/>
                <w:szCs w:val="21"/>
              </w:rPr>
              <w:t>日立</w:t>
            </w:r>
          </w:p>
        </w:tc>
        <w:tc>
          <w:tcPr>
            <w:tcW w:w="709" w:type="dxa"/>
            <w:noWrap/>
            <w:vAlign w:val="center"/>
          </w:tcPr>
          <w:p>
            <w:pPr>
              <w:jc w:val="center"/>
              <w:rPr>
                <w:rFonts w:ascii="宋体" w:hAnsi="宋体" w:cs="宋体"/>
                <w:szCs w:val="21"/>
              </w:rPr>
            </w:pPr>
            <w:r>
              <w:rPr>
                <w:rFonts w:hint="eastAsia" w:ascii="宋体" w:hAnsi="宋体" w:cs="宋体"/>
                <w:szCs w:val="21"/>
              </w:rPr>
              <w:t>23</w:t>
            </w:r>
          </w:p>
        </w:tc>
        <w:tc>
          <w:tcPr>
            <w:tcW w:w="1559" w:type="dxa"/>
            <w:noWrap/>
            <w:vAlign w:val="center"/>
          </w:tcPr>
          <w:p>
            <w:pPr>
              <w:jc w:val="center"/>
              <w:rPr>
                <w:rFonts w:ascii="宋体" w:hAnsi="宋体" w:cs="宋体"/>
                <w:szCs w:val="21"/>
              </w:rPr>
            </w:pPr>
            <w:r>
              <w:rPr>
                <w:rFonts w:hint="eastAsia" w:ascii="宋体" w:hAnsi="宋体" w:cs="宋体"/>
                <w:szCs w:val="21"/>
              </w:rPr>
              <w:t>2010-02-17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21</w:t>
            </w:r>
          </w:p>
        </w:tc>
        <w:tc>
          <w:tcPr>
            <w:tcW w:w="1896" w:type="dxa"/>
            <w:noWrap/>
            <w:vAlign w:val="center"/>
          </w:tcPr>
          <w:p>
            <w:pPr>
              <w:spacing w:line="320" w:lineRule="exact"/>
              <w:contextualSpacing/>
              <w:jc w:val="center"/>
              <w:rPr>
                <w:rFonts w:ascii="宋体" w:hAnsi="宋体" w:cs="宋体"/>
                <w:szCs w:val="21"/>
              </w:rPr>
            </w:pPr>
            <w:r>
              <w:rPr>
                <w:rFonts w:hint="eastAsia" w:ascii="宋体" w:hAnsi="宋体" w:cs="宋体"/>
                <w:szCs w:val="21"/>
              </w:rPr>
              <w:t>曳引式客梯（8）</w:t>
            </w:r>
          </w:p>
        </w:tc>
        <w:tc>
          <w:tcPr>
            <w:tcW w:w="1781" w:type="dxa"/>
            <w:noWrap/>
            <w:vAlign w:val="center"/>
          </w:tcPr>
          <w:p>
            <w:pPr>
              <w:spacing w:line="320" w:lineRule="exact"/>
              <w:contextualSpacing/>
              <w:jc w:val="center"/>
              <w:rPr>
                <w:rFonts w:ascii="宋体" w:hAnsi="宋体" w:cs="宋体"/>
                <w:szCs w:val="21"/>
              </w:rPr>
            </w:pPr>
            <w:r>
              <w:rPr>
                <w:rFonts w:hint="eastAsia" w:ascii="宋体" w:hAnsi="宋体" w:cs="宋体"/>
                <w:szCs w:val="21"/>
              </w:rPr>
              <w:t>病房楼西北</w:t>
            </w:r>
          </w:p>
        </w:tc>
        <w:tc>
          <w:tcPr>
            <w:tcW w:w="1843" w:type="dxa"/>
            <w:noWrap/>
            <w:vAlign w:val="center"/>
          </w:tcPr>
          <w:p>
            <w:pPr>
              <w:spacing w:line="320" w:lineRule="exact"/>
              <w:contextualSpacing/>
              <w:jc w:val="center"/>
              <w:rPr>
                <w:rFonts w:ascii="宋体" w:hAnsi="宋体" w:cs="宋体"/>
                <w:szCs w:val="21"/>
              </w:rPr>
            </w:pPr>
            <w:r>
              <w:rPr>
                <w:rFonts w:hint="eastAsia" w:ascii="宋体" w:hAnsi="宋体" w:cs="宋体"/>
                <w:szCs w:val="21"/>
              </w:rPr>
              <w:t>MCA-1050-CO150</w:t>
            </w:r>
          </w:p>
        </w:tc>
        <w:tc>
          <w:tcPr>
            <w:tcW w:w="850" w:type="dxa"/>
            <w:noWrap/>
            <w:vAlign w:val="center"/>
          </w:tcPr>
          <w:p>
            <w:pPr>
              <w:spacing w:line="320" w:lineRule="exact"/>
              <w:contextualSpacing/>
              <w:jc w:val="center"/>
              <w:rPr>
                <w:rFonts w:ascii="宋体" w:hAnsi="宋体" w:cs="宋体"/>
                <w:szCs w:val="21"/>
              </w:rPr>
            </w:pPr>
            <w:r>
              <w:rPr>
                <w:rFonts w:hint="eastAsia" w:ascii="宋体" w:hAnsi="宋体" w:cs="宋体"/>
                <w:szCs w:val="21"/>
              </w:rPr>
              <w:t>日立</w:t>
            </w:r>
          </w:p>
        </w:tc>
        <w:tc>
          <w:tcPr>
            <w:tcW w:w="709" w:type="dxa"/>
            <w:noWrap/>
            <w:vAlign w:val="center"/>
          </w:tcPr>
          <w:p>
            <w:pPr>
              <w:spacing w:line="320" w:lineRule="exact"/>
              <w:contextualSpacing/>
              <w:jc w:val="center"/>
              <w:rPr>
                <w:rFonts w:ascii="宋体" w:hAnsi="宋体" w:cs="宋体"/>
                <w:szCs w:val="21"/>
              </w:rPr>
            </w:pPr>
            <w:r>
              <w:rPr>
                <w:rFonts w:hint="eastAsia" w:ascii="宋体" w:hAnsi="宋体" w:cs="宋体"/>
                <w:szCs w:val="21"/>
              </w:rPr>
              <w:t>23</w:t>
            </w:r>
          </w:p>
        </w:tc>
        <w:tc>
          <w:tcPr>
            <w:tcW w:w="1559" w:type="dxa"/>
            <w:noWrap/>
            <w:vAlign w:val="center"/>
          </w:tcPr>
          <w:p>
            <w:pPr>
              <w:spacing w:line="320" w:lineRule="exact"/>
              <w:contextualSpacing/>
              <w:jc w:val="center"/>
              <w:rPr>
                <w:rFonts w:ascii="宋体" w:hAnsi="宋体" w:cs="宋体"/>
                <w:szCs w:val="21"/>
              </w:rPr>
            </w:pPr>
            <w:r>
              <w:rPr>
                <w:rFonts w:hint="eastAsia" w:ascii="宋体" w:hAnsi="宋体" w:cs="宋体"/>
                <w:szCs w:val="21"/>
              </w:rPr>
              <w:t>2013-08-09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22</w:t>
            </w:r>
          </w:p>
        </w:tc>
        <w:tc>
          <w:tcPr>
            <w:tcW w:w="1896" w:type="dxa"/>
            <w:noWrap/>
            <w:vAlign w:val="center"/>
          </w:tcPr>
          <w:p>
            <w:pPr>
              <w:spacing w:line="240" w:lineRule="exact"/>
              <w:jc w:val="center"/>
              <w:rPr>
                <w:rFonts w:ascii="宋体" w:hAnsi="宋体" w:cs="宋体"/>
                <w:szCs w:val="21"/>
              </w:rPr>
            </w:pPr>
            <w:r>
              <w:rPr>
                <w:rFonts w:hint="eastAsia" w:ascii="宋体" w:hAnsi="宋体" w:cs="宋体"/>
                <w:szCs w:val="21"/>
              </w:rPr>
              <w:t>曳引式客梯（9）</w:t>
            </w:r>
          </w:p>
        </w:tc>
        <w:tc>
          <w:tcPr>
            <w:tcW w:w="1781" w:type="dxa"/>
            <w:noWrap/>
            <w:vAlign w:val="center"/>
          </w:tcPr>
          <w:p>
            <w:pPr>
              <w:jc w:val="center"/>
              <w:rPr>
                <w:rFonts w:ascii="宋体" w:hAnsi="宋体" w:cs="宋体"/>
                <w:szCs w:val="21"/>
              </w:rPr>
            </w:pPr>
            <w:r>
              <w:rPr>
                <w:rFonts w:hint="eastAsia" w:ascii="宋体" w:hAnsi="宋体" w:cs="宋体"/>
                <w:szCs w:val="21"/>
              </w:rPr>
              <w:t>病房楼（血透室）</w:t>
            </w:r>
          </w:p>
        </w:tc>
        <w:tc>
          <w:tcPr>
            <w:tcW w:w="1843" w:type="dxa"/>
            <w:noWrap/>
            <w:vAlign w:val="center"/>
          </w:tcPr>
          <w:p>
            <w:pPr>
              <w:jc w:val="center"/>
              <w:rPr>
                <w:rFonts w:ascii="宋体" w:hAnsi="宋体" w:cs="宋体"/>
                <w:szCs w:val="21"/>
              </w:rPr>
            </w:pPr>
            <w:r>
              <w:rPr>
                <w:rFonts w:hint="eastAsia" w:ascii="宋体" w:hAnsi="宋体" w:cs="宋体"/>
                <w:szCs w:val="21"/>
              </w:rPr>
              <w:t>NPH-1000-C0150</w:t>
            </w:r>
          </w:p>
        </w:tc>
        <w:tc>
          <w:tcPr>
            <w:tcW w:w="850" w:type="dxa"/>
            <w:noWrap/>
            <w:vAlign w:val="center"/>
          </w:tcPr>
          <w:p>
            <w:pPr>
              <w:jc w:val="center"/>
              <w:rPr>
                <w:rFonts w:ascii="宋体" w:hAnsi="宋体" w:cs="宋体"/>
                <w:szCs w:val="21"/>
              </w:rPr>
            </w:pPr>
            <w:r>
              <w:rPr>
                <w:rFonts w:hint="eastAsia" w:ascii="宋体" w:hAnsi="宋体" w:cs="宋体"/>
                <w:szCs w:val="21"/>
              </w:rPr>
              <w:t>日立</w:t>
            </w:r>
          </w:p>
        </w:tc>
        <w:tc>
          <w:tcPr>
            <w:tcW w:w="709" w:type="dxa"/>
            <w:noWrap/>
            <w:vAlign w:val="center"/>
          </w:tcPr>
          <w:p>
            <w:pPr>
              <w:jc w:val="center"/>
              <w:rPr>
                <w:rFonts w:ascii="宋体" w:hAnsi="宋体" w:cs="宋体"/>
                <w:szCs w:val="21"/>
              </w:rPr>
            </w:pPr>
            <w:r>
              <w:rPr>
                <w:rFonts w:hint="eastAsia" w:ascii="宋体" w:hAnsi="宋体" w:cs="宋体"/>
                <w:szCs w:val="21"/>
              </w:rPr>
              <w:t>22</w:t>
            </w:r>
          </w:p>
        </w:tc>
        <w:tc>
          <w:tcPr>
            <w:tcW w:w="1559" w:type="dxa"/>
            <w:noWrap/>
            <w:vAlign w:val="center"/>
          </w:tcPr>
          <w:p>
            <w:pPr>
              <w:jc w:val="center"/>
              <w:rPr>
                <w:rFonts w:ascii="宋体" w:hAnsi="宋体" w:cs="宋体"/>
                <w:szCs w:val="21"/>
              </w:rPr>
            </w:pPr>
            <w:r>
              <w:rPr>
                <w:rFonts w:hint="eastAsia" w:ascii="宋体" w:hAnsi="宋体" w:cs="宋体"/>
                <w:szCs w:val="21"/>
              </w:rPr>
              <w:t>2009-03-10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23</w:t>
            </w:r>
          </w:p>
        </w:tc>
        <w:tc>
          <w:tcPr>
            <w:tcW w:w="1896" w:type="dxa"/>
            <w:noWrap/>
            <w:vAlign w:val="center"/>
          </w:tcPr>
          <w:p>
            <w:pPr>
              <w:spacing w:line="320" w:lineRule="exact"/>
              <w:contextualSpacing/>
              <w:jc w:val="center"/>
              <w:rPr>
                <w:rFonts w:ascii="宋体" w:hAnsi="宋体" w:cs="宋体"/>
                <w:szCs w:val="21"/>
              </w:rPr>
            </w:pPr>
            <w:r>
              <w:rPr>
                <w:rFonts w:hint="eastAsia" w:ascii="宋体" w:hAnsi="宋体" w:cs="宋体"/>
                <w:szCs w:val="21"/>
              </w:rPr>
              <w:t>曳引式客梯（10）</w:t>
            </w:r>
          </w:p>
        </w:tc>
        <w:tc>
          <w:tcPr>
            <w:tcW w:w="1781" w:type="dxa"/>
            <w:noWrap/>
            <w:vAlign w:val="center"/>
          </w:tcPr>
          <w:p>
            <w:pPr>
              <w:spacing w:line="320" w:lineRule="exact"/>
              <w:contextualSpacing/>
              <w:jc w:val="center"/>
              <w:rPr>
                <w:rFonts w:ascii="宋体" w:hAnsi="宋体" w:cs="宋体"/>
                <w:szCs w:val="21"/>
              </w:rPr>
            </w:pPr>
            <w:r>
              <w:rPr>
                <w:rFonts w:hint="eastAsia" w:ascii="宋体" w:hAnsi="宋体" w:cs="宋体"/>
                <w:szCs w:val="21"/>
              </w:rPr>
              <w:t>病房楼西侧</w:t>
            </w:r>
          </w:p>
        </w:tc>
        <w:tc>
          <w:tcPr>
            <w:tcW w:w="1843" w:type="dxa"/>
            <w:noWrap/>
            <w:vAlign w:val="center"/>
          </w:tcPr>
          <w:p>
            <w:pPr>
              <w:spacing w:line="320" w:lineRule="exact"/>
              <w:contextualSpacing/>
              <w:jc w:val="center"/>
              <w:rPr>
                <w:rFonts w:ascii="宋体" w:hAnsi="宋体" w:cs="宋体"/>
                <w:szCs w:val="21"/>
              </w:rPr>
            </w:pPr>
            <w:r>
              <w:rPr>
                <w:rFonts w:hint="eastAsia" w:ascii="宋体" w:hAnsi="宋体" w:cs="宋体"/>
                <w:szCs w:val="21"/>
              </w:rPr>
              <w:t>VE1600/2.0-VVVF</w:t>
            </w:r>
          </w:p>
        </w:tc>
        <w:tc>
          <w:tcPr>
            <w:tcW w:w="850" w:type="dxa"/>
            <w:noWrap/>
            <w:vAlign w:val="center"/>
          </w:tcPr>
          <w:p>
            <w:pPr>
              <w:spacing w:line="320" w:lineRule="exact"/>
              <w:contextualSpacing/>
              <w:jc w:val="center"/>
              <w:rPr>
                <w:rFonts w:ascii="宋体" w:hAnsi="宋体" w:cs="宋体"/>
                <w:szCs w:val="21"/>
              </w:rPr>
            </w:pPr>
            <w:r>
              <w:rPr>
                <w:rFonts w:hint="eastAsia" w:ascii="宋体" w:hAnsi="宋体" w:cs="宋体"/>
                <w:szCs w:val="21"/>
              </w:rPr>
              <w:t>沃克斯</w:t>
            </w:r>
          </w:p>
        </w:tc>
        <w:tc>
          <w:tcPr>
            <w:tcW w:w="709" w:type="dxa"/>
            <w:noWrap/>
            <w:vAlign w:val="center"/>
          </w:tcPr>
          <w:p>
            <w:pPr>
              <w:spacing w:line="320" w:lineRule="exact"/>
              <w:contextualSpacing/>
              <w:jc w:val="center"/>
              <w:rPr>
                <w:rFonts w:ascii="宋体" w:hAnsi="宋体" w:cs="宋体"/>
                <w:szCs w:val="21"/>
              </w:rPr>
            </w:pPr>
            <w:r>
              <w:rPr>
                <w:rFonts w:hint="eastAsia" w:ascii="宋体" w:hAnsi="宋体" w:cs="宋体"/>
                <w:szCs w:val="21"/>
              </w:rPr>
              <w:t>23</w:t>
            </w:r>
          </w:p>
        </w:tc>
        <w:tc>
          <w:tcPr>
            <w:tcW w:w="1559" w:type="dxa"/>
            <w:noWrap/>
            <w:vAlign w:val="center"/>
          </w:tcPr>
          <w:p>
            <w:pPr>
              <w:spacing w:line="320" w:lineRule="exact"/>
              <w:contextualSpacing/>
              <w:jc w:val="center"/>
              <w:rPr>
                <w:rFonts w:ascii="宋体" w:hAnsi="宋体" w:cs="宋体"/>
                <w:szCs w:val="21"/>
              </w:rPr>
            </w:pPr>
            <w:r>
              <w:rPr>
                <w:rFonts w:hint="eastAsia" w:ascii="宋体" w:hAnsi="宋体" w:cs="宋体"/>
                <w:szCs w:val="21"/>
              </w:rPr>
              <w:t>2021-11-30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24</w:t>
            </w:r>
          </w:p>
        </w:tc>
        <w:tc>
          <w:tcPr>
            <w:tcW w:w="1896" w:type="dxa"/>
            <w:noWrap/>
            <w:vAlign w:val="center"/>
          </w:tcPr>
          <w:p>
            <w:pPr>
              <w:spacing w:line="320" w:lineRule="exact"/>
              <w:contextualSpacing/>
              <w:jc w:val="center"/>
              <w:rPr>
                <w:rFonts w:ascii="宋体" w:hAnsi="宋体" w:cs="宋体"/>
                <w:szCs w:val="21"/>
              </w:rPr>
            </w:pPr>
            <w:r>
              <w:rPr>
                <w:rFonts w:hint="eastAsia" w:ascii="宋体" w:hAnsi="宋体" w:cs="宋体"/>
                <w:szCs w:val="21"/>
              </w:rPr>
              <w:t>无机房客梯</w:t>
            </w:r>
          </w:p>
        </w:tc>
        <w:tc>
          <w:tcPr>
            <w:tcW w:w="1781" w:type="dxa"/>
            <w:noWrap/>
            <w:vAlign w:val="center"/>
          </w:tcPr>
          <w:p>
            <w:pPr>
              <w:spacing w:line="320" w:lineRule="exact"/>
              <w:contextualSpacing/>
              <w:jc w:val="center"/>
              <w:rPr>
                <w:rFonts w:ascii="宋体" w:hAnsi="宋体" w:cs="宋体"/>
                <w:szCs w:val="21"/>
              </w:rPr>
            </w:pPr>
            <w:r>
              <w:rPr>
                <w:rFonts w:hint="eastAsia" w:ascii="宋体" w:hAnsi="宋体" w:cs="宋体"/>
                <w:szCs w:val="21"/>
              </w:rPr>
              <w:t>新行政楼（北）</w:t>
            </w:r>
          </w:p>
        </w:tc>
        <w:tc>
          <w:tcPr>
            <w:tcW w:w="1843" w:type="dxa"/>
            <w:noWrap/>
            <w:vAlign w:val="center"/>
          </w:tcPr>
          <w:p>
            <w:pPr>
              <w:spacing w:line="320" w:lineRule="exact"/>
              <w:contextualSpacing/>
              <w:jc w:val="center"/>
              <w:rPr>
                <w:rFonts w:ascii="宋体" w:hAnsi="宋体" w:cs="宋体"/>
                <w:szCs w:val="21"/>
              </w:rPr>
            </w:pPr>
            <w:r>
              <w:rPr>
                <w:rFonts w:hint="eastAsia" w:ascii="宋体" w:hAnsi="宋体" w:cs="宋体"/>
                <w:szCs w:val="21"/>
              </w:rPr>
              <w:t>UAX-1000-C060</w:t>
            </w:r>
          </w:p>
        </w:tc>
        <w:tc>
          <w:tcPr>
            <w:tcW w:w="850" w:type="dxa"/>
            <w:noWrap/>
            <w:vAlign w:val="center"/>
          </w:tcPr>
          <w:p>
            <w:pPr>
              <w:spacing w:line="320" w:lineRule="exact"/>
              <w:contextualSpacing/>
              <w:jc w:val="center"/>
              <w:rPr>
                <w:rFonts w:ascii="宋体" w:hAnsi="宋体" w:cs="宋体"/>
                <w:szCs w:val="21"/>
              </w:rPr>
            </w:pPr>
            <w:r>
              <w:rPr>
                <w:rFonts w:hint="eastAsia" w:ascii="宋体" w:hAnsi="宋体" w:cs="宋体"/>
                <w:szCs w:val="21"/>
              </w:rPr>
              <w:t>日立</w:t>
            </w:r>
          </w:p>
        </w:tc>
        <w:tc>
          <w:tcPr>
            <w:tcW w:w="709" w:type="dxa"/>
            <w:noWrap/>
            <w:vAlign w:val="center"/>
          </w:tcPr>
          <w:p>
            <w:pPr>
              <w:spacing w:line="320" w:lineRule="exact"/>
              <w:contextualSpacing/>
              <w:jc w:val="center"/>
              <w:rPr>
                <w:rFonts w:ascii="宋体" w:hAnsi="宋体" w:cs="宋体"/>
                <w:szCs w:val="21"/>
              </w:rPr>
            </w:pPr>
            <w:r>
              <w:rPr>
                <w:rFonts w:hint="eastAsia" w:ascii="宋体" w:hAnsi="宋体" w:cs="宋体"/>
                <w:szCs w:val="21"/>
              </w:rPr>
              <w:t>6</w:t>
            </w:r>
          </w:p>
        </w:tc>
        <w:tc>
          <w:tcPr>
            <w:tcW w:w="1559" w:type="dxa"/>
            <w:noWrap/>
            <w:vAlign w:val="center"/>
          </w:tcPr>
          <w:p>
            <w:pPr>
              <w:spacing w:line="320" w:lineRule="exact"/>
              <w:contextualSpacing/>
              <w:jc w:val="center"/>
              <w:rPr>
                <w:rFonts w:ascii="宋体" w:hAnsi="宋体" w:cs="宋体"/>
                <w:szCs w:val="21"/>
              </w:rPr>
            </w:pPr>
            <w:r>
              <w:rPr>
                <w:rFonts w:hint="eastAsia" w:ascii="宋体" w:hAnsi="宋体" w:cs="宋体"/>
                <w:szCs w:val="21"/>
              </w:rPr>
              <w:t>2014-05-09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trPr>
        <w:tc>
          <w:tcPr>
            <w:tcW w:w="684" w:type="dxa"/>
            <w:noWrap/>
            <w:vAlign w:val="center"/>
          </w:tcPr>
          <w:p>
            <w:pPr>
              <w:jc w:val="center"/>
              <w:rPr>
                <w:rFonts w:ascii="宋体" w:hAnsi="宋体" w:cs="宋体"/>
                <w:szCs w:val="21"/>
              </w:rPr>
            </w:pPr>
            <w:r>
              <w:rPr>
                <w:rFonts w:hint="eastAsia" w:ascii="宋体" w:hAnsi="宋体" w:cs="宋体"/>
                <w:szCs w:val="21"/>
              </w:rPr>
              <w:t>25</w:t>
            </w:r>
          </w:p>
        </w:tc>
        <w:tc>
          <w:tcPr>
            <w:tcW w:w="1896" w:type="dxa"/>
            <w:noWrap/>
            <w:vAlign w:val="center"/>
          </w:tcPr>
          <w:p>
            <w:pPr>
              <w:spacing w:line="320" w:lineRule="exact"/>
              <w:contextualSpacing/>
              <w:jc w:val="center"/>
              <w:rPr>
                <w:rFonts w:ascii="宋体" w:hAnsi="宋体" w:cs="宋体"/>
                <w:szCs w:val="21"/>
              </w:rPr>
            </w:pPr>
            <w:r>
              <w:rPr>
                <w:rFonts w:hint="eastAsia" w:ascii="宋体" w:hAnsi="宋体" w:cs="宋体"/>
                <w:szCs w:val="21"/>
              </w:rPr>
              <w:t>无机房客梯</w:t>
            </w:r>
          </w:p>
        </w:tc>
        <w:tc>
          <w:tcPr>
            <w:tcW w:w="1781" w:type="dxa"/>
            <w:noWrap/>
            <w:vAlign w:val="center"/>
          </w:tcPr>
          <w:p>
            <w:pPr>
              <w:spacing w:line="320" w:lineRule="exact"/>
              <w:contextualSpacing/>
              <w:jc w:val="center"/>
              <w:rPr>
                <w:rFonts w:ascii="宋体" w:hAnsi="宋体" w:cs="宋体"/>
                <w:szCs w:val="21"/>
              </w:rPr>
            </w:pPr>
            <w:r>
              <w:rPr>
                <w:rFonts w:hint="eastAsia" w:ascii="宋体" w:hAnsi="宋体" w:cs="宋体"/>
                <w:szCs w:val="21"/>
              </w:rPr>
              <w:t>新行政楼（南）</w:t>
            </w:r>
          </w:p>
        </w:tc>
        <w:tc>
          <w:tcPr>
            <w:tcW w:w="1843" w:type="dxa"/>
            <w:noWrap/>
            <w:vAlign w:val="center"/>
          </w:tcPr>
          <w:p>
            <w:pPr>
              <w:spacing w:line="320" w:lineRule="exact"/>
              <w:contextualSpacing/>
              <w:jc w:val="center"/>
              <w:rPr>
                <w:rFonts w:ascii="宋体" w:hAnsi="宋体" w:cs="宋体"/>
                <w:szCs w:val="21"/>
              </w:rPr>
            </w:pPr>
            <w:r>
              <w:rPr>
                <w:rFonts w:hint="eastAsia" w:ascii="宋体" w:hAnsi="宋体" w:cs="宋体"/>
                <w:szCs w:val="21"/>
              </w:rPr>
              <w:t>KLW-1050kg-1.6m/s(贯通)6/6/7</w:t>
            </w:r>
          </w:p>
        </w:tc>
        <w:tc>
          <w:tcPr>
            <w:tcW w:w="850" w:type="dxa"/>
            <w:noWrap/>
            <w:vAlign w:val="center"/>
          </w:tcPr>
          <w:p>
            <w:pPr>
              <w:spacing w:line="320" w:lineRule="exact"/>
              <w:contextualSpacing/>
              <w:jc w:val="center"/>
              <w:rPr>
                <w:rFonts w:ascii="宋体" w:hAnsi="宋体" w:cs="宋体"/>
                <w:szCs w:val="21"/>
              </w:rPr>
            </w:pPr>
            <w:bookmarkStart w:id="1" w:name="OLE_LINK25"/>
            <w:bookmarkStart w:id="2" w:name="OLE_LINK24"/>
            <w:r>
              <w:rPr>
                <w:rFonts w:hint="eastAsia" w:ascii="宋体" w:hAnsi="宋体" w:cs="宋体"/>
                <w:szCs w:val="21"/>
              </w:rPr>
              <w:t>康力</w:t>
            </w:r>
            <w:bookmarkEnd w:id="1"/>
            <w:bookmarkEnd w:id="2"/>
          </w:p>
        </w:tc>
        <w:tc>
          <w:tcPr>
            <w:tcW w:w="709" w:type="dxa"/>
            <w:noWrap/>
            <w:vAlign w:val="center"/>
          </w:tcPr>
          <w:p>
            <w:pPr>
              <w:spacing w:line="320" w:lineRule="exact"/>
              <w:contextualSpacing/>
              <w:jc w:val="center"/>
              <w:rPr>
                <w:rFonts w:ascii="宋体" w:hAnsi="宋体" w:cs="宋体"/>
                <w:szCs w:val="21"/>
              </w:rPr>
            </w:pPr>
            <w:r>
              <w:rPr>
                <w:rFonts w:hint="eastAsia" w:ascii="宋体" w:hAnsi="宋体" w:cs="宋体"/>
                <w:szCs w:val="21"/>
              </w:rPr>
              <w:t>6</w:t>
            </w:r>
          </w:p>
        </w:tc>
        <w:tc>
          <w:tcPr>
            <w:tcW w:w="1559" w:type="dxa"/>
            <w:noWrap/>
            <w:vAlign w:val="center"/>
          </w:tcPr>
          <w:p>
            <w:pPr>
              <w:spacing w:line="320" w:lineRule="exact"/>
              <w:contextualSpacing/>
              <w:jc w:val="center"/>
              <w:rPr>
                <w:rFonts w:ascii="宋体" w:hAnsi="宋体" w:cs="宋体"/>
                <w:szCs w:val="21"/>
              </w:rPr>
            </w:pPr>
            <w:r>
              <w:rPr>
                <w:rFonts w:hint="eastAsia" w:ascii="宋体" w:hAnsi="宋体" w:cs="宋体"/>
                <w:szCs w:val="21"/>
              </w:rPr>
              <w:t>2023.10</w:t>
            </w:r>
          </w:p>
        </w:tc>
      </w:tr>
    </w:tbl>
    <w:p>
      <w:pPr>
        <w:rPr>
          <w:rFonts w:ascii="宋体" w:hAnsi="宋体" w:cs="宋体"/>
          <w:b/>
          <w:bCs/>
          <w:sz w:val="30"/>
          <w:szCs w:val="30"/>
        </w:rPr>
      </w:pPr>
      <w:r>
        <w:br w:type="page"/>
      </w:r>
    </w:p>
    <w:p>
      <w:pPr>
        <w:rPr>
          <w:rFonts w:ascii="宋体" w:hAnsi="宋体" w:cs="宋体"/>
          <w:b/>
          <w:bCs/>
          <w:sz w:val="30"/>
          <w:szCs w:val="30"/>
        </w:rPr>
      </w:pPr>
      <w:r>
        <w:rPr>
          <w:rFonts w:hint="eastAsia" w:ascii="宋体" w:hAnsi="宋体" w:cs="宋体"/>
          <w:b/>
          <w:bCs/>
          <w:sz w:val="30"/>
          <w:szCs w:val="30"/>
        </w:rPr>
        <w:t>附件2</w:t>
      </w:r>
    </w:p>
    <w:p>
      <w:pPr>
        <w:jc w:val="center"/>
        <w:rPr>
          <w:rFonts w:ascii="宋体" w:hAnsi="宋体" w:cs="宋体"/>
          <w:b/>
          <w:bCs/>
          <w:sz w:val="30"/>
          <w:szCs w:val="30"/>
        </w:rPr>
      </w:pPr>
      <w:r>
        <w:rPr>
          <w:rFonts w:hint="eastAsia" w:ascii="宋体" w:hAnsi="宋体" w:cs="宋体"/>
          <w:b/>
          <w:bCs/>
          <w:sz w:val="30"/>
          <w:szCs w:val="30"/>
        </w:rPr>
        <w:t>西区医院电梯计划更换批次</w:t>
      </w:r>
    </w:p>
    <w:tbl>
      <w:tblPr>
        <w:tblStyle w:val="10"/>
        <w:tblW w:w="964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2071"/>
        <w:gridCol w:w="1019"/>
        <w:gridCol w:w="1222"/>
        <w:gridCol w:w="1731"/>
        <w:gridCol w:w="548"/>
        <w:gridCol w:w="857"/>
        <w:gridCol w:w="13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89" w:type="dxa"/>
            <w:tcBorders>
              <w:tl2br w:val="nil"/>
              <w:tr2bl w:val="nil"/>
            </w:tcBorders>
            <w:shd w:val="clear" w:color="auto" w:fill="FFFFFF"/>
            <w:vAlign w:val="center"/>
          </w:tcPr>
          <w:p>
            <w:pPr>
              <w:widowControl/>
              <w:adjustRightInd w:val="0"/>
              <w:snapToGrid w:val="0"/>
              <w:jc w:val="center"/>
              <w:textAlignment w:val="center"/>
              <w:rPr>
                <w:rFonts w:ascii="宋体" w:hAnsi="宋体" w:cs="宋体"/>
                <w:b/>
                <w:color w:val="000000"/>
                <w:szCs w:val="21"/>
              </w:rPr>
            </w:pPr>
            <w:r>
              <w:rPr>
                <w:rFonts w:hint="eastAsia" w:ascii="宋体" w:hAnsi="宋体" w:cs="宋体"/>
                <w:b/>
                <w:color w:val="000000"/>
                <w:szCs w:val="21"/>
              </w:rPr>
              <w:t>序号</w:t>
            </w:r>
          </w:p>
        </w:tc>
        <w:tc>
          <w:tcPr>
            <w:tcW w:w="2071" w:type="dxa"/>
            <w:tcBorders>
              <w:tl2br w:val="nil"/>
              <w:tr2bl w:val="nil"/>
            </w:tcBorders>
            <w:shd w:val="clear" w:color="auto" w:fill="FFFFFF"/>
            <w:vAlign w:val="center"/>
          </w:tcPr>
          <w:p>
            <w:pPr>
              <w:widowControl/>
              <w:adjustRightInd w:val="0"/>
              <w:snapToGrid w:val="0"/>
              <w:jc w:val="center"/>
              <w:textAlignment w:val="center"/>
              <w:rPr>
                <w:rFonts w:ascii="宋体" w:hAnsi="宋体" w:cs="宋体"/>
                <w:b/>
                <w:color w:val="000000"/>
                <w:szCs w:val="21"/>
              </w:rPr>
            </w:pPr>
            <w:r>
              <w:rPr>
                <w:rFonts w:hint="eastAsia" w:ascii="宋体" w:hAnsi="宋体" w:cs="宋体"/>
                <w:b/>
                <w:color w:val="000000"/>
                <w:szCs w:val="21"/>
              </w:rPr>
              <w:t>位置</w:t>
            </w:r>
          </w:p>
        </w:tc>
        <w:tc>
          <w:tcPr>
            <w:tcW w:w="1019" w:type="dxa"/>
            <w:tcBorders>
              <w:tl2br w:val="nil"/>
              <w:tr2bl w:val="nil"/>
            </w:tcBorders>
            <w:shd w:val="clear" w:color="auto" w:fill="FFFFFF"/>
            <w:vAlign w:val="center"/>
          </w:tcPr>
          <w:p>
            <w:pPr>
              <w:widowControl/>
              <w:adjustRightInd w:val="0"/>
              <w:snapToGrid w:val="0"/>
              <w:jc w:val="center"/>
              <w:textAlignment w:val="center"/>
              <w:rPr>
                <w:rFonts w:ascii="宋体" w:hAnsi="宋体" w:cs="宋体"/>
                <w:b/>
                <w:color w:val="000000"/>
                <w:szCs w:val="21"/>
              </w:rPr>
            </w:pPr>
            <w:r>
              <w:rPr>
                <w:rFonts w:hint="eastAsia" w:ascii="宋体" w:hAnsi="宋体" w:cs="宋体"/>
                <w:b/>
                <w:color w:val="000000"/>
                <w:szCs w:val="21"/>
              </w:rPr>
              <w:t>额载</w:t>
            </w:r>
          </w:p>
          <w:p>
            <w:pPr>
              <w:widowControl/>
              <w:adjustRightInd w:val="0"/>
              <w:snapToGrid w:val="0"/>
              <w:jc w:val="center"/>
              <w:textAlignment w:val="center"/>
              <w:rPr>
                <w:rFonts w:ascii="宋体" w:hAnsi="宋体" w:cs="宋体"/>
                <w:b/>
                <w:color w:val="000000"/>
                <w:szCs w:val="21"/>
              </w:rPr>
            </w:pPr>
            <w:r>
              <w:rPr>
                <w:rFonts w:hint="eastAsia" w:ascii="宋体" w:hAnsi="宋体" w:cs="宋体"/>
                <w:b/>
                <w:color w:val="000000"/>
                <w:szCs w:val="21"/>
              </w:rPr>
              <w:t>KG</w:t>
            </w:r>
          </w:p>
        </w:tc>
        <w:tc>
          <w:tcPr>
            <w:tcW w:w="1222" w:type="dxa"/>
            <w:tcBorders>
              <w:tl2br w:val="nil"/>
              <w:tr2bl w:val="nil"/>
            </w:tcBorders>
            <w:shd w:val="clear" w:color="auto" w:fill="FFFFFF"/>
            <w:vAlign w:val="center"/>
          </w:tcPr>
          <w:p>
            <w:pPr>
              <w:widowControl/>
              <w:adjustRightInd w:val="0"/>
              <w:snapToGrid w:val="0"/>
              <w:jc w:val="center"/>
              <w:textAlignment w:val="center"/>
              <w:rPr>
                <w:rFonts w:ascii="宋体" w:hAnsi="宋体" w:cs="宋体"/>
                <w:b/>
                <w:color w:val="000000"/>
                <w:szCs w:val="21"/>
              </w:rPr>
            </w:pPr>
            <w:r>
              <w:rPr>
                <w:rFonts w:hint="eastAsia" w:ascii="宋体" w:hAnsi="宋体" w:cs="宋体"/>
                <w:b/>
                <w:color w:val="000000"/>
                <w:szCs w:val="21"/>
              </w:rPr>
              <w:t>速度</w:t>
            </w:r>
          </w:p>
          <w:p>
            <w:pPr>
              <w:widowControl/>
              <w:adjustRightInd w:val="0"/>
              <w:snapToGrid w:val="0"/>
              <w:jc w:val="center"/>
              <w:textAlignment w:val="center"/>
              <w:rPr>
                <w:rFonts w:ascii="宋体" w:hAnsi="宋体" w:cs="宋体"/>
                <w:b/>
                <w:color w:val="000000"/>
                <w:szCs w:val="21"/>
              </w:rPr>
            </w:pPr>
            <w:r>
              <w:rPr>
                <w:rFonts w:hint="eastAsia" w:ascii="宋体" w:hAnsi="宋体" w:cs="宋体"/>
                <w:b/>
                <w:color w:val="000000"/>
                <w:szCs w:val="21"/>
              </w:rPr>
              <w:t>m/s</w:t>
            </w:r>
          </w:p>
        </w:tc>
        <w:tc>
          <w:tcPr>
            <w:tcW w:w="1731" w:type="dxa"/>
            <w:tcBorders>
              <w:tl2br w:val="nil"/>
              <w:tr2bl w:val="nil"/>
            </w:tcBorders>
            <w:shd w:val="clear" w:color="auto" w:fill="FFFFFF"/>
            <w:vAlign w:val="center"/>
          </w:tcPr>
          <w:p>
            <w:pPr>
              <w:widowControl/>
              <w:adjustRightInd w:val="0"/>
              <w:snapToGrid w:val="0"/>
              <w:jc w:val="center"/>
              <w:textAlignment w:val="center"/>
              <w:rPr>
                <w:rFonts w:ascii="宋体" w:hAnsi="宋体" w:cs="宋体"/>
                <w:b/>
                <w:color w:val="000000"/>
                <w:szCs w:val="21"/>
              </w:rPr>
            </w:pPr>
            <w:r>
              <w:rPr>
                <w:rFonts w:hint="eastAsia" w:ascii="宋体" w:hAnsi="宋体" w:cs="宋体"/>
                <w:b/>
                <w:color w:val="000000"/>
                <w:szCs w:val="21"/>
              </w:rPr>
              <w:t>层站</w:t>
            </w:r>
          </w:p>
        </w:tc>
        <w:tc>
          <w:tcPr>
            <w:tcW w:w="548" w:type="dxa"/>
            <w:tcBorders>
              <w:tl2br w:val="nil"/>
              <w:tr2bl w:val="nil"/>
            </w:tcBorders>
            <w:shd w:val="clear" w:color="auto" w:fill="FFFFFF"/>
            <w:vAlign w:val="center"/>
          </w:tcPr>
          <w:p>
            <w:pPr>
              <w:widowControl/>
              <w:adjustRightInd w:val="0"/>
              <w:snapToGrid w:val="0"/>
              <w:jc w:val="center"/>
              <w:textAlignment w:val="center"/>
              <w:rPr>
                <w:rFonts w:ascii="宋体" w:hAnsi="宋体" w:cs="宋体"/>
                <w:b/>
                <w:color w:val="000000"/>
                <w:szCs w:val="21"/>
              </w:rPr>
            </w:pPr>
            <w:r>
              <w:rPr>
                <w:rFonts w:hint="eastAsia" w:ascii="宋体" w:hAnsi="宋体" w:cs="宋体"/>
                <w:b/>
                <w:color w:val="000000"/>
                <w:szCs w:val="21"/>
              </w:rPr>
              <w:t>批次</w:t>
            </w:r>
          </w:p>
        </w:tc>
        <w:tc>
          <w:tcPr>
            <w:tcW w:w="857" w:type="dxa"/>
            <w:tcBorders>
              <w:tl2br w:val="nil"/>
              <w:tr2bl w:val="nil"/>
            </w:tcBorders>
            <w:shd w:val="clear" w:color="auto" w:fill="FFFFFF"/>
            <w:vAlign w:val="center"/>
          </w:tcPr>
          <w:p>
            <w:pPr>
              <w:widowControl/>
              <w:adjustRightInd w:val="0"/>
              <w:snapToGrid w:val="0"/>
              <w:jc w:val="center"/>
              <w:textAlignment w:val="center"/>
              <w:rPr>
                <w:rFonts w:ascii="宋体" w:hAnsi="宋体" w:cs="宋体"/>
                <w:b/>
                <w:color w:val="000000"/>
                <w:szCs w:val="21"/>
              </w:rPr>
            </w:pPr>
            <w:r>
              <w:rPr>
                <w:rFonts w:hint="eastAsia" w:ascii="宋体" w:hAnsi="宋体" w:cs="宋体"/>
                <w:b/>
                <w:color w:val="000000"/>
                <w:szCs w:val="21"/>
              </w:rPr>
              <w:t>电梯编号</w:t>
            </w:r>
          </w:p>
        </w:tc>
        <w:tc>
          <w:tcPr>
            <w:tcW w:w="1312" w:type="dxa"/>
            <w:tcBorders>
              <w:tl2br w:val="nil"/>
              <w:tr2bl w:val="nil"/>
            </w:tcBorders>
            <w:shd w:val="clear" w:color="auto" w:fill="FFFFFF"/>
            <w:vAlign w:val="center"/>
          </w:tcPr>
          <w:p>
            <w:pPr>
              <w:widowControl/>
              <w:adjustRightInd w:val="0"/>
              <w:snapToGrid w:val="0"/>
              <w:jc w:val="center"/>
              <w:textAlignment w:val="center"/>
              <w:rPr>
                <w:rFonts w:ascii="宋体" w:hAnsi="宋体" w:cs="宋体"/>
                <w:b/>
                <w:color w:val="000000"/>
                <w:szCs w:val="21"/>
              </w:rPr>
            </w:pPr>
            <w:r>
              <w:rPr>
                <w:rFonts w:hint="eastAsia" w:ascii="宋体" w:hAnsi="宋体" w:cs="宋体"/>
                <w:b/>
                <w:color w:val="000000"/>
                <w:szCs w:val="21"/>
              </w:rPr>
              <w:t>电梯更换年度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889"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bCs/>
                <w:color w:val="000000"/>
                <w:szCs w:val="21"/>
              </w:rPr>
            </w:pPr>
            <w:r>
              <w:rPr>
                <w:rFonts w:hint="eastAsia" w:ascii="宋体" w:hAnsi="宋体" w:cs="宋体"/>
                <w:bCs/>
                <w:color w:val="000000"/>
                <w:szCs w:val="21"/>
              </w:rPr>
              <w:t>1</w:t>
            </w:r>
          </w:p>
        </w:tc>
        <w:tc>
          <w:tcPr>
            <w:tcW w:w="2071"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住院部2#电梯</w:t>
            </w:r>
          </w:p>
        </w:tc>
        <w:tc>
          <w:tcPr>
            <w:tcW w:w="1019"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1600</w:t>
            </w:r>
          </w:p>
        </w:tc>
        <w:tc>
          <w:tcPr>
            <w:tcW w:w="1222"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w:t>
            </w:r>
          </w:p>
        </w:tc>
        <w:tc>
          <w:tcPr>
            <w:tcW w:w="1731"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23层23站23门</w:t>
            </w:r>
          </w:p>
        </w:tc>
        <w:tc>
          <w:tcPr>
            <w:tcW w:w="548"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w:t>
            </w:r>
          </w:p>
        </w:tc>
        <w:tc>
          <w:tcPr>
            <w:tcW w:w="857"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DT1</w:t>
            </w:r>
          </w:p>
        </w:tc>
        <w:tc>
          <w:tcPr>
            <w:tcW w:w="1312"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889"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bCs/>
                <w:color w:val="000000"/>
                <w:szCs w:val="21"/>
              </w:rPr>
            </w:pPr>
            <w:r>
              <w:rPr>
                <w:rFonts w:hint="eastAsia" w:ascii="宋体" w:hAnsi="宋体" w:cs="宋体"/>
                <w:bCs/>
                <w:color w:val="000000"/>
                <w:szCs w:val="21"/>
              </w:rPr>
              <w:t>2</w:t>
            </w:r>
          </w:p>
        </w:tc>
        <w:tc>
          <w:tcPr>
            <w:tcW w:w="2071"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住院部8#电梯</w:t>
            </w:r>
          </w:p>
        </w:tc>
        <w:tc>
          <w:tcPr>
            <w:tcW w:w="1019"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1050</w:t>
            </w:r>
          </w:p>
        </w:tc>
        <w:tc>
          <w:tcPr>
            <w:tcW w:w="1222"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2.5</w:t>
            </w:r>
          </w:p>
        </w:tc>
        <w:tc>
          <w:tcPr>
            <w:tcW w:w="1731"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23层23站23门</w:t>
            </w:r>
          </w:p>
        </w:tc>
        <w:tc>
          <w:tcPr>
            <w:tcW w:w="548"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w:t>
            </w:r>
          </w:p>
        </w:tc>
        <w:tc>
          <w:tcPr>
            <w:tcW w:w="857"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DT7</w:t>
            </w:r>
          </w:p>
        </w:tc>
        <w:tc>
          <w:tcPr>
            <w:tcW w:w="1312"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889"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bCs/>
                <w:color w:val="000000"/>
                <w:szCs w:val="21"/>
              </w:rPr>
            </w:pPr>
            <w:r>
              <w:rPr>
                <w:rFonts w:hint="eastAsia" w:ascii="宋体" w:hAnsi="宋体" w:cs="宋体"/>
                <w:bCs/>
                <w:color w:val="000000"/>
                <w:szCs w:val="21"/>
              </w:rPr>
              <w:t>3</w:t>
            </w:r>
          </w:p>
        </w:tc>
        <w:tc>
          <w:tcPr>
            <w:tcW w:w="2071"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新行政楼(北)</w:t>
            </w:r>
          </w:p>
        </w:tc>
        <w:tc>
          <w:tcPr>
            <w:tcW w:w="1019"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1000</w:t>
            </w:r>
          </w:p>
        </w:tc>
        <w:tc>
          <w:tcPr>
            <w:tcW w:w="1222"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w:t>
            </w:r>
          </w:p>
        </w:tc>
        <w:tc>
          <w:tcPr>
            <w:tcW w:w="1731"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6层6站6门</w:t>
            </w:r>
          </w:p>
        </w:tc>
        <w:tc>
          <w:tcPr>
            <w:tcW w:w="548"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w:t>
            </w:r>
          </w:p>
        </w:tc>
        <w:tc>
          <w:tcPr>
            <w:tcW w:w="857"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DT9</w:t>
            </w:r>
          </w:p>
        </w:tc>
        <w:tc>
          <w:tcPr>
            <w:tcW w:w="1312"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889"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bCs/>
                <w:color w:val="000000"/>
                <w:szCs w:val="21"/>
              </w:rPr>
            </w:pPr>
            <w:r>
              <w:rPr>
                <w:rFonts w:hint="eastAsia" w:ascii="宋体" w:hAnsi="宋体" w:cs="宋体"/>
                <w:bCs/>
                <w:color w:val="000000"/>
                <w:szCs w:val="21"/>
              </w:rPr>
              <w:t>4</w:t>
            </w:r>
          </w:p>
        </w:tc>
        <w:tc>
          <w:tcPr>
            <w:tcW w:w="2071"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手术室东</w:t>
            </w:r>
          </w:p>
        </w:tc>
        <w:tc>
          <w:tcPr>
            <w:tcW w:w="1019"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200</w:t>
            </w:r>
          </w:p>
        </w:tc>
        <w:tc>
          <w:tcPr>
            <w:tcW w:w="1222"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0.4m/s</w:t>
            </w:r>
          </w:p>
        </w:tc>
        <w:tc>
          <w:tcPr>
            <w:tcW w:w="1731"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3层2站2门</w:t>
            </w:r>
          </w:p>
        </w:tc>
        <w:tc>
          <w:tcPr>
            <w:tcW w:w="548"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w:t>
            </w:r>
          </w:p>
        </w:tc>
        <w:tc>
          <w:tcPr>
            <w:tcW w:w="857"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DT10</w:t>
            </w:r>
          </w:p>
        </w:tc>
        <w:tc>
          <w:tcPr>
            <w:tcW w:w="1312"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889"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bCs/>
                <w:color w:val="000000"/>
                <w:szCs w:val="21"/>
              </w:rPr>
            </w:pPr>
            <w:r>
              <w:rPr>
                <w:rFonts w:hint="eastAsia" w:ascii="宋体" w:hAnsi="宋体" w:cs="宋体"/>
                <w:bCs/>
                <w:color w:val="000000"/>
                <w:szCs w:val="21"/>
              </w:rPr>
              <w:t>5</w:t>
            </w:r>
          </w:p>
        </w:tc>
        <w:tc>
          <w:tcPr>
            <w:tcW w:w="2071"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手术室西</w:t>
            </w:r>
          </w:p>
        </w:tc>
        <w:tc>
          <w:tcPr>
            <w:tcW w:w="1019"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200</w:t>
            </w:r>
          </w:p>
        </w:tc>
        <w:tc>
          <w:tcPr>
            <w:tcW w:w="1222"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0.4m/s</w:t>
            </w:r>
          </w:p>
        </w:tc>
        <w:tc>
          <w:tcPr>
            <w:tcW w:w="1731"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Style w:val="16"/>
                <w:rFonts w:hint="default"/>
                <w:sz w:val="21"/>
                <w:szCs w:val="21"/>
              </w:rPr>
              <w:t>3</w:t>
            </w:r>
            <w:r>
              <w:rPr>
                <w:rStyle w:val="17"/>
                <w:rFonts w:hint="default"/>
                <w:b w:val="0"/>
                <w:sz w:val="21"/>
                <w:szCs w:val="21"/>
              </w:rPr>
              <w:t>层</w:t>
            </w:r>
            <w:r>
              <w:rPr>
                <w:rStyle w:val="16"/>
                <w:rFonts w:hint="default"/>
                <w:sz w:val="21"/>
                <w:szCs w:val="21"/>
              </w:rPr>
              <w:t>2</w:t>
            </w:r>
            <w:r>
              <w:rPr>
                <w:rStyle w:val="17"/>
                <w:rFonts w:hint="default"/>
                <w:b w:val="0"/>
                <w:sz w:val="21"/>
                <w:szCs w:val="21"/>
              </w:rPr>
              <w:t>站</w:t>
            </w:r>
            <w:r>
              <w:rPr>
                <w:rStyle w:val="16"/>
                <w:rFonts w:hint="default"/>
                <w:sz w:val="21"/>
                <w:szCs w:val="21"/>
              </w:rPr>
              <w:t>2</w:t>
            </w:r>
            <w:r>
              <w:rPr>
                <w:rStyle w:val="17"/>
                <w:rFonts w:hint="default"/>
                <w:b w:val="0"/>
                <w:sz w:val="21"/>
                <w:szCs w:val="21"/>
              </w:rPr>
              <w:t>门</w:t>
            </w:r>
          </w:p>
        </w:tc>
        <w:tc>
          <w:tcPr>
            <w:tcW w:w="548"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w:t>
            </w:r>
          </w:p>
        </w:tc>
        <w:tc>
          <w:tcPr>
            <w:tcW w:w="857"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DT11</w:t>
            </w:r>
          </w:p>
        </w:tc>
        <w:tc>
          <w:tcPr>
            <w:tcW w:w="1312"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889"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bCs/>
                <w:color w:val="000000"/>
                <w:szCs w:val="21"/>
              </w:rPr>
            </w:pPr>
            <w:r>
              <w:rPr>
                <w:rFonts w:hint="eastAsia" w:ascii="宋体" w:hAnsi="宋体" w:cs="宋体"/>
                <w:bCs/>
                <w:color w:val="000000"/>
                <w:szCs w:val="21"/>
              </w:rPr>
              <w:t>6</w:t>
            </w:r>
          </w:p>
        </w:tc>
        <w:tc>
          <w:tcPr>
            <w:tcW w:w="2071"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门诊南</w:t>
            </w:r>
          </w:p>
        </w:tc>
        <w:tc>
          <w:tcPr>
            <w:tcW w:w="1019"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w:t>
            </w:r>
          </w:p>
        </w:tc>
        <w:tc>
          <w:tcPr>
            <w:tcW w:w="1222"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0.5m/s</w:t>
            </w:r>
          </w:p>
        </w:tc>
        <w:tc>
          <w:tcPr>
            <w:tcW w:w="1731"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w:t>
            </w:r>
          </w:p>
        </w:tc>
        <w:tc>
          <w:tcPr>
            <w:tcW w:w="548"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w:t>
            </w:r>
          </w:p>
        </w:tc>
        <w:tc>
          <w:tcPr>
            <w:tcW w:w="857"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DT18</w:t>
            </w:r>
          </w:p>
        </w:tc>
        <w:tc>
          <w:tcPr>
            <w:tcW w:w="1312"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889"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bCs/>
                <w:color w:val="000000"/>
                <w:szCs w:val="21"/>
              </w:rPr>
            </w:pPr>
            <w:r>
              <w:rPr>
                <w:rFonts w:hint="eastAsia" w:ascii="宋体" w:hAnsi="宋体" w:cs="宋体"/>
                <w:bCs/>
                <w:color w:val="000000"/>
                <w:szCs w:val="21"/>
              </w:rPr>
              <w:t>7</w:t>
            </w:r>
          </w:p>
        </w:tc>
        <w:tc>
          <w:tcPr>
            <w:tcW w:w="2071"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门诊北</w:t>
            </w:r>
          </w:p>
        </w:tc>
        <w:tc>
          <w:tcPr>
            <w:tcW w:w="1019"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w:t>
            </w:r>
          </w:p>
        </w:tc>
        <w:tc>
          <w:tcPr>
            <w:tcW w:w="1222"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0.5m/s</w:t>
            </w:r>
          </w:p>
        </w:tc>
        <w:tc>
          <w:tcPr>
            <w:tcW w:w="1731"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w:t>
            </w:r>
          </w:p>
        </w:tc>
        <w:tc>
          <w:tcPr>
            <w:tcW w:w="548"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w:t>
            </w:r>
          </w:p>
        </w:tc>
        <w:tc>
          <w:tcPr>
            <w:tcW w:w="857"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DT19</w:t>
            </w:r>
          </w:p>
        </w:tc>
        <w:tc>
          <w:tcPr>
            <w:tcW w:w="1312" w:type="dxa"/>
            <w:tcBorders>
              <w:tl2br w:val="nil"/>
              <w:tr2bl w:val="nil"/>
            </w:tcBorders>
            <w:shd w:val="clear" w:color="auto" w:fill="FFE599" w:themeFill="accent4"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889"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bCs/>
                <w:color w:val="000000"/>
                <w:szCs w:val="21"/>
              </w:rPr>
            </w:pPr>
            <w:r>
              <w:rPr>
                <w:rFonts w:hint="eastAsia" w:ascii="宋体" w:hAnsi="宋体" w:cs="宋体"/>
                <w:bCs/>
                <w:color w:val="000000"/>
                <w:szCs w:val="21"/>
              </w:rPr>
              <w:t>8</w:t>
            </w:r>
          </w:p>
        </w:tc>
        <w:tc>
          <w:tcPr>
            <w:tcW w:w="2071"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住院部3#电梯</w:t>
            </w:r>
          </w:p>
        </w:tc>
        <w:tc>
          <w:tcPr>
            <w:tcW w:w="1019"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1600</w:t>
            </w:r>
          </w:p>
        </w:tc>
        <w:tc>
          <w:tcPr>
            <w:tcW w:w="1222"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w:t>
            </w:r>
          </w:p>
        </w:tc>
        <w:tc>
          <w:tcPr>
            <w:tcW w:w="1731"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23层23站23门</w:t>
            </w:r>
          </w:p>
        </w:tc>
        <w:tc>
          <w:tcPr>
            <w:tcW w:w="548"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w:t>
            </w:r>
          </w:p>
        </w:tc>
        <w:tc>
          <w:tcPr>
            <w:tcW w:w="857"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DT2</w:t>
            </w:r>
          </w:p>
        </w:tc>
        <w:tc>
          <w:tcPr>
            <w:tcW w:w="1312"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2026年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889"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bCs/>
                <w:color w:val="000000"/>
                <w:szCs w:val="21"/>
              </w:rPr>
            </w:pPr>
            <w:r>
              <w:rPr>
                <w:rFonts w:hint="eastAsia" w:ascii="宋体" w:hAnsi="宋体" w:cs="宋体"/>
                <w:bCs/>
                <w:color w:val="000000"/>
                <w:szCs w:val="21"/>
              </w:rPr>
              <w:t>9</w:t>
            </w:r>
          </w:p>
        </w:tc>
        <w:tc>
          <w:tcPr>
            <w:tcW w:w="2071"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住院部4#电梯</w:t>
            </w:r>
          </w:p>
        </w:tc>
        <w:tc>
          <w:tcPr>
            <w:tcW w:w="1019"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1050</w:t>
            </w:r>
          </w:p>
        </w:tc>
        <w:tc>
          <w:tcPr>
            <w:tcW w:w="1222"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2.5</w:t>
            </w:r>
          </w:p>
        </w:tc>
        <w:tc>
          <w:tcPr>
            <w:tcW w:w="1731"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23层23站23门</w:t>
            </w:r>
          </w:p>
        </w:tc>
        <w:tc>
          <w:tcPr>
            <w:tcW w:w="548"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w:t>
            </w:r>
          </w:p>
        </w:tc>
        <w:tc>
          <w:tcPr>
            <w:tcW w:w="857"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DT3</w:t>
            </w:r>
          </w:p>
        </w:tc>
        <w:tc>
          <w:tcPr>
            <w:tcW w:w="1312"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2026年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889"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bCs/>
                <w:color w:val="000000"/>
                <w:szCs w:val="21"/>
              </w:rPr>
            </w:pPr>
            <w:r>
              <w:rPr>
                <w:rFonts w:hint="eastAsia" w:ascii="宋体" w:hAnsi="宋体" w:cs="宋体"/>
                <w:bCs/>
                <w:color w:val="000000"/>
                <w:szCs w:val="21"/>
              </w:rPr>
              <w:t>10</w:t>
            </w:r>
          </w:p>
        </w:tc>
        <w:tc>
          <w:tcPr>
            <w:tcW w:w="2071"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住院部5#电梯</w:t>
            </w:r>
          </w:p>
        </w:tc>
        <w:tc>
          <w:tcPr>
            <w:tcW w:w="1019"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1600</w:t>
            </w:r>
          </w:p>
        </w:tc>
        <w:tc>
          <w:tcPr>
            <w:tcW w:w="1222"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w:t>
            </w:r>
          </w:p>
        </w:tc>
        <w:tc>
          <w:tcPr>
            <w:tcW w:w="1731"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24层24站24门</w:t>
            </w:r>
          </w:p>
        </w:tc>
        <w:tc>
          <w:tcPr>
            <w:tcW w:w="548"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w:t>
            </w:r>
          </w:p>
        </w:tc>
        <w:tc>
          <w:tcPr>
            <w:tcW w:w="857"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DT4</w:t>
            </w:r>
          </w:p>
        </w:tc>
        <w:tc>
          <w:tcPr>
            <w:tcW w:w="1312"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2026年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889"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bCs/>
                <w:color w:val="000000"/>
                <w:szCs w:val="21"/>
              </w:rPr>
            </w:pPr>
            <w:r>
              <w:rPr>
                <w:rFonts w:hint="eastAsia" w:ascii="宋体" w:hAnsi="宋体" w:cs="宋体"/>
                <w:bCs/>
                <w:color w:val="000000"/>
                <w:szCs w:val="21"/>
              </w:rPr>
              <w:t>11</w:t>
            </w:r>
          </w:p>
        </w:tc>
        <w:tc>
          <w:tcPr>
            <w:tcW w:w="2071"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住院部6#电梯</w:t>
            </w:r>
          </w:p>
        </w:tc>
        <w:tc>
          <w:tcPr>
            <w:tcW w:w="1019"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1600</w:t>
            </w:r>
          </w:p>
        </w:tc>
        <w:tc>
          <w:tcPr>
            <w:tcW w:w="1222"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w:t>
            </w:r>
          </w:p>
        </w:tc>
        <w:tc>
          <w:tcPr>
            <w:tcW w:w="1731"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23层23站23门</w:t>
            </w:r>
          </w:p>
        </w:tc>
        <w:tc>
          <w:tcPr>
            <w:tcW w:w="548"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w:t>
            </w:r>
          </w:p>
        </w:tc>
        <w:tc>
          <w:tcPr>
            <w:tcW w:w="857"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DT5</w:t>
            </w:r>
          </w:p>
        </w:tc>
        <w:tc>
          <w:tcPr>
            <w:tcW w:w="1312"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2026年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889"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bCs/>
                <w:color w:val="000000"/>
                <w:szCs w:val="21"/>
              </w:rPr>
            </w:pPr>
            <w:r>
              <w:rPr>
                <w:rFonts w:hint="eastAsia" w:ascii="宋体" w:hAnsi="宋体" w:cs="宋体"/>
                <w:bCs/>
                <w:color w:val="000000"/>
                <w:szCs w:val="21"/>
              </w:rPr>
              <w:t>12</w:t>
            </w:r>
          </w:p>
        </w:tc>
        <w:tc>
          <w:tcPr>
            <w:tcW w:w="2071"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住院部7#电梯</w:t>
            </w:r>
          </w:p>
        </w:tc>
        <w:tc>
          <w:tcPr>
            <w:tcW w:w="1019"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1600</w:t>
            </w:r>
          </w:p>
        </w:tc>
        <w:tc>
          <w:tcPr>
            <w:tcW w:w="1222"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w:t>
            </w:r>
          </w:p>
        </w:tc>
        <w:tc>
          <w:tcPr>
            <w:tcW w:w="1731"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23层23站23门</w:t>
            </w:r>
          </w:p>
        </w:tc>
        <w:tc>
          <w:tcPr>
            <w:tcW w:w="548"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w:t>
            </w:r>
          </w:p>
        </w:tc>
        <w:tc>
          <w:tcPr>
            <w:tcW w:w="857"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DT6</w:t>
            </w:r>
          </w:p>
        </w:tc>
        <w:tc>
          <w:tcPr>
            <w:tcW w:w="1312"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2026年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889"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bCs/>
                <w:color w:val="000000"/>
                <w:szCs w:val="21"/>
              </w:rPr>
            </w:pPr>
            <w:r>
              <w:rPr>
                <w:rFonts w:hint="eastAsia" w:ascii="宋体" w:hAnsi="宋体" w:cs="宋体"/>
                <w:bCs/>
                <w:color w:val="000000"/>
                <w:szCs w:val="21"/>
              </w:rPr>
              <w:t>13</w:t>
            </w:r>
          </w:p>
        </w:tc>
        <w:tc>
          <w:tcPr>
            <w:tcW w:w="2071"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门诊楼北</w:t>
            </w:r>
          </w:p>
        </w:tc>
        <w:tc>
          <w:tcPr>
            <w:tcW w:w="1019"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1600</w:t>
            </w:r>
          </w:p>
        </w:tc>
        <w:tc>
          <w:tcPr>
            <w:tcW w:w="1222"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1.0m/s</w:t>
            </w:r>
          </w:p>
        </w:tc>
        <w:tc>
          <w:tcPr>
            <w:tcW w:w="1731"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4层4站4门</w:t>
            </w:r>
          </w:p>
        </w:tc>
        <w:tc>
          <w:tcPr>
            <w:tcW w:w="548"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w:t>
            </w:r>
          </w:p>
        </w:tc>
        <w:tc>
          <w:tcPr>
            <w:tcW w:w="857"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DT12</w:t>
            </w:r>
          </w:p>
        </w:tc>
        <w:tc>
          <w:tcPr>
            <w:tcW w:w="1312"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2026年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889"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bCs/>
                <w:color w:val="000000"/>
                <w:szCs w:val="21"/>
              </w:rPr>
            </w:pPr>
            <w:r>
              <w:rPr>
                <w:rFonts w:hint="eastAsia" w:ascii="宋体" w:hAnsi="宋体" w:cs="宋体"/>
                <w:bCs/>
                <w:color w:val="000000"/>
                <w:szCs w:val="21"/>
              </w:rPr>
              <w:t>14</w:t>
            </w:r>
          </w:p>
        </w:tc>
        <w:tc>
          <w:tcPr>
            <w:tcW w:w="2071"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食堂东</w:t>
            </w:r>
          </w:p>
        </w:tc>
        <w:tc>
          <w:tcPr>
            <w:tcW w:w="1019"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800</w:t>
            </w:r>
          </w:p>
        </w:tc>
        <w:tc>
          <w:tcPr>
            <w:tcW w:w="1222"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1.0m/s</w:t>
            </w:r>
          </w:p>
        </w:tc>
        <w:tc>
          <w:tcPr>
            <w:tcW w:w="1731"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4层4站4门</w:t>
            </w:r>
          </w:p>
        </w:tc>
        <w:tc>
          <w:tcPr>
            <w:tcW w:w="548"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w:t>
            </w:r>
          </w:p>
        </w:tc>
        <w:tc>
          <w:tcPr>
            <w:tcW w:w="857"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DT14</w:t>
            </w:r>
          </w:p>
        </w:tc>
        <w:tc>
          <w:tcPr>
            <w:tcW w:w="1312"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2026年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889"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bCs/>
                <w:color w:val="000000"/>
                <w:szCs w:val="21"/>
              </w:rPr>
            </w:pPr>
            <w:r>
              <w:rPr>
                <w:rFonts w:hint="eastAsia" w:ascii="宋体" w:hAnsi="宋体" w:cs="宋体"/>
                <w:bCs/>
                <w:color w:val="000000"/>
                <w:szCs w:val="21"/>
              </w:rPr>
              <w:t>15</w:t>
            </w:r>
          </w:p>
        </w:tc>
        <w:tc>
          <w:tcPr>
            <w:tcW w:w="2071"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医技楼东</w:t>
            </w:r>
          </w:p>
        </w:tc>
        <w:tc>
          <w:tcPr>
            <w:tcW w:w="1019"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1600</w:t>
            </w:r>
          </w:p>
        </w:tc>
        <w:tc>
          <w:tcPr>
            <w:tcW w:w="1222"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1.0m/s</w:t>
            </w:r>
          </w:p>
        </w:tc>
        <w:tc>
          <w:tcPr>
            <w:tcW w:w="1731"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5层5站5门</w:t>
            </w:r>
          </w:p>
        </w:tc>
        <w:tc>
          <w:tcPr>
            <w:tcW w:w="548"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w:t>
            </w:r>
          </w:p>
        </w:tc>
        <w:tc>
          <w:tcPr>
            <w:tcW w:w="857"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DT17</w:t>
            </w:r>
          </w:p>
        </w:tc>
        <w:tc>
          <w:tcPr>
            <w:tcW w:w="1312" w:type="dxa"/>
            <w:tcBorders>
              <w:tl2br w:val="nil"/>
              <w:tr2bl w:val="nil"/>
            </w:tcBorders>
            <w:shd w:val="clear" w:color="auto" w:fill="9CC2E5" w:themeFill="accent1" w:themeFillTint="99"/>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2026年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889"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bCs/>
                <w:color w:val="000000"/>
                <w:szCs w:val="21"/>
              </w:rPr>
            </w:pPr>
            <w:r>
              <w:rPr>
                <w:rFonts w:hint="eastAsia" w:ascii="宋体" w:hAnsi="宋体" w:cs="宋体"/>
                <w:bCs/>
                <w:color w:val="000000"/>
                <w:szCs w:val="21"/>
              </w:rPr>
              <w:t>16</w:t>
            </w:r>
          </w:p>
        </w:tc>
        <w:tc>
          <w:tcPr>
            <w:tcW w:w="2071"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住院部9#电梯</w:t>
            </w:r>
          </w:p>
        </w:tc>
        <w:tc>
          <w:tcPr>
            <w:tcW w:w="1019"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1000</w:t>
            </w:r>
          </w:p>
        </w:tc>
        <w:tc>
          <w:tcPr>
            <w:tcW w:w="1222"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2.5</w:t>
            </w:r>
          </w:p>
        </w:tc>
        <w:tc>
          <w:tcPr>
            <w:tcW w:w="1731"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22层22站22门</w:t>
            </w:r>
          </w:p>
        </w:tc>
        <w:tc>
          <w:tcPr>
            <w:tcW w:w="548"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3</w:t>
            </w:r>
          </w:p>
        </w:tc>
        <w:tc>
          <w:tcPr>
            <w:tcW w:w="857"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DT8</w:t>
            </w:r>
          </w:p>
        </w:tc>
        <w:tc>
          <w:tcPr>
            <w:tcW w:w="1312"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889"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bCs/>
                <w:color w:val="000000"/>
                <w:szCs w:val="21"/>
              </w:rPr>
            </w:pPr>
            <w:r>
              <w:rPr>
                <w:rFonts w:hint="eastAsia" w:ascii="宋体" w:hAnsi="宋体" w:cs="宋体"/>
                <w:bCs/>
                <w:color w:val="000000"/>
                <w:szCs w:val="21"/>
              </w:rPr>
              <w:t>17</w:t>
            </w:r>
          </w:p>
        </w:tc>
        <w:tc>
          <w:tcPr>
            <w:tcW w:w="2071"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门诊楼南</w:t>
            </w:r>
          </w:p>
        </w:tc>
        <w:tc>
          <w:tcPr>
            <w:tcW w:w="1019"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1600</w:t>
            </w:r>
          </w:p>
        </w:tc>
        <w:tc>
          <w:tcPr>
            <w:tcW w:w="1222"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1.0m/s</w:t>
            </w:r>
          </w:p>
        </w:tc>
        <w:tc>
          <w:tcPr>
            <w:tcW w:w="1731"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4层4站4门</w:t>
            </w:r>
          </w:p>
        </w:tc>
        <w:tc>
          <w:tcPr>
            <w:tcW w:w="548"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3</w:t>
            </w:r>
          </w:p>
        </w:tc>
        <w:tc>
          <w:tcPr>
            <w:tcW w:w="857"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DT13</w:t>
            </w:r>
          </w:p>
        </w:tc>
        <w:tc>
          <w:tcPr>
            <w:tcW w:w="1312"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889"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bCs/>
                <w:color w:val="000000"/>
                <w:szCs w:val="21"/>
              </w:rPr>
            </w:pPr>
            <w:r>
              <w:rPr>
                <w:rFonts w:hint="eastAsia" w:ascii="宋体" w:hAnsi="宋体" w:cs="宋体"/>
                <w:bCs/>
                <w:color w:val="000000"/>
                <w:szCs w:val="21"/>
              </w:rPr>
              <w:t>18</w:t>
            </w:r>
          </w:p>
        </w:tc>
        <w:tc>
          <w:tcPr>
            <w:tcW w:w="2071"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食堂西</w:t>
            </w:r>
          </w:p>
        </w:tc>
        <w:tc>
          <w:tcPr>
            <w:tcW w:w="1019"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800</w:t>
            </w:r>
          </w:p>
        </w:tc>
        <w:tc>
          <w:tcPr>
            <w:tcW w:w="1222"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1.0m/s</w:t>
            </w:r>
          </w:p>
        </w:tc>
        <w:tc>
          <w:tcPr>
            <w:tcW w:w="1731"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4层4站4门</w:t>
            </w:r>
          </w:p>
        </w:tc>
        <w:tc>
          <w:tcPr>
            <w:tcW w:w="548"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3</w:t>
            </w:r>
          </w:p>
        </w:tc>
        <w:tc>
          <w:tcPr>
            <w:tcW w:w="857"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DT15</w:t>
            </w:r>
          </w:p>
        </w:tc>
        <w:tc>
          <w:tcPr>
            <w:tcW w:w="1312"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889"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bCs/>
                <w:color w:val="000000"/>
                <w:szCs w:val="21"/>
              </w:rPr>
            </w:pPr>
            <w:r>
              <w:rPr>
                <w:rFonts w:hint="eastAsia" w:ascii="宋体" w:hAnsi="宋体" w:cs="宋体"/>
                <w:bCs/>
                <w:color w:val="000000"/>
                <w:szCs w:val="21"/>
              </w:rPr>
              <w:t>19</w:t>
            </w:r>
          </w:p>
        </w:tc>
        <w:tc>
          <w:tcPr>
            <w:tcW w:w="2071"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医技楼西</w:t>
            </w:r>
          </w:p>
        </w:tc>
        <w:tc>
          <w:tcPr>
            <w:tcW w:w="1019"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1600</w:t>
            </w:r>
          </w:p>
        </w:tc>
        <w:tc>
          <w:tcPr>
            <w:tcW w:w="1222"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1.0m/s</w:t>
            </w:r>
          </w:p>
        </w:tc>
        <w:tc>
          <w:tcPr>
            <w:tcW w:w="1731"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5层5站5门</w:t>
            </w:r>
          </w:p>
        </w:tc>
        <w:tc>
          <w:tcPr>
            <w:tcW w:w="548"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3</w:t>
            </w:r>
          </w:p>
        </w:tc>
        <w:tc>
          <w:tcPr>
            <w:tcW w:w="857"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DT16</w:t>
            </w:r>
          </w:p>
        </w:tc>
        <w:tc>
          <w:tcPr>
            <w:tcW w:w="1312" w:type="dxa"/>
            <w:tcBorders>
              <w:tl2br w:val="nil"/>
              <w:tr2bl w:val="nil"/>
            </w:tcBorders>
            <w:shd w:val="clear" w:color="auto" w:fill="C5E0B3" w:themeFill="accent6" w:themeFillTint="66"/>
            <w:vAlign w:val="center"/>
          </w:tcPr>
          <w:p>
            <w:pPr>
              <w:widowControl/>
              <w:adjustRightInd w:val="0"/>
              <w:snapToGrid w:val="0"/>
              <w:jc w:val="center"/>
              <w:textAlignment w:val="center"/>
              <w:rPr>
                <w:rFonts w:ascii="宋体" w:hAnsi="宋体" w:cs="宋体"/>
                <w:color w:val="000000"/>
                <w:szCs w:val="21"/>
              </w:rPr>
            </w:pPr>
            <w:r>
              <w:rPr>
                <w:rFonts w:hint="eastAsia" w:ascii="宋体" w:hAnsi="宋体" w:cs="宋体"/>
                <w:color w:val="000000"/>
                <w:szCs w:val="21"/>
              </w:rPr>
              <w:t>2027年</w:t>
            </w:r>
          </w:p>
        </w:tc>
      </w:tr>
    </w:tbl>
    <w:p>
      <w:pPr>
        <w:rPr>
          <w:rFonts w:ascii="宋体" w:hAnsi="宋体" w:cs="宋体"/>
          <w:b/>
          <w:bCs/>
          <w:sz w:val="30"/>
          <w:szCs w:val="30"/>
        </w:rPr>
      </w:pPr>
      <w:r>
        <w:br w:type="page"/>
      </w:r>
      <w:r>
        <w:rPr>
          <w:rFonts w:hint="eastAsia" w:ascii="宋体" w:hAnsi="宋体" w:cs="宋体"/>
          <w:b/>
          <w:bCs/>
          <w:sz w:val="30"/>
          <w:szCs w:val="30"/>
        </w:rPr>
        <w:t>附件3</w:t>
      </w:r>
    </w:p>
    <w:p>
      <w:pPr>
        <w:jc w:val="center"/>
        <w:rPr>
          <w:rFonts w:ascii="宋体" w:hAnsi="宋体" w:cs="宋体"/>
          <w:b/>
          <w:bCs/>
          <w:sz w:val="30"/>
          <w:szCs w:val="30"/>
        </w:rPr>
      </w:pPr>
      <w:r>
        <w:rPr>
          <w:rFonts w:hint="eastAsia" w:ascii="宋体" w:hAnsi="宋体" w:cs="宋体"/>
          <w:b/>
          <w:bCs/>
          <w:kern w:val="2"/>
          <w:sz w:val="30"/>
          <w:szCs w:val="30"/>
        </w:rPr>
        <w:t>现有故障主要部件更换清单</w:t>
      </w:r>
    </w:p>
    <w:tbl>
      <w:tblPr>
        <w:tblStyle w:val="10"/>
        <w:tblW w:w="1094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4"/>
        <w:gridCol w:w="780"/>
        <w:gridCol w:w="1347"/>
        <w:gridCol w:w="1075"/>
        <w:gridCol w:w="900"/>
        <w:gridCol w:w="703"/>
        <w:gridCol w:w="674"/>
        <w:gridCol w:w="993"/>
        <w:gridCol w:w="1477"/>
        <w:gridCol w:w="427"/>
        <w:gridCol w:w="427"/>
        <w:gridCol w:w="807"/>
        <w:gridCol w:w="8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24" w:type="dxa"/>
            <w:noWrap/>
            <w:vAlign w:val="center"/>
          </w:tcPr>
          <w:p>
            <w:pPr>
              <w:widowControl/>
              <w:jc w:val="center"/>
              <w:rPr>
                <w:rFonts w:ascii="宋体" w:hAnsi="宋体" w:cs="宋体"/>
                <w:b/>
                <w:bCs/>
                <w:color w:val="000000"/>
                <w:szCs w:val="21"/>
              </w:rPr>
            </w:pPr>
            <w:r>
              <w:rPr>
                <w:rFonts w:hint="eastAsia" w:ascii="宋体" w:hAnsi="宋体" w:cs="宋体"/>
                <w:b/>
                <w:bCs/>
                <w:color w:val="000000"/>
                <w:szCs w:val="21"/>
              </w:rPr>
              <w:t>序号</w:t>
            </w:r>
          </w:p>
        </w:tc>
        <w:tc>
          <w:tcPr>
            <w:tcW w:w="780" w:type="dxa"/>
            <w:noWrap/>
            <w:vAlign w:val="center"/>
          </w:tcPr>
          <w:p>
            <w:pPr>
              <w:widowControl/>
              <w:jc w:val="center"/>
              <w:rPr>
                <w:rFonts w:ascii="宋体" w:hAnsi="宋体" w:cs="宋体"/>
                <w:b/>
                <w:bCs/>
                <w:color w:val="000000"/>
                <w:szCs w:val="21"/>
              </w:rPr>
            </w:pPr>
            <w:r>
              <w:rPr>
                <w:rFonts w:hint="eastAsia" w:ascii="宋体" w:hAnsi="宋体" w:cs="宋体"/>
                <w:b/>
                <w:bCs/>
                <w:color w:val="000000"/>
                <w:szCs w:val="21"/>
              </w:rPr>
              <w:t>电梯品牌</w:t>
            </w:r>
          </w:p>
        </w:tc>
        <w:tc>
          <w:tcPr>
            <w:tcW w:w="1347" w:type="dxa"/>
            <w:noWrap/>
            <w:vAlign w:val="center"/>
          </w:tcPr>
          <w:p>
            <w:pPr>
              <w:widowControl/>
              <w:jc w:val="center"/>
              <w:rPr>
                <w:rFonts w:ascii="宋体" w:hAnsi="宋体" w:cs="宋体"/>
                <w:b/>
                <w:bCs/>
                <w:color w:val="000000"/>
                <w:szCs w:val="21"/>
              </w:rPr>
            </w:pPr>
            <w:r>
              <w:rPr>
                <w:rFonts w:hint="eastAsia" w:ascii="宋体" w:hAnsi="宋体" w:cs="宋体"/>
                <w:b/>
                <w:bCs/>
                <w:color w:val="000000"/>
                <w:szCs w:val="21"/>
              </w:rPr>
              <w:t>型号</w:t>
            </w:r>
          </w:p>
        </w:tc>
        <w:tc>
          <w:tcPr>
            <w:tcW w:w="1075" w:type="dxa"/>
            <w:noWrap/>
            <w:vAlign w:val="center"/>
          </w:tcPr>
          <w:p>
            <w:pPr>
              <w:widowControl/>
              <w:jc w:val="center"/>
              <w:rPr>
                <w:rFonts w:ascii="宋体" w:hAnsi="宋体" w:cs="宋体"/>
                <w:b/>
                <w:bCs/>
                <w:color w:val="000000"/>
                <w:szCs w:val="21"/>
              </w:rPr>
            </w:pPr>
            <w:r>
              <w:rPr>
                <w:rFonts w:hint="eastAsia" w:ascii="宋体" w:hAnsi="宋体" w:cs="宋体"/>
                <w:b/>
                <w:bCs/>
                <w:color w:val="000000"/>
                <w:szCs w:val="21"/>
              </w:rPr>
              <w:t>产品编号</w:t>
            </w:r>
          </w:p>
        </w:tc>
        <w:tc>
          <w:tcPr>
            <w:tcW w:w="900" w:type="dxa"/>
            <w:noWrap/>
            <w:vAlign w:val="center"/>
          </w:tcPr>
          <w:p>
            <w:pPr>
              <w:widowControl/>
              <w:jc w:val="center"/>
              <w:rPr>
                <w:rFonts w:ascii="宋体" w:hAnsi="宋体" w:cs="宋体"/>
                <w:b/>
                <w:bCs/>
                <w:color w:val="000000"/>
                <w:szCs w:val="21"/>
              </w:rPr>
            </w:pPr>
            <w:r>
              <w:rPr>
                <w:rFonts w:hint="eastAsia" w:ascii="宋体" w:hAnsi="宋体" w:cs="宋体"/>
                <w:b/>
                <w:bCs/>
                <w:color w:val="000000"/>
                <w:szCs w:val="21"/>
              </w:rPr>
              <w:t>额定载重量</w:t>
            </w:r>
          </w:p>
        </w:tc>
        <w:tc>
          <w:tcPr>
            <w:tcW w:w="703" w:type="dxa"/>
            <w:noWrap/>
            <w:vAlign w:val="center"/>
          </w:tcPr>
          <w:p>
            <w:pPr>
              <w:widowControl/>
              <w:jc w:val="center"/>
              <w:rPr>
                <w:rFonts w:ascii="宋体" w:hAnsi="宋体" w:cs="宋体"/>
                <w:b/>
                <w:bCs/>
                <w:color w:val="000000"/>
                <w:szCs w:val="21"/>
              </w:rPr>
            </w:pPr>
            <w:r>
              <w:rPr>
                <w:rFonts w:hint="eastAsia" w:ascii="宋体" w:hAnsi="宋体" w:cs="宋体"/>
                <w:b/>
                <w:bCs/>
                <w:color w:val="000000"/>
                <w:szCs w:val="21"/>
              </w:rPr>
              <w:t>额定速度</w:t>
            </w:r>
          </w:p>
        </w:tc>
        <w:tc>
          <w:tcPr>
            <w:tcW w:w="674" w:type="dxa"/>
            <w:noWrap/>
            <w:vAlign w:val="center"/>
          </w:tcPr>
          <w:p>
            <w:pPr>
              <w:widowControl/>
              <w:jc w:val="center"/>
              <w:rPr>
                <w:rFonts w:ascii="宋体" w:hAnsi="宋体" w:cs="宋体"/>
                <w:b/>
                <w:bCs/>
                <w:color w:val="000000"/>
                <w:szCs w:val="21"/>
              </w:rPr>
            </w:pPr>
            <w:r>
              <w:rPr>
                <w:rFonts w:hint="eastAsia" w:ascii="宋体" w:hAnsi="宋体" w:cs="宋体"/>
                <w:b/>
                <w:bCs/>
                <w:color w:val="000000"/>
                <w:szCs w:val="21"/>
              </w:rPr>
              <w:t>位置</w:t>
            </w:r>
          </w:p>
        </w:tc>
        <w:tc>
          <w:tcPr>
            <w:tcW w:w="993" w:type="dxa"/>
            <w:noWrap/>
            <w:vAlign w:val="center"/>
          </w:tcPr>
          <w:p>
            <w:pPr>
              <w:jc w:val="center"/>
              <w:rPr>
                <w:rFonts w:ascii="宋体" w:hAnsi="宋体" w:cs="宋体"/>
                <w:b/>
                <w:bCs/>
                <w:szCs w:val="21"/>
              </w:rPr>
            </w:pPr>
            <w:r>
              <w:rPr>
                <w:rFonts w:hint="eastAsia" w:ascii="宋体" w:hAnsi="宋体" w:cs="宋体"/>
                <w:b/>
                <w:bCs/>
                <w:szCs w:val="21"/>
              </w:rPr>
              <w:t>大修部件</w:t>
            </w:r>
          </w:p>
        </w:tc>
        <w:tc>
          <w:tcPr>
            <w:tcW w:w="1477" w:type="dxa"/>
            <w:noWrap/>
            <w:vAlign w:val="center"/>
          </w:tcPr>
          <w:p>
            <w:pPr>
              <w:jc w:val="center"/>
              <w:rPr>
                <w:rFonts w:ascii="宋体" w:hAnsi="宋体" w:cs="宋体"/>
                <w:b/>
                <w:bCs/>
                <w:szCs w:val="21"/>
              </w:rPr>
            </w:pPr>
            <w:r>
              <w:rPr>
                <w:rFonts w:hint="eastAsia" w:ascii="宋体" w:hAnsi="宋体" w:cs="宋体"/>
                <w:b/>
                <w:bCs/>
                <w:szCs w:val="21"/>
              </w:rPr>
              <w:t>规格型号</w:t>
            </w:r>
          </w:p>
        </w:tc>
        <w:tc>
          <w:tcPr>
            <w:tcW w:w="427" w:type="dxa"/>
            <w:noWrap/>
            <w:vAlign w:val="center"/>
          </w:tcPr>
          <w:p>
            <w:pPr>
              <w:jc w:val="center"/>
              <w:rPr>
                <w:rFonts w:ascii="宋体" w:hAnsi="宋体" w:cs="宋体"/>
                <w:b/>
                <w:bCs/>
                <w:szCs w:val="21"/>
              </w:rPr>
            </w:pPr>
            <w:r>
              <w:rPr>
                <w:rFonts w:hint="eastAsia" w:ascii="宋体" w:hAnsi="宋体" w:cs="宋体"/>
                <w:b/>
                <w:bCs/>
                <w:szCs w:val="21"/>
              </w:rPr>
              <w:t>单位</w:t>
            </w:r>
          </w:p>
        </w:tc>
        <w:tc>
          <w:tcPr>
            <w:tcW w:w="427" w:type="dxa"/>
            <w:noWrap/>
            <w:vAlign w:val="center"/>
          </w:tcPr>
          <w:p>
            <w:pPr>
              <w:jc w:val="center"/>
              <w:rPr>
                <w:rFonts w:ascii="宋体" w:hAnsi="宋体" w:cs="宋体"/>
                <w:b/>
                <w:bCs/>
                <w:szCs w:val="21"/>
              </w:rPr>
            </w:pPr>
            <w:r>
              <w:rPr>
                <w:rFonts w:hint="eastAsia" w:ascii="宋体" w:hAnsi="宋体" w:cs="宋体"/>
                <w:b/>
                <w:bCs/>
                <w:szCs w:val="21"/>
              </w:rPr>
              <w:t>数量</w:t>
            </w:r>
          </w:p>
        </w:tc>
        <w:tc>
          <w:tcPr>
            <w:tcW w:w="807" w:type="dxa"/>
            <w:noWrap/>
            <w:vAlign w:val="center"/>
          </w:tcPr>
          <w:p>
            <w:pPr>
              <w:jc w:val="center"/>
              <w:rPr>
                <w:rFonts w:ascii="宋体" w:hAnsi="宋体" w:cs="宋体"/>
                <w:b/>
                <w:bCs/>
                <w:szCs w:val="21"/>
              </w:rPr>
            </w:pPr>
            <w:r>
              <w:rPr>
                <w:rFonts w:hint="eastAsia" w:ascii="宋体" w:hAnsi="宋体" w:cs="宋体"/>
                <w:b/>
                <w:bCs/>
                <w:szCs w:val="21"/>
              </w:rPr>
              <w:t>备注</w:t>
            </w:r>
          </w:p>
        </w:tc>
        <w:tc>
          <w:tcPr>
            <w:tcW w:w="807" w:type="dxa"/>
            <w:noWrap/>
            <w:vAlign w:val="center"/>
          </w:tcPr>
          <w:p>
            <w:pPr>
              <w:jc w:val="center"/>
              <w:rPr>
                <w:rFonts w:ascii="宋体" w:hAnsi="宋体" w:cs="宋体"/>
                <w:b/>
                <w:bCs/>
                <w:szCs w:val="21"/>
              </w:rPr>
            </w:pPr>
            <w:r>
              <w:rPr>
                <w:rFonts w:hint="eastAsia" w:ascii="宋体" w:hAnsi="宋体" w:cs="宋体"/>
                <w:b/>
                <w:bCs/>
                <w:szCs w:val="21"/>
              </w:rPr>
              <w:t>价格（元）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24" w:type="dxa"/>
            <w:noWrap/>
            <w:vAlign w:val="center"/>
          </w:tcPr>
          <w:p>
            <w:pPr>
              <w:widowControl/>
              <w:jc w:val="center"/>
              <w:rPr>
                <w:rFonts w:ascii="宋体" w:hAnsi="宋体" w:cs="宋体"/>
                <w:color w:val="000000"/>
                <w:szCs w:val="21"/>
              </w:rPr>
            </w:pPr>
            <w:r>
              <w:rPr>
                <w:rFonts w:hint="eastAsia" w:ascii="宋体" w:hAnsi="宋体" w:cs="宋体"/>
                <w:color w:val="000000"/>
                <w:szCs w:val="21"/>
              </w:rPr>
              <w:t>1</w:t>
            </w:r>
          </w:p>
        </w:tc>
        <w:tc>
          <w:tcPr>
            <w:tcW w:w="780" w:type="dxa"/>
            <w:vMerge w:val="restart"/>
            <w:noWrap/>
            <w:vAlign w:val="center"/>
          </w:tcPr>
          <w:p>
            <w:pPr>
              <w:widowControl/>
              <w:jc w:val="center"/>
              <w:rPr>
                <w:rFonts w:ascii="宋体" w:hAnsi="宋体" w:cs="宋体"/>
                <w:color w:val="000000"/>
                <w:szCs w:val="21"/>
              </w:rPr>
            </w:pPr>
            <w:r>
              <w:rPr>
                <w:rFonts w:hint="eastAsia" w:ascii="宋体" w:hAnsi="宋体" w:cs="宋体"/>
                <w:color w:val="000000"/>
                <w:szCs w:val="21"/>
              </w:rPr>
              <w:t>Otis</w:t>
            </w:r>
          </w:p>
        </w:tc>
        <w:tc>
          <w:tcPr>
            <w:tcW w:w="1347" w:type="dxa"/>
            <w:vMerge w:val="restart"/>
            <w:noWrap/>
            <w:vAlign w:val="center"/>
          </w:tcPr>
          <w:p>
            <w:pPr>
              <w:widowControl/>
              <w:jc w:val="center"/>
              <w:rPr>
                <w:rFonts w:ascii="宋体" w:hAnsi="宋体" w:cs="宋体"/>
                <w:color w:val="000000"/>
                <w:szCs w:val="21"/>
              </w:rPr>
            </w:pPr>
            <w:r>
              <w:rPr>
                <w:rFonts w:hint="eastAsia" w:ascii="宋体" w:hAnsi="宋体" w:cs="宋体"/>
                <w:color w:val="000000"/>
                <w:szCs w:val="21"/>
              </w:rPr>
              <w:t>GeN2 CN-MRL</w:t>
            </w:r>
          </w:p>
        </w:tc>
        <w:tc>
          <w:tcPr>
            <w:tcW w:w="1075" w:type="dxa"/>
            <w:vMerge w:val="restart"/>
            <w:noWrap/>
            <w:vAlign w:val="center"/>
          </w:tcPr>
          <w:p>
            <w:pPr>
              <w:widowControl/>
              <w:jc w:val="center"/>
              <w:rPr>
                <w:rFonts w:ascii="宋体" w:hAnsi="宋体" w:cs="宋体"/>
                <w:color w:val="000000"/>
                <w:szCs w:val="21"/>
              </w:rPr>
            </w:pPr>
            <w:r>
              <w:rPr>
                <w:rFonts w:hint="eastAsia" w:ascii="宋体" w:hAnsi="宋体" w:cs="宋体"/>
                <w:color w:val="000000"/>
                <w:szCs w:val="21"/>
              </w:rPr>
              <w:t>R2NE1654</w:t>
            </w:r>
          </w:p>
        </w:tc>
        <w:tc>
          <w:tcPr>
            <w:tcW w:w="900" w:type="dxa"/>
            <w:vMerge w:val="restart"/>
            <w:noWrap/>
            <w:vAlign w:val="center"/>
          </w:tcPr>
          <w:p>
            <w:pPr>
              <w:widowControl/>
              <w:jc w:val="center"/>
              <w:rPr>
                <w:rFonts w:ascii="宋体" w:hAnsi="宋体" w:cs="宋体"/>
                <w:color w:val="000000"/>
                <w:szCs w:val="21"/>
              </w:rPr>
            </w:pPr>
            <w:r>
              <w:rPr>
                <w:rFonts w:hint="eastAsia" w:ascii="宋体" w:hAnsi="宋体" w:cs="宋体"/>
                <w:color w:val="000000"/>
                <w:szCs w:val="21"/>
              </w:rPr>
              <w:t>1600kg</w:t>
            </w:r>
          </w:p>
        </w:tc>
        <w:tc>
          <w:tcPr>
            <w:tcW w:w="703" w:type="dxa"/>
            <w:vMerge w:val="restart"/>
            <w:noWrap/>
            <w:vAlign w:val="center"/>
          </w:tcPr>
          <w:p>
            <w:pPr>
              <w:widowControl/>
              <w:jc w:val="center"/>
              <w:rPr>
                <w:rFonts w:ascii="宋体" w:hAnsi="宋体" w:cs="宋体"/>
                <w:color w:val="000000"/>
                <w:szCs w:val="21"/>
              </w:rPr>
            </w:pPr>
            <w:r>
              <w:rPr>
                <w:rFonts w:hint="eastAsia" w:ascii="宋体" w:hAnsi="宋体" w:cs="宋体"/>
                <w:color w:val="000000"/>
                <w:szCs w:val="21"/>
              </w:rPr>
              <w:t>1m/s</w:t>
            </w:r>
          </w:p>
        </w:tc>
        <w:tc>
          <w:tcPr>
            <w:tcW w:w="674" w:type="dxa"/>
            <w:vMerge w:val="restart"/>
            <w:noWrap/>
            <w:vAlign w:val="center"/>
          </w:tcPr>
          <w:p>
            <w:pPr>
              <w:widowControl/>
              <w:jc w:val="center"/>
              <w:rPr>
                <w:rFonts w:ascii="宋体" w:hAnsi="宋体" w:cs="宋体"/>
                <w:color w:val="000000"/>
                <w:szCs w:val="21"/>
              </w:rPr>
            </w:pPr>
            <w:r>
              <w:rPr>
                <w:rFonts w:hint="eastAsia" w:ascii="宋体" w:hAnsi="宋体" w:cs="宋体"/>
                <w:color w:val="000000"/>
                <w:szCs w:val="21"/>
              </w:rPr>
              <w:t>门诊1#电梯</w:t>
            </w:r>
          </w:p>
        </w:tc>
        <w:tc>
          <w:tcPr>
            <w:tcW w:w="993" w:type="dxa"/>
            <w:noWrap/>
            <w:vAlign w:val="center"/>
          </w:tcPr>
          <w:p>
            <w:pPr>
              <w:jc w:val="center"/>
              <w:rPr>
                <w:rFonts w:ascii="宋体" w:hAnsi="宋体" w:cs="宋体"/>
                <w:szCs w:val="21"/>
              </w:rPr>
            </w:pPr>
            <w:r>
              <w:rPr>
                <w:rFonts w:hint="eastAsia" w:ascii="宋体" w:hAnsi="宋体" w:cs="宋体"/>
                <w:szCs w:val="21"/>
              </w:rPr>
              <w:t>钢带</w:t>
            </w:r>
          </w:p>
        </w:tc>
        <w:tc>
          <w:tcPr>
            <w:tcW w:w="1477" w:type="dxa"/>
            <w:noWrap/>
            <w:vAlign w:val="center"/>
          </w:tcPr>
          <w:p>
            <w:pPr>
              <w:jc w:val="center"/>
              <w:rPr>
                <w:rFonts w:ascii="宋体" w:hAnsi="宋体" w:cs="宋体"/>
                <w:szCs w:val="21"/>
              </w:rPr>
            </w:pPr>
            <w:r>
              <w:rPr>
                <w:rFonts w:hint="eastAsia" w:ascii="宋体" w:hAnsi="宋体" w:cs="宋体"/>
                <w:szCs w:val="21"/>
              </w:rPr>
              <w:t>3.5mm*30mm；</w:t>
            </w:r>
          </w:p>
          <w:p>
            <w:pPr>
              <w:jc w:val="center"/>
              <w:rPr>
                <w:rFonts w:ascii="宋体" w:hAnsi="宋体" w:cs="宋体"/>
                <w:szCs w:val="21"/>
              </w:rPr>
            </w:pPr>
            <w:r>
              <w:rPr>
                <w:rFonts w:hint="eastAsia" w:ascii="宋体" w:hAnsi="宋体" w:cs="宋体"/>
                <w:szCs w:val="21"/>
              </w:rPr>
              <w:t>220米</w:t>
            </w:r>
          </w:p>
        </w:tc>
        <w:tc>
          <w:tcPr>
            <w:tcW w:w="427" w:type="dxa"/>
            <w:noWrap/>
            <w:vAlign w:val="center"/>
          </w:tcPr>
          <w:p>
            <w:pPr>
              <w:jc w:val="center"/>
              <w:rPr>
                <w:rFonts w:ascii="宋体" w:hAnsi="宋体" w:cs="宋体"/>
                <w:szCs w:val="21"/>
              </w:rPr>
            </w:pPr>
            <w:r>
              <w:rPr>
                <w:rFonts w:hint="eastAsia" w:ascii="宋体" w:hAnsi="宋体" w:cs="宋体"/>
                <w:szCs w:val="21"/>
              </w:rPr>
              <w:t>台</w:t>
            </w:r>
          </w:p>
        </w:tc>
        <w:tc>
          <w:tcPr>
            <w:tcW w:w="427" w:type="dxa"/>
            <w:noWrap/>
            <w:vAlign w:val="center"/>
          </w:tcPr>
          <w:p>
            <w:pPr>
              <w:jc w:val="center"/>
              <w:rPr>
                <w:rFonts w:ascii="宋体" w:hAnsi="宋体" w:cs="宋体"/>
                <w:szCs w:val="21"/>
              </w:rPr>
            </w:pPr>
            <w:r>
              <w:rPr>
                <w:rFonts w:hint="eastAsia" w:ascii="宋体" w:hAnsi="宋体" w:cs="宋体"/>
                <w:szCs w:val="21"/>
              </w:rPr>
              <w:t>1</w:t>
            </w:r>
          </w:p>
        </w:tc>
        <w:tc>
          <w:tcPr>
            <w:tcW w:w="807" w:type="dxa"/>
            <w:noWrap/>
            <w:vAlign w:val="center"/>
          </w:tcPr>
          <w:p>
            <w:pPr>
              <w:jc w:val="center"/>
              <w:rPr>
                <w:rFonts w:ascii="宋体" w:hAnsi="宋体" w:cs="宋体"/>
                <w:szCs w:val="21"/>
              </w:rPr>
            </w:pPr>
            <w:r>
              <w:rPr>
                <w:rFonts w:hint="eastAsia" w:ascii="宋体" w:hAnsi="宋体" w:cs="宋体"/>
                <w:szCs w:val="21"/>
              </w:rPr>
              <w:t>Otis 原厂</w:t>
            </w:r>
          </w:p>
        </w:tc>
        <w:tc>
          <w:tcPr>
            <w:tcW w:w="807" w:type="dxa"/>
            <w:noWrap/>
            <w:vAlign w:val="center"/>
          </w:tcPr>
          <w:p>
            <w:pPr>
              <w:jc w:val="center"/>
              <w:rPr>
                <w:rFonts w:ascii="宋体" w:hAnsi="宋体" w:cs="宋体"/>
                <w:szCs w:val="21"/>
              </w:rPr>
            </w:pPr>
            <w:r>
              <w:rPr>
                <w:rFonts w:hint="eastAsia" w:ascii="宋体" w:hAnsi="宋体" w:cs="宋体"/>
                <w:szCs w:val="21"/>
              </w:rPr>
              <w:t>22000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24" w:type="dxa"/>
            <w:noWrap/>
            <w:vAlign w:val="center"/>
          </w:tcPr>
          <w:p>
            <w:pPr>
              <w:widowControl/>
              <w:jc w:val="center"/>
              <w:rPr>
                <w:rFonts w:ascii="宋体" w:hAnsi="宋体" w:cs="宋体"/>
                <w:color w:val="000000"/>
                <w:szCs w:val="21"/>
              </w:rPr>
            </w:pPr>
            <w:r>
              <w:rPr>
                <w:rFonts w:hint="eastAsia" w:ascii="宋体" w:hAnsi="宋体" w:cs="宋体"/>
                <w:color w:val="000000"/>
                <w:szCs w:val="21"/>
              </w:rPr>
              <w:t>2</w:t>
            </w:r>
          </w:p>
        </w:tc>
        <w:tc>
          <w:tcPr>
            <w:tcW w:w="780" w:type="dxa"/>
            <w:vMerge w:val="continue"/>
            <w:noWrap/>
            <w:vAlign w:val="center"/>
          </w:tcPr>
          <w:p>
            <w:pPr>
              <w:widowControl/>
              <w:jc w:val="center"/>
              <w:rPr>
                <w:rFonts w:ascii="宋体" w:hAnsi="宋体" w:cs="宋体"/>
                <w:color w:val="000000"/>
                <w:szCs w:val="21"/>
              </w:rPr>
            </w:pPr>
          </w:p>
        </w:tc>
        <w:tc>
          <w:tcPr>
            <w:tcW w:w="1347" w:type="dxa"/>
            <w:vMerge w:val="continue"/>
            <w:noWrap/>
            <w:vAlign w:val="center"/>
          </w:tcPr>
          <w:p>
            <w:pPr>
              <w:widowControl/>
              <w:jc w:val="center"/>
              <w:rPr>
                <w:rFonts w:ascii="宋体" w:hAnsi="宋体" w:cs="宋体"/>
                <w:color w:val="000000"/>
                <w:szCs w:val="21"/>
              </w:rPr>
            </w:pPr>
          </w:p>
        </w:tc>
        <w:tc>
          <w:tcPr>
            <w:tcW w:w="1075" w:type="dxa"/>
            <w:vMerge w:val="continue"/>
            <w:noWrap/>
            <w:vAlign w:val="center"/>
          </w:tcPr>
          <w:p>
            <w:pPr>
              <w:widowControl/>
              <w:jc w:val="center"/>
              <w:rPr>
                <w:rFonts w:ascii="宋体" w:hAnsi="宋体" w:cs="宋体"/>
                <w:color w:val="000000"/>
                <w:szCs w:val="21"/>
              </w:rPr>
            </w:pPr>
          </w:p>
        </w:tc>
        <w:tc>
          <w:tcPr>
            <w:tcW w:w="900" w:type="dxa"/>
            <w:vMerge w:val="continue"/>
            <w:noWrap/>
            <w:vAlign w:val="center"/>
          </w:tcPr>
          <w:p>
            <w:pPr>
              <w:widowControl/>
              <w:jc w:val="center"/>
              <w:rPr>
                <w:rFonts w:ascii="宋体" w:hAnsi="宋体" w:cs="宋体"/>
                <w:color w:val="000000"/>
                <w:szCs w:val="21"/>
              </w:rPr>
            </w:pPr>
          </w:p>
        </w:tc>
        <w:tc>
          <w:tcPr>
            <w:tcW w:w="703" w:type="dxa"/>
            <w:vMerge w:val="continue"/>
            <w:noWrap/>
            <w:vAlign w:val="center"/>
          </w:tcPr>
          <w:p>
            <w:pPr>
              <w:widowControl/>
              <w:jc w:val="center"/>
              <w:rPr>
                <w:rFonts w:ascii="宋体" w:hAnsi="宋体" w:cs="宋体"/>
                <w:color w:val="000000"/>
                <w:szCs w:val="21"/>
              </w:rPr>
            </w:pPr>
          </w:p>
        </w:tc>
        <w:tc>
          <w:tcPr>
            <w:tcW w:w="674" w:type="dxa"/>
            <w:vMerge w:val="continue"/>
            <w:noWrap/>
            <w:vAlign w:val="center"/>
          </w:tcPr>
          <w:p>
            <w:pPr>
              <w:widowControl/>
              <w:jc w:val="center"/>
              <w:rPr>
                <w:rFonts w:ascii="宋体" w:hAnsi="宋体" w:cs="宋体"/>
                <w:color w:val="000000"/>
                <w:szCs w:val="21"/>
              </w:rPr>
            </w:pPr>
          </w:p>
        </w:tc>
        <w:tc>
          <w:tcPr>
            <w:tcW w:w="993" w:type="dxa"/>
            <w:noWrap/>
            <w:vAlign w:val="center"/>
          </w:tcPr>
          <w:p>
            <w:pPr>
              <w:jc w:val="center"/>
              <w:rPr>
                <w:rFonts w:ascii="宋体" w:hAnsi="宋体" w:cs="宋体"/>
                <w:szCs w:val="21"/>
              </w:rPr>
            </w:pPr>
            <w:r>
              <w:rPr>
                <w:rFonts w:hint="eastAsia" w:ascii="宋体" w:hAnsi="宋体" w:cs="宋体"/>
                <w:szCs w:val="21"/>
              </w:rPr>
              <w:t>变频器</w:t>
            </w:r>
          </w:p>
        </w:tc>
        <w:tc>
          <w:tcPr>
            <w:tcW w:w="1477" w:type="dxa"/>
            <w:noWrap/>
            <w:vAlign w:val="center"/>
          </w:tcPr>
          <w:p>
            <w:pPr>
              <w:jc w:val="center"/>
              <w:rPr>
                <w:rFonts w:ascii="宋体" w:hAnsi="宋体" w:cs="宋体"/>
                <w:szCs w:val="21"/>
              </w:rPr>
            </w:pPr>
            <w:r>
              <w:rPr>
                <w:rFonts w:hint="eastAsia" w:ascii="宋体" w:hAnsi="宋体" w:cs="宋体"/>
                <w:szCs w:val="21"/>
              </w:rPr>
              <w:t>OVFR2B-404</w:t>
            </w:r>
          </w:p>
        </w:tc>
        <w:tc>
          <w:tcPr>
            <w:tcW w:w="427" w:type="dxa"/>
            <w:noWrap/>
            <w:vAlign w:val="center"/>
          </w:tcPr>
          <w:p>
            <w:pPr>
              <w:jc w:val="center"/>
              <w:rPr>
                <w:rFonts w:ascii="宋体" w:hAnsi="宋体" w:cs="宋体"/>
                <w:szCs w:val="21"/>
              </w:rPr>
            </w:pPr>
            <w:r>
              <w:rPr>
                <w:rFonts w:hint="eastAsia" w:ascii="宋体" w:hAnsi="宋体" w:cs="宋体"/>
                <w:szCs w:val="21"/>
              </w:rPr>
              <w:t>套</w:t>
            </w:r>
          </w:p>
        </w:tc>
        <w:tc>
          <w:tcPr>
            <w:tcW w:w="427" w:type="dxa"/>
            <w:noWrap/>
            <w:vAlign w:val="center"/>
          </w:tcPr>
          <w:p>
            <w:pPr>
              <w:jc w:val="center"/>
              <w:rPr>
                <w:rFonts w:ascii="宋体" w:hAnsi="宋体" w:cs="宋体"/>
                <w:szCs w:val="21"/>
              </w:rPr>
            </w:pPr>
            <w:r>
              <w:rPr>
                <w:rFonts w:hint="eastAsia" w:ascii="宋体" w:hAnsi="宋体" w:cs="宋体"/>
                <w:szCs w:val="21"/>
              </w:rPr>
              <w:t>1</w:t>
            </w:r>
          </w:p>
        </w:tc>
        <w:tc>
          <w:tcPr>
            <w:tcW w:w="807" w:type="dxa"/>
            <w:noWrap/>
            <w:vAlign w:val="center"/>
          </w:tcPr>
          <w:p>
            <w:pPr>
              <w:jc w:val="center"/>
              <w:rPr>
                <w:rFonts w:ascii="宋体" w:hAnsi="宋体" w:cs="宋体"/>
                <w:szCs w:val="21"/>
              </w:rPr>
            </w:pPr>
            <w:r>
              <w:rPr>
                <w:rFonts w:hint="eastAsia" w:ascii="宋体" w:hAnsi="宋体" w:cs="宋体"/>
                <w:szCs w:val="21"/>
              </w:rPr>
              <w:t>Otis 原厂</w:t>
            </w:r>
          </w:p>
        </w:tc>
        <w:tc>
          <w:tcPr>
            <w:tcW w:w="807" w:type="dxa"/>
            <w:noWrap/>
            <w:vAlign w:val="center"/>
          </w:tcPr>
          <w:p>
            <w:pPr>
              <w:jc w:val="center"/>
              <w:rPr>
                <w:rFonts w:ascii="宋体" w:hAnsi="宋体" w:cs="宋体"/>
                <w:szCs w:val="21"/>
              </w:rPr>
            </w:pPr>
            <w:r>
              <w:rPr>
                <w:rFonts w:hint="eastAsia" w:ascii="宋体" w:hAnsi="宋体" w:cs="宋体"/>
                <w:szCs w:val="21"/>
              </w:rPr>
              <w:t>9000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24" w:type="dxa"/>
            <w:noWrap/>
            <w:vAlign w:val="center"/>
          </w:tcPr>
          <w:p>
            <w:pPr>
              <w:widowControl/>
              <w:jc w:val="center"/>
              <w:rPr>
                <w:rFonts w:ascii="宋体" w:hAnsi="宋体" w:cs="宋体"/>
                <w:color w:val="000000"/>
                <w:szCs w:val="21"/>
              </w:rPr>
            </w:pPr>
            <w:r>
              <w:rPr>
                <w:rFonts w:hint="eastAsia" w:ascii="宋体" w:hAnsi="宋体" w:cs="宋体"/>
                <w:color w:val="000000"/>
                <w:szCs w:val="21"/>
              </w:rPr>
              <w:t>3</w:t>
            </w:r>
          </w:p>
        </w:tc>
        <w:tc>
          <w:tcPr>
            <w:tcW w:w="780" w:type="dxa"/>
            <w:vMerge w:val="continue"/>
            <w:noWrap/>
            <w:vAlign w:val="center"/>
          </w:tcPr>
          <w:p>
            <w:pPr>
              <w:widowControl/>
              <w:jc w:val="center"/>
              <w:rPr>
                <w:rFonts w:ascii="宋体" w:hAnsi="宋体" w:cs="宋体"/>
                <w:color w:val="000000"/>
                <w:szCs w:val="21"/>
              </w:rPr>
            </w:pPr>
          </w:p>
        </w:tc>
        <w:tc>
          <w:tcPr>
            <w:tcW w:w="1347" w:type="dxa"/>
            <w:vMerge w:val="continue"/>
            <w:noWrap/>
            <w:vAlign w:val="center"/>
          </w:tcPr>
          <w:p>
            <w:pPr>
              <w:widowControl/>
              <w:jc w:val="center"/>
              <w:rPr>
                <w:rFonts w:ascii="宋体" w:hAnsi="宋体" w:cs="宋体"/>
                <w:color w:val="000000"/>
                <w:szCs w:val="21"/>
              </w:rPr>
            </w:pPr>
          </w:p>
        </w:tc>
        <w:tc>
          <w:tcPr>
            <w:tcW w:w="1075" w:type="dxa"/>
            <w:vMerge w:val="continue"/>
            <w:noWrap/>
            <w:vAlign w:val="center"/>
          </w:tcPr>
          <w:p>
            <w:pPr>
              <w:widowControl/>
              <w:jc w:val="center"/>
              <w:rPr>
                <w:rFonts w:ascii="宋体" w:hAnsi="宋体" w:cs="宋体"/>
                <w:color w:val="000000"/>
                <w:szCs w:val="21"/>
              </w:rPr>
            </w:pPr>
          </w:p>
        </w:tc>
        <w:tc>
          <w:tcPr>
            <w:tcW w:w="900" w:type="dxa"/>
            <w:vMerge w:val="continue"/>
            <w:noWrap/>
            <w:vAlign w:val="center"/>
          </w:tcPr>
          <w:p>
            <w:pPr>
              <w:widowControl/>
              <w:jc w:val="center"/>
              <w:rPr>
                <w:rFonts w:ascii="宋体" w:hAnsi="宋体" w:cs="宋体"/>
                <w:color w:val="000000"/>
                <w:szCs w:val="21"/>
              </w:rPr>
            </w:pPr>
          </w:p>
        </w:tc>
        <w:tc>
          <w:tcPr>
            <w:tcW w:w="703" w:type="dxa"/>
            <w:vMerge w:val="continue"/>
            <w:noWrap/>
            <w:vAlign w:val="center"/>
          </w:tcPr>
          <w:p>
            <w:pPr>
              <w:widowControl/>
              <w:jc w:val="center"/>
              <w:rPr>
                <w:rFonts w:ascii="宋体" w:hAnsi="宋体" w:cs="宋体"/>
                <w:color w:val="000000"/>
                <w:szCs w:val="21"/>
              </w:rPr>
            </w:pPr>
          </w:p>
        </w:tc>
        <w:tc>
          <w:tcPr>
            <w:tcW w:w="674" w:type="dxa"/>
            <w:vMerge w:val="continue"/>
            <w:noWrap/>
            <w:vAlign w:val="center"/>
          </w:tcPr>
          <w:p>
            <w:pPr>
              <w:widowControl/>
              <w:jc w:val="center"/>
              <w:rPr>
                <w:rFonts w:ascii="宋体" w:hAnsi="宋体" w:cs="宋体"/>
                <w:color w:val="000000"/>
                <w:szCs w:val="21"/>
              </w:rPr>
            </w:pPr>
          </w:p>
        </w:tc>
        <w:tc>
          <w:tcPr>
            <w:tcW w:w="993" w:type="dxa"/>
            <w:noWrap/>
            <w:vAlign w:val="center"/>
          </w:tcPr>
          <w:p>
            <w:pPr>
              <w:jc w:val="center"/>
              <w:rPr>
                <w:rFonts w:ascii="宋体" w:hAnsi="宋体" w:cs="宋体"/>
                <w:szCs w:val="21"/>
              </w:rPr>
            </w:pPr>
            <w:r>
              <w:rPr>
                <w:rFonts w:hint="eastAsia" w:ascii="宋体" w:hAnsi="宋体" w:cs="宋体"/>
                <w:szCs w:val="21"/>
              </w:rPr>
              <w:t>主板</w:t>
            </w:r>
          </w:p>
        </w:tc>
        <w:tc>
          <w:tcPr>
            <w:tcW w:w="1477" w:type="dxa"/>
            <w:noWrap/>
            <w:vAlign w:val="center"/>
          </w:tcPr>
          <w:p>
            <w:pPr>
              <w:jc w:val="center"/>
              <w:rPr>
                <w:rFonts w:ascii="宋体" w:hAnsi="宋体" w:cs="宋体"/>
                <w:szCs w:val="21"/>
              </w:rPr>
            </w:pPr>
            <w:r>
              <w:rPr>
                <w:rFonts w:hint="eastAsia" w:ascii="宋体" w:hAnsi="宋体" w:cs="宋体"/>
                <w:szCs w:val="21"/>
              </w:rPr>
              <w:t>GECB-EN</w:t>
            </w:r>
          </w:p>
        </w:tc>
        <w:tc>
          <w:tcPr>
            <w:tcW w:w="427" w:type="dxa"/>
            <w:noWrap/>
            <w:vAlign w:val="center"/>
          </w:tcPr>
          <w:p>
            <w:pPr>
              <w:jc w:val="center"/>
              <w:rPr>
                <w:rFonts w:ascii="宋体" w:hAnsi="宋体" w:cs="宋体"/>
                <w:szCs w:val="21"/>
              </w:rPr>
            </w:pPr>
            <w:r>
              <w:rPr>
                <w:rFonts w:hint="eastAsia" w:ascii="宋体" w:hAnsi="宋体" w:cs="宋体"/>
                <w:szCs w:val="21"/>
              </w:rPr>
              <w:t>块</w:t>
            </w:r>
          </w:p>
        </w:tc>
        <w:tc>
          <w:tcPr>
            <w:tcW w:w="427" w:type="dxa"/>
            <w:noWrap/>
            <w:vAlign w:val="center"/>
          </w:tcPr>
          <w:p>
            <w:pPr>
              <w:jc w:val="center"/>
              <w:rPr>
                <w:rFonts w:ascii="宋体" w:hAnsi="宋体" w:cs="宋体"/>
                <w:szCs w:val="21"/>
              </w:rPr>
            </w:pPr>
            <w:r>
              <w:rPr>
                <w:rFonts w:hint="eastAsia" w:ascii="宋体" w:hAnsi="宋体" w:cs="宋体"/>
                <w:szCs w:val="21"/>
              </w:rPr>
              <w:t>1</w:t>
            </w:r>
          </w:p>
        </w:tc>
        <w:tc>
          <w:tcPr>
            <w:tcW w:w="807" w:type="dxa"/>
            <w:noWrap/>
            <w:vAlign w:val="center"/>
          </w:tcPr>
          <w:p>
            <w:pPr>
              <w:jc w:val="center"/>
              <w:rPr>
                <w:rFonts w:ascii="宋体" w:hAnsi="宋体" w:cs="宋体"/>
                <w:szCs w:val="21"/>
              </w:rPr>
            </w:pPr>
            <w:r>
              <w:rPr>
                <w:rFonts w:hint="eastAsia" w:ascii="宋体" w:hAnsi="宋体" w:cs="宋体"/>
                <w:szCs w:val="21"/>
              </w:rPr>
              <w:t>Otis 原厂</w:t>
            </w:r>
          </w:p>
        </w:tc>
        <w:tc>
          <w:tcPr>
            <w:tcW w:w="807" w:type="dxa"/>
            <w:noWrap/>
            <w:vAlign w:val="center"/>
          </w:tcPr>
          <w:p>
            <w:pPr>
              <w:jc w:val="center"/>
              <w:rPr>
                <w:rFonts w:ascii="宋体" w:hAnsi="宋体" w:cs="宋体"/>
                <w:szCs w:val="21"/>
              </w:rPr>
            </w:pPr>
            <w:r>
              <w:rPr>
                <w:rFonts w:hint="eastAsia" w:ascii="宋体" w:hAnsi="宋体" w:cs="宋体"/>
                <w:szCs w:val="21"/>
              </w:rPr>
              <w:t>4000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24" w:type="dxa"/>
            <w:noWrap/>
            <w:vAlign w:val="center"/>
          </w:tcPr>
          <w:p>
            <w:pPr>
              <w:widowControl/>
              <w:jc w:val="center"/>
              <w:rPr>
                <w:rFonts w:ascii="宋体" w:hAnsi="宋体" w:cs="宋体"/>
                <w:color w:val="000000"/>
                <w:szCs w:val="21"/>
              </w:rPr>
            </w:pPr>
            <w:r>
              <w:rPr>
                <w:rFonts w:hint="eastAsia" w:ascii="宋体" w:hAnsi="宋体" w:cs="宋体"/>
                <w:color w:val="000000"/>
                <w:szCs w:val="21"/>
              </w:rPr>
              <w:t>4</w:t>
            </w:r>
          </w:p>
        </w:tc>
        <w:tc>
          <w:tcPr>
            <w:tcW w:w="780" w:type="dxa"/>
            <w:noWrap/>
            <w:vAlign w:val="center"/>
          </w:tcPr>
          <w:p>
            <w:pPr>
              <w:widowControl/>
              <w:jc w:val="center"/>
              <w:rPr>
                <w:rFonts w:ascii="宋体" w:hAnsi="宋体" w:cs="宋体"/>
                <w:szCs w:val="21"/>
              </w:rPr>
            </w:pPr>
            <w:r>
              <w:rPr>
                <w:rFonts w:hint="eastAsia" w:ascii="宋体" w:hAnsi="宋体" w:cs="宋体"/>
                <w:color w:val="000000"/>
                <w:szCs w:val="21"/>
              </w:rPr>
              <w:t>Otis</w:t>
            </w:r>
          </w:p>
        </w:tc>
        <w:tc>
          <w:tcPr>
            <w:tcW w:w="1347" w:type="dxa"/>
            <w:noWrap/>
            <w:vAlign w:val="center"/>
          </w:tcPr>
          <w:p>
            <w:pPr>
              <w:widowControl/>
              <w:jc w:val="center"/>
              <w:rPr>
                <w:rFonts w:ascii="宋体" w:hAnsi="宋体" w:cs="宋体"/>
                <w:b/>
                <w:bCs/>
                <w:szCs w:val="21"/>
              </w:rPr>
            </w:pPr>
            <w:r>
              <w:rPr>
                <w:rFonts w:hint="eastAsia" w:ascii="宋体" w:hAnsi="宋体" w:cs="宋体"/>
                <w:color w:val="000000"/>
                <w:szCs w:val="21"/>
              </w:rPr>
              <w:t>GeN2 CN-MRL</w:t>
            </w:r>
          </w:p>
        </w:tc>
        <w:tc>
          <w:tcPr>
            <w:tcW w:w="1075" w:type="dxa"/>
            <w:noWrap/>
            <w:vAlign w:val="center"/>
          </w:tcPr>
          <w:p>
            <w:pPr>
              <w:widowControl/>
              <w:jc w:val="center"/>
              <w:rPr>
                <w:rFonts w:ascii="宋体" w:hAnsi="宋体" w:cs="宋体"/>
                <w:color w:val="000000"/>
                <w:szCs w:val="21"/>
              </w:rPr>
            </w:pPr>
            <w:r>
              <w:rPr>
                <w:rFonts w:hint="eastAsia" w:ascii="宋体" w:hAnsi="宋体" w:cs="宋体"/>
                <w:color w:val="000000"/>
                <w:szCs w:val="21"/>
              </w:rPr>
              <w:t>R2NE1653</w:t>
            </w:r>
          </w:p>
        </w:tc>
        <w:tc>
          <w:tcPr>
            <w:tcW w:w="900" w:type="dxa"/>
            <w:noWrap/>
            <w:vAlign w:val="center"/>
          </w:tcPr>
          <w:p>
            <w:pPr>
              <w:widowControl/>
              <w:jc w:val="center"/>
              <w:rPr>
                <w:rFonts w:ascii="宋体" w:hAnsi="宋体" w:cs="宋体"/>
                <w:color w:val="000000"/>
                <w:szCs w:val="21"/>
              </w:rPr>
            </w:pPr>
            <w:r>
              <w:rPr>
                <w:rFonts w:hint="eastAsia" w:ascii="宋体" w:hAnsi="宋体" w:cs="宋体"/>
                <w:color w:val="000000"/>
                <w:szCs w:val="21"/>
              </w:rPr>
              <w:t>1600kg</w:t>
            </w:r>
          </w:p>
        </w:tc>
        <w:tc>
          <w:tcPr>
            <w:tcW w:w="703" w:type="dxa"/>
            <w:noWrap/>
            <w:vAlign w:val="center"/>
          </w:tcPr>
          <w:p>
            <w:pPr>
              <w:widowControl/>
              <w:jc w:val="center"/>
              <w:rPr>
                <w:rFonts w:ascii="宋体" w:hAnsi="宋体" w:cs="宋体"/>
                <w:color w:val="000000"/>
                <w:szCs w:val="21"/>
              </w:rPr>
            </w:pPr>
            <w:r>
              <w:rPr>
                <w:rFonts w:hint="eastAsia" w:ascii="宋体" w:hAnsi="宋体" w:cs="宋体"/>
                <w:color w:val="000000"/>
                <w:szCs w:val="21"/>
              </w:rPr>
              <w:t>1m/s</w:t>
            </w:r>
          </w:p>
        </w:tc>
        <w:tc>
          <w:tcPr>
            <w:tcW w:w="674" w:type="dxa"/>
            <w:noWrap/>
            <w:vAlign w:val="center"/>
          </w:tcPr>
          <w:p>
            <w:pPr>
              <w:widowControl/>
              <w:jc w:val="center"/>
              <w:rPr>
                <w:rFonts w:ascii="宋体" w:hAnsi="宋体" w:cs="宋体"/>
                <w:szCs w:val="21"/>
              </w:rPr>
            </w:pPr>
            <w:r>
              <w:rPr>
                <w:rFonts w:hint="eastAsia" w:ascii="宋体" w:hAnsi="宋体" w:cs="宋体"/>
                <w:color w:val="000000"/>
                <w:szCs w:val="21"/>
              </w:rPr>
              <w:t>门诊2#电梯</w:t>
            </w:r>
          </w:p>
        </w:tc>
        <w:tc>
          <w:tcPr>
            <w:tcW w:w="993" w:type="dxa"/>
            <w:noWrap/>
            <w:vAlign w:val="center"/>
          </w:tcPr>
          <w:p>
            <w:pPr>
              <w:jc w:val="center"/>
              <w:rPr>
                <w:rFonts w:ascii="宋体" w:hAnsi="宋体" w:cs="宋体"/>
                <w:szCs w:val="21"/>
              </w:rPr>
            </w:pPr>
            <w:r>
              <w:rPr>
                <w:rFonts w:hint="eastAsia" w:ascii="宋体" w:hAnsi="宋体" w:cs="宋体"/>
                <w:szCs w:val="21"/>
              </w:rPr>
              <w:t>钢带</w:t>
            </w:r>
          </w:p>
        </w:tc>
        <w:tc>
          <w:tcPr>
            <w:tcW w:w="1477" w:type="dxa"/>
            <w:noWrap/>
            <w:vAlign w:val="center"/>
          </w:tcPr>
          <w:p>
            <w:pPr>
              <w:jc w:val="center"/>
              <w:rPr>
                <w:rFonts w:ascii="宋体" w:hAnsi="宋体" w:cs="宋体"/>
                <w:szCs w:val="21"/>
              </w:rPr>
            </w:pPr>
            <w:r>
              <w:rPr>
                <w:rFonts w:hint="eastAsia" w:ascii="宋体" w:hAnsi="宋体" w:cs="宋体"/>
                <w:szCs w:val="21"/>
              </w:rPr>
              <w:t>3.5mm*30mm；</w:t>
            </w:r>
          </w:p>
          <w:p>
            <w:pPr>
              <w:jc w:val="center"/>
              <w:rPr>
                <w:rFonts w:ascii="宋体" w:hAnsi="宋体" w:cs="宋体"/>
                <w:szCs w:val="21"/>
              </w:rPr>
            </w:pPr>
            <w:r>
              <w:rPr>
                <w:rFonts w:hint="eastAsia" w:ascii="宋体" w:hAnsi="宋体" w:cs="宋体"/>
                <w:szCs w:val="21"/>
              </w:rPr>
              <w:t>240米</w:t>
            </w:r>
          </w:p>
        </w:tc>
        <w:tc>
          <w:tcPr>
            <w:tcW w:w="427" w:type="dxa"/>
            <w:noWrap/>
            <w:vAlign w:val="center"/>
          </w:tcPr>
          <w:p>
            <w:pPr>
              <w:jc w:val="center"/>
              <w:rPr>
                <w:rFonts w:ascii="宋体" w:hAnsi="宋体" w:cs="宋体"/>
                <w:szCs w:val="21"/>
              </w:rPr>
            </w:pPr>
            <w:r>
              <w:rPr>
                <w:rFonts w:hint="eastAsia" w:ascii="宋体" w:hAnsi="宋体" w:cs="宋体"/>
                <w:szCs w:val="21"/>
              </w:rPr>
              <w:t>台</w:t>
            </w:r>
          </w:p>
        </w:tc>
        <w:tc>
          <w:tcPr>
            <w:tcW w:w="427" w:type="dxa"/>
            <w:noWrap/>
            <w:vAlign w:val="center"/>
          </w:tcPr>
          <w:p>
            <w:pPr>
              <w:jc w:val="center"/>
              <w:rPr>
                <w:rFonts w:ascii="宋体" w:hAnsi="宋体" w:cs="宋体"/>
                <w:szCs w:val="21"/>
              </w:rPr>
            </w:pPr>
            <w:r>
              <w:rPr>
                <w:rFonts w:hint="eastAsia" w:ascii="宋体" w:hAnsi="宋体" w:cs="宋体"/>
                <w:szCs w:val="21"/>
              </w:rPr>
              <w:t>1</w:t>
            </w:r>
          </w:p>
        </w:tc>
        <w:tc>
          <w:tcPr>
            <w:tcW w:w="807" w:type="dxa"/>
            <w:noWrap/>
            <w:vAlign w:val="center"/>
          </w:tcPr>
          <w:p>
            <w:pPr>
              <w:jc w:val="center"/>
              <w:rPr>
                <w:rFonts w:ascii="宋体" w:hAnsi="宋体" w:cs="宋体"/>
                <w:szCs w:val="21"/>
              </w:rPr>
            </w:pPr>
            <w:r>
              <w:rPr>
                <w:rFonts w:hint="eastAsia" w:ascii="宋体" w:hAnsi="宋体" w:cs="宋体"/>
                <w:szCs w:val="21"/>
              </w:rPr>
              <w:t>Otis 原厂</w:t>
            </w:r>
          </w:p>
        </w:tc>
        <w:tc>
          <w:tcPr>
            <w:tcW w:w="807" w:type="dxa"/>
            <w:noWrap/>
            <w:vAlign w:val="center"/>
          </w:tcPr>
          <w:p>
            <w:pPr>
              <w:jc w:val="center"/>
              <w:rPr>
                <w:rFonts w:ascii="宋体" w:hAnsi="宋体" w:cs="宋体"/>
                <w:szCs w:val="21"/>
              </w:rPr>
            </w:pPr>
            <w:r>
              <w:rPr>
                <w:rFonts w:hint="eastAsia" w:ascii="宋体" w:hAnsi="宋体" w:cs="宋体"/>
                <w:szCs w:val="21"/>
              </w:rPr>
              <w:t>24000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24" w:type="dxa"/>
            <w:noWrap/>
            <w:vAlign w:val="center"/>
          </w:tcPr>
          <w:p>
            <w:pPr>
              <w:widowControl/>
              <w:jc w:val="center"/>
              <w:rPr>
                <w:rFonts w:ascii="宋体" w:hAnsi="宋体" w:cs="宋体"/>
                <w:color w:val="000000"/>
                <w:szCs w:val="21"/>
              </w:rPr>
            </w:pPr>
            <w:r>
              <w:rPr>
                <w:rFonts w:hint="eastAsia" w:ascii="宋体" w:hAnsi="宋体" w:cs="宋体"/>
                <w:color w:val="000000"/>
                <w:szCs w:val="21"/>
              </w:rPr>
              <w:t>5</w:t>
            </w:r>
          </w:p>
        </w:tc>
        <w:tc>
          <w:tcPr>
            <w:tcW w:w="780" w:type="dxa"/>
            <w:noWrap/>
            <w:vAlign w:val="center"/>
          </w:tcPr>
          <w:p>
            <w:pPr>
              <w:widowControl/>
              <w:jc w:val="center"/>
              <w:rPr>
                <w:rFonts w:ascii="宋体" w:hAnsi="宋体" w:cs="宋体"/>
                <w:color w:val="000000"/>
                <w:szCs w:val="21"/>
              </w:rPr>
            </w:pPr>
            <w:r>
              <w:rPr>
                <w:rFonts w:hint="eastAsia" w:ascii="宋体" w:hAnsi="宋体" w:cs="宋体"/>
                <w:color w:val="000000"/>
                <w:szCs w:val="21"/>
              </w:rPr>
              <w:t>Otis</w:t>
            </w:r>
          </w:p>
        </w:tc>
        <w:tc>
          <w:tcPr>
            <w:tcW w:w="1347" w:type="dxa"/>
            <w:noWrap/>
            <w:vAlign w:val="center"/>
          </w:tcPr>
          <w:p>
            <w:pPr>
              <w:widowControl/>
              <w:jc w:val="center"/>
              <w:rPr>
                <w:rFonts w:ascii="宋体" w:hAnsi="宋体" w:cs="宋体"/>
                <w:color w:val="000000"/>
                <w:szCs w:val="21"/>
              </w:rPr>
            </w:pPr>
            <w:r>
              <w:rPr>
                <w:rFonts w:hint="eastAsia" w:ascii="宋体" w:hAnsi="宋体" w:cs="宋体"/>
                <w:color w:val="000000"/>
                <w:szCs w:val="21"/>
              </w:rPr>
              <w:t>OTIS-SKY</w:t>
            </w:r>
          </w:p>
        </w:tc>
        <w:tc>
          <w:tcPr>
            <w:tcW w:w="1075" w:type="dxa"/>
            <w:noWrap/>
            <w:vAlign w:val="center"/>
          </w:tcPr>
          <w:p>
            <w:pPr>
              <w:widowControl/>
              <w:jc w:val="center"/>
              <w:rPr>
                <w:rFonts w:ascii="宋体" w:hAnsi="宋体" w:cs="宋体"/>
                <w:color w:val="000000"/>
                <w:szCs w:val="21"/>
              </w:rPr>
            </w:pPr>
            <w:r>
              <w:rPr>
                <w:rFonts w:hint="eastAsia" w:ascii="宋体" w:hAnsi="宋体" w:cs="宋体"/>
                <w:color w:val="000000"/>
                <w:szCs w:val="21"/>
              </w:rPr>
              <w:t>R2NE1656</w:t>
            </w:r>
          </w:p>
        </w:tc>
        <w:tc>
          <w:tcPr>
            <w:tcW w:w="900" w:type="dxa"/>
            <w:noWrap/>
            <w:vAlign w:val="center"/>
          </w:tcPr>
          <w:p>
            <w:pPr>
              <w:widowControl/>
              <w:jc w:val="center"/>
              <w:rPr>
                <w:rFonts w:ascii="宋体" w:hAnsi="宋体" w:cs="宋体"/>
                <w:color w:val="000000"/>
                <w:szCs w:val="21"/>
              </w:rPr>
            </w:pPr>
            <w:r>
              <w:rPr>
                <w:rFonts w:hint="eastAsia" w:ascii="宋体" w:hAnsi="宋体" w:cs="宋体"/>
                <w:color w:val="000000"/>
                <w:szCs w:val="21"/>
              </w:rPr>
              <w:t>1600kg</w:t>
            </w:r>
          </w:p>
        </w:tc>
        <w:tc>
          <w:tcPr>
            <w:tcW w:w="703" w:type="dxa"/>
            <w:noWrap/>
            <w:vAlign w:val="center"/>
          </w:tcPr>
          <w:p>
            <w:pPr>
              <w:widowControl/>
              <w:jc w:val="center"/>
              <w:rPr>
                <w:rFonts w:ascii="宋体" w:hAnsi="宋体" w:cs="宋体"/>
                <w:color w:val="000000"/>
                <w:szCs w:val="21"/>
              </w:rPr>
            </w:pPr>
            <w:r>
              <w:rPr>
                <w:rFonts w:hint="eastAsia" w:ascii="宋体" w:hAnsi="宋体" w:cs="宋体"/>
                <w:color w:val="000000"/>
                <w:szCs w:val="21"/>
              </w:rPr>
              <w:t>1m/s</w:t>
            </w:r>
          </w:p>
        </w:tc>
        <w:tc>
          <w:tcPr>
            <w:tcW w:w="674" w:type="dxa"/>
            <w:noWrap/>
            <w:vAlign w:val="center"/>
          </w:tcPr>
          <w:p>
            <w:pPr>
              <w:widowControl/>
              <w:jc w:val="center"/>
              <w:rPr>
                <w:rFonts w:ascii="宋体" w:hAnsi="宋体" w:cs="宋体"/>
                <w:color w:val="000000"/>
                <w:szCs w:val="21"/>
              </w:rPr>
            </w:pPr>
            <w:r>
              <w:rPr>
                <w:rFonts w:hint="eastAsia" w:ascii="宋体" w:hAnsi="宋体" w:cs="宋体"/>
                <w:color w:val="000000"/>
                <w:szCs w:val="21"/>
              </w:rPr>
              <w:t>6#楼东梯</w:t>
            </w:r>
          </w:p>
        </w:tc>
        <w:tc>
          <w:tcPr>
            <w:tcW w:w="993" w:type="dxa"/>
            <w:noWrap/>
            <w:vAlign w:val="center"/>
          </w:tcPr>
          <w:p>
            <w:pPr>
              <w:jc w:val="center"/>
              <w:rPr>
                <w:rFonts w:ascii="宋体" w:hAnsi="宋体" w:cs="宋体"/>
                <w:szCs w:val="21"/>
              </w:rPr>
            </w:pPr>
            <w:r>
              <w:rPr>
                <w:rFonts w:hint="eastAsia" w:ascii="宋体" w:hAnsi="宋体" w:cs="宋体"/>
                <w:szCs w:val="21"/>
              </w:rPr>
              <w:t>钢丝绳</w:t>
            </w:r>
          </w:p>
        </w:tc>
        <w:tc>
          <w:tcPr>
            <w:tcW w:w="1477" w:type="dxa"/>
            <w:noWrap/>
            <w:vAlign w:val="center"/>
          </w:tcPr>
          <w:p>
            <w:pPr>
              <w:jc w:val="center"/>
              <w:rPr>
                <w:rFonts w:ascii="宋体" w:hAnsi="宋体" w:cs="宋体"/>
                <w:szCs w:val="21"/>
              </w:rPr>
            </w:pPr>
            <w:r>
              <w:rPr>
                <w:rFonts w:hint="eastAsia" w:ascii="宋体" w:hAnsi="宋体" w:cs="宋体"/>
                <w:szCs w:val="21"/>
              </w:rPr>
              <w:t>φ12mm；</w:t>
            </w:r>
          </w:p>
          <w:p>
            <w:pPr>
              <w:jc w:val="center"/>
              <w:rPr>
                <w:rFonts w:ascii="宋体" w:hAnsi="宋体" w:cs="宋体"/>
                <w:szCs w:val="21"/>
              </w:rPr>
            </w:pPr>
            <w:r>
              <w:rPr>
                <w:rFonts w:hint="eastAsia" w:ascii="宋体" w:hAnsi="宋体" w:cs="宋体"/>
                <w:szCs w:val="21"/>
              </w:rPr>
              <w:t>420米</w:t>
            </w:r>
          </w:p>
        </w:tc>
        <w:tc>
          <w:tcPr>
            <w:tcW w:w="427" w:type="dxa"/>
            <w:noWrap/>
            <w:vAlign w:val="center"/>
          </w:tcPr>
          <w:p>
            <w:pPr>
              <w:jc w:val="center"/>
              <w:rPr>
                <w:rFonts w:ascii="宋体" w:hAnsi="宋体" w:cs="宋体"/>
                <w:szCs w:val="21"/>
              </w:rPr>
            </w:pPr>
            <w:r>
              <w:rPr>
                <w:rFonts w:hint="eastAsia" w:ascii="宋体" w:hAnsi="宋体" w:cs="宋体"/>
                <w:szCs w:val="21"/>
              </w:rPr>
              <w:t>台</w:t>
            </w:r>
          </w:p>
        </w:tc>
        <w:tc>
          <w:tcPr>
            <w:tcW w:w="427" w:type="dxa"/>
            <w:noWrap/>
            <w:vAlign w:val="center"/>
          </w:tcPr>
          <w:p>
            <w:pPr>
              <w:jc w:val="center"/>
              <w:rPr>
                <w:rFonts w:ascii="宋体" w:hAnsi="宋体" w:cs="宋体"/>
                <w:szCs w:val="21"/>
              </w:rPr>
            </w:pPr>
            <w:r>
              <w:rPr>
                <w:rFonts w:hint="eastAsia" w:ascii="宋体" w:hAnsi="宋体" w:cs="宋体"/>
                <w:szCs w:val="21"/>
              </w:rPr>
              <w:t>1</w:t>
            </w:r>
          </w:p>
        </w:tc>
        <w:tc>
          <w:tcPr>
            <w:tcW w:w="807" w:type="dxa"/>
            <w:noWrap/>
            <w:vAlign w:val="center"/>
          </w:tcPr>
          <w:p>
            <w:pPr>
              <w:jc w:val="center"/>
              <w:rPr>
                <w:rFonts w:ascii="宋体" w:hAnsi="宋体" w:cs="宋体"/>
                <w:szCs w:val="21"/>
              </w:rPr>
            </w:pPr>
            <w:r>
              <w:rPr>
                <w:rFonts w:hint="eastAsia" w:ascii="宋体" w:hAnsi="宋体" w:cs="宋体"/>
                <w:szCs w:val="21"/>
              </w:rPr>
              <w:t>天津高盛</w:t>
            </w:r>
          </w:p>
        </w:tc>
        <w:tc>
          <w:tcPr>
            <w:tcW w:w="807" w:type="dxa"/>
            <w:noWrap/>
            <w:vAlign w:val="center"/>
          </w:tcPr>
          <w:p>
            <w:pPr>
              <w:jc w:val="center"/>
              <w:rPr>
                <w:rFonts w:ascii="宋体" w:hAnsi="宋体" w:cs="宋体"/>
                <w:szCs w:val="21"/>
              </w:rPr>
            </w:pPr>
            <w:r>
              <w:rPr>
                <w:rFonts w:hint="eastAsia" w:ascii="宋体" w:hAnsi="宋体" w:cs="宋体"/>
                <w:szCs w:val="21"/>
              </w:rPr>
              <w:t>7560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24" w:type="dxa"/>
            <w:noWrap/>
            <w:vAlign w:val="center"/>
          </w:tcPr>
          <w:p>
            <w:pPr>
              <w:widowControl/>
              <w:jc w:val="center"/>
              <w:rPr>
                <w:rFonts w:ascii="宋体" w:hAnsi="宋体" w:cs="宋体"/>
                <w:color w:val="000000"/>
                <w:szCs w:val="21"/>
              </w:rPr>
            </w:pPr>
            <w:r>
              <w:rPr>
                <w:rFonts w:hint="eastAsia" w:ascii="宋体" w:hAnsi="宋体" w:cs="宋体"/>
                <w:color w:val="000000"/>
                <w:szCs w:val="21"/>
              </w:rPr>
              <w:t>6</w:t>
            </w:r>
          </w:p>
        </w:tc>
        <w:tc>
          <w:tcPr>
            <w:tcW w:w="780" w:type="dxa"/>
            <w:vMerge w:val="restart"/>
            <w:noWrap/>
            <w:vAlign w:val="center"/>
          </w:tcPr>
          <w:p>
            <w:pPr>
              <w:widowControl/>
              <w:jc w:val="center"/>
              <w:rPr>
                <w:rFonts w:ascii="宋体" w:hAnsi="宋体" w:cs="宋体"/>
                <w:color w:val="000000"/>
                <w:szCs w:val="21"/>
              </w:rPr>
            </w:pPr>
            <w:r>
              <w:rPr>
                <w:rFonts w:hint="eastAsia" w:ascii="宋体" w:hAnsi="宋体" w:cs="宋体"/>
                <w:color w:val="000000"/>
                <w:szCs w:val="21"/>
              </w:rPr>
              <w:t>通用</w:t>
            </w:r>
          </w:p>
        </w:tc>
        <w:tc>
          <w:tcPr>
            <w:tcW w:w="1347" w:type="dxa"/>
            <w:vMerge w:val="restart"/>
            <w:noWrap/>
            <w:vAlign w:val="center"/>
          </w:tcPr>
          <w:p>
            <w:pPr>
              <w:widowControl/>
              <w:jc w:val="center"/>
              <w:rPr>
                <w:rFonts w:ascii="宋体" w:hAnsi="宋体" w:cs="宋体"/>
                <w:color w:val="000000"/>
                <w:szCs w:val="21"/>
              </w:rPr>
            </w:pPr>
            <w:r>
              <w:rPr>
                <w:rFonts w:hint="eastAsia" w:ascii="宋体" w:hAnsi="宋体" w:cs="宋体"/>
                <w:color w:val="000000"/>
                <w:szCs w:val="21"/>
              </w:rPr>
              <w:t>GE1600/1.0-K</w:t>
            </w:r>
          </w:p>
        </w:tc>
        <w:tc>
          <w:tcPr>
            <w:tcW w:w="1075" w:type="dxa"/>
            <w:vMerge w:val="restart"/>
            <w:noWrap/>
            <w:vAlign w:val="center"/>
          </w:tcPr>
          <w:p>
            <w:pPr>
              <w:widowControl/>
              <w:jc w:val="center"/>
              <w:rPr>
                <w:rFonts w:ascii="宋体" w:hAnsi="宋体" w:cs="宋体"/>
                <w:color w:val="000000"/>
                <w:szCs w:val="21"/>
              </w:rPr>
            </w:pPr>
            <w:r>
              <w:rPr>
                <w:rFonts w:hint="eastAsia" w:ascii="宋体" w:hAnsi="宋体" w:cs="宋体"/>
                <w:color w:val="000000"/>
                <w:szCs w:val="21"/>
              </w:rPr>
              <w:t>GE15K0785</w:t>
            </w:r>
          </w:p>
        </w:tc>
        <w:tc>
          <w:tcPr>
            <w:tcW w:w="900" w:type="dxa"/>
            <w:vMerge w:val="restart"/>
            <w:noWrap/>
            <w:vAlign w:val="center"/>
          </w:tcPr>
          <w:p>
            <w:pPr>
              <w:widowControl/>
              <w:jc w:val="center"/>
              <w:rPr>
                <w:rFonts w:ascii="宋体" w:hAnsi="宋体" w:cs="宋体"/>
                <w:color w:val="000000"/>
                <w:szCs w:val="21"/>
              </w:rPr>
            </w:pPr>
            <w:r>
              <w:rPr>
                <w:rFonts w:hint="eastAsia" w:ascii="宋体" w:hAnsi="宋体" w:cs="宋体"/>
                <w:color w:val="000000"/>
                <w:szCs w:val="21"/>
              </w:rPr>
              <w:t>1600kg</w:t>
            </w:r>
          </w:p>
        </w:tc>
        <w:tc>
          <w:tcPr>
            <w:tcW w:w="703" w:type="dxa"/>
            <w:vMerge w:val="restart"/>
            <w:noWrap/>
            <w:vAlign w:val="center"/>
          </w:tcPr>
          <w:p>
            <w:pPr>
              <w:widowControl/>
              <w:jc w:val="center"/>
              <w:rPr>
                <w:rFonts w:ascii="宋体" w:hAnsi="宋体" w:cs="宋体"/>
                <w:color w:val="000000"/>
                <w:szCs w:val="21"/>
              </w:rPr>
            </w:pPr>
            <w:r>
              <w:rPr>
                <w:rFonts w:hint="eastAsia" w:ascii="宋体" w:hAnsi="宋体" w:cs="宋体"/>
                <w:color w:val="000000"/>
                <w:szCs w:val="21"/>
              </w:rPr>
              <w:t>1m/s</w:t>
            </w:r>
          </w:p>
        </w:tc>
        <w:tc>
          <w:tcPr>
            <w:tcW w:w="674" w:type="dxa"/>
            <w:vMerge w:val="restart"/>
            <w:noWrap/>
            <w:vAlign w:val="center"/>
          </w:tcPr>
          <w:p>
            <w:pPr>
              <w:widowControl/>
              <w:jc w:val="center"/>
              <w:rPr>
                <w:rFonts w:ascii="宋体" w:hAnsi="宋体" w:cs="宋体"/>
                <w:color w:val="000000"/>
                <w:szCs w:val="21"/>
              </w:rPr>
            </w:pPr>
            <w:r>
              <w:rPr>
                <w:rFonts w:hint="eastAsia" w:ascii="宋体" w:hAnsi="宋体" w:cs="宋体"/>
                <w:color w:val="000000"/>
                <w:szCs w:val="21"/>
              </w:rPr>
              <w:t>2#楼西货梯</w:t>
            </w:r>
          </w:p>
        </w:tc>
        <w:tc>
          <w:tcPr>
            <w:tcW w:w="993" w:type="dxa"/>
            <w:noWrap/>
            <w:vAlign w:val="center"/>
          </w:tcPr>
          <w:p>
            <w:pPr>
              <w:jc w:val="center"/>
              <w:rPr>
                <w:rFonts w:ascii="宋体" w:hAnsi="宋体" w:cs="宋体"/>
                <w:szCs w:val="21"/>
              </w:rPr>
            </w:pPr>
            <w:r>
              <w:rPr>
                <w:rFonts w:hint="eastAsia" w:ascii="宋体" w:hAnsi="宋体" w:cs="宋体"/>
                <w:szCs w:val="21"/>
              </w:rPr>
              <w:t>钢丝绳</w:t>
            </w:r>
          </w:p>
        </w:tc>
        <w:tc>
          <w:tcPr>
            <w:tcW w:w="1477" w:type="dxa"/>
            <w:noWrap/>
            <w:vAlign w:val="center"/>
          </w:tcPr>
          <w:p>
            <w:pPr>
              <w:jc w:val="center"/>
              <w:rPr>
                <w:rFonts w:ascii="宋体" w:hAnsi="宋体" w:cs="宋体"/>
                <w:szCs w:val="21"/>
              </w:rPr>
            </w:pPr>
            <w:r>
              <w:rPr>
                <w:rFonts w:hint="eastAsia" w:ascii="宋体" w:hAnsi="宋体" w:cs="宋体"/>
                <w:szCs w:val="21"/>
              </w:rPr>
              <w:t>φ12mm；</w:t>
            </w:r>
          </w:p>
          <w:p>
            <w:pPr>
              <w:jc w:val="center"/>
              <w:rPr>
                <w:rFonts w:ascii="宋体" w:hAnsi="宋体" w:cs="宋体"/>
                <w:szCs w:val="21"/>
              </w:rPr>
            </w:pPr>
            <w:r>
              <w:rPr>
                <w:rFonts w:hint="eastAsia" w:ascii="宋体" w:hAnsi="宋体" w:cs="宋体"/>
                <w:szCs w:val="21"/>
              </w:rPr>
              <w:t>660米</w:t>
            </w:r>
          </w:p>
        </w:tc>
        <w:tc>
          <w:tcPr>
            <w:tcW w:w="427" w:type="dxa"/>
            <w:noWrap/>
            <w:vAlign w:val="center"/>
          </w:tcPr>
          <w:p>
            <w:pPr>
              <w:jc w:val="center"/>
              <w:rPr>
                <w:rFonts w:ascii="宋体" w:hAnsi="宋体" w:cs="宋体"/>
                <w:szCs w:val="21"/>
              </w:rPr>
            </w:pPr>
            <w:r>
              <w:rPr>
                <w:rFonts w:hint="eastAsia" w:ascii="宋体" w:hAnsi="宋体" w:cs="宋体"/>
                <w:szCs w:val="21"/>
              </w:rPr>
              <w:t>台</w:t>
            </w:r>
          </w:p>
        </w:tc>
        <w:tc>
          <w:tcPr>
            <w:tcW w:w="427" w:type="dxa"/>
            <w:noWrap/>
            <w:vAlign w:val="center"/>
          </w:tcPr>
          <w:p>
            <w:pPr>
              <w:jc w:val="center"/>
              <w:rPr>
                <w:rFonts w:ascii="宋体" w:hAnsi="宋体" w:cs="宋体"/>
                <w:szCs w:val="21"/>
              </w:rPr>
            </w:pPr>
            <w:r>
              <w:rPr>
                <w:rFonts w:hint="eastAsia" w:ascii="宋体" w:hAnsi="宋体" w:cs="宋体"/>
                <w:szCs w:val="21"/>
              </w:rPr>
              <w:t>1</w:t>
            </w:r>
          </w:p>
        </w:tc>
        <w:tc>
          <w:tcPr>
            <w:tcW w:w="807" w:type="dxa"/>
            <w:noWrap/>
            <w:vAlign w:val="center"/>
          </w:tcPr>
          <w:p>
            <w:pPr>
              <w:jc w:val="center"/>
              <w:rPr>
                <w:rFonts w:ascii="宋体" w:hAnsi="宋体" w:cs="宋体"/>
                <w:szCs w:val="21"/>
              </w:rPr>
            </w:pPr>
            <w:r>
              <w:rPr>
                <w:rFonts w:hint="eastAsia" w:ascii="宋体" w:hAnsi="宋体" w:cs="宋体"/>
                <w:szCs w:val="21"/>
              </w:rPr>
              <w:t>天津高盛</w:t>
            </w:r>
          </w:p>
        </w:tc>
        <w:tc>
          <w:tcPr>
            <w:tcW w:w="807" w:type="dxa"/>
            <w:noWrap/>
            <w:vAlign w:val="center"/>
          </w:tcPr>
          <w:p>
            <w:pPr>
              <w:jc w:val="center"/>
              <w:rPr>
                <w:rFonts w:ascii="宋体" w:hAnsi="宋体" w:cs="宋体"/>
                <w:szCs w:val="21"/>
              </w:rPr>
            </w:pPr>
            <w:r>
              <w:rPr>
                <w:rFonts w:hint="eastAsia" w:ascii="宋体" w:hAnsi="宋体" w:cs="宋体"/>
                <w:szCs w:val="21"/>
              </w:rPr>
              <w:t>11880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24" w:type="dxa"/>
            <w:noWrap/>
            <w:vAlign w:val="center"/>
          </w:tcPr>
          <w:p>
            <w:pPr>
              <w:widowControl/>
              <w:jc w:val="center"/>
              <w:rPr>
                <w:rFonts w:ascii="宋体" w:hAnsi="宋体" w:cs="宋体"/>
                <w:color w:val="000000"/>
                <w:szCs w:val="21"/>
              </w:rPr>
            </w:pPr>
            <w:r>
              <w:rPr>
                <w:rFonts w:hint="eastAsia" w:ascii="宋体" w:hAnsi="宋体" w:cs="宋体"/>
                <w:color w:val="000000"/>
                <w:szCs w:val="21"/>
              </w:rPr>
              <w:t>7</w:t>
            </w:r>
          </w:p>
        </w:tc>
        <w:tc>
          <w:tcPr>
            <w:tcW w:w="780" w:type="dxa"/>
            <w:vMerge w:val="continue"/>
            <w:noWrap/>
            <w:vAlign w:val="center"/>
          </w:tcPr>
          <w:p>
            <w:pPr>
              <w:widowControl/>
              <w:jc w:val="center"/>
              <w:rPr>
                <w:rFonts w:ascii="宋体" w:hAnsi="宋体" w:cs="宋体"/>
                <w:color w:val="000000"/>
                <w:szCs w:val="21"/>
              </w:rPr>
            </w:pPr>
          </w:p>
        </w:tc>
        <w:tc>
          <w:tcPr>
            <w:tcW w:w="1347" w:type="dxa"/>
            <w:vMerge w:val="continue"/>
            <w:noWrap/>
            <w:vAlign w:val="center"/>
          </w:tcPr>
          <w:p>
            <w:pPr>
              <w:widowControl/>
              <w:jc w:val="center"/>
              <w:rPr>
                <w:rFonts w:ascii="宋体" w:hAnsi="宋体" w:cs="宋体"/>
                <w:color w:val="000000"/>
                <w:szCs w:val="21"/>
              </w:rPr>
            </w:pPr>
          </w:p>
        </w:tc>
        <w:tc>
          <w:tcPr>
            <w:tcW w:w="1075" w:type="dxa"/>
            <w:vMerge w:val="continue"/>
            <w:noWrap/>
            <w:vAlign w:val="center"/>
          </w:tcPr>
          <w:p>
            <w:pPr>
              <w:widowControl/>
              <w:jc w:val="center"/>
              <w:rPr>
                <w:rFonts w:ascii="宋体" w:hAnsi="宋体" w:cs="宋体"/>
                <w:color w:val="000000"/>
                <w:szCs w:val="21"/>
              </w:rPr>
            </w:pPr>
          </w:p>
        </w:tc>
        <w:tc>
          <w:tcPr>
            <w:tcW w:w="900" w:type="dxa"/>
            <w:vMerge w:val="continue"/>
            <w:noWrap/>
            <w:vAlign w:val="center"/>
          </w:tcPr>
          <w:p>
            <w:pPr>
              <w:widowControl/>
              <w:jc w:val="center"/>
              <w:rPr>
                <w:rFonts w:ascii="宋体" w:hAnsi="宋体" w:cs="宋体"/>
                <w:color w:val="000000"/>
                <w:szCs w:val="21"/>
              </w:rPr>
            </w:pPr>
          </w:p>
        </w:tc>
        <w:tc>
          <w:tcPr>
            <w:tcW w:w="703" w:type="dxa"/>
            <w:vMerge w:val="continue"/>
            <w:noWrap/>
            <w:vAlign w:val="center"/>
          </w:tcPr>
          <w:p>
            <w:pPr>
              <w:widowControl/>
              <w:jc w:val="center"/>
              <w:rPr>
                <w:rFonts w:ascii="宋体" w:hAnsi="宋体" w:cs="宋体"/>
                <w:color w:val="000000"/>
                <w:szCs w:val="21"/>
              </w:rPr>
            </w:pPr>
          </w:p>
        </w:tc>
        <w:tc>
          <w:tcPr>
            <w:tcW w:w="674" w:type="dxa"/>
            <w:vMerge w:val="continue"/>
            <w:noWrap/>
            <w:vAlign w:val="center"/>
          </w:tcPr>
          <w:p>
            <w:pPr>
              <w:widowControl/>
              <w:jc w:val="center"/>
              <w:rPr>
                <w:rFonts w:ascii="宋体" w:hAnsi="宋体" w:cs="宋体"/>
                <w:color w:val="000000"/>
                <w:szCs w:val="21"/>
              </w:rPr>
            </w:pPr>
          </w:p>
        </w:tc>
        <w:tc>
          <w:tcPr>
            <w:tcW w:w="993" w:type="dxa"/>
            <w:noWrap/>
            <w:vAlign w:val="center"/>
          </w:tcPr>
          <w:p>
            <w:pPr>
              <w:jc w:val="center"/>
              <w:rPr>
                <w:rFonts w:ascii="宋体" w:hAnsi="宋体" w:cs="宋体"/>
                <w:szCs w:val="21"/>
              </w:rPr>
            </w:pPr>
            <w:r>
              <w:rPr>
                <w:rFonts w:hint="eastAsia" w:ascii="宋体" w:hAnsi="宋体" w:cs="宋体"/>
                <w:szCs w:val="21"/>
              </w:rPr>
              <w:t>复合补偿链（带包塑）</w:t>
            </w:r>
          </w:p>
        </w:tc>
        <w:tc>
          <w:tcPr>
            <w:tcW w:w="1477" w:type="dxa"/>
            <w:noWrap/>
            <w:vAlign w:val="center"/>
          </w:tcPr>
          <w:p>
            <w:pPr>
              <w:jc w:val="center"/>
              <w:rPr>
                <w:rFonts w:ascii="宋体" w:hAnsi="宋体" w:cs="宋体"/>
                <w:szCs w:val="21"/>
              </w:rPr>
            </w:pPr>
            <w:r>
              <w:rPr>
                <w:rFonts w:hint="eastAsia" w:ascii="宋体" w:hAnsi="宋体" w:cs="宋体"/>
                <w:szCs w:val="21"/>
              </w:rPr>
              <w:t>WFBS-12；</w:t>
            </w:r>
          </w:p>
          <w:p>
            <w:pPr>
              <w:jc w:val="center"/>
              <w:rPr>
                <w:rFonts w:ascii="宋体" w:hAnsi="宋体" w:cs="宋体"/>
                <w:szCs w:val="21"/>
              </w:rPr>
            </w:pPr>
            <w:r>
              <w:rPr>
                <w:rFonts w:hint="eastAsia" w:ascii="宋体" w:hAnsi="宋体" w:cs="宋体"/>
                <w:szCs w:val="21"/>
              </w:rPr>
              <w:t>35米</w:t>
            </w:r>
          </w:p>
        </w:tc>
        <w:tc>
          <w:tcPr>
            <w:tcW w:w="427" w:type="dxa"/>
            <w:noWrap/>
            <w:vAlign w:val="center"/>
          </w:tcPr>
          <w:p>
            <w:pPr>
              <w:jc w:val="center"/>
              <w:rPr>
                <w:rFonts w:ascii="宋体" w:hAnsi="宋体" w:cs="宋体"/>
                <w:szCs w:val="21"/>
              </w:rPr>
            </w:pPr>
            <w:r>
              <w:rPr>
                <w:rFonts w:hint="eastAsia" w:ascii="宋体" w:hAnsi="宋体" w:cs="宋体"/>
                <w:szCs w:val="21"/>
              </w:rPr>
              <w:t>根</w:t>
            </w:r>
          </w:p>
        </w:tc>
        <w:tc>
          <w:tcPr>
            <w:tcW w:w="427" w:type="dxa"/>
            <w:noWrap/>
            <w:vAlign w:val="center"/>
          </w:tcPr>
          <w:p>
            <w:pPr>
              <w:jc w:val="center"/>
              <w:rPr>
                <w:rFonts w:ascii="宋体" w:hAnsi="宋体" w:cs="宋体"/>
                <w:szCs w:val="21"/>
              </w:rPr>
            </w:pPr>
            <w:r>
              <w:rPr>
                <w:rFonts w:hint="eastAsia" w:ascii="宋体" w:hAnsi="宋体" w:cs="宋体"/>
                <w:szCs w:val="21"/>
              </w:rPr>
              <w:t>1</w:t>
            </w:r>
          </w:p>
        </w:tc>
        <w:tc>
          <w:tcPr>
            <w:tcW w:w="807" w:type="dxa"/>
            <w:noWrap/>
            <w:vAlign w:val="center"/>
          </w:tcPr>
          <w:p>
            <w:pPr>
              <w:jc w:val="center"/>
              <w:rPr>
                <w:rFonts w:ascii="宋体" w:hAnsi="宋体" w:cs="宋体"/>
                <w:szCs w:val="21"/>
              </w:rPr>
            </w:pPr>
            <w:r>
              <w:rPr>
                <w:rFonts w:hint="eastAsia" w:ascii="宋体" w:hAnsi="宋体" w:cs="宋体"/>
                <w:szCs w:val="21"/>
              </w:rPr>
              <w:t>匹配对重侧重量</w:t>
            </w:r>
          </w:p>
        </w:tc>
        <w:tc>
          <w:tcPr>
            <w:tcW w:w="807" w:type="dxa"/>
            <w:noWrap/>
            <w:vAlign w:val="center"/>
          </w:tcPr>
          <w:p>
            <w:pPr>
              <w:jc w:val="center"/>
              <w:rPr>
                <w:rFonts w:ascii="宋体" w:hAnsi="宋体" w:cs="宋体"/>
                <w:szCs w:val="21"/>
              </w:rPr>
            </w:pPr>
            <w:r>
              <w:rPr>
                <w:rFonts w:hint="eastAsia" w:ascii="宋体" w:hAnsi="宋体" w:cs="宋体"/>
                <w:szCs w:val="21"/>
              </w:rPr>
              <w:t>2000</w:t>
            </w:r>
          </w:p>
        </w:tc>
      </w:tr>
    </w:tbl>
    <w:p/>
    <w:p/>
    <w:p>
      <w:pPr>
        <w:jc w:val="left"/>
        <w:rPr>
          <w:rFonts w:ascii="宋体" w:hAnsi="宋体" w:cs="宋体"/>
          <w:b/>
          <w:bCs/>
          <w:sz w:val="30"/>
          <w:szCs w:val="30"/>
        </w:rPr>
      </w:pPr>
    </w:p>
    <w:p>
      <w:pPr>
        <w:jc w:val="left"/>
        <w:rPr>
          <w:rFonts w:ascii="宋体" w:hAnsi="宋体" w:cs="宋体"/>
          <w:b/>
          <w:bCs/>
          <w:sz w:val="30"/>
          <w:szCs w:val="30"/>
        </w:rPr>
      </w:pPr>
    </w:p>
    <w:p>
      <w:pPr>
        <w:jc w:val="left"/>
        <w:rPr>
          <w:rFonts w:ascii="宋体" w:hAnsi="宋体" w:cs="宋体"/>
          <w:b/>
          <w:bCs/>
          <w:sz w:val="30"/>
          <w:szCs w:val="30"/>
        </w:rPr>
      </w:pPr>
    </w:p>
    <w:p>
      <w:pPr>
        <w:jc w:val="left"/>
        <w:rPr>
          <w:rFonts w:ascii="宋体" w:hAnsi="宋体" w:cs="宋体"/>
          <w:b/>
          <w:bCs/>
          <w:sz w:val="30"/>
          <w:szCs w:val="30"/>
        </w:rPr>
      </w:pPr>
    </w:p>
    <w:p>
      <w:pPr>
        <w:jc w:val="left"/>
        <w:rPr>
          <w:rFonts w:ascii="宋体" w:hAnsi="宋体" w:cs="宋体"/>
          <w:b/>
          <w:bCs/>
          <w:sz w:val="30"/>
          <w:szCs w:val="30"/>
        </w:rPr>
      </w:pPr>
    </w:p>
    <w:p>
      <w:pPr>
        <w:jc w:val="left"/>
        <w:rPr>
          <w:rFonts w:ascii="宋体" w:hAnsi="宋体" w:cs="宋体"/>
          <w:b/>
          <w:bCs/>
          <w:sz w:val="30"/>
          <w:szCs w:val="30"/>
        </w:rPr>
      </w:pPr>
    </w:p>
    <w:p>
      <w:pPr>
        <w:jc w:val="left"/>
        <w:rPr>
          <w:rFonts w:ascii="宋体" w:hAnsi="宋体" w:cs="宋体"/>
          <w:b/>
          <w:bCs/>
          <w:sz w:val="30"/>
          <w:szCs w:val="30"/>
        </w:rPr>
      </w:pPr>
    </w:p>
    <w:p>
      <w:pPr>
        <w:jc w:val="left"/>
        <w:rPr>
          <w:rFonts w:ascii="宋体" w:hAnsi="宋体" w:cs="宋体"/>
          <w:b/>
          <w:bCs/>
          <w:sz w:val="30"/>
          <w:szCs w:val="30"/>
        </w:rPr>
      </w:pPr>
    </w:p>
    <w:p>
      <w:pPr>
        <w:jc w:val="left"/>
        <w:rPr>
          <w:rFonts w:ascii="宋体" w:hAnsi="宋体" w:cs="宋体"/>
          <w:b/>
          <w:bCs/>
          <w:sz w:val="30"/>
          <w:szCs w:val="30"/>
        </w:rPr>
      </w:pPr>
    </w:p>
    <w:p>
      <w:pPr>
        <w:jc w:val="left"/>
        <w:rPr>
          <w:rFonts w:ascii="宋体" w:hAnsi="宋体" w:cs="宋体"/>
          <w:b/>
          <w:bCs/>
          <w:sz w:val="30"/>
          <w:szCs w:val="30"/>
        </w:rPr>
      </w:pPr>
      <w:r>
        <w:rPr>
          <w:rFonts w:hint="eastAsia" w:ascii="宋体" w:hAnsi="宋体" w:cs="宋体"/>
          <w:b/>
          <w:bCs/>
          <w:sz w:val="30"/>
          <w:szCs w:val="30"/>
        </w:rPr>
        <w:t>附件4</w:t>
      </w:r>
    </w:p>
    <w:p>
      <w:pPr>
        <w:pStyle w:val="4"/>
        <w:numPr>
          <w:ilvl w:val="0"/>
          <w:numId w:val="0"/>
        </w:numPr>
        <w:jc w:val="center"/>
        <w:rPr>
          <w:rFonts w:ascii="宋体" w:hAnsi="宋体"/>
          <w:bCs w:val="0"/>
          <w:sz w:val="32"/>
          <w:szCs w:val="32"/>
        </w:rPr>
      </w:pPr>
      <w:r>
        <w:rPr>
          <w:rFonts w:hint="eastAsia" w:ascii="宋体" w:hAnsi="宋体"/>
          <w:bCs w:val="0"/>
          <w:sz w:val="32"/>
          <w:szCs w:val="32"/>
        </w:rPr>
        <w:t>西区更换电梯扣减维保费用报价表</w:t>
      </w:r>
    </w:p>
    <w:tbl>
      <w:tblPr>
        <w:tblStyle w:val="10"/>
        <w:tblW w:w="10303" w:type="dxa"/>
        <w:jc w:val="center"/>
        <w:tblInd w:w="-24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36"/>
        <w:gridCol w:w="3022"/>
        <w:gridCol w:w="846"/>
        <w:gridCol w:w="1266"/>
        <w:gridCol w:w="45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558" w:hRule="atLeast"/>
          <w:tblHeader/>
          <w:jc w:val="center"/>
        </w:trPr>
        <w:tc>
          <w:tcPr>
            <w:tcW w:w="10303" w:type="dxa"/>
            <w:gridSpan w:val="5"/>
            <w:tcBorders>
              <w:bottom w:val="single" w:color="auto" w:sz="4" w:space="0"/>
            </w:tcBorders>
            <w:noWrap/>
            <w:vAlign w:val="center"/>
          </w:tcPr>
          <w:p>
            <w:pPr>
              <w:jc w:val="center"/>
              <w:rPr>
                <w:bCs/>
                <w:szCs w:val="21"/>
              </w:rPr>
            </w:pPr>
            <w:r>
              <w:rPr>
                <w:rFonts w:hint="eastAsia"/>
                <w:b/>
                <w:szCs w:val="21"/>
              </w:rPr>
              <w:t>更换电梯扣减的电梯维保费用=该更换电梯剩余维保月数*每月扣减维保费用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558" w:hRule="atLeast"/>
          <w:tblHeader/>
          <w:jc w:val="center"/>
        </w:trPr>
        <w:tc>
          <w:tcPr>
            <w:tcW w:w="636" w:type="dxa"/>
            <w:noWrap/>
            <w:vAlign w:val="center"/>
          </w:tcPr>
          <w:p>
            <w:pPr>
              <w:jc w:val="center"/>
              <w:rPr>
                <w:bCs/>
                <w:szCs w:val="21"/>
              </w:rPr>
            </w:pPr>
            <w:r>
              <w:rPr>
                <w:rFonts w:hint="eastAsia"/>
                <w:bCs/>
                <w:szCs w:val="21"/>
              </w:rPr>
              <w:t>序号</w:t>
            </w:r>
          </w:p>
        </w:tc>
        <w:tc>
          <w:tcPr>
            <w:tcW w:w="3022" w:type="dxa"/>
            <w:noWrap/>
            <w:vAlign w:val="center"/>
          </w:tcPr>
          <w:p>
            <w:pPr>
              <w:jc w:val="center"/>
              <w:rPr>
                <w:bCs/>
                <w:szCs w:val="21"/>
              </w:rPr>
            </w:pPr>
            <w:r>
              <w:rPr>
                <w:rFonts w:hint="eastAsia"/>
                <w:bCs/>
                <w:szCs w:val="21"/>
              </w:rPr>
              <w:t>型号</w:t>
            </w:r>
          </w:p>
        </w:tc>
        <w:tc>
          <w:tcPr>
            <w:tcW w:w="846" w:type="dxa"/>
            <w:noWrap/>
            <w:vAlign w:val="center"/>
          </w:tcPr>
          <w:p>
            <w:pPr>
              <w:jc w:val="center"/>
              <w:rPr>
                <w:bCs/>
                <w:szCs w:val="21"/>
              </w:rPr>
            </w:pPr>
            <w:r>
              <w:rPr>
                <w:rFonts w:hint="eastAsia"/>
                <w:bCs/>
                <w:szCs w:val="21"/>
              </w:rPr>
              <w:t>品牌</w:t>
            </w:r>
          </w:p>
        </w:tc>
        <w:tc>
          <w:tcPr>
            <w:tcW w:w="1266" w:type="dxa"/>
            <w:tcBorders>
              <w:right w:val="single" w:color="auto" w:sz="4" w:space="0"/>
            </w:tcBorders>
            <w:noWrap/>
            <w:vAlign w:val="center"/>
          </w:tcPr>
          <w:p>
            <w:pPr>
              <w:jc w:val="center"/>
              <w:rPr>
                <w:bCs/>
                <w:szCs w:val="21"/>
              </w:rPr>
            </w:pPr>
            <w:r>
              <w:rPr>
                <w:rFonts w:hint="eastAsia"/>
                <w:bCs/>
                <w:szCs w:val="21"/>
              </w:rPr>
              <w:t>数量（台）</w:t>
            </w:r>
          </w:p>
        </w:tc>
        <w:tc>
          <w:tcPr>
            <w:tcW w:w="4533" w:type="dxa"/>
            <w:tcBorders>
              <w:left w:val="single" w:color="auto" w:sz="4" w:space="0"/>
            </w:tcBorders>
            <w:noWrap/>
            <w:vAlign w:val="center"/>
          </w:tcPr>
          <w:p>
            <w:pPr>
              <w:jc w:val="center"/>
              <w:rPr>
                <w:bCs/>
                <w:szCs w:val="21"/>
              </w:rPr>
            </w:pPr>
            <w:r>
              <w:rPr>
                <w:rFonts w:hint="eastAsia"/>
                <w:bCs/>
                <w:szCs w:val="21"/>
              </w:rPr>
              <w:t>每月每部电梯扣减的维保费用报价（元/台/月）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510" w:hRule="atLeast"/>
          <w:tblHeader/>
          <w:jc w:val="center"/>
        </w:trPr>
        <w:tc>
          <w:tcPr>
            <w:tcW w:w="636" w:type="dxa"/>
            <w:noWrap/>
            <w:vAlign w:val="center"/>
          </w:tcPr>
          <w:p>
            <w:pPr>
              <w:jc w:val="center"/>
              <w:rPr>
                <w:rFonts w:cs="宋体"/>
                <w:szCs w:val="21"/>
              </w:rPr>
            </w:pPr>
            <w:r>
              <w:rPr>
                <w:rFonts w:hint="eastAsia" w:cs="宋体"/>
                <w:szCs w:val="21"/>
              </w:rPr>
              <w:t>1</w:t>
            </w:r>
          </w:p>
        </w:tc>
        <w:tc>
          <w:tcPr>
            <w:tcW w:w="3022" w:type="dxa"/>
            <w:noWrap/>
            <w:vAlign w:val="center"/>
          </w:tcPr>
          <w:p>
            <w:pPr>
              <w:jc w:val="center"/>
              <w:rPr>
                <w:rFonts w:cs="宋体"/>
                <w:szCs w:val="21"/>
              </w:rPr>
            </w:pPr>
            <w:r>
              <w:rPr>
                <w:rFonts w:hint="eastAsia" w:cs="宋体"/>
                <w:szCs w:val="21"/>
              </w:rPr>
              <w:t>1200EX-EN</w:t>
            </w:r>
          </w:p>
        </w:tc>
        <w:tc>
          <w:tcPr>
            <w:tcW w:w="846" w:type="dxa"/>
            <w:noWrap/>
            <w:vAlign w:val="center"/>
          </w:tcPr>
          <w:p>
            <w:pPr>
              <w:jc w:val="center"/>
              <w:rPr>
                <w:rFonts w:cs="宋体"/>
                <w:szCs w:val="21"/>
              </w:rPr>
            </w:pPr>
            <w:r>
              <w:rPr>
                <w:rFonts w:hint="eastAsia" w:cs="宋体"/>
                <w:szCs w:val="21"/>
              </w:rPr>
              <w:t>日立</w:t>
            </w:r>
          </w:p>
        </w:tc>
        <w:tc>
          <w:tcPr>
            <w:tcW w:w="1266" w:type="dxa"/>
            <w:tcBorders>
              <w:right w:val="single" w:color="auto" w:sz="4" w:space="0"/>
            </w:tcBorders>
            <w:noWrap/>
            <w:vAlign w:val="center"/>
          </w:tcPr>
          <w:p>
            <w:pPr>
              <w:jc w:val="center"/>
              <w:rPr>
                <w:rFonts w:cs="宋体"/>
                <w:szCs w:val="21"/>
              </w:rPr>
            </w:pPr>
            <w:r>
              <w:rPr>
                <w:rFonts w:hint="eastAsia" w:cs="宋体"/>
                <w:szCs w:val="21"/>
              </w:rPr>
              <w:t>2</w:t>
            </w:r>
          </w:p>
        </w:tc>
        <w:tc>
          <w:tcPr>
            <w:tcW w:w="4533" w:type="dxa"/>
            <w:tcBorders>
              <w:left w:val="single" w:color="auto" w:sz="4" w:space="0"/>
            </w:tcBorders>
            <w:noWrap/>
            <w:vAlign w:val="center"/>
          </w:tcPr>
          <w:p>
            <w:pPr>
              <w:jc w:val="center"/>
              <w:rPr>
                <w:rFonts w:cs="宋体"/>
                <w:szCs w:val="21"/>
              </w:rPr>
            </w:pPr>
            <w:r>
              <w:rPr>
                <w:rFonts w:hint="eastAsia" w:cs="宋体"/>
                <w:szCs w:val="21"/>
              </w:rPr>
              <w:t>916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510" w:hRule="atLeast"/>
          <w:tblHeader/>
          <w:jc w:val="center"/>
        </w:trPr>
        <w:tc>
          <w:tcPr>
            <w:tcW w:w="636" w:type="dxa"/>
            <w:noWrap/>
            <w:vAlign w:val="center"/>
          </w:tcPr>
          <w:p>
            <w:pPr>
              <w:jc w:val="center"/>
              <w:rPr>
                <w:rFonts w:cs="宋体"/>
                <w:szCs w:val="21"/>
              </w:rPr>
            </w:pPr>
            <w:r>
              <w:rPr>
                <w:rFonts w:hint="eastAsia" w:cs="宋体"/>
                <w:szCs w:val="21"/>
              </w:rPr>
              <w:t>2</w:t>
            </w:r>
          </w:p>
        </w:tc>
        <w:tc>
          <w:tcPr>
            <w:tcW w:w="3022" w:type="dxa"/>
            <w:noWrap/>
            <w:vAlign w:val="center"/>
          </w:tcPr>
          <w:p>
            <w:pPr>
              <w:jc w:val="center"/>
              <w:rPr>
                <w:rFonts w:cs="宋体"/>
                <w:szCs w:val="21"/>
              </w:rPr>
            </w:pPr>
            <w:r>
              <w:rPr>
                <w:rFonts w:hint="eastAsia" w:cs="宋体"/>
                <w:szCs w:val="21"/>
              </w:rPr>
              <w:t>KLB/VF-1600/1.0</w:t>
            </w:r>
          </w:p>
        </w:tc>
        <w:tc>
          <w:tcPr>
            <w:tcW w:w="846" w:type="dxa"/>
            <w:noWrap/>
            <w:vAlign w:val="center"/>
          </w:tcPr>
          <w:p>
            <w:pPr>
              <w:jc w:val="center"/>
              <w:rPr>
                <w:rFonts w:cs="宋体"/>
                <w:szCs w:val="21"/>
              </w:rPr>
            </w:pPr>
            <w:r>
              <w:rPr>
                <w:rFonts w:hint="eastAsia" w:cs="宋体"/>
                <w:szCs w:val="21"/>
              </w:rPr>
              <w:t>康力</w:t>
            </w:r>
          </w:p>
        </w:tc>
        <w:tc>
          <w:tcPr>
            <w:tcW w:w="1266" w:type="dxa"/>
            <w:tcBorders>
              <w:right w:val="single" w:color="auto" w:sz="4" w:space="0"/>
            </w:tcBorders>
            <w:noWrap/>
            <w:vAlign w:val="center"/>
          </w:tcPr>
          <w:p>
            <w:pPr>
              <w:jc w:val="center"/>
              <w:rPr>
                <w:rFonts w:cs="宋体"/>
                <w:szCs w:val="21"/>
              </w:rPr>
            </w:pPr>
            <w:r>
              <w:rPr>
                <w:rFonts w:hint="eastAsia" w:cs="宋体"/>
                <w:szCs w:val="21"/>
              </w:rPr>
              <w:t>4</w:t>
            </w:r>
          </w:p>
        </w:tc>
        <w:tc>
          <w:tcPr>
            <w:tcW w:w="4533" w:type="dxa"/>
            <w:tcBorders>
              <w:left w:val="single" w:color="auto" w:sz="4" w:space="0"/>
            </w:tcBorders>
            <w:noWrap/>
            <w:vAlign w:val="center"/>
          </w:tcPr>
          <w:p>
            <w:pPr>
              <w:jc w:val="center"/>
              <w:rPr>
                <w:rFonts w:cs="宋体"/>
                <w:szCs w:val="21"/>
              </w:rPr>
            </w:pPr>
            <w:r>
              <w:rPr>
                <w:rFonts w:hint="eastAsia" w:cs="宋体"/>
                <w:szCs w:val="21"/>
              </w:rPr>
              <w:t>816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510" w:hRule="atLeast"/>
          <w:tblHeader/>
          <w:jc w:val="center"/>
        </w:trPr>
        <w:tc>
          <w:tcPr>
            <w:tcW w:w="636" w:type="dxa"/>
            <w:noWrap/>
            <w:vAlign w:val="center"/>
          </w:tcPr>
          <w:p>
            <w:pPr>
              <w:jc w:val="center"/>
              <w:rPr>
                <w:rFonts w:cs="宋体"/>
                <w:szCs w:val="21"/>
              </w:rPr>
            </w:pPr>
            <w:r>
              <w:rPr>
                <w:rFonts w:hint="eastAsia" w:cs="宋体"/>
                <w:szCs w:val="21"/>
              </w:rPr>
              <w:t>3</w:t>
            </w:r>
          </w:p>
        </w:tc>
        <w:tc>
          <w:tcPr>
            <w:tcW w:w="3022" w:type="dxa"/>
            <w:noWrap/>
            <w:vAlign w:val="center"/>
          </w:tcPr>
          <w:p>
            <w:pPr>
              <w:jc w:val="center"/>
              <w:rPr>
                <w:rFonts w:cs="宋体"/>
                <w:szCs w:val="21"/>
              </w:rPr>
            </w:pPr>
            <w:r>
              <w:rPr>
                <w:rFonts w:hint="eastAsia" w:cs="宋体"/>
                <w:szCs w:val="21"/>
              </w:rPr>
              <w:t>KLK/VF-1000/1.0</w:t>
            </w:r>
          </w:p>
        </w:tc>
        <w:tc>
          <w:tcPr>
            <w:tcW w:w="846" w:type="dxa"/>
            <w:noWrap/>
            <w:vAlign w:val="center"/>
          </w:tcPr>
          <w:p>
            <w:pPr>
              <w:jc w:val="center"/>
              <w:rPr>
                <w:rFonts w:cs="宋体"/>
                <w:szCs w:val="21"/>
              </w:rPr>
            </w:pPr>
            <w:r>
              <w:rPr>
                <w:rFonts w:hint="eastAsia" w:cs="宋体"/>
                <w:szCs w:val="21"/>
              </w:rPr>
              <w:t>康力</w:t>
            </w:r>
          </w:p>
        </w:tc>
        <w:tc>
          <w:tcPr>
            <w:tcW w:w="1266" w:type="dxa"/>
            <w:tcBorders>
              <w:right w:val="single" w:color="auto" w:sz="4" w:space="0"/>
            </w:tcBorders>
            <w:noWrap/>
            <w:vAlign w:val="center"/>
          </w:tcPr>
          <w:p>
            <w:pPr>
              <w:jc w:val="center"/>
              <w:rPr>
                <w:rFonts w:cs="宋体"/>
                <w:szCs w:val="21"/>
              </w:rPr>
            </w:pPr>
            <w:r>
              <w:rPr>
                <w:rFonts w:hint="eastAsia" w:cs="宋体"/>
                <w:szCs w:val="21"/>
              </w:rPr>
              <w:t>1</w:t>
            </w:r>
          </w:p>
        </w:tc>
        <w:tc>
          <w:tcPr>
            <w:tcW w:w="4533" w:type="dxa"/>
            <w:tcBorders>
              <w:left w:val="single" w:color="auto" w:sz="4" w:space="0"/>
            </w:tcBorders>
            <w:noWrap/>
            <w:vAlign w:val="center"/>
          </w:tcPr>
          <w:p>
            <w:pPr>
              <w:jc w:val="center"/>
              <w:rPr>
                <w:rFonts w:cs="宋体"/>
                <w:szCs w:val="21"/>
              </w:rPr>
            </w:pPr>
            <w:r>
              <w:rPr>
                <w:rFonts w:hint="eastAsia" w:cs="宋体"/>
                <w:szCs w:val="21"/>
              </w:rPr>
              <w:t>816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510" w:hRule="atLeast"/>
          <w:tblHeader/>
          <w:jc w:val="center"/>
        </w:trPr>
        <w:tc>
          <w:tcPr>
            <w:tcW w:w="636" w:type="dxa"/>
            <w:noWrap/>
            <w:vAlign w:val="center"/>
          </w:tcPr>
          <w:p>
            <w:pPr>
              <w:jc w:val="center"/>
              <w:rPr>
                <w:rFonts w:cs="宋体"/>
                <w:szCs w:val="21"/>
              </w:rPr>
            </w:pPr>
            <w:r>
              <w:rPr>
                <w:rFonts w:hint="eastAsia" w:cs="宋体"/>
                <w:szCs w:val="21"/>
              </w:rPr>
              <w:t>4</w:t>
            </w:r>
          </w:p>
        </w:tc>
        <w:tc>
          <w:tcPr>
            <w:tcW w:w="3022" w:type="dxa"/>
            <w:noWrap/>
            <w:vAlign w:val="center"/>
          </w:tcPr>
          <w:p>
            <w:pPr>
              <w:jc w:val="center"/>
              <w:rPr>
                <w:rFonts w:cs="宋体"/>
                <w:szCs w:val="21"/>
              </w:rPr>
            </w:pPr>
            <w:r>
              <w:rPr>
                <w:rFonts w:hint="eastAsia" w:cs="宋体"/>
                <w:szCs w:val="21"/>
              </w:rPr>
              <w:t>GE1000/1.0-K</w:t>
            </w:r>
          </w:p>
        </w:tc>
        <w:tc>
          <w:tcPr>
            <w:tcW w:w="846" w:type="dxa"/>
            <w:noWrap/>
            <w:vAlign w:val="center"/>
          </w:tcPr>
          <w:p>
            <w:pPr>
              <w:jc w:val="center"/>
              <w:rPr>
                <w:rFonts w:cs="宋体"/>
                <w:szCs w:val="21"/>
              </w:rPr>
            </w:pPr>
            <w:r>
              <w:rPr>
                <w:rFonts w:hint="eastAsia" w:cs="宋体"/>
                <w:szCs w:val="21"/>
              </w:rPr>
              <w:t>通用</w:t>
            </w:r>
          </w:p>
        </w:tc>
        <w:tc>
          <w:tcPr>
            <w:tcW w:w="1266" w:type="dxa"/>
            <w:tcBorders>
              <w:right w:val="single" w:color="auto" w:sz="4" w:space="0"/>
            </w:tcBorders>
            <w:noWrap/>
            <w:vAlign w:val="center"/>
          </w:tcPr>
          <w:p>
            <w:pPr>
              <w:jc w:val="center"/>
              <w:rPr>
                <w:rFonts w:cs="宋体"/>
                <w:szCs w:val="21"/>
              </w:rPr>
            </w:pPr>
            <w:r>
              <w:rPr>
                <w:rFonts w:hint="eastAsia" w:cs="宋体"/>
                <w:szCs w:val="21"/>
              </w:rPr>
              <w:t>1</w:t>
            </w:r>
          </w:p>
        </w:tc>
        <w:tc>
          <w:tcPr>
            <w:tcW w:w="4533" w:type="dxa"/>
            <w:tcBorders>
              <w:left w:val="single" w:color="auto" w:sz="4" w:space="0"/>
            </w:tcBorders>
            <w:noWrap/>
            <w:vAlign w:val="center"/>
          </w:tcPr>
          <w:p>
            <w:pPr>
              <w:jc w:val="center"/>
              <w:rPr>
                <w:rFonts w:cs="宋体"/>
                <w:szCs w:val="21"/>
              </w:rPr>
            </w:pPr>
            <w:r>
              <w:rPr>
                <w:rFonts w:hint="eastAsia" w:cs="宋体"/>
                <w:szCs w:val="21"/>
              </w:rPr>
              <w:t>816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510" w:hRule="atLeast"/>
          <w:tblHeader/>
          <w:jc w:val="center"/>
        </w:trPr>
        <w:tc>
          <w:tcPr>
            <w:tcW w:w="636" w:type="dxa"/>
            <w:noWrap/>
            <w:vAlign w:val="center"/>
          </w:tcPr>
          <w:p>
            <w:pPr>
              <w:jc w:val="center"/>
              <w:rPr>
                <w:rFonts w:cs="宋体"/>
                <w:szCs w:val="21"/>
              </w:rPr>
            </w:pPr>
            <w:r>
              <w:rPr>
                <w:rFonts w:hint="eastAsia" w:cs="宋体"/>
                <w:szCs w:val="21"/>
              </w:rPr>
              <w:t>5</w:t>
            </w:r>
          </w:p>
        </w:tc>
        <w:tc>
          <w:tcPr>
            <w:tcW w:w="3022" w:type="dxa"/>
            <w:noWrap/>
            <w:vAlign w:val="center"/>
          </w:tcPr>
          <w:p>
            <w:pPr>
              <w:jc w:val="center"/>
              <w:rPr>
                <w:rFonts w:cs="宋体"/>
                <w:szCs w:val="21"/>
              </w:rPr>
            </w:pPr>
            <w:r>
              <w:rPr>
                <w:rFonts w:hint="eastAsia" w:cs="宋体"/>
                <w:szCs w:val="21"/>
              </w:rPr>
              <w:t>KLK1/VF-800/1.0</w:t>
            </w:r>
          </w:p>
        </w:tc>
        <w:tc>
          <w:tcPr>
            <w:tcW w:w="846" w:type="dxa"/>
            <w:noWrap/>
            <w:vAlign w:val="center"/>
          </w:tcPr>
          <w:p>
            <w:pPr>
              <w:jc w:val="center"/>
              <w:rPr>
                <w:rFonts w:cs="宋体"/>
                <w:szCs w:val="21"/>
              </w:rPr>
            </w:pPr>
            <w:r>
              <w:rPr>
                <w:rFonts w:hint="eastAsia" w:cs="宋体"/>
                <w:szCs w:val="21"/>
              </w:rPr>
              <w:t>康力</w:t>
            </w:r>
          </w:p>
        </w:tc>
        <w:tc>
          <w:tcPr>
            <w:tcW w:w="1266" w:type="dxa"/>
            <w:tcBorders>
              <w:right w:val="single" w:color="auto" w:sz="4" w:space="0"/>
            </w:tcBorders>
            <w:noWrap/>
            <w:vAlign w:val="center"/>
          </w:tcPr>
          <w:p>
            <w:pPr>
              <w:jc w:val="center"/>
              <w:rPr>
                <w:rFonts w:cs="宋体"/>
                <w:szCs w:val="21"/>
              </w:rPr>
            </w:pPr>
            <w:r>
              <w:rPr>
                <w:rFonts w:hint="eastAsia" w:cs="宋体"/>
                <w:szCs w:val="21"/>
              </w:rPr>
              <w:t>2</w:t>
            </w:r>
          </w:p>
        </w:tc>
        <w:tc>
          <w:tcPr>
            <w:tcW w:w="4533" w:type="dxa"/>
            <w:tcBorders>
              <w:left w:val="single" w:color="auto" w:sz="4" w:space="0"/>
            </w:tcBorders>
            <w:noWrap/>
            <w:vAlign w:val="center"/>
          </w:tcPr>
          <w:p>
            <w:pPr>
              <w:jc w:val="center"/>
              <w:rPr>
                <w:rFonts w:cs="宋体"/>
                <w:szCs w:val="21"/>
              </w:rPr>
            </w:pPr>
            <w:r>
              <w:rPr>
                <w:rFonts w:hint="eastAsia" w:cs="宋体"/>
                <w:szCs w:val="21"/>
              </w:rPr>
              <w:t>816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510" w:hRule="atLeast"/>
          <w:tblHeader/>
          <w:jc w:val="center"/>
        </w:trPr>
        <w:tc>
          <w:tcPr>
            <w:tcW w:w="636" w:type="dxa"/>
            <w:noWrap/>
            <w:vAlign w:val="center"/>
          </w:tcPr>
          <w:p>
            <w:pPr>
              <w:jc w:val="center"/>
              <w:rPr>
                <w:rFonts w:cs="宋体"/>
                <w:szCs w:val="21"/>
              </w:rPr>
            </w:pPr>
            <w:r>
              <w:rPr>
                <w:rFonts w:hint="eastAsia" w:cs="宋体"/>
                <w:szCs w:val="21"/>
              </w:rPr>
              <w:t>6</w:t>
            </w:r>
          </w:p>
        </w:tc>
        <w:tc>
          <w:tcPr>
            <w:tcW w:w="3022" w:type="dxa"/>
            <w:noWrap/>
            <w:vAlign w:val="center"/>
          </w:tcPr>
          <w:p>
            <w:pPr>
              <w:jc w:val="center"/>
              <w:rPr>
                <w:rFonts w:cs="宋体"/>
                <w:szCs w:val="21"/>
              </w:rPr>
            </w:pPr>
            <w:r>
              <w:rPr>
                <w:rFonts w:hint="eastAsia" w:cs="宋体"/>
                <w:szCs w:val="21"/>
              </w:rPr>
              <w:t>KLW/VF-1000/1.0</w:t>
            </w:r>
          </w:p>
        </w:tc>
        <w:tc>
          <w:tcPr>
            <w:tcW w:w="846" w:type="dxa"/>
            <w:noWrap/>
            <w:vAlign w:val="center"/>
          </w:tcPr>
          <w:p>
            <w:pPr>
              <w:jc w:val="center"/>
              <w:rPr>
                <w:rFonts w:cs="宋体"/>
                <w:szCs w:val="21"/>
              </w:rPr>
            </w:pPr>
            <w:r>
              <w:rPr>
                <w:rFonts w:hint="eastAsia" w:cs="宋体"/>
                <w:szCs w:val="21"/>
              </w:rPr>
              <w:t>康力</w:t>
            </w:r>
          </w:p>
        </w:tc>
        <w:tc>
          <w:tcPr>
            <w:tcW w:w="1266" w:type="dxa"/>
            <w:tcBorders>
              <w:right w:val="single" w:color="auto" w:sz="4" w:space="0"/>
            </w:tcBorders>
            <w:noWrap/>
            <w:vAlign w:val="center"/>
          </w:tcPr>
          <w:p>
            <w:pPr>
              <w:jc w:val="center"/>
              <w:rPr>
                <w:rFonts w:cs="宋体"/>
                <w:szCs w:val="21"/>
              </w:rPr>
            </w:pPr>
            <w:r>
              <w:rPr>
                <w:rFonts w:hint="eastAsia" w:cs="宋体"/>
                <w:szCs w:val="21"/>
              </w:rPr>
              <w:t>1</w:t>
            </w:r>
          </w:p>
        </w:tc>
        <w:tc>
          <w:tcPr>
            <w:tcW w:w="4533" w:type="dxa"/>
            <w:tcBorders>
              <w:left w:val="single" w:color="auto" w:sz="4" w:space="0"/>
            </w:tcBorders>
            <w:noWrap/>
            <w:vAlign w:val="center"/>
          </w:tcPr>
          <w:p>
            <w:pPr>
              <w:jc w:val="center"/>
              <w:rPr>
                <w:rFonts w:cs="宋体"/>
                <w:szCs w:val="21"/>
              </w:rPr>
            </w:pPr>
            <w:r>
              <w:rPr>
                <w:rFonts w:hint="eastAsia" w:cs="宋体"/>
                <w:szCs w:val="21"/>
              </w:rPr>
              <w:t>816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510" w:hRule="atLeast"/>
          <w:tblHeader/>
          <w:jc w:val="center"/>
        </w:trPr>
        <w:tc>
          <w:tcPr>
            <w:tcW w:w="636" w:type="dxa"/>
            <w:noWrap/>
            <w:vAlign w:val="center"/>
          </w:tcPr>
          <w:p>
            <w:pPr>
              <w:jc w:val="center"/>
              <w:rPr>
                <w:rFonts w:cs="宋体"/>
                <w:szCs w:val="21"/>
              </w:rPr>
            </w:pPr>
            <w:r>
              <w:rPr>
                <w:rFonts w:hint="eastAsia" w:cs="宋体"/>
                <w:szCs w:val="21"/>
              </w:rPr>
              <w:t>7</w:t>
            </w:r>
          </w:p>
        </w:tc>
        <w:tc>
          <w:tcPr>
            <w:tcW w:w="3022" w:type="dxa"/>
            <w:noWrap/>
            <w:vAlign w:val="center"/>
          </w:tcPr>
          <w:p>
            <w:pPr>
              <w:jc w:val="center"/>
              <w:rPr>
                <w:rFonts w:cs="宋体"/>
                <w:szCs w:val="21"/>
              </w:rPr>
            </w:pPr>
            <w:r>
              <w:rPr>
                <w:rFonts w:hint="eastAsia" w:cs="宋体"/>
                <w:szCs w:val="21"/>
              </w:rPr>
              <w:t>TWJ200/0.4-AS</w:t>
            </w:r>
          </w:p>
        </w:tc>
        <w:tc>
          <w:tcPr>
            <w:tcW w:w="846" w:type="dxa"/>
            <w:noWrap/>
            <w:vAlign w:val="center"/>
          </w:tcPr>
          <w:p>
            <w:pPr>
              <w:jc w:val="center"/>
              <w:rPr>
                <w:rFonts w:cs="宋体"/>
                <w:szCs w:val="21"/>
              </w:rPr>
            </w:pPr>
            <w:r>
              <w:rPr>
                <w:rFonts w:hint="eastAsia" w:cs="宋体"/>
                <w:szCs w:val="21"/>
              </w:rPr>
              <w:t>誉美</w:t>
            </w:r>
          </w:p>
        </w:tc>
        <w:tc>
          <w:tcPr>
            <w:tcW w:w="1266" w:type="dxa"/>
            <w:tcBorders>
              <w:right w:val="single" w:color="auto" w:sz="4" w:space="0"/>
            </w:tcBorders>
            <w:noWrap/>
            <w:vAlign w:val="center"/>
          </w:tcPr>
          <w:p>
            <w:pPr>
              <w:jc w:val="center"/>
              <w:rPr>
                <w:rFonts w:cs="宋体"/>
                <w:szCs w:val="21"/>
              </w:rPr>
            </w:pPr>
            <w:r>
              <w:rPr>
                <w:rFonts w:hint="eastAsia" w:cs="宋体"/>
                <w:szCs w:val="21"/>
              </w:rPr>
              <w:t>2</w:t>
            </w:r>
          </w:p>
        </w:tc>
        <w:tc>
          <w:tcPr>
            <w:tcW w:w="4533" w:type="dxa"/>
            <w:tcBorders>
              <w:left w:val="single" w:color="auto" w:sz="4" w:space="0"/>
            </w:tcBorders>
            <w:noWrap/>
            <w:vAlign w:val="center"/>
          </w:tcPr>
          <w:p>
            <w:pPr>
              <w:jc w:val="center"/>
              <w:rPr>
                <w:rFonts w:cs="宋体"/>
                <w:szCs w:val="21"/>
              </w:rPr>
            </w:pPr>
            <w:r>
              <w:rPr>
                <w:rFonts w:hint="eastAsia" w:cs="宋体"/>
                <w:szCs w:val="21"/>
              </w:rPr>
              <w:t>750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510" w:hRule="atLeast"/>
          <w:tblHeader/>
          <w:jc w:val="center"/>
        </w:trPr>
        <w:tc>
          <w:tcPr>
            <w:tcW w:w="636" w:type="dxa"/>
            <w:noWrap/>
            <w:vAlign w:val="center"/>
          </w:tcPr>
          <w:p>
            <w:pPr>
              <w:jc w:val="center"/>
              <w:rPr>
                <w:rFonts w:cs="宋体"/>
                <w:szCs w:val="21"/>
              </w:rPr>
            </w:pPr>
            <w:r>
              <w:rPr>
                <w:rFonts w:hint="eastAsia" w:cs="宋体"/>
                <w:szCs w:val="21"/>
              </w:rPr>
              <w:t>8</w:t>
            </w:r>
          </w:p>
        </w:tc>
        <w:tc>
          <w:tcPr>
            <w:tcW w:w="3022" w:type="dxa"/>
            <w:noWrap/>
            <w:vAlign w:val="center"/>
          </w:tcPr>
          <w:p>
            <w:pPr>
              <w:spacing w:line="320" w:lineRule="exact"/>
              <w:contextualSpacing/>
              <w:jc w:val="center"/>
              <w:rPr>
                <w:rFonts w:cs="宋体"/>
                <w:szCs w:val="21"/>
              </w:rPr>
            </w:pPr>
            <w:r>
              <w:rPr>
                <w:szCs w:val="21"/>
              </w:rPr>
              <w:t>VE1600/2.0-VVVF</w:t>
            </w:r>
          </w:p>
        </w:tc>
        <w:tc>
          <w:tcPr>
            <w:tcW w:w="846" w:type="dxa"/>
            <w:noWrap/>
            <w:vAlign w:val="center"/>
          </w:tcPr>
          <w:p>
            <w:pPr>
              <w:spacing w:line="320" w:lineRule="exact"/>
              <w:contextualSpacing/>
              <w:jc w:val="center"/>
              <w:rPr>
                <w:rFonts w:cs="宋体"/>
                <w:szCs w:val="21"/>
              </w:rPr>
            </w:pPr>
            <w:r>
              <w:rPr>
                <w:rFonts w:hint="eastAsia" w:cs="宋体"/>
                <w:szCs w:val="21"/>
              </w:rPr>
              <w:t>沃克斯</w:t>
            </w:r>
          </w:p>
        </w:tc>
        <w:tc>
          <w:tcPr>
            <w:tcW w:w="1266" w:type="dxa"/>
            <w:tcBorders>
              <w:right w:val="single" w:color="auto" w:sz="4" w:space="0"/>
            </w:tcBorders>
            <w:noWrap/>
            <w:vAlign w:val="center"/>
          </w:tcPr>
          <w:p>
            <w:pPr>
              <w:spacing w:line="320" w:lineRule="exact"/>
              <w:contextualSpacing/>
              <w:jc w:val="center"/>
              <w:rPr>
                <w:rFonts w:cs="宋体"/>
                <w:szCs w:val="21"/>
              </w:rPr>
            </w:pPr>
            <w:r>
              <w:rPr>
                <w:rFonts w:hint="eastAsia"/>
                <w:szCs w:val="21"/>
              </w:rPr>
              <w:t>2</w:t>
            </w:r>
          </w:p>
        </w:tc>
        <w:tc>
          <w:tcPr>
            <w:tcW w:w="4533" w:type="dxa"/>
            <w:tcBorders>
              <w:left w:val="single" w:color="auto" w:sz="4" w:space="0"/>
            </w:tcBorders>
            <w:noWrap/>
            <w:vAlign w:val="center"/>
          </w:tcPr>
          <w:p>
            <w:pPr>
              <w:spacing w:line="320" w:lineRule="exact"/>
              <w:contextualSpacing/>
              <w:jc w:val="center"/>
              <w:rPr>
                <w:szCs w:val="21"/>
              </w:rPr>
            </w:pPr>
            <w:r>
              <w:rPr>
                <w:rFonts w:hint="eastAsia"/>
                <w:szCs w:val="21"/>
              </w:rPr>
              <w:t>1000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510" w:hRule="atLeast"/>
          <w:tblHeader/>
          <w:jc w:val="center"/>
        </w:trPr>
        <w:tc>
          <w:tcPr>
            <w:tcW w:w="636" w:type="dxa"/>
            <w:noWrap/>
            <w:vAlign w:val="center"/>
          </w:tcPr>
          <w:p>
            <w:pPr>
              <w:jc w:val="center"/>
              <w:rPr>
                <w:rFonts w:cs="宋体"/>
                <w:szCs w:val="21"/>
              </w:rPr>
            </w:pPr>
            <w:r>
              <w:rPr>
                <w:rFonts w:hint="eastAsia" w:cs="宋体"/>
                <w:szCs w:val="21"/>
              </w:rPr>
              <w:t>9</w:t>
            </w:r>
          </w:p>
        </w:tc>
        <w:tc>
          <w:tcPr>
            <w:tcW w:w="3022" w:type="dxa"/>
            <w:noWrap/>
            <w:vAlign w:val="center"/>
          </w:tcPr>
          <w:p>
            <w:pPr>
              <w:jc w:val="center"/>
              <w:rPr>
                <w:rFonts w:cs="宋体"/>
                <w:szCs w:val="21"/>
              </w:rPr>
            </w:pPr>
            <w:r>
              <w:rPr>
                <w:rFonts w:hint="eastAsia" w:cs="宋体"/>
                <w:szCs w:val="21"/>
              </w:rPr>
              <w:t>NPH-B1600-2S120</w:t>
            </w:r>
          </w:p>
        </w:tc>
        <w:tc>
          <w:tcPr>
            <w:tcW w:w="846" w:type="dxa"/>
            <w:noWrap/>
            <w:vAlign w:val="center"/>
          </w:tcPr>
          <w:p>
            <w:pPr>
              <w:jc w:val="center"/>
              <w:rPr>
                <w:rFonts w:cs="宋体"/>
                <w:szCs w:val="21"/>
              </w:rPr>
            </w:pPr>
            <w:r>
              <w:rPr>
                <w:rFonts w:hint="eastAsia" w:cs="宋体"/>
                <w:szCs w:val="21"/>
              </w:rPr>
              <w:t>日立</w:t>
            </w:r>
          </w:p>
        </w:tc>
        <w:tc>
          <w:tcPr>
            <w:tcW w:w="1266" w:type="dxa"/>
            <w:tcBorders>
              <w:right w:val="single" w:color="auto" w:sz="4" w:space="0"/>
            </w:tcBorders>
            <w:noWrap/>
            <w:vAlign w:val="center"/>
          </w:tcPr>
          <w:p>
            <w:pPr>
              <w:jc w:val="center"/>
              <w:rPr>
                <w:rFonts w:cs="宋体"/>
                <w:szCs w:val="21"/>
              </w:rPr>
            </w:pPr>
            <w:r>
              <w:rPr>
                <w:rFonts w:hint="eastAsia" w:cs="宋体"/>
                <w:szCs w:val="21"/>
              </w:rPr>
              <w:t>5</w:t>
            </w:r>
          </w:p>
        </w:tc>
        <w:tc>
          <w:tcPr>
            <w:tcW w:w="4533" w:type="dxa"/>
            <w:tcBorders>
              <w:left w:val="single" w:color="auto" w:sz="4" w:space="0"/>
            </w:tcBorders>
            <w:noWrap/>
            <w:vAlign w:val="center"/>
          </w:tcPr>
          <w:p>
            <w:pPr>
              <w:jc w:val="center"/>
              <w:rPr>
                <w:rFonts w:cs="宋体"/>
                <w:szCs w:val="21"/>
              </w:rPr>
            </w:pPr>
            <w:r>
              <w:rPr>
                <w:rFonts w:hint="eastAsia" w:cs="宋体"/>
                <w:szCs w:val="21"/>
              </w:rPr>
              <w:t>1000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510" w:hRule="atLeast"/>
          <w:tblHeader/>
          <w:jc w:val="center"/>
        </w:trPr>
        <w:tc>
          <w:tcPr>
            <w:tcW w:w="636" w:type="dxa"/>
            <w:noWrap/>
            <w:vAlign w:val="center"/>
          </w:tcPr>
          <w:p>
            <w:pPr>
              <w:jc w:val="center"/>
              <w:rPr>
                <w:rFonts w:cs="宋体"/>
                <w:szCs w:val="21"/>
              </w:rPr>
            </w:pPr>
            <w:r>
              <w:rPr>
                <w:rFonts w:hint="eastAsia" w:cs="宋体"/>
                <w:szCs w:val="21"/>
              </w:rPr>
              <w:t>10</w:t>
            </w:r>
          </w:p>
        </w:tc>
        <w:tc>
          <w:tcPr>
            <w:tcW w:w="3022" w:type="dxa"/>
            <w:noWrap/>
            <w:vAlign w:val="center"/>
          </w:tcPr>
          <w:p>
            <w:pPr>
              <w:spacing w:line="320" w:lineRule="exact"/>
              <w:contextualSpacing/>
              <w:jc w:val="center"/>
              <w:rPr>
                <w:rFonts w:cs="宋体"/>
                <w:szCs w:val="21"/>
              </w:rPr>
            </w:pPr>
            <w:r>
              <w:rPr>
                <w:rFonts w:hint="eastAsia" w:cs="宋体"/>
                <w:szCs w:val="21"/>
              </w:rPr>
              <w:t>MCA-1050-CO150</w:t>
            </w:r>
          </w:p>
        </w:tc>
        <w:tc>
          <w:tcPr>
            <w:tcW w:w="846" w:type="dxa"/>
            <w:noWrap/>
            <w:vAlign w:val="center"/>
          </w:tcPr>
          <w:p>
            <w:pPr>
              <w:spacing w:line="320" w:lineRule="exact"/>
              <w:contextualSpacing/>
              <w:jc w:val="center"/>
              <w:rPr>
                <w:rFonts w:cs="宋体"/>
                <w:szCs w:val="21"/>
              </w:rPr>
            </w:pPr>
            <w:r>
              <w:rPr>
                <w:rFonts w:hint="eastAsia" w:cs="宋体"/>
                <w:szCs w:val="21"/>
              </w:rPr>
              <w:t>日立</w:t>
            </w:r>
          </w:p>
        </w:tc>
        <w:tc>
          <w:tcPr>
            <w:tcW w:w="1266" w:type="dxa"/>
            <w:tcBorders>
              <w:right w:val="single" w:color="auto" w:sz="4" w:space="0"/>
            </w:tcBorders>
            <w:noWrap/>
            <w:vAlign w:val="center"/>
          </w:tcPr>
          <w:p>
            <w:pPr>
              <w:spacing w:line="320" w:lineRule="exact"/>
              <w:contextualSpacing/>
              <w:jc w:val="center"/>
              <w:rPr>
                <w:rFonts w:cs="宋体"/>
                <w:szCs w:val="21"/>
              </w:rPr>
            </w:pPr>
            <w:r>
              <w:rPr>
                <w:rFonts w:hint="eastAsia" w:cs="宋体"/>
                <w:szCs w:val="21"/>
              </w:rPr>
              <w:t>2</w:t>
            </w:r>
          </w:p>
        </w:tc>
        <w:tc>
          <w:tcPr>
            <w:tcW w:w="4533" w:type="dxa"/>
            <w:tcBorders>
              <w:left w:val="single" w:color="auto" w:sz="4" w:space="0"/>
            </w:tcBorders>
            <w:noWrap/>
            <w:vAlign w:val="center"/>
          </w:tcPr>
          <w:p>
            <w:pPr>
              <w:spacing w:line="320" w:lineRule="exact"/>
              <w:contextualSpacing/>
              <w:jc w:val="center"/>
              <w:rPr>
                <w:rFonts w:cs="宋体"/>
                <w:szCs w:val="21"/>
              </w:rPr>
            </w:pPr>
            <w:r>
              <w:rPr>
                <w:rFonts w:hint="eastAsia" w:cs="宋体"/>
                <w:szCs w:val="21"/>
              </w:rPr>
              <w:t>1000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510" w:hRule="atLeast"/>
          <w:tblHeader/>
          <w:jc w:val="center"/>
        </w:trPr>
        <w:tc>
          <w:tcPr>
            <w:tcW w:w="636" w:type="dxa"/>
            <w:noWrap/>
            <w:vAlign w:val="center"/>
          </w:tcPr>
          <w:p>
            <w:pPr>
              <w:jc w:val="center"/>
              <w:rPr>
                <w:rFonts w:cs="宋体"/>
                <w:szCs w:val="21"/>
              </w:rPr>
            </w:pPr>
            <w:r>
              <w:rPr>
                <w:rFonts w:hint="eastAsia" w:cs="宋体"/>
                <w:szCs w:val="21"/>
              </w:rPr>
              <w:t>11</w:t>
            </w:r>
          </w:p>
        </w:tc>
        <w:tc>
          <w:tcPr>
            <w:tcW w:w="3022" w:type="dxa"/>
            <w:noWrap/>
            <w:vAlign w:val="center"/>
          </w:tcPr>
          <w:p>
            <w:pPr>
              <w:jc w:val="center"/>
              <w:rPr>
                <w:rFonts w:cs="宋体"/>
                <w:szCs w:val="21"/>
              </w:rPr>
            </w:pPr>
            <w:r>
              <w:rPr>
                <w:rFonts w:hint="eastAsia" w:cs="宋体"/>
                <w:szCs w:val="21"/>
              </w:rPr>
              <w:t>NPH-1000-C0150</w:t>
            </w:r>
          </w:p>
        </w:tc>
        <w:tc>
          <w:tcPr>
            <w:tcW w:w="846" w:type="dxa"/>
            <w:noWrap/>
            <w:vAlign w:val="center"/>
          </w:tcPr>
          <w:p>
            <w:pPr>
              <w:jc w:val="center"/>
              <w:rPr>
                <w:rFonts w:cs="宋体"/>
                <w:szCs w:val="21"/>
              </w:rPr>
            </w:pPr>
            <w:r>
              <w:rPr>
                <w:rFonts w:hint="eastAsia" w:cs="宋体"/>
                <w:szCs w:val="21"/>
              </w:rPr>
              <w:t>日立</w:t>
            </w:r>
          </w:p>
        </w:tc>
        <w:tc>
          <w:tcPr>
            <w:tcW w:w="1266" w:type="dxa"/>
            <w:tcBorders>
              <w:right w:val="single" w:color="auto" w:sz="4" w:space="0"/>
            </w:tcBorders>
            <w:noWrap/>
            <w:vAlign w:val="center"/>
          </w:tcPr>
          <w:p>
            <w:pPr>
              <w:jc w:val="center"/>
              <w:rPr>
                <w:rFonts w:cs="宋体"/>
                <w:szCs w:val="21"/>
              </w:rPr>
            </w:pPr>
            <w:r>
              <w:rPr>
                <w:rFonts w:hint="eastAsia" w:cs="宋体"/>
                <w:szCs w:val="21"/>
              </w:rPr>
              <w:t>1</w:t>
            </w:r>
          </w:p>
        </w:tc>
        <w:tc>
          <w:tcPr>
            <w:tcW w:w="4533" w:type="dxa"/>
            <w:tcBorders>
              <w:left w:val="single" w:color="auto" w:sz="4" w:space="0"/>
            </w:tcBorders>
            <w:noWrap/>
            <w:vAlign w:val="center"/>
          </w:tcPr>
          <w:p>
            <w:pPr>
              <w:jc w:val="center"/>
              <w:rPr>
                <w:rFonts w:cs="宋体"/>
                <w:szCs w:val="21"/>
              </w:rPr>
            </w:pPr>
            <w:r>
              <w:rPr>
                <w:rFonts w:hint="eastAsia" w:cs="宋体"/>
                <w:szCs w:val="21"/>
              </w:rPr>
              <w:t>1000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510" w:hRule="atLeast"/>
          <w:tblHeader/>
          <w:jc w:val="center"/>
        </w:trPr>
        <w:tc>
          <w:tcPr>
            <w:tcW w:w="636" w:type="dxa"/>
            <w:noWrap/>
            <w:vAlign w:val="center"/>
          </w:tcPr>
          <w:p>
            <w:pPr>
              <w:jc w:val="center"/>
              <w:rPr>
                <w:rFonts w:cs="宋体"/>
                <w:szCs w:val="21"/>
              </w:rPr>
            </w:pPr>
            <w:r>
              <w:rPr>
                <w:rFonts w:hint="eastAsia" w:cs="宋体"/>
                <w:szCs w:val="21"/>
              </w:rPr>
              <w:t>12</w:t>
            </w:r>
          </w:p>
        </w:tc>
        <w:tc>
          <w:tcPr>
            <w:tcW w:w="3022" w:type="dxa"/>
            <w:noWrap/>
            <w:vAlign w:val="center"/>
          </w:tcPr>
          <w:p>
            <w:pPr>
              <w:spacing w:line="320" w:lineRule="exact"/>
              <w:contextualSpacing/>
              <w:jc w:val="center"/>
              <w:rPr>
                <w:rFonts w:cs="宋体"/>
                <w:szCs w:val="21"/>
              </w:rPr>
            </w:pPr>
            <w:r>
              <w:rPr>
                <w:rFonts w:hint="eastAsia" w:cs="宋体"/>
                <w:szCs w:val="21"/>
              </w:rPr>
              <w:t>UAX-1000-C060</w:t>
            </w:r>
          </w:p>
        </w:tc>
        <w:tc>
          <w:tcPr>
            <w:tcW w:w="846" w:type="dxa"/>
            <w:noWrap/>
            <w:vAlign w:val="center"/>
          </w:tcPr>
          <w:p>
            <w:pPr>
              <w:spacing w:line="320" w:lineRule="exact"/>
              <w:contextualSpacing/>
              <w:jc w:val="center"/>
              <w:rPr>
                <w:rFonts w:cs="宋体"/>
                <w:szCs w:val="21"/>
              </w:rPr>
            </w:pPr>
            <w:r>
              <w:rPr>
                <w:rFonts w:hint="eastAsia" w:cs="宋体"/>
                <w:szCs w:val="21"/>
              </w:rPr>
              <w:t>日立</w:t>
            </w:r>
          </w:p>
        </w:tc>
        <w:tc>
          <w:tcPr>
            <w:tcW w:w="1266" w:type="dxa"/>
            <w:tcBorders>
              <w:right w:val="single" w:color="auto" w:sz="4" w:space="0"/>
            </w:tcBorders>
            <w:noWrap/>
            <w:vAlign w:val="center"/>
          </w:tcPr>
          <w:p>
            <w:pPr>
              <w:spacing w:line="320" w:lineRule="exact"/>
              <w:contextualSpacing/>
              <w:jc w:val="center"/>
              <w:rPr>
                <w:rFonts w:cs="宋体"/>
                <w:szCs w:val="21"/>
              </w:rPr>
            </w:pPr>
            <w:r>
              <w:rPr>
                <w:rFonts w:hint="eastAsia" w:cs="宋体"/>
                <w:szCs w:val="21"/>
              </w:rPr>
              <w:t>1</w:t>
            </w:r>
          </w:p>
        </w:tc>
        <w:tc>
          <w:tcPr>
            <w:tcW w:w="4533" w:type="dxa"/>
            <w:tcBorders>
              <w:left w:val="single" w:color="auto" w:sz="4" w:space="0"/>
            </w:tcBorders>
            <w:noWrap/>
            <w:vAlign w:val="center"/>
          </w:tcPr>
          <w:p>
            <w:pPr>
              <w:spacing w:line="320" w:lineRule="exact"/>
              <w:contextualSpacing/>
              <w:jc w:val="center"/>
              <w:rPr>
                <w:rFonts w:cs="宋体"/>
                <w:szCs w:val="21"/>
              </w:rPr>
            </w:pPr>
            <w:r>
              <w:rPr>
                <w:rFonts w:hint="eastAsia" w:cs="宋体"/>
                <w:szCs w:val="21"/>
              </w:rPr>
              <w:t>816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510" w:hRule="atLeast"/>
          <w:tblHeader/>
          <w:jc w:val="center"/>
        </w:trPr>
        <w:tc>
          <w:tcPr>
            <w:tcW w:w="636" w:type="dxa"/>
            <w:noWrap/>
            <w:vAlign w:val="center"/>
          </w:tcPr>
          <w:p>
            <w:pPr>
              <w:jc w:val="center"/>
              <w:rPr>
                <w:rFonts w:cs="宋体"/>
                <w:szCs w:val="21"/>
              </w:rPr>
            </w:pPr>
            <w:r>
              <w:rPr>
                <w:rFonts w:hint="eastAsia" w:cs="宋体"/>
                <w:szCs w:val="21"/>
              </w:rPr>
              <w:t>13</w:t>
            </w:r>
          </w:p>
        </w:tc>
        <w:tc>
          <w:tcPr>
            <w:tcW w:w="3022" w:type="dxa"/>
            <w:noWrap/>
            <w:vAlign w:val="center"/>
          </w:tcPr>
          <w:p>
            <w:pPr>
              <w:spacing w:line="320" w:lineRule="exact"/>
              <w:contextualSpacing/>
              <w:jc w:val="center"/>
              <w:rPr>
                <w:rFonts w:ascii="宋体" w:hAnsi="宋体" w:cs="宋体"/>
                <w:szCs w:val="21"/>
              </w:rPr>
            </w:pPr>
            <w:r>
              <w:rPr>
                <w:rFonts w:hint="eastAsia" w:cs="宋体"/>
                <w:szCs w:val="21"/>
              </w:rPr>
              <w:t>KLW-1050kg-1.6m/s(贯通)6/6/7</w:t>
            </w:r>
          </w:p>
        </w:tc>
        <w:tc>
          <w:tcPr>
            <w:tcW w:w="846" w:type="dxa"/>
            <w:noWrap/>
            <w:vAlign w:val="center"/>
          </w:tcPr>
          <w:p>
            <w:pPr>
              <w:spacing w:line="320" w:lineRule="exact"/>
              <w:contextualSpacing/>
              <w:jc w:val="center"/>
              <w:rPr>
                <w:rFonts w:ascii="宋体" w:hAnsi="宋体" w:cs="宋体"/>
                <w:szCs w:val="21"/>
              </w:rPr>
            </w:pPr>
            <w:r>
              <w:rPr>
                <w:rFonts w:hint="eastAsia" w:ascii="宋体" w:hAnsi="宋体" w:cs="宋体"/>
                <w:szCs w:val="21"/>
              </w:rPr>
              <w:t>康力</w:t>
            </w:r>
          </w:p>
        </w:tc>
        <w:tc>
          <w:tcPr>
            <w:tcW w:w="1266" w:type="dxa"/>
            <w:tcBorders>
              <w:right w:val="single" w:color="auto" w:sz="4" w:space="0"/>
            </w:tcBorders>
            <w:noWrap/>
            <w:vAlign w:val="center"/>
          </w:tcPr>
          <w:p>
            <w:pPr>
              <w:spacing w:line="320" w:lineRule="exact"/>
              <w:contextualSpacing/>
              <w:jc w:val="center"/>
              <w:rPr>
                <w:rFonts w:cs="宋体"/>
                <w:szCs w:val="21"/>
              </w:rPr>
            </w:pPr>
            <w:r>
              <w:rPr>
                <w:rFonts w:hint="eastAsia" w:cs="宋体"/>
                <w:szCs w:val="21"/>
              </w:rPr>
              <w:t>1</w:t>
            </w:r>
          </w:p>
        </w:tc>
        <w:tc>
          <w:tcPr>
            <w:tcW w:w="4533" w:type="dxa"/>
            <w:tcBorders>
              <w:left w:val="single" w:color="auto" w:sz="4" w:space="0"/>
            </w:tcBorders>
            <w:noWrap/>
            <w:vAlign w:val="center"/>
          </w:tcPr>
          <w:p>
            <w:pPr>
              <w:spacing w:line="320" w:lineRule="exact"/>
              <w:contextualSpacing/>
              <w:jc w:val="center"/>
              <w:rPr>
                <w:rFonts w:cs="宋体"/>
                <w:szCs w:val="21"/>
              </w:rPr>
            </w:pPr>
            <w:r>
              <w:rPr>
                <w:rFonts w:hint="eastAsia" w:cs="宋体"/>
                <w:szCs w:val="21"/>
              </w:rPr>
              <w:t>816</w:t>
            </w:r>
          </w:p>
        </w:tc>
      </w:tr>
    </w:tbl>
    <w:p>
      <w:pPr>
        <w:jc w:val="left"/>
        <w:rPr>
          <w:rFonts w:ascii="宋体" w:hAnsi="宋体"/>
          <w:spacing w:val="20"/>
          <w:sz w:val="24"/>
        </w:rPr>
      </w:pPr>
    </w:p>
    <w:p>
      <w:pPr>
        <w:jc w:val="left"/>
        <w:rPr>
          <w:rFonts w:ascii="宋体" w:hAnsi="宋体"/>
          <w:spacing w:val="20"/>
          <w:sz w:val="24"/>
        </w:rPr>
      </w:pPr>
    </w:p>
    <w:p>
      <w:pPr>
        <w:jc w:val="left"/>
        <w:rPr>
          <w:rFonts w:ascii="宋体" w:hAnsi="宋体"/>
          <w:spacing w:val="20"/>
          <w:sz w:val="24"/>
        </w:rPr>
      </w:pPr>
    </w:p>
    <w:p>
      <w:pPr>
        <w:jc w:val="left"/>
        <w:rPr>
          <w:rFonts w:ascii="宋体" w:hAnsi="宋体"/>
          <w:spacing w:val="20"/>
          <w:sz w:val="24"/>
        </w:rPr>
      </w:pPr>
    </w:p>
    <w:p>
      <w:pPr>
        <w:rPr>
          <w:rFonts w:ascii="宋体" w:hAnsi="宋体"/>
          <w:spacing w:val="20"/>
          <w:sz w:val="24"/>
        </w:rPr>
      </w:pPr>
      <w:r>
        <w:rPr>
          <w:rFonts w:ascii="宋体" w:hAnsi="宋体"/>
          <w:spacing w:val="20"/>
          <w:sz w:val="24"/>
        </w:rPr>
        <w:br w:type="page"/>
      </w:r>
    </w:p>
    <w:p>
      <w:pPr>
        <w:jc w:val="left"/>
        <w:rPr>
          <w:rFonts w:ascii="宋体" w:hAnsi="宋体"/>
          <w:b/>
          <w:bCs/>
          <w:spacing w:val="20"/>
          <w:sz w:val="30"/>
          <w:szCs w:val="30"/>
        </w:rPr>
      </w:pPr>
      <w:r>
        <w:rPr>
          <w:rFonts w:hint="eastAsia" w:ascii="宋体" w:hAnsi="宋体"/>
          <w:b/>
          <w:bCs/>
          <w:spacing w:val="20"/>
          <w:sz w:val="30"/>
          <w:szCs w:val="30"/>
        </w:rPr>
        <w:t>附件5</w:t>
      </w:r>
    </w:p>
    <w:p>
      <w:pPr>
        <w:jc w:val="center"/>
        <w:rPr>
          <w:rFonts w:ascii="宋体" w:hAnsi="宋体"/>
          <w:b/>
          <w:bCs/>
          <w:spacing w:val="20"/>
          <w:sz w:val="30"/>
          <w:szCs w:val="30"/>
        </w:rPr>
      </w:pPr>
      <w:r>
        <w:rPr>
          <w:rFonts w:ascii="宋体" w:hAnsi="宋体"/>
          <w:b/>
          <w:bCs/>
          <w:spacing w:val="20"/>
          <w:sz w:val="30"/>
          <w:szCs w:val="30"/>
        </w:rPr>
        <w:t>扬州大学附属医院设备维保质量考核表</w:t>
      </w:r>
    </w:p>
    <w:p>
      <w:pPr>
        <w:spacing w:line="360" w:lineRule="exact"/>
        <w:rPr>
          <w:rFonts w:ascii="宋体" w:hAnsi="宋体" w:cs="宋体"/>
          <w:bCs/>
          <w:sz w:val="18"/>
          <w:szCs w:val="18"/>
        </w:rPr>
      </w:pPr>
      <w:r>
        <w:rPr>
          <w:rFonts w:hint="eastAsia" w:ascii="宋体" w:hAnsi="宋体" w:cs="宋体"/>
          <w:bCs/>
          <w:sz w:val="18"/>
          <w:szCs w:val="18"/>
        </w:rPr>
        <w:t>日期：     年   月   维保项目：扬州大学附属医院电梯维保项目    乙方：</w:t>
      </w:r>
    </w:p>
    <w:tbl>
      <w:tblPr>
        <w:tblStyle w:val="10"/>
        <w:tblW w:w="10037" w:type="dxa"/>
        <w:jc w:val="center"/>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581"/>
        <w:gridCol w:w="1636"/>
        <w:gridCol w:w="2427"/>
        <w:gridCol w:w="1418"/>
        <w:gridCol w:w="436"/>
        <w:gridCol w:w="1781"/>
        <w:gridCol w:w="846"/>
        <w:gridCol w:w="912"/>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362" w:hRule="exact"/>
          <w:jc w:val="center"/>
        </w:trPr>
        <w:tc>
          <w:tcPr>
            <w:tcW w:w="581" w:type="dxa"/>
            <w:vMerge w:val="restart"/>
            <w:tcBorders>
              <w:top w:val="single" w:color="auto" w:sz="12" w:space="0"/>
              <w:left w:val="single" w:color="auto" w:sz="12" w:space="0"/>
              <w:bottom w:val="single" w:color="auto" w:sz="4" w:space="0"/>
              <w:right w:val="single" w:color="auto" w:sz="4" w:space="0"/>
            </w:tcBorders>
            <w:noWrap/>
            <w:vAlign w:val="center"/>
          </w:tcPr>
          <w:p>
            <w:pPr>
              <w:jc w:val="center"/>
              <w:rPr>
                <w:rFonts w:ascii="宋体" w:hAnsi="宋体" w:cs="宋体"/>
                <w:szCs w:val="21"/>
              </w:rPr>
            </w:pPr>
            <w:r>
              <w:rPr>
                <w:rFonts w:hint="eastAsia" w:ascii="宋体" w:hAnsi="宋体" w:cs="宋体"/>
                <w:szCs w:val="21"/>
              </w:rPr>
              <w:t>序号</w:t>
            </w:r>
          </w:p>
        </w:tc>
        <w:tc>
          <w:tcPr>
            <w:tcW w:w="5481" w:type="dxa"/>
            <w:gridSpan w:val="3"/>
            <w:vMerge w:val="restart"/>
            <w:tcBorders>
              <w:top w:val="single" w:color="auto" w:sz="12" w:space="0"/>
              <w:left w:val="single" w:color="auto" w:sz="4" w:space="0"/>
              <w:bottom w:val="single" w:color="auto" w:sz="4" w:space="0"/>
              <w:right w:val="single" w:color="auto" w:sz="4" w:space="0"/>
            </w:tcBorders>
            <w:noWrap/>
            <w:vAlign w:val="center"/>
          </w:tcPr>
          <w:p>
            <w:pPr>
              <w:jc w:val="center"/>
              <w:rPr>
                <w:rFonts w:ascii="宋体" w:hAnsi="宋体" w:cs="宋体"/>
                <w:szCs w:val="21"/>
              </w:rPr>
            </w:pPr>
            <w:r>
              <w:rPr>
                <w:rFonts w:hint="eastAsia" w:ascii="宋体" w:hAnsi="宋体" w:cs="宋体"/>
                <w:szCs w:val="21"/>
              </w:rPr>
              <w:t>扣 罚 项</w:t>
            </w:r>
          </w:p>
        </w:tc>
        <w:tc>
          <w:tcPr>
            <w:tcW w:w="436" w:type="dxa"/>
            <w:vMerge w:val="restart"/>
            <w:tcBorders>
              <w:top w:val="single" w:color="auto" w:sz="12" w:space="0"/>
              <w:left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分值</w:t>
            </w:r>
          </w:p>
        </w:tc>
        <w:tc>
          <w:tcPr>
            <w:tcW w:w="3539" w:type="dxa"/>
            <w:gridSpan w:val="3"/>
            <w:tcBorders>
              <w:top w:val="single" w:color="auto" w:sz="12" w:space="0"/>
              <w:left w:val="single" w:color="auto" w:sz="4" w:space="0"/>
              <w:bottom w:val="single" w:color="auto" w:sz="4" w:space="0"/>
              <w:right w:val="single" w:color="auto" w:sz="4" w:space="0"/>
            </w:tcBorders>
            <w:noWrap/>
            <w:vAlign w:val="center"/>
          </w:tcPr>
          <w:p>
            <w:pPr>
              <w:jc w:val="center"/>
              <w:rPr>
                <w:rFonts w:ascii="宋体" w:hAnsi="宋体" w:cs="宋体"/>
                <w:szCs w:val="21"/>
              </w:rPr>
            </w:pPr>
            <w:r>
              <w:rPr>
                <w:rFonts w:hint="eastAsia" w:ascii="宋体" w:hAnsi="宋体" w:cs="宋体"/>
                <w:szCs w:val="21"/>
              </w:rPr>
              <w:t>扣罚内容确认栏</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312" w:hRule="exact"/>
          <w:jc w:val="center"/>
        </w:trPr>
        <w:tc>
          <w:tcPr>
            <w:tcW w:w="581" w:type="dxa"/>
            <w:vMerge w:val="continue"/>
            <w:tcBorders>
              <w:top w:val="single" w:color="auto" w:sz="12" w:space="0"/>
              <w:left w:val="single" w:color="auto" w:sz="12" w:space="0"/>
              <w:bottom w:val="single" w:color="auto" w:sz="4" w:space="0"/>
              <w:right w:val="single" w:color="auto" w:sz="4" w:space="0"/>
            </w:tcBorders>
            <w:noWrap/>
            <w:vAlign w:val="center"/>
          </w:tcPr>
          <w:p>
            <w:pPr>
              <w:widowControl/>
              <w:jc w:val="left"/>
              <w:rPr>
                <w:rFonts w:ascii="宋体" w:hAnsi="宋体" w:cs="宋体"/>
                <w:szCs w:val="21"/>
              </w:rPr>
            </w:pPr>
          </w:p>
        </w:tc>
        <w:tc>
          <w:tcPr>
            <w:tcW w:w="5481" w:type="dxa"/>
            <w:gridSpan w:val="3"/>
            <w:vMerge w:val="continue"/>
            <w:tcBorders>
              <w:top w:val="single" w:color="auto" w:sz="12" w:space="0"/>
              <w:left w:val="single" w:color="auto" w:sz="4" w:space="0"/>
              <w:bottom w:val="single" w:color="auto" w:sz="4" w:space="0"/>
              <w:right w:val="single" w:color="auto" w:sz="4" w:space="0"/>
            </w:tcBorders>
            <w:noWrap/>
            <w:vAlign w:val="center"/>
          </w:tcPr>
          <w:p>
            <w:pPr>
              <w:widowControl/>
              <w:jc w:val="left"/>
              <w:rPr>
                <w:rFonts w:ascii="宋体" w:hAnsi="宋体" w:cs="宋体"/>
                <w:szCs w:val="21"/>
              </w:rPr>
            </w:pPr>
          </w:p>
        </w:tc>
        <w:tc>
          <w:tcPr>
            <w:tcW w:w="436" w:type="dxa"/>
            <w:vMerge w:val="continue"/>
            <w:tcBorders>
              <w:left w:val="single" w:color="auto" w:sz="4" w:space="0"/>
              <w:bottom w:val="single" w:color="auto" w:sz="4" w:space="0"/>
              <w:right w:val="single" w:color="auto" w:sz="4" w:space="0"/>
            </w:tcBorders>
            <w:noWrap/>
            <w:vAlign w:val="center"/>
          </w:tcPr>
          <w:p>
            <w:pPr>
              <w:rPr>
                <w:rFonts w:ascii="宋体" w:hAnsi="宋体" w:cs="宋体"/>
                <w:szCs w:val="21"/>
              </w:rPr>
            </w:pPr>
          </w:p>
        </w:tc>
        <w:tc>
          <w:tcPr>
            <w:tcW w:w="1781" w:type="dxa"/>
            <w:tcBorders>
              <w:top w:val="nil"/>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扣罚分事由</w:t>
            </w:r>
          </w:p>
          <w:p>
            <w:pPr>
              <w:jc w:val="center"/>
              <w:rPr>
                <w:rFonts w:ascii="宋体" w:hAnsi="宋体" w:cs="宋体"/>
                <w:szCs w:val="21"/>
              </w:rPr>
            </w:pPr>
          </w:p>
        </w:tc>
        <w:tc>
          <w:tcPr>
            <w:tcW w:w="846"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Cs w:val="21"/>
              </w:rPr>
            </w:pPr>
            <w:r>
              <w:rPr>
                <w:rFonts w:hint="eastAsia" w:ascii="宋体" w:hAnsi="宋体" w:cs="宋体"/>
                <w:szCs w:val="21"/>
              </w:rPr>
              <w:t>扣分数</w:t>
            </w:r>
          </w:p>
        </w:tc>
        <w:tc>
          <w:tcPr>
            <w:tcW w:w="912" w:type="dxa"/>
            <w:tcBorders>
              <w:top w:val="single" w:color="auto" w:sz="4" w:space="0"/>
              <w:left w:val="single" w:color="auto" w:sz="4" w:space="0"/>
              <w:bottom w:val="single" w:color="auto" w:sz="4" w:space="0"/>
              <w:right w:val="single" w:color="auto" w:sz="12" w:space="0"/>
            </w:tcBorders>
            <w:noWrap/>
            <w:vAlign w:val="center"/>
          </w:tcPr>
          <w:p>
            <w:pPr>
              <w:rPr>
                <w:rFonts w:ascii="宋体" w:hAnsi="宋体" w:cs="宋体"/>
                <w:szCs w:val="21"/>
              </w:rPr>
            </w:pPr>
            <w:r>
              <w:rPr>
                <w:rFonts w:hint="eastAsia" w:ascii="宋体" w:hAnsi="宋体" w:cs="宋体"/>
                <w:szCs w:val="21"/>
              </w:rPr>
              <w:t>实得分数</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386" w:hRule="exact"/>
          <w:jc w:val="center"/>
        </w:trPr>
        <w:tc>
          <w:tcPr>
            <w:tcW w:w="581" w:type="dxa"/>
            <w:tcBorders>
              <w:top w:val="single" w:color="auto" w:sz="4" w:space="0"/>
              <w:left w:val="single" w:color="auto" w:sz="12" w:space="0"/>
              <w:bottom w:val="single" w:color="auto" w:sz="4" w:space="0"/>
              <w:right w:val="single" w:color="auto" w:sz="4" w:space="0"/>
            </w:tcBorders>
            <w:noWrap/>
            <w:vAlign w:val="center"/>
          </w:tcPr>
          <w:p>
            <w:pPr>
              <w:jc w:val="center"/>
              <w:rPr>
                <w:rFonts w:ascii="宋体" w:hAnsi="宋体" w:cs="宋体"/>
                <w:szCs w:val="21"/>
              </w:rPr>
            </w:pPr>
            <w:r>
              <w:rPr>
                <w:rFonts w:hint="eastAsia" w:ascii="宋体" w:hAnsi="宋体" w:cs="宋体"/>
                <w:szCs w:val="21"/>
              </w:rPr>
              <w:t>1</w:t>
            </w:r>
          </w:p>
        </w:tc>
        <w:tc>
          <w:tcPr>
            <w:tcW w:w="1636"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故障响应时间</w:t>
            </w:r>
          </w:p>
        </w:tc>
        <w:tc>
          <w:tcPr>
            <w:tcW w:w="2427"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10分钟内到达现场，普通故障处理完成不超过2小时,特殊故障不超过72小时。</w:t>
            </w:r>
          </w:p>
          <w:p>
            <w:pPr>
              <w:rPr>
                <w:rFonts w:ascii="宋体" w:hAnsi="宋体" w:cs="宋体"/>
                <w:szCs w:val="21"/>
              </w:rPr>
            </w:pPr>
          </w:p>
        </w:tc>
        <w:tc>
          <w:tcPr>
            <w:tcW w:w="1418"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超过时间每次扣2分</w:t>
            </w:r>
          </w:p>
        </w:tc>
        <w:tc>
          <w:tcPr>
            <w:tcW w:w="436"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Cs w:val="21"/>
              </w:rPr>
            </w:pPr>
            <w:r>
              <w:rPr>
                <w:rFonts w:hint="eastAsia" w:ascii="宋体" w:hAnsi="宋体" w:cs="宋体"/>
                <w:szCs w:val="21"/>
              </w:rPr>
              <w:t>10</w:t>
            </w:r>
          </w:p>
        </w:tc>
        <w:tc>
          <w:tcPr>
            <w:tcW w:w="1781"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Cs w:val="21"/>
              </w:rPr>
            </w:pPr>
          </w:p>
        </w:tc>
        <w:tc>
          <w:tcPr>
            <w:tcW w:w="846"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Cs w:val="21"/>
              </w:rPr>
            </w:pPr>
          </w:p>
        </w:tc>
        <w:tc>
          <w:tcPr>
            <w:tcW w:w="912" w:type="dxa"/>
            <w:tcBorders>
              <w:top w:val="single" w:color="auto" w:sz="4" w:space="0"/>
              <w:left w:val="single" w:color="auto" w:sz="4" w:space="0"/>
              <w:bottom w:val="single" w:color="auto" w:sz="4" w:space="0"/>
              <w:right w:val="single" w:color="auto" w:sz="12" w:space="0"/>
            </w:tcBorders>
            <w:noWrap/>
            <w:vAlign w:val="center"/>
          </w:tcPr>
          <w:p>
            <w:pP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373" w:hRule="exact"/>
          <w:jc w:val="center"/>
        </w:trPr>
        <w:tc>
          <w:tcPr>
            <w:tcW w:w="581" w:type="dxa"/>
            <w:tcBorders>
              <w:top w:val="single" w:color="auto" w:sz="4" w:space="0"/>
              <w:left w:val="single" w:color="auto" w:sz="12" w:space="0"/>
              <w:bottom w:val="single" w:color="auto" w:sz="4" w:space="0"/>
              <w:right w:val="single" w:color="auto" w:sz="4" w:space="0"/>
            </w:tcBorders>
            <w:noWrap/>
            <w:vAlign w:val="center"/>
          </w:tcPr>
          <w:p>
            <w:pPr>
              <w:jc w:val="center"/>
              <w:rPr>
                <w:rFonts w:ascii="宋体" w:hAnsi="宋体" w:cs="宋体"/>
                <w:szCs w:val="21"/>
              </w:rPr>
            </w:pPr>
            <w:r>
              <w:rPr>
                <w:rFonts w:hint="eastAsia" w:ascii="宋体" w:hAnsi="宋体" w:cs="宋体"/>
                <w:szCs w:val="21"/>
              </w:rPr>
              <w:t>2</w:t>
            </w:r>
          </w:p>
        </w:tc>
        <w:tc>
          <w:tcPr>
            <w:tcW w:w="1636" w:type="dxa"/>
            <w:tcBorders>
              <w:top w:val="single" w:color="auto" w:sz="4" w:space="0"/>
              <w:left w:val="single" w:color="auto" w:sz="4" w:space="0"/>
              <w:bottom w:val="single" w:color="auto" w:sz="4" w:space="0"/>
              <w:right w:val="single" w:color="auto" w:sz="6" w:space="0"/>
            </w:tcBorders>
            <w:noWrap/>
            <w:vAlign w:val="center"/>
          </w:tcPr>
          <w:p>
            <w:pPr>
              <w:rPr>
                <w:rFonts w:ascii="宋体" w:hAnsi="宋体" w:cs="宋体"/>
                <w:szCs w:val="21"/>
              </w:rPr>
            </w:pPr>
            <w:r>
              <w:rPr>
                <w:rFonts w:hint="eastAsia" w:ascii="宋体" w:hAnsi="宋体" w:cs="宋体"/>
                <w:szCs w:val="21"/>
              </w:rPr>
              <w:t>维保质量不高、行为不规范,造成不良影响而受到投诉</w:t>
            </w:r>
          </w:p>
        </w:tc>
        <w:tc>
          <w:tcPr>
            <w:tcW w:w="2427" w:type="dxa"/>
            <w:tcBorders>
              <w:top w:val="single" w:color="auto" w:sz="4" w:space="0"/>
              <w:left w:val="single" w:color="auto" w:sz="6" w:space="0"/>
              <w:bottom w:val="single" w:color="auto" w:sz="4" w:space="0"/>
              <w:right w:val="single" w:color="auto" w:sz="6" w:space="0"/>
            </w:tcBorders>
            <w:noWrap/>
            <w:vAlign w:val="center"/>
          </w:tcPr>
          <w:p>
            <w:pPr>
              <w:rPr>
                <w:rFonts w:ascii="宋体" w:hAnsi="宋体" w:cs="宋体"/>
                <w:szCs w:val="21"/>
              </w:rPr>
            </w:pPr>
            <w:r>
              <w:rPr>
                <w:rFonts w:hint="eastAsia" w:ascii="宋体" w:hAnsi="宋体" w:cs="宋体"/>
                <w:szCs w:val="21"/>
              </w:rPr>
              <w:t>不允许</w:t>
            </w:r>
          </w:p>
        </w:tc>
        <w:tc>
          <w:tcPr>
            <w:tcW w:w="1418" w:type="dxa"/>
            <w:tcBorders>
              <w:top w:val="single" w:color="auto" w:sz="4" w:space="0"/>
              <w:left w:val="single" w:color="auto" w:sz="6" w:space="0"/>
              <w:bottom w:val="single" w:color="auto" w:sz="4" w:space="0"/>
              <w:right w:val="single" w:color="auto" w:sz="6" w:space="0"/>
            </w:tcBorders>
            <w:noWrap/>
            <w:vAlign w:val="center"/>
          </w:tcPr>
          <w:p>
            <w:pPr>
              <w:rPr>
                <w:rFonts w:ascii="宋体" w:hAnsi="宋体" w:cs="宋体"/>
                <w:szCs w:val="21"/>
              </w:rPr>
            </w:pPr>
            <w:r>
              <w:rPr>
                <w:rFonts w:hint="eastAsia" w:ascii="宋体" w:hAnsi="宋体" w:cs="宋体"/>
                <w:szCs w:val="21"/>
              </w:rPr>
              <w:t>有效投诉每次扣5分</w:t>
            </w:r>
          </w:p>
        </w:tc>
        <w:tc>
          <w:tcPr>
            <w:tcW w:w="436" w:type="dxa"/>
            <w:tcBorders>
              <w:top w:val="single" w:color="auto" w:sz="4" w:space="0"/>
              <w:left w:val="single" w:color="auto" w:sz="6" w:space="0"/>
              <w:bottom w:val="single" w:color="auto" w:sz="4" w:space="0"/>
              <w:right w:val="single" w:color="auto" w:sz="4" w:space="0"/>
            </w:tcBorders>
            <w:noWrap/>
            <w:vAlign w:val="center"/>
          </w:tcPr>
          <w:p>
            <w:pPr>
              <w:jc w:val="center"/>
              <w:rPr>
                <w:rFonts w:ascii="宋体" w:hAnsi="宋体" w:cs="宋体"/>
                <w:szCs w:val="21"/>
              </w:rPr>
            </w:pPr>
            <w:r>
              <w:rPr>
                <w:rFonts w:hint="eastAsia" w:ascii="宋体" w:hAnsi="宋体" w:cs="宋体"/>
                <w:szCs w:val="21"/>
              </w:rPr>
              <w:t>15</w:t>
            </w:r>
          </w:p>
        </w:tc>
        <w:tc>
          <w:tcPr>
            <w:tcW w:w="1781"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Cs w:val="21"/>
              </w:rPr>
            </w:pPr>
          </w:p>
        </w:tc>
        <w:tc>
          <w:tcPr>
            <w:tcW w:w="846" w:type="dxa"/>
            <w:tcBorders>
              <w:top w:val="single" w:color="auto" w:sz="4" w:space="0"/>
              <w:left w:val="single" w:color="auto" w:sz="4" w:space="0"/>
              <w:bottom w:val="single" w:color="auto" w:sz="4" w:space="0"/>
              <w:right w:val="single" w:color="auto" w:sz="6" w:space="0"/>
            </w:tcBorders>
            <w:noWrap/>
            <w:vAlign w:val="center"/>
          </w:tcPr>
          <w:p>
            <w:pPr>
              <w:jc w:val="center"/>
              <w:rPr>
                <w:rFonts w:ascii="宋体" w:hAnsi="宋体" w:cs="宋体"/>
                <w:szCs w:val="21"/>
              </w:rPr>
            </w:pPr>
          </w:p>
        </w:tc>
        <w:tc>
          <w:tcPr>
            <w:tcW w:w="912" w:type="dxa"/>
            <w:tcBorders>
              <w:top w:val="single" w:color="auto" w:sz="4" w:space="0"/>
              <w:left w:val="single" w:color="auto" w:sz="6" w:space="0"/>
              <w:bottom w:val="single" w:color="auto" w:sz="4" w:space="0"/>
              <w:right w:val="single" w:color="auto" w:sz="12" w:space="0"/>
            </w:tcBorders>
            <w:noWrap/>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072" w:hRule="exact"/>
          <w:jc w:val="center"/>
        </w:trPr>
        <w:tc>
          <w:tcPr>
            <w:tcW w:w="581" w:type="dxa"/>
            <w:tcBorders>
              <w:top w:val="single" w:color="auto" w:sz="4" w:space="0"/>
              <w:left w:val="single" w:color="auto" w:sz="12" w:space="0"/>
              <w:bottom w:val="single" w:color="auto" w:sz="4" w:space="0"/>
              <w:right w:val="single" w:color="auto" w:sz="6" w:space="0"/>
            </w:tcBorders>
            <w:noWrap/>
            <w:vAlign w:val="center"/>
          </w:tcPr>
          <w:p>
            <w:pPr>
              <w:jc w:val="center"/>
              <w:rPr>
                <w:rFonts w:ascii="宋体" w:hAnsi="宋体" w:cs="宋体"/>
                <w:szCs w:val="21"/>
              </w:rPr>
            </w:pPr>
            <w:r>
              <w:rPr>
                <w:rFonts w:hint="eastAsia" w:ascii="宋体" w:hAnsi="宋体" w:cs="宋体"/>
                <w:szCs w:val="21"/>
              </w:rPr>
              <w:t>3</w:t>
            </w:r>
          </w:p>
        </w:tc>
        <w:tc>
          <w:tcPr>
            <w:tcW w:w="1636" w:type="dxa"/>
            <w:tcBorders>
              <w:top w:val="single" w:color="auto" w:sz="4" w:space="0"/>
              <w:left w:val="single" w:color="auto" w:sz="6" w:space="0"/>
              <w:bottom w:val="single" w:color="auto" w:sz="4" w:space="0"/>
              <w:right w:val="single" w:color="auto" w:sz="6" w:space="0"/>
            </w:tcBorders>
            <w:noWrap/>
            <w:vAlign w:val="center"/>
          </w:tcPr>
          <w:p>
            <w:pPr>
              <w:rPr>
                <w:rFonts w:ascii="宋体" w:hAnsi="宋体" w:cs="宋体"/>
                <w:szCs w:val="21"/>
              </w:rPr>
            </w:pPr>
            <w:r>
              <w:rPr>
                <w:rFonts w:hint="eastAsia" w:ascii="宋体" w:hAnsi="宋体" w:cs="宋体"/>
                <w:szCs w:val="21"/>
              </w:rPr>
              <w:t>维保计划执行</w:t>
            </w:r>
          </w:p>
        </w:tc>
        <w:tc>
          <w:tcPr>
            <w:tcW w:w="2427" w:type="dxa"/>
            <w:tcBorders>
              <w:top w:val="single" w:color="auto" w:sz="4" w:space="0"/>
              <w:left w:val="single" w:color="auto" w:sz="6" w:space="0"/>
              <w:bottom w:val="single" w:color="auto" w:sz="4" w:space="0"/>
              <w:right w:val="single" w:color="auto" w:sz="6" w:space="0"/>
            </w:tcBorders>
            <w:noWrap/>
            <w:vAlign w:val="center"/>
          </w:tcPr>
          <w:p>
            <w:pPr>
              <w:rPr>
                <w:rFonts w:ascii="宋体" w:hAnsi="宋体" w:cs="宋体"/>
                <w:szCs w:val="21"/>
              </w:rPr>
            </w:pPr>
            <w:r>
              <w:rPr>
                <w:rFonts w:hint="eastAsia" w:ascii="宋体" w:hAnsi="宋体" w:cs="宋体"/>
                <w:szCs w:val="21"/>
              </w:rPr>
              <w:t>每2周至少组织一次对所有电梯的巡检、保养。</w:t>
            </w:r>
          </w:p>
        </w:tc>
        <w:tc>
          <w:tcPr>
            <w:tcW w:w="1418" w:type="dxa"/>
            <w:tcBorders>
              <w:top w:val="single" w:color="auto" w:sz="4" w:space="0"/>
              <w:left w:val="single" w:color="auto" w:sz="6" w:space="0"/>
              <w:bottom w:val="single" w:color="auto" w:sz="4" w:space="0"/>
              <w:right w:val="single" w:color="auto" w:sz="6" w:space="0"/>
            </w:tcBorders>
            <w:noWrap/>
            <w:vAlign w:val="center"/>
          </w:tcPr>
          <w:p>
            <w:pPr>
              <w:rPr>
                <w:rFonts w:ascii="宋体" w:hAnsi="宋体" w:cs="宋体"/>
                <w:szCs w:val="21"/>
              </w:rPr>
            </w:pPr>
            <w:r>
              <w:rPr>
                <w:rFonts w:hint="eastAsia" w:ascii="宋体" w:hAnsi="宋体" w:cs="宋体"/>
                <w:szCs w:val="21"/>
              </w:rPr>
              <w:t>超过每次扣2分</w:t>
            </w:r>
          </w:p>
        </w:tc>
        <w:tc>
          <w:tcPr>
            <w:tcW w:w="436" w:type="dxa"/>
            <w:tcBorders>
              <w:top w:val="single" w:color="auto" w:sz="4" w:space="0"/>
              <w:left w:val="single" w:color="auto" w:sz="6" w:space="0"/>
              <w:bottom w:val="single" w:color="auto" w:sz="4" w:space="0"/>
              <w:right w:val="single" w:color="auto" w:sz="4" w:space="0"/>
            </w:tcBorders>
            <w:noWrap/>
            <w:vAlign w:val="center"/>
          </w:tcPr>
          <w:p>
            <w:pPr>
              <w:jc w:val="center"/>
              <w:rPr>
                <w:rFonts w:ascii="宋体" w:hAnsi="宋体" w:cs="宋体"/>
                <w:szCs w:val="21"/>
              </w:rPr>
            </w:pPr>
            <w:r>
              <w:rPr>
                <w:rFonts w:hint="eastAsia" w:ascii="宋体" w:hAnsi="宋体" w:cs="宋体"/>
                <w:szCs w:val="21"/>
              </w:rPr>
              <w:t>10</w:t>
            </w:r>
          </w:p>
        </w:tc>
        <w:tc>
          <w:tcPr>
            <w:tcW w:w="1781"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Cs w:val="21"/>
              </w:rPr>
            </w:pPr>
          </w:p>
        </w:tc>
        <w:tc>
          <w:tcPr>
            <w:tcW w:w="846" w:type="dxa"/>
            <w:tcBorders>
              <w:top w:val="single" w:color="auto" w:sz="4" w:space="0"/>
              <w:left w:val="single" w:color="auto" w:sz="4" w:space="0"/>
              <w:bottom w:val="single" w:color="auto" w:sz="4" w:space="0"/>
              <w:right w:val="single" w:color="auto" w:sz="6" w:space="0"/>
            </w:tcBorders>
            <w:noWrap/>
            <w:vAlign w:val="center"/>
          </w:tcPr>
          <w:p>
            <w:pPr>
              <w:jc w:val="center"/>
              <w:rPr>
                <w:rFonts w:ascii="宋体" w:hAnsi="宋体" w:cs="宋体"/>
                <w:szCs w:val="21"/>
              </w:rPr>
            </w:pPr>
          </w:p>
        </w:tc>
        <w:tc>
          <w:tcPr>
            <w:tcW w:w="912" w:type="dxa"/>
            <w:tcBorders>
              <w:top w:val="single" w:color="auto" w:sz="4" w:space="0"/>
              <w:left w:val="single" w:color="auto" w:sz="6" w:space="0"/>
              <w:bottom w:val="single" w:color="auto" w:sz="4" w:space="0"/>
              <w:right w:val="single" w:color="auto" w:sz="12" w:space="0"/>
            </w:tcBorders>
            <w:noWrap/>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376" w:hRule="exact"/>
          <w:jc w:val="center"/>
        </w:trPr>
        <w:tc>
          <w:tcPr>
            <w:tcW w:w="581" w:type="dxa"/>
            <w:tcBorders>
              <w:top w:val="single" w:color="auto" w:sz="4" w:space="0"/>
              <w:left w:val="single" w:color="auto" w:sz="12" w:space="0"/>
              <w:bottom w:val="single" w:color="auto" w:sz="4" w:space="0"/>
              <w:right w:val="single" w:color="auto" w:sz="6" w:space="0"/>
            </w:tcBorders>
            <w:noWrap/>
            <w:vAlign w:val="center"/>
          </w:tcPr>
          <w:p>
            <w:pPr>
              <w:jc w:val="center"/>
              <w:rPr>
                <w:rFonts w:ascii="宋体" w:hAnsi="宋体" w:cs="宋体"/>
                <w:szCs w:val="21"/>
              </w:rPr>
            </w:pPr>
            <w:r>
              <w:rPr>
                <w:rFonts w:hint="eastAsia" w:ascii="宋体" w:hAnsi="宋体" w:cs="宋体"/>
                <w:szCs w:val="21"/>
              </w:rPr>
              <w:t>4</w:t>
            </w:r>
          </w:p>
        </w:tc>
        <w:tc>
          <w:tcPr>
            <w:tcW w:w="1636" w:type="dxa"/>
            <w:tcBorders>
              <w:top w:val="single" w:color="auto" w:sz="4" w:space="0"/>
              <w:left w:val="single" w:color="auto" w:sz="6" w:space="0"/>
              <w:bottom w:val="single" w:color="auto" w:sz="4" w:space="0"/>
              <w:right w:val="single" w:color="auto" w:sz="6" w:space="0"/>
            </w:tcBorders>
            <w:noWrap/>
            <w:vAlign w:val="center"/>
          </w:tcPr>
          <w:p>
            <w:pPr>
              <w:rPr>
                <w:rFonts w:ascii="宋体" w:hAnsi="宋体" w:cs="宋体"/>
                <w:szCs w:val="21"/>
              </w:rPr>
            </w:pPr>
            <w:r>
              <w:rPr>
                <w:rFonts w:hint="eastAsia" w:ascii="宋体" w:hAnsi="宋体" w:cs="宋体"/>
                <w:szCs w:val="21"/>
              </w:rPr>
              <w:t>故障发生量</w:t>
            </w:r>
          </w:p>
        </w:tc>
        <w:tc>
          <w:tcPr>
            <w:tcW w:w="2427" w:type="dxa"/>
            <w:tcBorders>
              <w:top w:val="single" w:color="auto" w:sz="4" w:space="0"/>
              <w:left w:val="single" w:color="auto" w:sz="6" w:space="0"/>
              <w:bottom w:val="single" w:color="auto" w:sz="4" w:space="0"/>
              <w:right w:val="single" w:color="auto" w:sz="6" w:space="0"/>
            </w:tcBorders>
            <w:noWrap/>
            <w:vAlign w:val="center"/>
          </w:tcPr>
          <w:p>
            <w:pPr>
              <w:rPr>
                <w:rFonts w:ascii="宋体" w:hAnsi="宋体" w:cs="宋体"/>
                <w:szCs w:val="21"/>
              </w:rPr>
            </w:pPr>
            <w:r>
              <w:rPr>
                <w:rFonts w:hint="eastAsia" w:ascii="宋体" w:hAnsi="宋体" w:cs="宋体"/>
                <w:szCs w:val="21"/>
              </w:rPr>
              <w:t>单台电梯一年内三级故障不超过2次；</w:t>
            </w:r>
          </w:p>
          <w:p>
            <w:pPr>
              <w:rPr>
                <w:rFonts w:ascii="宋体" w:hAnsi="宋体" w:cs="宋体"/>
                <w:szCs w:val="21"/>
              </w:rPr>
            </w:pPr>
            <w:r>
              <w:rPr>
                <w:rFonts w:hint="eastAsia" w:ascii="宋体" w:hAnsi="宋体" w:cs="宋体"/>
                <w:szCs w:val="21"/>
              </w:rPr>
              <w:t>二级故障不超过4次；</w:t>
            </w:r>
          </w:p>
          <w:p>
            <w:pPr>
              <w:rPr>
                <w:rFonts w:ascii="宋体" w:hAnsi="宋体" w:cs="宋体"/>
                <w:szCs w:val="21"/>
              </w:rPr>
            </w:pPr>
            <w:r>
              <w:rPr>
                <w:rFonts w:hint="eastAsia" w:ascii="宋体" w:hAnsi="宋体" w:cs="宋体"/>
                <w:szCs w:val="21"/>
              </w:rPr>
              <w:t>一级故障不超过6次，</w:t>
            </w:r>
          </w:p>
        </w:tc>
        <w:tc>
          <w:tcPr>
            <w:tcW w:w="1418" w:type="dxa"/>
            <w:tcBorders>
              <w:top w:val="single" w:color="auto" w:sz="4" w:space="0"/>
              <w:left w:val="single" w:color="auto" w:sz="6" w:space="0"/>
              <w:bottom w:val="single" w:color="auto" w:sz="4" w:space="0"/>
              <w:right w:val="single" w:color="auto" w:sz="6" w:space="0"/>
            </w:tcBorders>
            <w:noWrap/>
            <w:vAlign w:val="center"/>
          </w:tcPr>
          <w:p>
            <w:pPr>
              <w:rPr>
                <w:rFonts w:ascii="宋体" w:hAnsi="宋体" w:cs="宋体"/>
                <w:szCs w:val="21"/>
              </w:rPr>
            </w:pPr>
            <w:r>
              <w:rPr>
                <w:rFonts w:hint="eastAsia" w:ascii="宋体" w:hAnsi="宋体" w:cs="宋体"/>
                <w:szCs w:val="21"/>
              </w:rPr>
              <w:t>超过每次扣5分</w:t>
            </w:r>
          </w:p>
        </w:tc>
        <w:tc>
          <w:tcPr>
            <w:tcW w:w="436" w:type="dxa"/>
            <w:tcBorders>
              <w:top w:val="single" w:color="auto" w:sz="4" w:space="0"/>
              <w:left w:val="single" w:color="auto" w:sz="6" w:space="0"/>
              <w:bottom w:val="single" w:color="auto" w:sz="4" w:space="0"/>
              <w:right w:val="single" w:color="auto" w:sz="4" w:space="0"/>
            </w:tcBorders>
            <w:noWrap/>
            <w:vAlign w:val="center"/>
          </w:tcPr>
          <w:p>
            <w:pPr>
              <w:jc w:val="center"/>
              <w:rPr>
                <w:rFonts w:ascii="宋体" w:hAnsi="宋体" w:cs="宋体"/>
                <w:szCs w:val="21"/>
              </w:rPr>
            </w:pPr>
            <w:r>
              <w:rPr>
                <w:rFonts w:hint="eastAsia" w:ascii="宋体" w:hAnsi="宋体" w:cs="宋体"/>
                <w:szCs w:val="21"/>
              </w:rPr>
              <w:t>15</w:t>
            </w:r>
          </w:p>
        </w:tc>
        <w:tc>
          <w:tcPr>
            <w:tcW w:w="1781"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Cs w:val="21"/>
              </w:rPr>
            </w:pPr>
          </w:p>
        </w:tc>
        <w:tc>
          <w:tcPr>
            <w:tcW w:w="846" w:type="dxa"/>
            <w:tcBorders>
              <w:top w:val="single" w:color="auto" w:sz="4" w:space="0"/>
              <w:left w:val="single" w:color="auto" w:sz="4" w:space="0"/>
              <w:bottom w:val="single" w:color="auto" w:sz="4" w:space="0"/>
              <w:right w:val="single" w:color="auto" w:sz="6" w:space="0"/>
            </w:tcBorders>
            <w:noWrap/>
            <w:vAlign w:val="center"/>
          </w:tcPr>
          <w:p>
            <w:pPr>
              <w:jc w:val="center"/>
              <w:rPr>
                <w:rFonts w:ascii="宋体" w:hAnsi="宋体" w:cs="宋体"/>
                <w:szCs w:val="21"/>
              </w:rPr>
            </w:pPr>
          </w:p>
        </w:tc>
        <w:tc>
          <w:tcPr>
            <w:tcW w:w="912" w:type="dxa"/>
            <w:tcBorders>
              <w:top w:val="single" w:color="auto" w:sz="4" w:space="0"/>
              <w:left w:val="single" w:color="auto" w:sz="6" w:space="0"/>
              <w:bottom w:val="single" w:color="auto" w:sz="4" w:space="0"/>
              <w:right w:val="single" w:color="auto" w:sz="12" w:space="0"/>
            </w:tcBorders>
            <w:noWrap/>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60" w:hRule="exact"/>
          <w:jc w:val="center"/>
        </w:trPr>
        <w:tc>
          <w:tcPr>
            <w:tcW w:w="581" w:type="dxa"/>
            <w:tcBorders>
              <w:top w:val="single" w:color="auto" w:sz="6" w:space="0"/>
              <w:left w:val="single" w:color="auto" w:sz="12" w:space="0"/>
              <w:bottom w:val="single" w:color="auto" w:sz="6" w:space="0"/>
              <w:right w:val="single" w:color="auto" w:sz="6" w:space="0"/>
            </w:tcBorders>
            <w:noWrap/>
            <w:vAlign w:val="center"/>
          </w:tcPr>
          <w:p>
            <w:pPr>
              <w:jc w:val="center"/>
              <w:rPr>
                <w:rFonts w:ascii="宋体" w:hAnsi="宋体" w:cs="宋体"/>
                <w:szCs w:val="21"/>
              </w:rPr>
            </w:pPr>
            <w:r>
              <w:rPr>
                <w:rFonts w:hint="eastAsia" w:ascii="宋体" w:hAnsi="宋体" w:cs="宋体"/>
                <w:szCs w:val="21"/>
              </w:rPr>
              <w:t>5</w:t>
            </w:r>
          </w:p>
        </w:tc>
        <w:tc>
          <w:tcPr>
            <w:tcW w:w="1636" w:type="dxa"/>
            <w:tcBorders>
              <w:top w:val="single" w:color="auto" w:sz="6" w:space="0"/>
              <w:left w:val="single" w:color="auto" w:sz="6" w:space="0"/>
              <w:bottom w:val="single" w:color="auto" w:sz="6" w:space="0"/>
              <w:right w:val="single" w:color="auto" w:sz="6" w:space="0"/>
            </w:tcBorders>
            <w:noWrap/>
            <w:vAlign w:val="center"/>
          </w:tcPr>
          <w:p>
            <w:pPr>
              <w:rPr>
                <w:rFonts w:ascii="宋体" w:hAnsi="宋体" w:cs="宋体"/>
                <w:szCs w:val="21"/>
              </w:rPr>
            </w:pPr>
            <w:r>
              <w:rPr>
                <w:rFonts w:hint="eastAsia" w:ascii="宋体" w:hAnsi="宋体" w:cs="宋体"/>
                <w:szCs w:val="21"/>
              </w:rPr>
              <w:t>日常工作抽查</w:t>
            </w:r>
          </w:p>
        </w:tc>
        <w:tc>
          <w:tcPr>
            <w:tcW w:w="2427" w:type="dxa"/>
            <w:tcBorders>
              <w:top w:val="single" w:color="auto" w:sz="6" w:space="0"/>
              <w:left w:val="single" w:color="auto" w:sz="6" w:space="0"/>
              <w:bottom w:val="single" w:color="auto" w:sz="6" w:space="0"/>
              <w:right w:val="single" w:color="auto" w:sz="6" w:space="0"/>
            </w:tcBorders>
            <w:noWrap/>
            <w:vAlign w:val="center"/>
          </w:tcPr>
          <w:p>
            <w:pPr>
              <w:rPr>
                <w:rFonts w:ascii="宋体" w:hAnsi="宋体" w:cs="宋体"/>
                <w:szCs w:val="21"/>
              </w:rPr>
            </w:pPr>
            <w:r>
              <w:rPr>
                <w:rFonts w:hint="eastAsia" w:ascii="宋体" w:hAnsi="宋体" w:cs="宋体"/>
                <w:szCs w:val="21"/>
              </w:rPr>
              <w:t>设备作业现场维保抽查记录不合格。</w:t>
            </w:r>
          </w:p>
        </w:tc>
        <w:tc>
          <w:tcPr>
            <w:tcW w:w="1418" w:type="dxa"/>
            <w:tcBorders>
              <w:top w:val="single" w:color="auto" w:sz="6" w:space="0"/>
              <w:left w:val="single" w:color="auto" w:sz="6" w:space="0"/>
              <w:bottom w:val="single" w:color="auto" w:sz="6" w:space="0"/>
              <w:right w:val="single" w:color="auto" w:sz="6" w:space="0"/>
            </w:tcBorders>
            <w:noWrap/>
            <w:vAlign w:val="center"/>
          </w:tcPr>
          <w:p>
            <w:pPr>
              <w:rPr>
                <w:rFonts w:ascii="宋体" w:hAnsi="宋体" w:cs="宋体"/>
                <w:szCs w:val="21"/>
              </w:rPr>
            </w:pPr>
            <w:r>
              <w:rPr>
                <w:rFonts w:hint="eastAsia" w:ascii="宋体" w:hAnsi="宋体" w:cs="宋体"/>
                <w:szCs w:val="21"/>
              </w:rPr>
              <w:t>每项每次扣2分</w:t>
            </w:r>
          </w:p>
        </w:tc>
        <w:tc>
          <w:tcPr>
            <w:tcW w:w="436" w:type="dxa"/>
            <w:tcBorders>
              <w:top w:val="single" w:color="auto" w:sz="6" w:space="0"/>
              <w:left w:val="single" w:color="auto" w:sz="6" w:space="0"/>
              <w:bottom w:val="single" w:color="auto" w:sz="6" w:space="0"/>
              <w:right w:val="single" w:color="auto" w:sz="4" w:space="0"/>
            </w:tcBorders>
            <w:noWrap/>
            <w:vAlign w:val="center"/>
          </w:tcPr>
          <w:p>
            <w:pPr>
              <w:jc w:val="center"/>
              <w:rPr>
                <w:rFonts w:ascii="宋体" w:hAnsi="宋体" w:cs="宋体"/>
                <w:szCs w:val="21"/>
              </w:rPr>
            </w:pPr>
            <w:r>
              <w:rPr>
                <w:rFonts w:hint="eastAsia" w:ascii="宋体" w:hAnsi="宋体" w:cs="宋体"/>
                <w:szCs w:val="21"/>
              </w:rPr>
              <w:t>10</w:t>
            </w:r>
          </w:p>
        </w:tc>
        <w:tc>
          <w:tcPr>
            <w:tcW w:w="1781" w:type="dxa"/>
            <w:tcBorders>
              <w:top w:val="single" w:color="auto" w:sz="6" w:space="0"/>
              <w:left w:val="single" w:color="auto" w:sz="4" w:space="0"/>
              <w:bottom w:val="single" w:color="auto" w:sz="6" w:space="0"/>
              <w:right w:val="single" w:color="auto" w:sz="4" w:space="0"/>
            </w:tcBorders>
            <w:noWrap/>
            <w:vAlign w:val="center"/>
          </w:tcPr>
          <w:p>
            <w:pPr>
              <w:jc w:val="center"/>
              <w:rPr>
                <w:rFonts w:ascii="宋体" w:hAnsi="宋体" w:cs="宋体"/>
                <w:szCs w:val="21"/>
              </w:rPr>
            </w:pPr>
          </w:p>
        </w:tc>
        <w:tc>
          <w:tcPr>
            <w:tcW w:w="846" w:type="dxa"/>
            <w:tcBorders>
              <w:top w:val="single" w:color="auto" w:sz="6" w:space="0"/>
              <w:left w:val="single" w:color="auto" w:sz="4" w:space="0"/>
              <w:bottom w:val="single" w:color="auto" w:sz="6" w:space="0"/>
              <w:right w:val="single" w:color="auto" w:sz="6" w:space="0"/>
            </w:tcBorders>
            <w:noWrap/>
            <w:vAlign w:val="center"/>
          </w:tcPr>
          <w:p>
            <w:pPr>
              <w:jc w:val="center"/>
              <w:rPr>
                <w:rFonts w:ascii="宋体" w:hAnsi="宋体" w:cs="宋体"/>
                <w:szCs w:val="21"/>
              </w:rPr>
            </w:pPr>
          </w:p>
        </w:tc>
        <w:tc>
          <w:tcPr>
            <w:tcW w:w="912" w:type="dxa"/>
            <w:tcBorders>
              <w:top w:val="single" w:color="auto" w:sz="6" w:space="0"/>
              <w:left w:val="single" w:color="auto" w:sz="6" w:space="0"/>
              <w:bottom w:val="single" w:color="auto" w:sz="6" w:space="0"/>
              <w:right w:val="single" w:color="auto" w:sz="12" w:space="0"/>
            </w:tcBorders>
            <w:noWrap/>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962" w:hRule="exact"/>
          <w:jc w:val="center"/>
        </w:trPr>
        <w:tc>
          <w:tcPr>
            <w:tcW w:w="581" w:type="dxa"/>
            <w:tcBorders>
              <w:top w:val="single" w:color="auto" w:sz="6" w:space="0"/>
              <w:left w:val="single" w:color="auto" w:sz="12" w:space="0"/>
              <w:bottom w:val="single" w:color="auto" w:sz="6" w:space="0"/>
              <w:right w:val="single" w:color="auto" w:sz="6" w:space="0"/>
            </w:tcBorders>
            <w:noWrap/>
            <w:vAlign w:val="center"/>
          </w:tcPr>
          <w:p>
            <w:pPr>
              <w:jc w:val="center"/>
              <w:rPr>
                <w:rFonts w:ascii="宋体" w:hAnsi="宋体" w:cs="宋体"/>
                <w:szCs w:val="21"/>
              </w:rPr>
            </w:pPr>
            <w:r>
              <w:rPr>
                <w:rFonts w:hint="eastAsia" w:ascii="宋体" w:hAnsi="宋体" w:cs="宋体"/>
                <w:szCs w:val="21"/>
              </w:rPr>
              <w:t>6</w:t>
            </w:r>
          </w:p>
        </w:tc>
        <w:tc>
          <w:tcPr>
            <w:tcW w:w="1636" w:type="dxa"/>
            <w:tcBorders>
              <w:top w:val="single" w:color="auto" w:sz="6" w:space="0"/>
              <w:left w:val="single" w:color="auto" w:sz="6" w:space="0"/>
              <w:bottom w:val="single" w:color="auto" w:sz="6" w:space="0"/>
              <w:right w:val="single" w:color="auto" w:sz="6" w:space="0"/>
            </w:tcBorders>
            <w:noWrap/>
            <w:vAlign w:val="center"/>
          </w:tcPr>
          <w:p>
            <w:pPr>
              <w:rPr>
                <w:rFonts w:ascii="宋体" w:hAnsi="宋体" w:cs="宋体"/>
                <w:szCs w:val="21"/>
              </w:rPr>
            </w:pPr>
            <w:r>
              <w:rPr>
                <w:rFonts w:hint="eastAsia" w:ascii="宋体" w:hAnsi="宋体" w:cs="宋体"/>
                <w:szCs w:val="21"/>
              </w:rPr>
              <w:t>设备年检、年检项目整改超时</w:t>
            </w:r>
          </w:p>
        </w:tc>
        <w:tc>
          <w:tcPr>
            <w:tcW w:w="2427" w:type="dxa"/>
            <w:tcBorders>
              <w:top w:val="single" w:color="auto" w:sz="6" w:space="0"/>
              <w:left w:val="single" w:color="auto" w:sz="6" w:space="0"/>
              <w:bottom w:val="single" w:color="auto" w:sz="6" w:space="0"/>
              <w:right w:val="single" w:color="auto" w:sz="6" w:space="0"/>
            </w:tcBorders>
            <w:noWrap/>
            <w:vAlign w:val="center"/>
          </w:tcPr>
          <w:p>
            <w:pPr>
              <w:rPr>
                <w:rFonts w:ascii="宋体" w:hAnsi="宋体" w:cs="宋体"/>
                <w:szCs w:val="21"/>
              </w:rPr>
            </w:pPr>
            <w:r>
              <w:rPr>
                <w:rFonts w:hint="eastAsia" w:ascii="宋体" w:hAnsi="宋体" w:cs="宋体"/>
                <w:szCs w:val="21"/>
              </w:rPr>
              <w:t>超过时间办理年审、未按限期整改要求完成整改的。</w:t>
            </w:r>
          </w:p>
        </w:tc>
        <w:tc>
          <w:tcPr>
            <w:tcW w:w="1418" w:type="dxa"/>
            <w:tcBorders>
              <w:top w:val="single" w:color="auto" w:sz="6" w:space="0"/>
              <w:left w:val="single" w:color="auto" w:sz="6" w:space="0"/>
              <w:bottom w:val="single" w:color="auto" w:sz="6" w:space="0"/>
              <w:right w:val="single" w:color="auto" w:sz="6" w:space="0"/>
            </w:tcBorders>
            <w:noWrap/>
            <w:vAlign w:val="center"/>
          </w:tcPr>
          <w:p>
            <w:pPr>
              <w:rPr>
                <w:rFonts w:ascii="宋体" w:hAnsi="宋体" w:cs="宋体"/>
                <w:szCs w:val="21"/>
              </w:rPr>
            </w:pPr>
            <w:r>
              <w:rPr>
                <w:rFonts w:hint="eastAsia" w:ascii="宋体" w:hAnsi="宋体" w:cs="宋体"/>
                <w:szCs w:val="21"/>
              </w:rPr>
              <w:t>超过每次扣5分</w:t>
            </w:r>
          </w:p>
        </w:tc>
        <w:tc>
          <w:tcPr>
            <w:tcW w:w="436" w:type="dxa"/>
            <w:tcBorders>
              <w:top w:val="single" w:color="auto" w:sz="6" w:space="0"/>
              <w:left w:val="single" w:color="auto" w:sz="6" w:space="0"/>
              <w:bottom w:val="single" w:color="auto" w:sz="6" w:space="0"/>
              <w:right w:val="single" w:color="auto" w:sz="4" w:space="0"/>
            </w:tcBorders>
            <w:noWrap/>
            <w:vAlign w:val="center"/>
          </w:tcPr>
          <w:p>
            <w:pPr>
              <w:jc w:val="center"/>
              <w:rPr>
                <w:rFonts w:ascii="宋体" w:hAnsi="宋体" w:cs="宋体"/>
                <w:szCs w:val="21"/>
              </w:rPr>
            </w:pPr>
            <w:r>
              <w:rPr>
                <w:rFonts w:hint="eastAsia" w:ascii="宋体" w:hAnsi="宋体" w:cs="宋体"/>
                <w:szCs w:val="21"/>
              </w:rPr>
              <w:t>10</w:t>
            </w:r>
          </w:p>
        </w:tc>
        <w:tc>
          <w:tcPr>
            <w:tcW w:w="1781" w:type="dxa"/>
            <w:tcBorders>
              <w:top w:val="single" w:color="auto" w:sz="6" w:space="0"/>
              <w:left w:val="single" w:color="auto" w:sz="4" w:space="0"/>
              <w:bottom w:val="single" w:color="auto" w:sz="6" w:space="0"/>
              <w:right w:val="single" w:color="auto" w:sz="4" w:space="0"/>
            </w:tcBorders>
            <w:noWrap/>
            <w:vAlign w:val="center"/>
          </w:tcPr>
          <w:p>
            <w:pPr>
              <w:jc w:val="center"/>
              <w:rPr>
                <w:rFonts w:ascii="宋体" w:hAnsi="宋体" w:cs="宋体"/>
                <w:szCs w:val="21"/>
              </w:rPr>
            </w:pPr>
          </w:p>
        </w:tc>
        <w:tc>
          <w:tcPr>
            <w:tcW w:w="846" w:type="dxa"/>
            <w:tcBorders>
              <w:top w:val="single" w:color="auto" w:sz="6" w:space="0"/>
              <w:left w:val="single" w:color="auto" w:sz="4" w:space="0"/>
              <w:bottom w:val="single" w:color="auto" w:sz="6" w:space="0"/>
              <w:right w:val="single" w:color="auto" w:sz="6" w:space="0"/>
            </w:tcBorders>
            <w:noWrap/>
            <w:vAlign w:val="center"/>
          </w:tcPr>
          <w:p>
            <w:pPr>
              <w:jc w:val="center"/>
              <w:rPr>
                <w:rFonts w:ascii="宋体" w:hAnsi="宋体" w:cs="宋体"/>
                <w:szCs w:val="21"/>
              </w:rPr>
            </w:pPr>
          </w:p>
        </w:tc>
        <w:tc>
          <w:tcPr>
            <w:tcW w:w="912" w:type="dxa"/>
            <w:tcBorders>
              <w:top w:val="single" w:color="auto" w:sz="6" w:space="0"/>
              <w:left w:val="single" w:color="auto" w:sz="6" w:space="0"/>
              <w:bottom w:val="single" w:color="auto" w:sz="6" w:space="0"/>
              <w:right w:val="single" w:color="auto" w:sz="12" w:space="0"/>
            </w:tcBorders>
            <w:noWrap/>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exact"/>
          <w:jc w:val="center"/>
        </w:trPr>
        <w:tc>
          <w:tcPr>
            <w:tcW w:w="581" w:type="dxa"/>
            <w:tcBorders>
              <w:top w:val="single" w:color="auto" w:sz="6" w:space="0"/>
              <w:left w:val="single" w:color="auto" w:sz="12" w:space="0"/>
              <w:bottom w:val="single" w:color="auto" w:sz="6" w:space="0"/>
              <w:right w:val="single" w:color="auto" w:sz="6" w:space="0"/>
            </w:tcBorders>
            <w:noWrap/>
            <w:vAlign w:val="center"/>
          </w:tcPr>
          <w:p>
            <w:pPr>
              <w:jc w:val="center"/>
              <w:rPr>
                <w:rFonts w:ascii="宋体" w:hAnsi="宋体" w:cs="宋体"/>
                <w:szCs w:val="21"/>
              </w:rPr>
            </w:pPr>
            <w:r>
              <w:rPr>
                <w:rFonts w:hint="eastAsia" w:ascii="宋体" w:hAnsi="宋体" w:cs="宋体"/>
                <w:szCs w:val="21"/>
              </w:rPr>
              <w:t>7</w:t>
            </w:r>
          </w:p>
        </w:tc>
        <w:tc>
          <w:tcPr>
            <w:tcW w:w="1636" w:type="dxa"/>
            <w:tcBorders>
              <w:top w:val="single" w:color="auto" w:sz="6" w:space="0"/>
              <w:left w:val="single" w:color="auto" w:sz="6" w:space="0"/>
              <w:bottom w:val="single" w:color="auto" w:sz="6" w:space="0"/>
              <w:right w:val="single" w:color="auto" w:sz="6" w:space="0"/>
            </w:tcBorders>
            <w:noWrap/>
            <w:vAlign w:val="center"/>
          </w:tcPr>
          <w:p>
            <w:pPr>
              <w:rPr>
                <w:rFonts w:ascii="宋体" w:hAnsi="宋体" w:cs="宋体"/>
                <w:szCs w:val="21"/>
              </w:rPr>
            </w:pPr>
            <w:r>
              <w:rPr>
                <w:rFonts w:hint="eastAsia" w:ascii="宋体" w:hAnsi="宋体" w:cs="宋体"/>
                <w:szCs w:val="21"/>
              </w:rPr>
              <w:t>设备及机房整洁</w:t>
            </w:r>
          </w:p>
        </w:tc>
        <w:tc>
          <w:tcPr>
            <w:tcW w:w="2427" w:type="dxa"/>
            <w:tcBorders>
              <w:top w:val="single" w:color="auto" w:sz="6" w:space="0"/>
              <w:left w:val="single" w:color="auto" w:sz="6" w:space="0"/>
              <w:bottom w:val="single" w:color="auto" w:sz="6" w:space="0"/>
              <w:right w:val="single" w:color="auto" w:sz="6" w:space="0"/>
            </w:tcBorders>
            <w:noWrap/>
            <w:vAlign w:val="center"/>
          </w:tcPr>
          <w:p>
            <w:pPr>
              <w:rPr>
                <w:rFonts w:ascii="宋体" w:hAnsi="宋体" w:cs="宋体"/>
                <w:szCs w:val="21"/>
              </w:rPr>
            </w:pPr>
            <w:r>
              <w:rPr>
                <w:rFonts w:hint="eastAsia" w:ascii="宋体" w:hAnsi="宋体" w:cs="宋体"/>
                <w:szCs w:val="21"/>
              </w:rPr>
              <w:t>设备及机房环境应整洁、规范。</w:t>
            </w:r>
          </w:p>
        </w:tc>
        <w:tc>
          <w:tcPr>
            <w:tcW w:w="1418" w:type="dxa"/>
            <w:tcBorders>
              <w:top w:val="single" w:color="auto" w:sz="6" w:space="0"/>
              <w:left w:val="single" w:color="auto" w:sz="6" w:space="0"/>
              <w:bottom w:val="single" w:color="auto" w:sz="6" w:space="0"/>
              <w:right w:val="single" w:color="auto" w:sz="6" w:space="0"/>
            </w:tcBorders>
            <w:noWrap/>
            <w:vAlign w:val="center"/>
          </w:tcPr>
          <w:p>
            <w:pPr>
              <w:rPr>
                <w:rFonts w:ascii="宋体" w:hAnsi="宋体" w:cs="宋体"/>
                <w:szCs w:val="21"/>
              </w:rPr>
            </w:pPr>
            <w:r>
              <w:rPr>
                <w:rFonts w:hint="eastAsia" w:ascii="宋体" w:hAnsi="宋体" w:cs="宋体"/>
                <w:szCs w:val="21"/>
              </w:rPr>
              <w:t>每次扣5分</w:t>
            </w:r>
          </w:p>
        </w:tc>
        <w:tc>
          <w:tcPr>
            <w:tcW w:w="436" w:type="dxa"/>
            <w:tcBorders>
              <w:top w:val="single" w:color="auto" w:sz="6" w:space="0"/>
              <w:left w:val="single" w:color="auto" w:sz="6" w:space="0"/>
              <w:bottom w:val="single" w:color="auto" w:sz="6" w:space="0"/>
              <w:right w:val="single" w:color="auto" w:sz="4" w:space="0"/>
            </w:tcBorders>
            <w:noWrap/>
            <w:vAlign w:val="center"/>
          </w:tcPr>
          <w:p>
            <w:pPr>
              <w:jc w:val="center"/>
              <w:rPr>
                <w:rFonts w:ascii="宋体" w:hAnsi="宋体" w:cs="宋体"/>
                <w:szCs w:val="21"/>
              </w:rPr>
            </w:pPr>
            <w:r>
              <w:rPr>
                <w:rFonts w:hint="eastAsia" w:ascii="宋体" w:hAnsi="宋体" w:cs="宋体"/>
                <w:szCs w:val="21"/>
              </w:rPr>
              <w:t>10</w:t>
            </w:r>
          </w:p>
        </w:tc>
        <w:tc>
          <w:tcPr>
            <w:tcW w:w="1781" w:type="dxa"/>
            <w:tcBorders>
              <w:top w:val="single" w:color="auto" w:sz="6" w:space="0"/>
              <w:left w:val="single" w:color="auto" w:sz="4" w:space="0"/>
              <w:bottom w:val="single" w:color="auto" w:sz="6" w:space="0"/>
              <w:right w:val="single" w:color="auto" w:sz="4" w:space="0"/>
            </w:tcBorders>
            <w:noWrap/>
            <w:vAlign w:val="center"/>
          </w:tcPr>
          <w:p>
            <w:pPr>
              <w:jc w:val="center"/>
              <w:rPr>
                <w:rFonts w:ascii="宋体" w:hAnsi="宋体" w:cs="宋体"/>
                <w:szCs w:val="21"/>
              </w:rPr>
            </w:pPr>
          </w:p>
        </w:tc>
        <w:tc>
          <w:tcPr>
            <w:tcW w:w="846" w:type="dxa"/>
            <w:tcBorders>
              <w:top w:val="single" w:color="auto" w:sz="6" w:space="0"/>
              <w:left w:val="single" w:color="auto" w:sz="4" w:space="0"/>
              <w:bottom w:val="single" w:color="auto" w:sz="6" w:space="0"/>
              <w:right w:val="single" w:color="auto" w:sz="6" w:space="0"/>
            </w:tcBorders>
            <w:noWrap/>
            <w:vAlign w:val="center"/>
          </w:tcPr>
          <w:p>
            <w:pPr>
              <w:jc w:val="center"/>
              <w:rPr>
                <w:rFonts w:ascii="宋体" w:hAnsi="宋体" w:cs="宋体"/>
                <w:szCs w:val="21"/>
              </w:rPr>
            </w:pPr>
          </w:p>
        </w:tc>
        <w:tc>
          <w:tcPr>
            <w:tcW w:w="912" w:type="dxa"/>
            <w:tcBorders>
              <w:top w:val="single" w:color="auto" w:sz="6" w:space="0"/>
              <w:left w:val="single" w:color="auto" w:sz="6" w:space="0"/>
              <w:bottom w:val="single" w:color="auto" w:sz="6" w:space="0"/>
              <w:right w:val="single" w:color="auto" w:sz="12" w:space="0"/>
            </w:tcBorders>
            <w:noWrap/>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958" w:hRule="exact"/>
          <w:jc w:val="center"/>
        </w:trPr>
        <w:tc>
          <w:tcPr>
            <w:tcW w:w="581" w:type="dxa"/>
            <w:tcBorders>
              <w:top w:val="single" w:color="auto" w:sz="6" w:space="0"/>
              <w:left w:val="single" w:color="auto" w:sz="12" w:space="0"/>
              <w:bottom w:val="single" w:color="auto" w:sz="6" w:space="0"/>
              <w:right w:val="single" w:color="auto" w:sz="6" w:space="0"/>
            </w:tcBorders>
            <w:noWrap/>
            <w:vAlign w:val="center"/>
          </w:tcPr>
          <w:p>
            <w:pPr>
              <w:jc w:val="center"/>
              <w:rPr>
                <w:rFonts w:ascii="宋体" w:hAnsi="宋体" w:cs="宋体"/>
                <w:szCs w:val="21"/>
              </w:rPr>
            </w:pPr>
            <w:r>
              <w:rPr>
                <w:rFonts w:hint="eastAsia" w:ascii="宋体" w:hAnsi="宋体" w:cs="宋体"/>
                <w:szCs w:val="21"/>
              </w:rPr>
              <w:t>8</w:t>
            </w:r>
          </w:p>
        </w:tc>
        <w:tc>
          <w:tcPr>
            <w:tcW w:w="1636" w:type="dxa"/>
            <w:tcBorders>
              <w:top w:val="single" w:color="auto" w:sz="6" w:space="0"/>
              <w:left w:val="single" w:color="auto" w:sz="6" w:space="0"/>
              <w:bottom w:val="single" w:color="auto" w:sz="6" w:space="0"/>
              <w:right w:val="single" w:color="auto" w:sz="6" w:space="0"/>
            </w:tcBorders>
            <w:noWrap/>
            <w:vAlign w:val="center"/>
          </w:tcPr>
          <w:p>
            <w:pPr>
              <w:rPr>
                <w:rFonts w:ascii="宋体" w:hAnsi="宋体" w:cs="宋体"/>
                <w:szCs w:val="21"/>
              </w:rPr>
            </w:pPr>
            <w:r>
              <w:rPr>
                <w:rFonts w:hint="eastAsia" w:ascii="宋体" w:hAnsi="宋体" w:cs="宋体"/>
                <w:szCs w:val="21"/>
              </w:rPr>
              <w:t>按时提交维保事件报告</w:t>
            </w:r>
          </w:p>
        </w:tc>
        <w:tc>
          <w:tcPr>
            <w:tcW w:w="2427" w:type="dxa"/>
            <w:tcBorders>
              <w:top w:val="single" w:color="auto" w:sz="6" w:space="0"/>
              <w:left w:val="single" w:color="auto" w:sz="6" w:space="0"/>
              <w:bottom w:val="single" w:color="auto" w:sz="6" w:space="0"/>
              <w:right w:val="single" w:color="auto" w:sz="6" w:space="0"/>
            </w:tcBorders>
            <w:noWrap/>
            <w:vAlign w:val="center"/>
          </w:tcPr>
          <w:p>
            <w:pPr>
              <w:rPr>
                <w:rFonts w:ascii="宋体" w:hAnsi="宋体" w:cs="宋体"/>
                <w:szCs w:val="21"/>
              </w:rPr>
            </w:pPr>
            <w:r>
              <w:rPr>
                <w:rFonts w:hint="eastAsia" w:ascii="宋体" w:hAnsi="宋体" w:cs="宋体"/>
                <w:szCs w:val="21"/>
              </w:rPr>
              <w:t>一般性事件不超过一天，特殊事件不超过三天。</w:t>
            </w:r>
          </w:p>
        </w:tc>
        <w:tc>
          <w:tcPr>
            <w:tcW w:w="1418" w:type="dxa"/>
            <w:tcBorders>
              <w:top w:val="single" w:color="auto" w:sz="6" w:space="0"/>
              <w:left w:val="single" w:color="auto" w:sz="6" w:space="0"/>
              <w:bottom w:val="single" w:color="auto" w:sz="6" w:space="0"/>
              <w:right w:val="single" w:color="auto" w:sz="6" w:space="0"/>
            </w:tcBorders>
            <w:noWrap/>
            <w:vAlign w:val="center"/>
          </w:tcPr>
          <w:p>
            <w:pPr>
              <w:rPr>
                <w:rFonts w:ascii="宋体" w:hAnsi="宋体" w:cs="宋体"/>
                <w:szCs w:val="21"/>
              </w:rPr>
            </w:pPr>
            <w:r>
              <w:rPr>
                <w:rFonts w:hint="eastAsia" w:ascii="宋体" w:hAnsi="宋体" w:cs="宋体"/>
                <w:szCs w:val="21"/>
              </w:rPr>
              <w:t>超过每次扣2分</w:t>
            </w:r>
          </w:p>
        </w:tc>
        <w:tc>
          <w:tcPr>
            <w:tcW w:w="436" w:type="dxa"/>
            <w:tcBorders>
              <w:top w:val="single" w:color="auto" w:sz="6" w:space="0"/>
              <w:left w:val="single" w:color="auto" w:sz="6" w:space="0"/>
              <w:bottom w:val="single" w:color="auto" w:sz="6" w:space="0"/>
              <w:right w:val="single" w:color="auto" w:sz="4" w:space="0"/>
            </w:tcBorders>
            <w:noWrap/>
            <w:vAlign w:val="center"/>
          </w:tcPr>
          <w:p>
            <w:pPr>
              <w:jc w:val="center"/>
              <w:rPr>
                <w:rFonts w:ascii="宋体" w:hAnsi="宋体" w:cs="宋体"/>
                <w:szCs w:val="21"/>
              </w:rPr>
            </w:pPr>
            <w:r>
              <w:rPr>
                <w:rFonts w:hint="eastAsia" w:ascii="宋体" w:hAnsi="宋体" w:cs="宋体"/>
                <w:szCs w:val="21"/>
              </w:rPr>
              <w:t>10</w:t>
            </w:r>
          </w:p>
        </w:tc>
        <w:tc>
          <w:tcPr>
            <w:tcW w:w="1781" w:type="dxa"/>
            <w:tcBorders>
              <w:top w:val="single" w:color="auto" w:sz="6" w:space="0"/>
              <w:left w:val="single" w:color="auto" w:sz="4" w:space="0"/>
              <w:bottom w:val="single" w:color="auto" w:sz="6" w:space="0"/>
              <w:right w:val="single" w:color="auto" w:sz="4" w:space="0"/>
            </w:tcBorders>
            <w:noWrap/>
            <w:vAlign w:val="center"/>
          </w:tcPr>
          <w:p>
            <w:pPr>
              <w:jc w:val="center"/>
              <w:rPr>
                <w:rFonts w:ascii="宋体" w:hAnsi="宋体" w:cs="宋体"/>
                <w:szCs w:val="21"/>
              </w:rPr>
            </w:pPr>
          </w:p>
        </w:tc>
        <w:tc>
          <w:tcPr>
            <w:tcW w:w="846" w:type="dxa"/>
            <w:tcBorders>
              <w:top w:val="single" w:color="auto" w:sz="6" w:space="0"/>
              <w:left w:val="single" w:color="auto" w:sz="4" w:space="0"/>
              <w:bottom w:val="single" w:color="auto" w:sz="6" w:space="0"/>
              <w:right w:val="single" w:color="auto" w:sz="6" w:space="0"/>
            </w:tcBorders>
            <w:noWrap/>
            <w:vAlign w:val="center"/>
          </w:tcPr>
          <w:p>
            <w:pPr>
              <w:jc w:val="center"/>
              <w:rPr>
                <w:rFonts w:ascii="宋体" w:hAnsi="宋体" w:cs="宋体"/>
                <w:szCs w:val="21"/>
              </w:rPr>
            </w:pPr>
          </w:p>
        </w:tc>
        <w:tc>
          <w:tcPr>
            <w:tcW w:w="912" w:type="dxa"/>
            <w:tcBorders>
              <w:top w:val="single" w:color="auto" w:sz="6" w:space="0"/>
              <w:left w:val="single" w:color="auto" w:sz="6" w:space="0"/>
              <w:bottom w:val="single" w:color="auto" w:sz="6" w:space="0"/>
              <w:right w:val="single" w:color="auto" w:sz="12" w:space="0"/>
            </w:tcBorders>
            <w:noWrap/>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62" w:hRule="exact"/>
          <w:jc w:val="center"/>
        </w:trPr>
        <w:tc>
          <w:tcPr>
            <w:tcW w:w="581" w:type="dxa"/>
            <w:tcBorders>
              <w:top w:val="single" w:color="auto" w:sz="6" w:space="0"/>
              <w:left w:val="single" w:color="auto" w:sz="12" w:space="0"/>
              <w:bottom w:val="single" w:color="auto" w:sz="6" w:space="0"/>
              <w:right w:val="single" w:color="auto" w:sz="6" w:space="0"/>
            </w:tcBorders>
            <w:noWrap/>
            <w:vAlign w:val="center"/>
          </w:tcPr>
          <w:p>
            <w:pPr>
              <w:jc w:val="center"/>
              <w:rPr>
                <w:rFonts w:ascii="宋体" w:hAnsi="宋体" w:cs="宋体"/>
                <w:szCs w:val="21"/>
              </w:rPr>
            </w:pPr>
            <w:r>
              <w:rPr>
                <w:rFonts w:hint="eastAsia" w:ascii="宋体" w:hAnsi="宋体" w:cs="宋体"/>
                <w:szCs w:val="21"/>
              </w:rPr>
              <w:t>9</w:t>
            </w:r>
          </w:p>
        </w:tc>
        <w:tc>
          <w:tcPr>
            <w:tcW w:w="1636" w:type="dxa"/>
            <w:tcBorders>
              <w:top w:val="single" w:color="auto" w:sz="6" w:space="0"/>
              <w:left w:val="single" w:color="auto" w:sz="6" w:space="0"/>
              <w:bottom w:val="single" w:color="auto" w:sz="6" w:space="0"/>
              <w:right w:val="single" w:color="auto" w:sz="6" w:space="0"/>
            </w:tcBorders>
            <w:noWrap/>
            <w:vAlign w:val="center"/>
          </w:tcPr>
          <w:p>
            <w:pPr>
              <w:rPr>
                <w:rFonts w:ascii="宋体" w:hAnsi="宋体" w:cs="宋体"/>
                <w:szCs w:val="21"/>
              </w:rPr>
            </w:pPr>
            <w:r>
              <w:rPr>
                <w:rFonts w:hint="eastAsia" w:ascii="宋体" w:hAnsi="宋体" w:cs="宋体"/>
                <w:szCs w:val="21"/>
              </w:rPr>
              <w:t>服务承诺覆行</w:t>
            </w:r>
          </w:p>
        </w:tc>
        <w:tc>
          <w:tcPr>
            <w:tcW w:w="2427" w:type="dxa"/>
            <w:tcBorders>
              <w:top w:val="single" w:color="auto" w:sz="6" w:space="0"/>
              <w:left w:val="single" w:color="auto" w:sz="6" w:space="0"/>
              <w:bottom w:val="single" w:color="auto" w:sz="6" w:space="0"/>
              <w:right w:val="single" w:color="auto" w:sz="6" w:space="0"/>
            </w:tcBorders>
            <w:noWrap/>
            <w:vAlign w:val="center"/>
          </w:tcPr>
          <w:p>
            <w:pPr>
              <w:rPr>
                <w:rFonts w:ascii="宋体" w:hAnsi="宋体" w:cs="宋体"/>
                <w:szCs w:val="21"/>
              </w:rPr>
            </w:pPr>
            <w:r>
              <w:rPr>
                <w:rFonts w:hint="eastAsia" w:ascii="宋体" w:hAnsi="宋体" w:cs="宋体"/>
                <w:szCs w:val="21"/>
              </w:rPr>
              <w:t>按合同承诺</w:t>
            </w:r>
          </w:p>
        </w:tc>
        <w:tc>
          <w:tcPr>
            <w:tcW w:w="1418" w:type="dxa"/>
            <w:tcBorders>
              <w:top w:val="single" w:color="auto" w:sz="6" w:space="0"/>
              <w:left w:val="single" w:color="auto" w:sz="6" w:space="0"/>
              <w:bottom w:val="single" w:color="auto" w:sz="6" w:space="0"/>
              <w:right w:val="single" w:color="auto" w:sz="6" w:space="0"/>
            </w:tcBorders>
            <w:noWrap/>
            <w:vAlign w:val="center"/>
          </w:tcPr>
          <w:p>
            <w:pPr>
              <w:rPr>
                <w:rFonts w:ascii="宋体" w:hAnsi="宋体" w:cs="宋体"/>
                <w:szCs w:val="21"/>
              </w:rPr>
            </w:pPr>
            <w:r>
              <w:rPr>
                <w:rFonts w:hint="eastAsia" w:ascii="宋体" w:hAnsi="宋体" w:cs="宋体"/>
                <w:szCs w:val="21"/>
              </w:rPr>
              <w:t>违反每项每次扣2分</w:t>
            </w:r>
          </w:p>
        </w:tc>
        <w:tc>
          <w:tcPr>
            <w:tcW w:w="436" w:type="dxa"/>
            <w:tcBorders>
              <w:top w:val="single" w:color="auto" w:sz="6" w:space="0"/>
              <w:left w:val="single" w:color="auto" w:sz="6" w:space="0"/>
              <w:bottom w:val="single" w:color="auto" w:sz="6" w:space="0"/>
              <w:right w:val="single" w:color="auto" w:sz="4" w:space="0"/>
            </w:tcBorders>
            <w:noWrap/>
            <w:vAlign w:val="center"/>
          </w:tcPr>
          <w:p>
            <w:pPr>
              <w:jc w:val="center"/>
              <w:rPr>
                <w:rFonts w:ascii="宋体" w:hAnsi="宋体" w:cs="宋体"/>
                <w:szCs w:val="21"/>
              </w:rPr>
            </w:pPr>
            <w:r>
              <w:rPr>
                <w:rFonts w:hint="eastAsia" w:ascii="宋体" w:hAnsi="宋体" w:cs="宋体"/>
                <w:szCs w:val="21"/>
              </w:rPr>
              <w:t>10</w:t>
            </w:r>
          </w:p>
        </w:tc>
        <w:tc>
          <w:tcPr>
            <w:tcW w:w="1781" w:type="dxa"/>
            <w:tcBorders>
              <w:top w:val="single" w:color="auto" w:sz="6" w:space="0"/>
              <w:left w:val="single" w:color="auto" w:sz="4" w:space="0"/>
              <w:bottom w:val="single" w:color="auto" w:sz="6" w:space="0"/>
              <w:right w:val="single" w:color="auto" w:sz="4" w:space="0"/>
            </w:tcBorders>
            <w:noWrap/>
            <w:vAlign w:val="center"/>
          </w:tcPr>
          <w:p>
            <w:pPr>
              <w:jc w:val="center"/>
              <w:rPr>
                <w:rFonts w:ascii="宋体" w:hAnsi="宋体" w:cs="宋体"/>
                <w:szCs w:val="21"/>
              </w:rPr>
            </w:pPr>
          </w:p>
        </w:tc>
        <w:tc>
          <w:tcPr>
            <w:tcW w:w="846" w:type="dxa"/>
            <w:tcBorders>
              <w:top w:val="single" w:color="auto" w:sz="6" w:space="0"/>
              <w:left w:val="single" w:color="auto" w:sz="4" w:space="0"/>
              <w:bottom w:val="single" w:color="auto" w:sz="6" w:space="0"/>
              <w:right w:val="single" w:color="auto" w:sz="6" w:space="0"/>
            </w:tcBorders>
            <w:noWrap/>
            <w:vAlign w:val="center"/>
          </w:tcPr>
          <w:p>
            <w:pPr>
              <w:jc w:val="center"/>
              <w:rPr>
                <w:rFonts w:ascii="宋体" w:hAnsi="宋体" w:cs="宋体"/>
                <w:szCs w:val="21"/>
              </w:rPr>
            </w:pPr>
          </w:p>
        </w:tc>
        <w:tc>
          <w:tcPr>
            <w:tcW w:w="912" w:type="dxa"/>
            <w:tcBorders>
              <w:top w:val="single" w:color="auto" w:sz="6" w:space="0"/>
              <w:left w:val="single" w:color="auto" w:sz="6" w:space="0"/>
              <w:bottom w:val="single" w:color="auto" w:sz="6" w:space="0"/>
              <w:right w:val="single" w:color="auto" w:sz="12" w:space="0"/>
            </w:tcBorders>
            <w:noWrap/>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287" w:hRule="exact"/>
          <w:jc w:val="center"/>
        </w:trPr>
        <w:tc>
          <w:tcPr>
            <w:tcW w:w="581" w:type="dxa"/>
            <w:tcBorders>
              <w:top w:val="single" w:color="auto" w:sz="6" w:space="0"/>
              <w:left w:val="single" w:color="auto" w:sz="12" w:space="0"/>
              <w:bottom w:val="single" w:color="auto" w:sz="6" w:space="0"/>
              <w:right w:val="single" w:color="auto" w:sz="6" w:space="0"/>
            </w:tcBorders>
            <w:noWrap/>
            <w:vAlign w:val="center"/>
          </w:tcPr>
          <w:p>
            <w:pPr>
              <w:jc w:val="center"/>
              <w:rPr>
                <w:rFonts w:ascii="宋体" w:hAnsi="宋体" w:cs="宋体"/>
                <w:szCs w:val="21"/>
              </w:rPr>
            </w:pPr>
          </w:p>
        </w:tc>
        <w:tc>
          <w:tcPr>
            <w:tcW w:w="5481" w:type="dxa"/>
            <w:gridSpan w:val="3"/>
            <w:tcBorders>
              <w:top w:val="single" w:color="auto" w:sz="6" w:space="0"/>
              <w:left w:val="single" w:color="auto" w:sz="6" w:space="0"/>
              <w:bottom w:val="single" w:color="auto" w:sz="6" w:space="0"/>
              <w:right w:val="single" w:color="auto" w:sz="4" w:space="0"/>
            </w:tcBorders>
            <w:noWrap/>
            <w:vAlign w:val="center"/>
          </w:tcPr>
          <w:p>
            <w:pPr>
              <w:jc w:val="left"/>
              <w:rPr>
                <w:rFonts w:ascii="宋体" w:hAnsi="宋体" w:cs="宋体"/>
                <w:szCs w:val="21"/>
              </w:rPr>
            </w:pPr>
            <w:r>
              <w:rPr>
                <w:rFonts w:hint="eastAsia" w:ascii="宋体" w:hAnsi="宋体" w:cs="宋体"/>
                <w:szCs w:val="21"/>
              </w:rPr>
              <w:t>扣分合计：</w:t>
            </w:r>
          </w:p>
        </w:tc>
        <w:tc>
          <w:tcPr>
            <w:tcW w:w="3975" w:type="dxa"/>
            <w:gridSpan w:val="4"/>
            <w:tcBorders>
              <w:top w:val="single" w:color="auto" w:sz="6" w:space="0"/>
              <w:left w:val="single" w:color="auto" w:sz="4" w:space="0"/>
              <w:bottom w:val="single" w:color="auto" w:sz="6" w:space="0"/>
              <w:right w:val="single" w:color="auto" w:sz="12" w:space="0"/>
            </w:tcBorders>
            <w:noWrap/>
            <w:vAlign w:val="center"/>
          </w:tcPr>
          <w:p>
            <w:pPr>
              <w:jc w:val="left"/>
              <w:rPr>
                <w:rFonts w:ascii="宋体" w:hAnsi="宋体" w:cs="宋体"/>
                <w:szCs w:val="21"/>
              </w:rPr>
            </w:pPr>
            <w:r>
              <w:rPr>
                <w:rFonts w:hint="eastAsia" w:ascii="宋体" w:hAnsi="宋体" w:cs="宋体"/>
                <w:szCs w:val="21"/>
              </w:rPr>
              <w:t>实得分合计：</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288" w:hRule="exact"/>
          <w:jc w:val="center"/>
        </w:trPr>
        <w:tc>
          <w:tcPr>
            <w:tcW w:w="581" w:type="dxa"/>
            <w:tcBorders>
              <w:top w:val="single" w:color="auto" w:sz="6" w:space="0"/>
              <w:left w:val="single" w:color="auto" w:sz="12" w:space="0"/>
              <w:bottom w:val="single" w:color="auto" w:sz="6" w:space="0"/>
              <w:right w:val="single" w:color="auto" w:sz="6" w:space="0"/>
            </w:tcBorders>
            <w:noWrap/>
            <w:vAlign w:val="center"/>
          </w:tcPr>
          <w:p>
            <w:pPr>
              <w:jc w:val="center"/>
              <w:rPr>
                <w:rFonts w:ascii="宋体" w:hAnsi="宋体" w:cs="宋体"/>
                <w:szCs w:val="21"/>
              </w:rPr>
            </w:pPr>
          </w:p>
        </w:tc>
        <w:tc>
          <w:tcPr>
            <w:tcW w:w="9456" w:type="dxa"/>
            <w:gridSpan w:val="7"/>
            <w:tcBorders>
              <w:top w:val="single" w:color="auto" w:sz="6" w:space="0"/>
              <w:left w:val="single" w:color="auto" w:sz="6" w:space="0"/>
              <w:bottom w:val="single" w:color="auto" w:sz="6" w:space="0"/>
              <w:right w:val="single" w:color="auto" w:sz="12" w:space="0"/>
            </w:tcBorders>
            <w:noWrap/>
            <w:vAlign w:val="center"/>
          </w:tcPr>
          <w:p>
            <w:pPr>
              <w:jc w:val="left"/>
              <w:rPr>
                <w:rFonts w:ascii="宋体" w:hAnsi="宋体" w:cs="宋体"/>
                <w:szCs w:val="21"/>
              </w:rPr>
            </w:pPr>
            <w:r>
              <w:rPr>
                <w:rFonts w:hint="eastAsia" w:ascii="宋体" w:hAnsi="宋体" w:cs="宋体"/>
                <w:szCs w:val="21"/>
              </w:rPr>
              <w:t>能源动力与节能管理科经办人签字确认：</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315" w:hRule="exact"/>
          <w:jc w:val="center"/>
        </w:trPr>
        <w:tc>
          <w:tcPr>
            <w:tcW w:w="581" w:type="dxa"/>
            <w:tcBorders>
              <w:top w:val="single" w:color="auto" w:sz="6" w:space="0"/>
              <w:left w:val="single" w:color="auto" w:sz="12" w:space="0"/>
              <w:bottom w:val="single" w:color="auto" w:sz="6" w:space="0"/>
              <w:right w:val="single" w:color="auto" w:sz="6" w:space="0"/>
            </w:tcBorders>
            <w:noWrap/>
            <w:vAlign w:val="center"/>
          </w:tcPr>
          <w:p>
            <w:pPr>
              <w:jc w:val="center"/>
              <w:rPr>
                <w:rFonts w:ascii="宋体" w:hAnsi="宋体" w:cs="宋体"/>
                <w:szCs w:val="21"/>
              </w:rPr>
            </w:pPr>
          </w:p>
        </w:tc>
        <w:tc>
          <w:tcPr>
            <w:tcW w:w="9456" w:type="dxa"/>
            <w:gridSpan w:val="7"/>
            <w:tcBorders>
              <w:top w:val="single" w:color="auto" w:sz="6" w:space="0"/>
              <w:left w:val="single" w:color="auto" w:sz="6" w:space="0"/>
              <w:bottom w:val="single" w:color="auto" w:sz="6" w:space="0"/>
              <w:right w:val="single" w:color="auto" w:sz="12" w:space="0"/>
            </w:tcBorders>
            <w:noWrap/>
            <w:vAlign w:val="center"/>
          </w:tcPr>
          <w:p>
            <w:pPr>
              <w:jc w:val="left"/>
              <w:rPr>
                <w:rFonts w:ascii="宋体" w:hAnsi="宋体" w:cs="宋体"/>
                <w:szCs w:val="21"/>
              </w:rPr>
            </w:pPr>
            <w:r>
              <w:rPr>
                <w:rFonts w:hint="eastAsia" w:ascii="宋体" w:hAnsi="宋体" w:cs="宋体"/>
                <w:szCs w:val="21"/>
              </w:rPr>
              <w:t>能源动力与节能管理科科长签字确认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258" w:hRule="atLeast"/>
          <w:jc w:val="center"/>
        </w:trPr>
        <w:tc>
          <w:tcPr>
            <w:tcW w:w="10037" w:type="dxa"/>
            <w:gridSpan w:val="8"/>
            <w:tcBorders>
              <w:top w:val="single" w:color="auto" w:sz="6" w:space="0"/>
              <w:left w:val="single" w:color="auto" w:sz="12" w:space="0"/>
              <w:bottom w:val="single" w:color="auto" w:sz="12" w:space="0"/>
              <w:right w:val="single" w:color="auto" w:sz="12" w:space="0"/>
            </w:tcBorders>
            <w:noWrap/>
            <w:vAlign w:val="center"/>
          </w:tcPr>
          <w:p>
            <w:pPr>
              <w:rPr>
                <w:rFonts w:ascii="宋体" w:hAnsi="宋体" w:cs="宋体"/>
                <w:szCs w:val="21"/>
              </w:rPr>
            </w:pPr>
            <w:r>
              <w:rPr>
                <w:rFonts w:hint="eastAsia" w:ascii="宋体" w:hAnsi="宋体" w:cs="宋体"/>
                <w:szCs w:val="21"/>
              </w:rPr>
              <w:t>说明：甲方按照扬州大学附属医院考核方法和制度，对乙方的服务工作进行考核，考核为半年度考核。</w:t>
            </w:r>
          </w:p>
          <w:p>
            <w:pPr>
              <w:ind w:firstLine="420" w:firstLineChars="200"/>
              <w:rPr>
                <w:rFonts w:ascii="宋体" w:hAnsi="宋体" w:cs="宋体"/>
                <w:szCs w:val="21"/>
              </w:rPr>
            </w:pPr>
            <w:r>
              <w:rPr>
                <w:rFonts w:hint="eastAsia" w:ascii="宋体" w:hAnsi="宋体" w:cs="宋体"/>
                <w:szCs w:val="21"/>
              </w:rPr>
              <w:t>半年考核结果与服务费用挂钩，半年考核≥80分，服务费全额给付；如半年考核70-80 分，扣除半年应付服务费的1%；半年考核＜70分， 视为考核不合格，甲方有权不再与乙方续签，并重新组织采购。</w:t>
            </w:r>
          </w:p>
          <w:p>
            <w:pPr>
              <w:rPr>
                <w:rFonts w:ascii="宋体" w:hAnsi="宋体" w:cs="宋体"/>
                <w:szCs w:val="21"/>
              </w:rPr>
            </w:pPr>
            <w:r>
              <w:rPr>
                <w:rFonts w:hint="eastAsia" w:ascii="宋体" w:hAnsi="宋体" w:cs="宋体"/>
                <w:szCs w:val="21"/>
              </w:rPr>
              <w:t xml:space="preserve">半年度考核≥70分，视为考核合格，甲方可以与乙方续签合同； </w:t>
            </w:r>
          </w:p>
        </w:tc>
      </w:tr>
    </w:tbl>
    <w:p>
      <w:pPr>
        <w:rPr>
          <w:rFonts w:ascii="宋体" w:hAnsi="宋体"/>
          <w:spacing w:val="20"/>
          <w:sz w:val="24"/>
        </w:rPr>
      </w:pPr>
      <w:r>
        <w:rPr>
          <w:rFonts w:ascii="宋体" w:hAnsi="宋体"/>
          <w:spacing w:val="20"/>
          <w:sz w:val="24"/>
        </w:rPr>
        <w:br w:type="page"/>
      </w:r>
    </w:p>
    <w:p>
      <w:pPr>
        <w:jc w:val="left"/>
        <w:rPr>
          <w:rFonts w:ascii="宋体" w:hAnsi="宋体"/>
          <w:b/>
          <w:bCs/>
          <w:spacing w:val="20"/>
          <w:sz w:val="24"/>
        </w:rPr>
      </w:pPr>
      <w:r>
        <w:rPr>
          <w:rFonts w:hint="eastAsia" w:ascii="宋体" w:hAnsi="宋体"/>
          <w:b/>
          <w:bCs/>
          <w:spacing w:val="20"/>
          <w:sz w:val="24"/>
        </w:rPr>
        <w:t>附件6</w:t>
      </w:r>
    </w:p>
    <w:p>
      <w:pPr>
        <w:widowControl/>
        <w:jc w:val="center"/>
        <w:rPr>
          <w:rFonts w:ascii="宋体" w:hAnsi="宋体" w:cs="宋体"/>
          <w:b/>
          <w:sz w:val="24"/>
          <w:szCs w:val="21"/>
        </w:rPr>
      </w:pPr>
      <w:r>
        <w:rPr>
          <w:rFonts w:hint="eastAsia" w:ascii="宋体" w:hAnsi="宋体" w:cs="宋体"/>
          <w:b/>
          <w:sz w:val="24"/>
          <w:szCs w:val="21"/>
        </w:rPr>
        <w:t>附表：电梯日常维护保养项目（内容）和要求摘录</w:t>
      </w:r>
    </w:p>
    <w:p>
      <w:pPr>
        <w:widowControl/>
        <w:jc w:val="left"/>
        <w:rPr>
          <w:rFonts w:ascii="宋体" w:hAnsi="宋体" w:cs="宋体"/>
          <w:szCs w:val="21"/>
        </w:rPr>
      </w:pPr>
      <w:r>
        <w:rPr>
          <w:rFonts w:hint="eastAsia" w:ascii="宋体" w:hAnsi="宋体" w:cs="宋体"/>
          <w:szCs w:val="21"/>
        </w:rPr>
        <w:t>（一</w:t>
      </w:r>
      <w:r>
        <w:rPr>
          <w:rFonts w:hint="eastAsia" w:ascii="宋体" w:hAnsi="宋体" w:cs="宋体"/>
          <w:b/>
          <w:szCs w:val="21"/>
        </w:rPr>
        <w:t>）乘客电梯、载货电梯</w:t>
      </w:r>
    </w:p>
    <w:p>
      <w:pPr>
        <w:widowControl/>
        <w:adjustRightInd w:val="0"/>
        <w:snapToGrid w:val="0"/>
        <w:spacing w:line="360" w:lineRule="auto"/>
        <w:jc w:val="center"/>
        <w:rPr>
          <w:rFonts w:ascii="宋体" w:hAnsi="宋体" w:cs="宋体"/>
          <w:szCs w:val="21"/>
        </w:rPr>
      </w:pPr>
      <w:r>
        <w:rPr>
          <w:rFonts w:hint="eastAsia" w:ascii="宋体" w:hAnsi="宋体" w:cs="宋体"/>
          <w:szCs w:val="21"/>
        </w:rPr>
        <w:t>表A-1  半月维保项目（内容）和要求</w:t>
      </w:r>
    </w:p>
    <w:tbl>
      <w:tblPr>
        <w:tblStyle w:val="10"/>
        <w:tblW w:w="9805" w:type="dxa"/>
        <w:tblInd w:w="-312"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40"/>
        <w:gridCol w:w="4700"/>
        <w:gridCol w:w="426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12"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序号</w:t>
            </w:r>
          </w:p>
        </w:tc>
        <w:tc>
          <w:tcPr>
            <w:tcW w:w="4700" w:type="dxa"/>
            <w:tcBorders>
              <w:top w:val="single" w:color="auto" w:sz="12" w:space="0"/>
              <w:left w:val="single" w:color="auto" w:sz="6"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维保项目（内容）</w:t>
            </w:r>
          </w:p>
        </w:tc>
        <w:tc>
          <w:tcPr>
            <w:tcW w:w="4265" w:type="dxa"/>
            <w:tcBorders>
              <w:top w:val="single" w:color="auto" w:sz="12" w:space="0"/>
              <w:left w:val="single" w:color="auto" w:sz="6" w:space="0"/>
              <w:bottom w:val="single" w:color="auto" w:sz="6" w:space="0"/>
              <w:right w:val="single" w:color="auto" w:sz="12" w:space="0"/>
            </w:tcBorders>
            <w:noWrap/>
            <w:vAlign w:val="center"/>
          </w:tcPr>
          <w:p>
            <w:pPr>
              <w:widowControl/>
              <w:jc w:val="center"/>
              <w:rPr>
                <w:rFonts w:ascii="宋体" w:hAnsi="宋体" w:cs="宋体"/>
                <w:szCs w:val="21"/>
              </w:rPr>
            </w:pPr>
            <w:r>
              <w:rPr>
                <w:rFonts w:hint="eastAsia" w:ascii="宋体" w:hAnsi="宋体" w:cs="宋体"/>
                <w:szCs w:val="21"/>
              </w:rPr>
              <w:t>维保基本要求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机房、滑轮间环境</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 xml:space="preserve">清洁，门窗完好、照明正常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手动紧急操作装置</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齐全，在指定位置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3</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曳引机</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trike/>
                <w:szCs w:val="21"/>
              </w:rPr>
            </w:pPr>
            <w:r>
              <w:rPr>
                <w:rFonts w:hint="eastAsia" w:ascii="宋体" w:hAnsi="宋体" w:cs="宋体"/>
                <w:szCs w:val="21"/>
              </w:rPr>
              <w:t>运行时无异常振动和异常声响</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4</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制动器各销轴部位</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润滑，动作灵活</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5</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制动器间隙</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打开时制动衬与制动轮不应发生摩擦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6</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编码器</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清洁，安装牢固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7</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限速器各销轴部位</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润滑，转动灵活；电气开关正常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8</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轿顶</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清洁，防护拦安全可靠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9</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轿顶检修开关、急停开关</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10</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导靴上油杯</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吸油毛毡齐全，油量适宜，油杯无泄漏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11</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对重块及其压板</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对重块无松动，压板紧固。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12</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井道照明</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齐全、正常</w:t>
            </w:r>
            <w:r>
              <w:rPr>
                <w:rFonts w:hint="eastAsia" w:ascii="宋体" w:hAnsi="宋体" w:cs="宋体"/>
                <w:szCs w:val="21"/>
              </w:rPr>
              <w:tab/>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spacing w:beforeAutospacing="1" w:afterAutospacing="1"/>
              <w:jc w:val="center"/>
              <w:rPr>
                <w:rFonts w:ascii="宋体" w:hAnsi="宋体" w:cs="宋体"/>
                <w:szCs w:val="21"/>
              </w:rPr>
            </w:pPr>
            <w:r>
              <w:rPr>
                <w:rFonts w:hint="eastAsia" w:ascii="宋体" w:hAnsi="宋体" w:cs="宋体"/>
                <w:szCs w:val="21"/>
              </w:rPr>
              <w:t>13</w:t>
            </w:r>
          </w:p>
        </w:tc>
        <w:tc>
          <w:tcPr>
            <w:tcW w:w="4700" w:type="dxa"/>
            <w:noWrap/>
            <w:vAlign w:val="center"/>
          </w:tcPr>
          <w:p>
            <w:pPr>
              <w:widowControl/>
              <w:jc w:val="left"/>
              <w:rPr>
                <w:rFonts w:ascii="宋体" w:hAnsi="宋体" w:cs="宋体"/>
                <w:szCs w:val="21"/>
              </w:rPr>
            </w:pPr>
            <w:r>
              <w:rPr>
                <w:rFonts w:hint="eastAsia" w:ascii="宋体" w:hAnsi="宋体" w:cs="宋体"/>
                <w:szCs w:val="21"/>
              </w:rPr>
              <w:t>轿厢照明、风扇、应急照明</w:t>
            </w:r>
          </w:p>
        </w:tc>
        <w:tc>
          <w:tcPr>
            <w:tcW w:w="4265" w:type="dxa"/>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14</w:t>
            </w:r>
          </w:p>
        </w:tc>
        <w:tc>
          <w:tcPr>
            <w:tcW w:w="4700" w:type="dxa"/>
            <w:noWrap/>
            <w:vAlign w:val="center"/>
          </w:tcPr>
          <w:p>
            <w:pPr>
              <w:widowControl/>
              <w:jc w:val="left"/>
              <w:rPr>
                <w:rFonts w:ascii="宋体" w:hAnsi="宋体" w:cs="宋体"/>
                <w:szCs w:val="21"/>
              </w:rPr>
            </w:pPr>
            <w:r>
              <w:rPr>
                <w:rFonts w:hint="eastAsia" w:ascii="宋体" w:hAnsi="宋体" w:cs="宋体"/>
                <w:szCs w:val="21"/>
              </w:rPr>
              <w:t>轿厢检修开关、急停开关</w:t>
            </w:r>
          </w:p>
        </w:tc>
        <w:tc>
          <w:tcPr>
            <w:tcW w:w="4265" w:type="dxa"/>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15</w:t>
            </w:r>
          </w:p>
        </w:tc>
        <w:tc>
          <w:tcPr>
            <w:tcW w:w="4700" w:type="dxa"/>
            <w:noWrap/>
            <w:vAlign w:val="center"/>
          </w:tcPr>
          <w:p>
            <w:pPr>
              <w:widowControl/>
              <w:jc w:val="left"/>
              <w:rPr>
                <w:rFonts w:ascii="宋体" w:hAnsi="宋体" w:cs="宋体"/>
                <w:szCs w:val="21"/>
              </w:rPr>
            </w:pPr>
            <w:r>
              <w:rPr>
                <w:rFonts w:hint="eastAsia" w:ascii="宋体" w:hAnsi="宋体" w:cs="宋体"/>
                <w:szCs w:val="21"/>
              </w:rPr>
              <w:t>轿内报警装置、对讲系统</w:t>
            </w:r>
          </w:p>
        </w:tc>
        <w:tc>
          <w:tcPr>
            <w:tcW w:w="4265" w:type="dxa"/>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16</w:t>
            </w:r>
          </w:p>
        </w:tc>
        <w:tc>
          <w:tcPr>
            <w:tcW w:w="4700" w:type="dxa"/>
            <w:noWrap/>
            <w:vAlign w:val="center"/>
          </w:tcPr>
          <w:p>
            <w:pPr>
              <w:widowControl/>
              <w:jc w:val="left"/>
              <w:rPr>
                <w:rFonts w:ascii="宋体" w:hAnsi="宋体" w:cs="宋体"/>
                <w:szCs w:val="21"/>
              </w:rPr>
            </w:pPr>
            <w:r>
              <w:rPr>
                <w:rFonts w:hint="eastAsia" w:ascii="宋体" w:hAnsi="宋体" w:cs="宋体"/>
                <w:szCs w:val="21"/>
              </w:rPr>
              <w:t>轿内显示、指令按钮</w:t>
            </w:r>
          </w:p>
        </w:tc>
        <w:tc>
          <w:tcPr>
            <w:tcW w:w="4265" w:type="dxa"/>
            <w:noWrap/>
            <w:vAlign w:val="center"/>
          </w:tcPr>
          <w:p>
            <w:pPr>
              <w:widowControl/>
              <w:jc w:val="left"/>
              <w:rPr>
                <w:rFonts w:ascii="宋体" w:hAnsi="宋体" w:cs="宋体"/>
                <w:szCs w:val="21"/>
              </w:rPr>
            </w:pPr>
            <w:r>
              <w:rPr>
                <w:rFonts w:hint="eastAsia" w:ascii="宋体" w:hAnsi="宋体" w:cs="宋体"/>
                <w:szCs w:val="21"/>
              </w:rPr>
              <w:t>齐全、有效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17</w:t>
            </w:r>
          </w:p>
        </w:tc>
        <w:tc>
          <w:tcPr>
            <w:tcW w:w="4700" w:type="dxa"/>
            <w:noWrap/>
            <w:vAlign w:val="center"/>
          </w:tcPr>
          <w:p>
            <w:pPr>
              <w:widowControl/>
              <w:jc w:val="left"/>
              <w:rPr>
                <w:rFonts w:ascii="宋体" w:hAnsi="宋体" w:cs="宋体"/>
                <w:szCs w:val="21"/>
              </w:rPr>
            </w:pPr>
            <w:r>
              <w:rPr>
                <w:rFonts w:hint="eastAsia" w:ascii="宋体" w:hAnsi="宋体" w:cs="宋体"/>
                <w:szCs w:val="21"/>
              </w:rPr>
              <w:t>轿门安全装置（安全触板，光幕、光电等）</w:t>
            </w:r>
          </w:p>
        </w:tc>
        <w:tc>
          <w:tcPr>
            <w:tcW w:w="4265" w:type="dxa"/>
            <w:noWrap/>
            <w:vAlign w:val="center"/>
          </w:tcPr>
          <w:p>
            <w:pPr>
              <w:widowControl/>
              <w:jc w:val="left"/>
              <w:rPr>
                <w:rFonts w:ascii="宋体" w:hAnsi="宋体" w:cs="宋体"/>
                <w:szCs w:val="21"/>
              </w:rPr>
            </w:pPr>
            <w:r>
              <w:rPr>
                <w:rFonts w:hint="eastAsia" w:ascii="宋体" w:hAnsi="宋体" w:cs="宋体"/>
                <w:szCs w:val="21"/>
              </w:rPr>
              <w:t>功能有效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18</w:t>
            </w:r>
          </w:p>
        </w:tc>
        <w:tc>
          <w:tcPr>
            <w:tcW w:w="4700" w:type="dxa"/>
            <w:noWrap/>
            <w:vAlign w:val="center"/>
          </w:tcPr>
          <w:p>
            <w:pPr>
              <w:widowControl/>
              <w:jc w:val="left"/>
              <w:rPr>
                <w:rFonts w:ascii="宋体" w:hAnsi="宋体" w:cs="宋体"/>
                <w:szCs w:val="21"/>
              </w:rPr>
            </w:pPr>
            <w:r>
              <w:rPr>
                <w:rFonts w:hint="eastAsia" w:ascii="宋体" w:hAnsi="宋体" w:cs="宋体"/>
                <w:szCs w:val="21"/>
              </w:rPr>
              <w:t>轿门门锁电气触点</w:t>
            </w:r>
          </w:p>
        </w:tc>
        <w:tc>
          <w:tcPr>
            <w:tcW w:w="4265" w:type="dxa"/>
            <w:noWrap/>
            <w:vAlign w:val="center"/>
          </w:tcPr>
          <w:p>
            <w:pPr>
              <w:widowControl/>
              <w:jc w:val="left"/>
              <w:rPr>
                <w:rFonts w:ascii="宋体" w:hAnsi="宋体" w:cs="宋体"/>
                <w:szCs w:val="21"/>
              </w:rPr>
            </w:pPr>
            <w:r>
              <w:rPr>
                <w:rFonts w:hint="eastAsia" w:ascii="宋体" w:hAnsi="宋体" w:cs="宋体"/>
                <w:szCs w:val="21"/>
              </w:rPr>
              <w:t>清洁, 触点接触良好，接线可靠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19</w:t>
            </w:r>
          </w:p>
        </w:tc>
        <w:tc>
          <w:tcPr>
            <w:tcW w:w="4700" w:type="dxa"/>
            <w:noWrap/>
            <w:vAlign w:val="center"/>
          </w:tcPr>
          <w:p>
            <w:pPr>
              <w:widowControl/>
              <w:jc w:val="left"/>
              <w:rPr>
                <w:rFonts w:ascii="宋体" w:hAnsi="宋体" w:cs="宋体"/>
                <w:szCs w:val="21"/>
              </w:rPr>
            </w:pPr>
            <w:r>
              <w:rPr>
                <w:rFonts w:hint="eastAsia" w:ascii="宋体" w:hAnsi="宋体" w:cs="宋体"/>
                <w:szCs w:val="21"/>
              </w:rPr>
              <w:t>轿门运行</w:t>
            </w:r>
          </w:p>
        </w:tc>
        <w:tc>
          <w:tcPr>
            <w:tcW w:w="4265" w:type="dxa"/>
            <w:noWrap/>
            <w:vAlign w:val="center"/>
          </w:tcPr>
          <w:p>
            <w:pPr>
              <w:widowControl/>
              <w:jc w:val="left"/>
              <w:rPr>
                <w:rFonts w:ascii="宋体" w:hAnsi="宋体" w:cs="宋体"/>
                <w:szCs w:val="21"/>
              </w:rPr>
            </w:pPr>
            <w:r>
              <w:rPr>
                <w:rFonts w:hint="eastAsia" w:ascii="宋体" w:hAnsi="宋体" w:cs="宋体"/>
                <w:szCs w:val="21"/>
              </w:rPr>
              <w:t>开启和关闭工作正常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20</w:t>
            </w:r>
          </w:p>
        </w:tc>
        <w:tc>
          <w:tcPr>
            <w:tcW w:w="4700" w:type="dxa"/>
            <w:noWrap/>
            <w:vAlign w:val="center"/>
          </w:tcPr>
          <w:p>
            <w:pPr>
              <w:widowControl/>
              <w:jc w:val="left"/>
              <w:rPr>
                <w:rFonts w:ascii="宋体" w:hAnsi="宋体" w:cs="宋体"/>
                <w:szCs w:val="21"/>
              </w:rPr>
            </w:pPr>
            <w:r>
              <w:rPr>
                <w:rFonts w:hint="eastAsia" w:ascii="宋体" w:hAnsi="宋体" w:cs="宋体"/>
                <w:szCs w:val="21"/>
              </w:rPr>
              <w:t>轿厢平层精度</w:t>
            </w:r>
          </w:p>
        </w:tc>
        <w:tc>
          <w:tcPr>
            <w:tcW w:w="4265" w:type="dxa"/>
            <w:noWrap/>
            <w:vAlign w:val="center"/>
          </w:tcPr>
          <w:p>
            <w:pPr>
              <w:widowControl/>
              <w:jc w:val="left"/>
              <w:rPr>
                <w:rFonts w:ascii="宋体" w:hAnsi="宋体" w:cs="宋体"/>
                <w:szCs w:val="21"/>
              </w:rPr>
            </w:pPr>
            <w:r>
              <w:rPr>
                <w:rFonts w:hint="eastAsia" w:ascii="宋体" w:hAnsi="宋体" w:cs="宋体"/>
                <w:szCs w:val="21"/>
              </w:rPr>
              <w:t>符合标准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21</w:t>
            </w:r>
          </w:p>
        </w:tc>
        <w:tc>
          <w:tcPr>
            <w:tcW w:w="4700" w:type="dxa"/>
            <w:noWrap/>
            <w:vAlign w:val="center"/>
          </w:tcPr>
          <w:p>
            <w:pPr>
              <w:widowControl/>
              <w:jc w:val="left"/>
              <w:rPr>
                <w:rFonts w:ascii="宋体" w:hAnsi="宋体" w:cs="宋体"/>
                <w:szCs w:val="21"/>
              </w:rPr>
            </w:pPr>
            <w:r>
              <w:rPr>
                <w:rFonts w:hint="eastAsia" w:ascii="宋体" w:hAnsi="宋体" w:cs="宋体"/>
                <w:szCs w:val="21"/>
              </w:rPr>
              <w:t>层站召唤、层楼显示</w:t>
            </w:r>
          </w:p>
        </w:tc>
        <w:tc>
          <w:tcPr>
            <w:tcW w:w="4265" w:type="dxa"/>
            <w:noWrap/>
            <w:vAlign w:val="center"/>
          </w:tcPr>
          <w:p>
            <w:pPr>
              <w:widowControl/>
              <w:jc w:val="left"/>
              <w:rPr>
                <w:rFonts w:ascii="宋体" w:hAnsi="宋体" w:cs="宋体"/>
                <w:szCs w:val="21"/>
              </w:rPr>
            </w:pPr>
            <w:r>
              <w:rPr>
                <w:rFonts w:hint="eastAsia" w:ascii="宋体" w:hAnsi="宋体" w:cs="宋体"/>
                <w:szCs w:val="21"/>
              </w:rPr>
              <w:t>齐全、有效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22</w:t>
            </w:r>
          </w:p>
        </w:tc>
        <w:tc>
          <w:tcPr>
            <w:tcW w:w="4700" w:type="dxa"/>
            <w:noWrap/>
            <w:vAlign w:val="center"/>
          </w:tcPr>
          <w:p>
            <w:pPr>
              <w:widowControl/>
              <w:jc w:val="left"/>
              <w:rPr>
                <w:rFonts w:ascii="宋体" w:hAnsi="宋体" w:cs="宋体"/>
                <w:szCs w:val="21"/>
              </w:rPr>
            </w:pPr>
            <w:r>
              <w:rPr>
                <w:rFonts w:hint="eastAsia" w:ascii="宋体" w:hAnsi="宋体" w:cs="宋体"/>
                <w:szCs w:val="21"/>
              </w:rPr>
              <w:t>层门地坎</w:t>
            </w:r>
          </w:p>
        </w:tc>
        <w:tc>
          <w:tcPr>
            <w:tcW w:w="4265" w:type="dxa"/>
            <w:noWrap/>
            <w:vAlign w:val="center"/>
          </w:tcPr>
          <w:p>
            <w:pPr>
              <w:widowControl/>
              <w:jc w:val="left"/>
              <w:rPr>
                <w:rFonts w:ascii="宋体" w:hAnsi="宋体" w:cs="宋体"/>
                <w:szCs w:val="21"/>
              </w:rPr>
            </w:pPr>
            <w:r>
              <w:rPr>
                <w:rFonts w:hint="eastAsia" w:ascii="宋体" w:hAnsi="宋体" w:cs="宋体"/>
                <w:szCs w:val="21"/>
              </w:rPr>
              <w:t>清洁</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23</w:t>
            </w:r>
          </w:p>
        </w:tc>
        <w:tc>
          <w:tcPr>
            <w:tcW w:w="4700" w:type="dxa"/>
            <w:noWrap/>
            <w:vAlign w:val="center"/>
          </w:tcPr>
          <w:p>
            <w:pPr>
              <w:widowControl/>
              <w:jc w:val="left"/>
              <w:rPr>
                <w:rFonts w:ascii="宋体" w:hAnsi="宋体" w:cs="宋体"/>
                <w:szCs w:val="21"/>
              </w:rPr>
            </w:pPr>
            <w:r>
              <w:rPr>
                <w:rFonts w:hint="eastAsia" w:ascii="宋体" w:hAnsi="宋体" w:cs="宋体"/>
                <w:szCs w:val="21"/>
              </w:rPr>
              <w:t>层门自动关门装置</w:t>
            </w:r>
          </w:p>
        </w:tc>
        <w:tc>
          <w:tcPr>
            <w:tcW w:w="4265" w:type="dxa"/>
            <w:noWrap/>
            <w:vAlign w:val="center"/>
          </w:tcPr>
          <w:p>
            <w:pPr>
              <w:widowControl/>
              <w:jc w:val="left"/>
              <w:rPr>
                <w:rFonts w:ascii="宋体" w:hAnsi="宋体" w:cs="宋体"/>
                <w:szCs w:val="21"/>
              </w:rPr>
            </w:pPr>
            <w:r>
              <w:rPr>
                <w:rFonts w:hint="eastAsia" w:ascii="宋体" w:hAnsi="宋体" w:cs="宋体"/>
                <w:szCs w:val="21"/>
              </w:rPr>
              <w:t>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79"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24</w:t>
            </w:r>
          </w:p>
        </w:tc>
        <w:tc>
          <w:tcPr>
            <w:tcW w:w="4700" w:type="dxa"/>
            <w:noWrap/>
            <w:vAlign w:val="center"/>
          </w:tcPr>
          <w:p>
            <w:pPr>
              <w:widowControl/>
              <w:jc w:val="left"/>
              <w:rPr>
                <w:rFonts w:ascii="宋体" w:hAnsi="宋体" w:cs="宋体"/>
                <w:szCs w:val="21"/>
              </w:rPr>
            </w:pPr>
            <w:r>
              <w:rPr>
                <w:rFonts w:hint="eastAsia" w:ascii="宋体" w:hAnsi="宋体" w:cs="宋体"/>
                <w:szCs w:val="21"/>
              </w:rPr>
              <w:t>层门门锁自动复位</w:t>
            </w:r>
          </w:p>
        </w:tc>
        <w:tc>
          <w:tcPr>
            <w:tcW w:w="4265" w:type="dxa"/>
            <w:noWrap/>
            <w:vAlign w:val="center"/>
          </w:tcPr>
          <w:p>
            <w:pPr>
              <w:widowControl/>
              <w:jc w:val="left"/>
              <w:rPr>
                <w:rFonts w:ascii="宋体" w:hAnsi="宋体" w:cs="宋体"/>
                <w:szCs w:val="21"/>
              </w:rPr>
            </w:pPr>
            <w:r>
              <w:rPr>
                <w:rFonts w:hint="eastAsia" w:ascii="宋体" w:hAnsi="宋体" w:cs="宋体"/>
                <w:szCs w:val="21"/>
              </w:rPr>
              <w:t>用层门钥匙打开手动开锁装置释放后，层门门锁能自动复位</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25</w:t>
            </w:r>
          </w:p>
        </w:tc>
        <w:tc>
          <w:tcPr>
            <w:tcW w:w="4700" w:type="dxa"/>
            <w:noWrap/>
            <w:vAlign w:val="center"/>
          </w:tcPr>
          <w:p>
            <w:pPr>
              <w:widowControl/>
              <w:jc w:val="left"/>
              <w:rPr>
                <w:rFonts w:ascii="宋体" w:hAnsi="宋体" w:cs="宋体"/>
                <w:szCs w:val="21"/>
              </w:rPr>
            </w:pPr>
            <w:r>
              <w:rPr>
                <w:rFonts w:hint="eastAsia" w:ascii="宋体" w:hAnsi="宋体" w:cs="宋体"/>
                <w:szCs w:val="21"/>
              </w:rPr>
              <w:t>层门门锁电气触点</w:t>
            </w:r>
          </w:p>
        </w:tc>
        <w:tc>
          <w:tcPr>
            <w:tcW w:w="4265" w:type="dxa"/>
            <w:noWrap/>
            <w:vAlign w:val="center"/>
          </w:tcPr>
          <w:p>
            <w:pPr>
              <w:widowControl/>
              <w:jc w:val="left"/>
              <w:rPr>
                <w:rFonts w:ascii="宋体" w:hAnsi="宋体" w:cs="宋体"/>
                <w:szCs w:val="21"/>
              </w:rPr>
            </w:pPr>
            <w:r>
              <w:rPr>
                <w:rFonts w:hint="eastAsia" w:ascii="宋体" w:hAnsi="宋体" w:cs="宋体"/>
                <w:szCs w:val="21"/>
              </w:rPr>
              <w:t>清洁, 触点接触良好，接线可靠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26</w:t>
            </w:r>
          </w:p>
        </w:tc>
        <w:tc>
          <w:tcPr>
            <w:tcW w:w="4700" w:type="dxa"/>
            <w:noWrap/>
            <w:vAlign w:val="center"/>
          </w:tcPr>
          <w:p>
            <w:pPr>
              <w:widowControl/>
              <w:jc w:val="left"/>
              <w:rPr>
                <w:rFonts w:ascii="宋体" w:hAnsi="宋体" w:cs="宋体"/>
                <w:szCs w:val="21"/>
              </w:rPr>
            </w:pPr>
            <w:r>
              <w:rPr>
                <w:rFonts w:hint="eastAsia" w:ascii="宋体" w:hAnsi="宋体" w:cs="宋体"/>
                <w:szCs w:val="21"/>
              </w:rPr>
              <w:t>层门锁紧元件啮合长度</w:t>
            </w:r>
          </w:p>
        </w:tc>
        <w:tc>
          <w:tcPr>
            <w:tcW w:w="4265" w:type="dxa"/>
            <w:noWrap/>
            <w:vAlign w:val="center"/>
          </w:tcPr>
          <w:p>
            <w:pPr>
              <w:widowControl/>
              <w:jc w:val="left"/>
              <w:rPr>
                <w:rFonts w:ascii="宋体" w:hAnsi="宋体" w:cs="宋体"/>
                <w:szCs w:val="21"/>
              </w:rPr>
            </w:pPr>
            <w:r>
              <w:rPr>
                <w:rFonts w:hint="eastAsia" w:ascii="宋体" w:hAnsi="宋体" w:cs="宋体"/>
                <w:szCs w:val="21"/>
              </w:rPr>
              <w:t>不小于7mm</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27</w:t>
            </w:r>
          </w:p>
        </w:tc>
        <w:tc>
          <w:tcPr>
            <w:tcW w:w="4700" w:type="dxa"/>
            <w:noWrap/>
            <w:vAlign w:val="center"/>
          </w:tcPr>
          <w:p>
            <w:pPr>
              <w:widowControl/>
              <w:jc w:val="left"/>
              <w:rPr>
                <w:rFonts w:ascii="宋体" w:hAnsi="宋体" w:cs="宋体"/>
                <w:szCs w:val="21"/>
              </w:rPr>
            </w:pPr>
            <w:r>
              <w:rPr>
                <w:rFonts w:hint="eastAsia" w:ascii="宋体" w:hAnsi="宋体" w:cs="宋体"/>
                <w:szCs w:val="21"/>
              </w:rPr>
              <w:t>底坑环境</w:t>
            </w:r>
          </w:p>
        </w:tc>
        <w:tc>
          <w:tcPr>
            <w:tcW w:w="4265" w:type="dxa"/>
            <w:noWrap/>
            <w:vAlign w:val="center"/>
          </w:tcPr>
          <w:p>
            <w:pPr>
              <w:widowControl/>
              <w:jc w:val="left"/>
              <w:rPr>
                <w:rFonts w:ascii="宋体" w:hAnsi="宋体" w:cs="宋体"/>
                <w:szCs w:val="21"/>
              </w:rPr>
            </w:pPr>
            <w:r>
              <w:rPr>
                <w:rFonts w:hint="eastAsia" w:ascii="宋体" w:hAnsi="宋体" w:cs="宋体"/>
                <w:szCs w:val="21"/>
              </w:rPr>
              <w:t>清洁，无渗水、积水，照明正常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28</w:t>
            </w:r>
          </w:p>
        </w:tc>
        <w:tc>
          <w:tcPr>
            <w:tcW w:w="4700" w:type="dxa"/>
            <w:noWrap/>
            <w:vAlign w:val="center"/>
          </w:tcPr>
          <w:p>
            <w:pPr>
              <w:widowControl/>
              <w:jc w:val="left"/>
              <w:rPr>
                <w:rFonts w:ascii="宋体" w:hAnsi="宋体" w:cs="宋体"/>
                <w:szCs w:val="21"/>
              </w:rPr>
            </w:pPr>
            <w:r>
              <w:rPr>
                <w:rFonts w:hint="eastAsia" w:ascii="宋体" w:hAnsi="宋体" w:cs="宋体"/>
                <w:szCs w:val="21"/>
              </w:rPr>
              <w:t>底坑急停开关</w:t>
            </w:r>
          </w:p>
        </w:tc>
        <w:tc>
          <w:tcPr>
            <w:tcW w:w="4265" w:type="dxa"/>
            <w:noWrap/>
            <w:vAlign w:val="center"/>
          </w:tcPr>
          <w:p>
            <w:pPr>
              <w:widowControl/>
              <w:jc w:val="left"/>
              <w:rPr>
                <w:rFonts w:ascii="宋体" w:hAnsi="宋体" w:cs="宋体"/>
                <w:szCs w:val="21"/>
              </w:rPr>
            </w:pPr>
            <w:r>
              <w:rPr>
                <w:rFonts w:hint="eastAsia" w:ascii="宋体" w:hAnsi="宋体" w:cs="宋体"/>
                <w:szCs w:val="21"/>
              </w:rPr>
              <w:t>工作正常</w:t>
            </w:r>
          </w:p>
        </w:tc>
      </w:tr>
    </w:tbl>
    <w:p>
      <w:pPr>
        <w:rPr>
          <w:rFonts w:ascii="宋体" w:hAnsi="宋体" w:cs="宋体"/>
          <w:b/>
          <w:szCs w:val="21"/>
        </w:rPr>
      </w:pPr>
      <w:r>
        <w:rPr>
          <w:rFonts w:hint="eastAsia" w:ascii="宋体" w:hAnsi="宋体" w:cs="宋体"/>
          <w:b/>
          <w:szCs w:val="21"/>
        </w:rPr>
        <w:br w:type="page"/>
      </w:r>
    </w:p>
    <w:p>
      <w:pPr>
        <w:widowControl/>
        <w:adjustRightInd w:val="0"/>
        <w:snapToGrid w:val="0"/>
        <w:spacing w:line="360" w:lineRule="auto"/>
        <w:ind w:firstLine="422" w:firstLineChars="200"/>
        <w:jc w:val="center"/>
        <w:rPr>
          <w:rFonts w:ascii="宋体" w:hAnsi="宋体" w:cs="宋体"/>
          <w:b/>
          <w:szCs w:val="21"/>
        </w:rPr>
      </w:pPr>
      <w:r>
        <w:rPr>
          <w:rFonts w:hint="eastAsia" w:ascii="宋体" w:hAnsi="宋体" w:cs="宋体"/>
          <w:b/>
          <w:szCs w:val="21"/>
        </w:rPr>
        <w:t>A2  季度维保项目（内容）和要求</w:t>
      </w:r>
    </w:p>
    <w:p>
      <w:pPr>
        <w:widowControl/>
        <w:adjustRightInd w:val="0"/>
        <w:snapToGrid w:val="0"/>
        <w:spacing w:line="360" w:lineRule="auto"/>
        <w:ind w:firstLine="420" w:firstLineChars="200"/>
        <w:rPr>
          <w:rFonts w:ascii="宋体" w:hAnsi="宋体" w:cs="宋体"/>
          <w:szCs w:val="21"/>
        </w:rPr>
      </w:pPr>
      <w:r>
        <w:rPr>
          <w:rFonts w:hint="eastAsia" w:ascii="宋体" w:hAnsi="宋体" w:cs="宋体"/>
          <w:szCs w:val="21"/>
        </w:rPr>
        <w:t>季度维保项目（内容）和要求除符合A1半月维保的项目（内容）和要求外，还应当符合表A-2的项目（内容）和要求。</w:t>
      </w:r>
    </w:p>
    <w:p>
      <w:pPr>
        <w:widowControl/>
        <w:adjustRightInd w:val="0"/>
        <w:snapToGrid w:val="0"/>
        <w:spacing w:line="360" w:lineRule="auto"/>
        <w:jc w:val="center"/>
        <w:rPr>
          <w:rFonts w:ascii="宋体" w:hAnsi="宋体" w:cs="宋体"/>
          <w:szCs w:val="21"/>
        </w:rPr>
      </w:pPr>
      <w:r>
        <w:rPr>
          <w:rFonts w:hint="eastAsia" w:ascii="宋体" w:hAnsi="宋体" w:cs="宋体"/>
          <w:szCs w:val="21"/>
        </w:rPr>
        <w:t>表A-2  季度维保项目（内容）和要求</w:t>
      </w:r>
    </w:p>
    <w:tbl>
      <w:tblPr>
        <w:tblStyle w:val="10"/>
        <w:tblW w:w="9330" w:type="dxa"/>
        <w:tblInd w:w="113"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15"/>
        <w:gridCol w:w="3420"/>
        <w:gridCol w:w="519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12"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序号</w:t>
            </w:r>
          </w:p>
        </w:tc>
        <w:tc>
          <w:tcPr>
            <w:tcW w:w="3420" w:type="dxa"/>
            <w:tcBorders>
              <w:top w:val="single" w:color="auto" w:sz="12" w:space="0"/>
              <w:left w:val="single" w:color="auto" w:sz="6"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维保项目（内容）</w:t>
            </w:r>
          </w:p>
        </w:tc>
        <w:tc>
          <w:tcPr>
            <w:tcW w:w="5195" w:type="dxa"/>
            <w:tcBorders>
              <w:top w:val="single" w:color="auto" w:sz="12" w:space="0"/>
              <w:left w:val="single" w:color="auto" w:sz="6" w:space="0"/>
              <w:bottom w:val="single" w:color="auto" w:sz="6" w:space="0"/>
              <w:right w:val="single" w:color="auto" w:sz="12" w:space="0"/>
            </w:tcBorders>
            <w:noWrap/>
            <w:vAlign w:val="center"/>
          </w:tcPr>
          <w:p>
            <w:pPr>
              <w:widowControl/>
              <w:jc w:val="center"/>
              <w:rPr>
                <w:rFonts w:ascii="宋体" w:hAnsi="宋体" w:cs="宋体"/>
                <w:szCs w:val="21"/>
              </w:rPr>
            </w:pPr>
            <w:r>
              <w:rPr>
                <w:rFonts w:hint="eastAsia" w:ascii="宋体" w:hAnsi="宋体" w:cs="宋体"/>
                <w:szCs w:val="21"/>
              </w:rPr>
              <w:t>维保基本要求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减速机润滑油</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油量适宜，除蜗杆伸出端外均无渗漏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制动衬</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清洁，磨损量不超过制造单位要求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3</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位置脉冲发生器</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4</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选层器动静触点</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清洁，无烧蚀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5</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曳引轮槽、曳引钢丝绳</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清洁，无严重油腻，张力均匀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6</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限速器轮槽、限速器钢丝绳</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清洁，无严重油腻</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7</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靴衬、滚轮</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清洁，磨损量不超过制造单位要求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8</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验证轿门关闭的电气安全装置</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9</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层门、轿门系统中传动钢丝绳、链条、胶带</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按照制造单位要求进行清洁、调整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10</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层门门导靴</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磨损量不超过制造单位要求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11</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消防开关</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工作正常，功能有效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12</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耗能缓冲器</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电气安全装置功能有效，油量适宜，柱塞无锈蚀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12"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13</w:t>
            </w:r>
          </w:p>
        </w:tc>
        <w:tc>
          <w:tcPr>
            <w:tcW w:w="3420" w:type="dxa"/>
            <w:tcBorders>
              <w:top w:val="single" w:color="auto" w:sz="6" w:space="0"/>
              <w:left w:val="single" w:color="auto" w:sz="6" w:space="0"/>
              <w:bottom w:val="single" w:color="auto" w:sz="12"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限速器</w:t>
            </w:r>
            <w:r>
              <w:rPr>
                <w:rFonts w:hint="eastAsia" w:ascii="宋体" w:hAnsi="宋体" w:cs="宋体"/>
                <w:bCs/>
                <w:szCs w:val="21"/>
              </w:rPr>
              <w:t>张</w:t>
            </w:r>
            <w:r>
              <w:rPr>
                <w:rFonts w:hint="eastAsia" w:ascii="宋体" w:hAnsi="宋体" w:cs="宋体"/>
                <w:szCs w:val="21"/>
              </w:rPr>
              <w:t>紧轮装置和电气安全装置</w:t>
            </w:r>
          </w:p>
        </w:tc>
        <w:tc>
          <w:tcPr>
            <w:tcW w:w="5195" w:type="dxa"/>
            <w:tcBorders>
              <w:top w:val="single" w:color="auto" w:sz="6" w:space="0"/>
              <w:left w:val="single" w:color="auto" w:sz="6" w:space="0"/>
              <w:bottom w:val="single" w:color="auto" w:sz="12"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w:t>
            </w:r>
          </w:p>
        </w:tc>
      </w:tr>
    </w:tbl>
    <w:p>
      <w:pPr>
        <w:widowControl/>
        <w:adjustRightInd w:val="0"/>
        <w:snapToGrid w:val="0"/>
        <w:spacing w:line="360" w:lineRule="auto"/>
        <w:ind w:firstLine="420" w:firstLineChars="200"/>
        <w:jc w:val="left"/>
        <w:rPr>
          <w:rFonts w:ascii="宋体" w:hAnsi="宋体" w:cs="宋体"/>
          <w:szCs w:val="21"/>
        </w:rPr>
      </w:pPr>
    </w:p>
    <w:p>
      <w:pPr>
        <w:widowControl/>
        <w:adjustRightInd w:val="0"/>
        <w:snapToGrid w:val="0"/>
        <w:spacing w:line="360" w:lineRule="auto"/>
        <w:ind w:firstLine="420" w:firstLineChars="200"/>
        <w:jc w:val="left"/>
        <w:rPr>
          <w:rFonts w:ascii="宋体" w:hAnsi="宋体" w:cs="宋体"/>
          <w:szCs w:val="21"/>
        </w:rPr>
      </w:pPr>
    </w:p>
    <w:p>
      <w:pPr>
        <w:rPr>
          <w:rFonts w:hint="eastAsia" w:ascii="宋体" w:hAnsi="宋体" w:cs="宋体"/>
          <w:b/>
          <w:szCs w:val="21"/>
        </w:rPr>
      </w:pPr>
      <w:r>
        <w:rPr>
          <w:rFonts w:hint="eastAsia" w:ascii="宋体" w:hAnsi="宋体" w:cs="宋体"/>
          <w:b/>
          <w:szCs w:val="21"/>
        </w:rPr>
        <w:br w:type="page"/>
      </w:r>
    </w:p>
    <w:p>
      <w:pPr>
        <w:widowControl/>
        <w:adjustRightInd w:val="0"/>
        <w:snapToGrid w:val="0"/>
        <w:spacing w:line="360" w:lineRule="auto"/>
        <w:ind w:firstLine="422" w:firstLineChars="200"/>
        <w:jc w:val="center"/>
        <w:rPr>
          <w:rFonts w:ascii="宋体" w:hAnsi="宋体" w:cs="宋体"/>
          <w:b/>
          <w:szCs w:val="21"/>
        </w:rPr>
      </w:pPr>
      <w:r>
        <w:rPr>
          <w:rFonts w:hint="eastAsia" w:ascii="宋体" w:hAnsi="宋体" w:cs="宋体"/>
          <w:b/>
          <w:szCs w:val="21"/>
        </w:rPr>
        <w:t>A3  半年维保项目（内容）和要求</w:t>
      </w:r>
    </w:p>
    <w:p>
      <w:pPr>
        <w:widowControl/>
        <w:adjustRightInd w:val="0"/>
        <w:snapToGrid w:val="0"/>
        <w:spacing w:line="360" w:lineRule="auto"/>
        <w:ind w:firstLine="420" w:firstLineChars="200"/>
        <w:jc w:val="left"/>
        <w:rPr>
          <w:rFonts w:ascii="宋体" w:hAnsi="宋体" w:cs="宋体"/>
          <w:szCs w:val="21"/>
        </w:rPr>
      </w:pPr>
      <w:r>
        <w:rPr>
          <w:rFonts w:hint="eastAsia" w:ascii="宋体" w:hAnsi="宋体" w:cs="宋体"/>
          <w:szCs w:val="21"/>
        </w:rPr>
        <w:t>半年维保项目（内容）和要求除符合A2季度维保的项目（内容）和要求外，还应当符合表A-3的项目（内容）和要求。</w:t>
      </w:r>
    </w:p>
    <w:p>
      <w:pPr>
        <w:widowControl/>
        <w:adjustRightInd w:val="0"/>
        <w:snapToGrid w:val="0"/>
        <w:spacing w:line="360" w:lineRule="auto"/>
        <w:jc w:val="center"/>
        <w:rPr>
          <w:rFonts w:ascii="宋体" w:hAnsi="宋体" w:cs="宋体"/>
          <w:szCs w:val="21"/>
        </w:rPr>
      </w:pPr>
      <w:r>
        <w:rPr>
          <w:rFonts w:hint="eastAsia" w:ascii="宋体" w:hAnsi="宋体" w:cs="宋体"/>
          <w:szCs w:val="21"/>
        </w:rPr>
        <w:t>表A-3  半年维保项目（内容）和要求</w:t>
      </w:r>
    </w:p>
    <w:tbl>
      <w:tblPr>
        <w:tblStyle w:val="10"/>
        <w:tblW w:w="9094" w:type="dxa"/>
        <w:tblInd w:w="113"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15"/>
        <w:gridCol w:w="3420"/>
        <w:gridCol w:w="495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12"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序号</w:t>
            </w:r>
          </w:p>
        </w:tc>
        <w:tc>
          <w:tcPr>
            <w:tcW w:w="3420" w:type="dxa"/>
            <w:tcBorders>
              <w:top w:val="single" w:color="auto" w:sz="12" w:space="0"/>
              <w:left w:val="single" w:color="auto" w:sz="6"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维保项目（内容）</w:t>
            </w:r>
          </w:p>
        </w:tc>
        <w:tc>
          <w:tcPr>
            <w:tcW w:w="4959" w:type="dxa"/>
            <w:tcBorders>
              <w:top w:val="single" w:color="auto" w:sz="12" w:space="0"/>
              <w:left w:val="single" w:color="auto" w:sz="6" w:space="0"/>
              <w:bottom w:val="single" w:color="auto" w:sz="6" w:space="0"/>
              <w:right w:val="single" w:color="auto" w:sz="12" w:space="0"/>
            </w:tcBorders>
            <w:noWrap/>
            <w:vAlign w:val="center"/>
          </w:tcPr>
          <w:p>
            <w:pPr>
              <w:widowControl/>
              <w:jc w:val="center"/>
              <w:rPr>
                <w:rFonts w:ascii="宋体" w:hAnsi="宋体" w:cs="宋体"/>
                <w:szCs w:val="21"/>
              </w:rPr>
            </w:pPr>
            <w:r>
              <w:rPr>
                <w:rFonts w:hint="eastAsia" w:ascii="宋体" w:hAnsi="宋体" w:cs="宋体"/>
                <w:szCs w:val="21"/>
              </w:rPr>
              <w:t>维保基本要求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电动机与减速机联轴器螺栓</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无松动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曳引轮、导向轮轴承部</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无异常声，无振动，润滑良好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3</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曳引轮槽</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磨损量不超过制造单位要求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4</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制动器上检测开关</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工作正常，制动器动作可靠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5</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控制柜内各接线端子</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各接线紧固、整齐，线号齐全清晰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6</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控制柜各仪表</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显示正确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7</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井道、对重、轿顶各反绳轮轴承部</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无异常声，无振动，润滑良好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8</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曳引绳、补偿绳</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磨损量、断丝数不超过要求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9</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曳引绳绳头组合</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螺母无松动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10</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限速器钢丝绳</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磨损量、断丝数不超过制造单位要求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11</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层门、轿门门扇</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门扇各相关间隙符合标准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12</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对重缓冲距</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符合标准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adjustRightInd w:val="0"/>
              <w:jc w:val="center"/>
              <w:rPr>
                <w:rFonts w:ascii="宋体" w:hAnsi="宋体" w:cs="宋体"/>
                <w:szCs w:val="21"/>
              </w:rPr>
            </w:pPr>
            <w:r>
              <w:rPr>
                <w:rFonts w:hint="eastAsia" w:ascii="宋体" w:hAnsi="宋体" w:cs="宋体"/>
                <w:szCs w:val="21"/>
              </w:rPr>
              <w:t>13</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adjustRightInd w:val="0"/>
              <w:jc w:val="left"/>
              <w:rPr>
                <w:rFonts w:ascii="宋体" w:hAnsi="宋体" w:cs="宋体"/>
                <w:szCs w:val="21"/>
              </w:rPr>
            </w:pPr>
            <w:r>
              <w:rPr>
                <w:rFonts w:hint="eastAsia" w:ascii="宋体" w:hAnsi="宋体" w:cs="宋体"/>
                <w:szCs w:val="21"/>
              </w:rPr>
              <w:t>补偿链（绳）与轿厢、对重接合处</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adjustRightInd w:val="0"/>
              <w:jc w:val="left"/>
              <w:rPr>
                <w:rFonts w:ascii="宋体" w:hAnsi="宋体" w:cs="宋体"/>
                <w:szCs w:val="21"/>
              </w:rPr>
            </w:pPr>
            <w:r>
              <w:rPr>
                <w:rFonts w:hint="eastAsia" w:ascii="宋体" w:hAnsi="宋体" w:cs="宋体"/>
                <w:szCs w:val="21"/>
              </w:rPr>
              <w:t>固定、无松动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12"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14</w:t>
            </w:r>
          </w:p>
        </w:tc>
        <w:tc>
          <w:tcPr>
            <w:tcW w:w="3420" w:type="dxa"/>
            <w:tcBorders>
              <w:top w:val="single" w:color="auto" w:sz="6" w:space="0"/>
              <w:left w:val="single" w:color="auto" w:sz="6" w:space="0"/>
              <w:bottom w:val="single" w:color="auto" w:sz="12"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上下极限开关</w:t>
            </w:r>
          </w:p>
        </w:tc>
        <w:tc>
          <w:tcPr>
            <w:tcW w:w="4959" w:type="dxa"/>
            <w:tcBorders>
              <w:top w:val="single" w:color="auto" w:sz="6" w:space="0"/>
              <w:left w:val="single" w:color="auto" w:sz="6" w:space="0"/>
              <w:bottom w:val="single" w:color="auto" w:sz="12"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w:t>
            </w:r>
          </w:p>
        </w:tc>
      </w:tr>
    </w:tbl>
    <w:p>
      <w:pPr>
        <w:widowControl/>
        <w:adjustRightInd w:val="0"/>
        <w:snapToGrid w:val="0"/>
        <w:spacing w:line="360" w:lineRule="auto"/>
        <w:ind w:firstLine="420" w:firstLineChars="200"/>
        <w:jc w:val="left"/>
        <w:rPr>
          <w:rFonts w:ascii="宋体" w:hAnsi="宋体" w:cs="宋体"/>
          <w:szCs w:val="21"/>
        </w:rPr>
      </w:pPr>
    </w:p>
    <w:p>
      <w:pPr>
        <w:widowControl/>
        <w:adjustRightInd w:val="0"/>
        <w:snapToGrid w:val="0"/>
        <w:spacing w:line="360" w:lineRule="auto"/>
        <w:ind w:firstLine="420" w:firstLineChars="200"/>
        <w:jc w:val="left"/>
        <w:rPr>
          <w:rFonts w:ascii="宋体" w:hAnsi="宋体" w:cs="宋体"/>
          <w:szCs w:val="21"/>
        </w:rPr>
      </w:pPr>
    </w:p>
    <w:p>
      <w:pPr>
        <w:widowControl/>
        <w:adjustRightInd w:val="0"/>
        <w:snapToGrid w:val="0"/>
        <w:spacing w:line="360" w:lineRule="auto"/>
        <w:ind w:firstLine="420" w:firstLineChars="200"/>
        <w:jc w:val="left"/>
        <w:rPr>
          <w:rFonts w:ascii="宋体" w:hAnsi="宋体" w:cs="宋体"/>
          <w:szCs w:val="21"/>
        </w:rPr>
      </w:pPr>
    </w:p>
    <w:p>
      <w:pPr>
        <w:widowControl/>
        <w:adjustRightInd w:val="0"/>
        <w:snapToGrid w:val="0"/>
        <w:spacing w:line="360" w:lineRule="auto"/>
        <w:ind w:firstLine="420" w:firstLineChars="200"/>
        <w:jc w:val="left"/>
        <w:rPr>
          <w:rFonts w:ascii="宋体" w:hAnsi="宋体" w:cs="宋体"/>
          <w:szCs w:val="21"/>
        </w:rPr>
      </w:pPr>
    </w:p>
    <w:p>
      <w:pPr>
        <w:rPr>
          <w:rFonts w:ascii="宋体" w:hAnsi="宋体" w:cs="宋体"/>
          <w:b/>
          <w:szCs w:val="21"/>
        </w:rPr>
      </w:pPr>
      <w:r>
        <w:rPr>
          <w:rFonts w:hint="eastAsia" w:ascii="宋体" w:hAnsi="宋体" w:cs="宋体"/>
          <w:b/>
          <w:szCs w:val="21"/>
        </w:rPr>
        <w:br w:type="page"/>
      </w:r>
    </w:p>
    <w:p>
      <w:pPr>
        <w:widowControl/>
        <w:adjustRightInd w:val="0"/>
        <w:snapToGrid w:val="0"/>
        <w:spacing w:line="360" w:lineRule="auto"/>
        <w:ind w:firstLine="422" w:firstLineChars="200"/>
        <w:jc w:val="center"/>
        <w:rPr>
          <w:rFonts w:ascii="宋体" w:hAnsi="宋体" w:cs="宋体"/>
          <w:b/>
          <w:szCs w:val="21"/>
        </w:rPr>
      </w:pPr>
      <w:r>
        <w:rPr>
          <w:rFonts w:hint="eastAsia" w:ascii="宋体" w:hAnsi="宋体" w:cs="宋体"/>
          <w:b/>
          <w:szCs w:val="21"/>
        </w:rPr>
        <w:t>A4  年度维保项目（内容）和要求</w:t>
      </w:r>
    </w:p>
    <w:p>
      <w:pPr>
        <w:widowControl/>
        <w:adjustRightInd w:val="0"/>
        <w:snapToGrid w:val="0"/>
        <w:spacing w:line="360" w:lineRule="auto"/>
        <w:ind w:firstLine="420" w:firstLineChars="200"/>
        <w:jc w:val="left"/>
        <w:rPr>
          <w:rFonts w:ascii="宋体" w:hAnsi="宋体" w:cs="宋体"/>
          <w:szCs w:val="21"/>
        </w:rPr>
      </w:pPr>
      <w:r>
        <w:rPr>
          <w:rFonts w:hint="eastAsia" w:ascii="宋体" w:hAnsi="宋体" w:cs="宋体"/>
          <w:szCs w:val="21"/>
        </w:rPr>
        <w:t>年度维保项目（内容）和要求除符合A3半年维保的项目（内容）和要求外，还应当符合表A-4的项目（内容）和要求。</w:t>
      </w:r>
    </w:p>
    <w:p>
      <w:pPr>
        <w:widowControl/>
        <w:adjustRightInd w:val="0"/>
        <w:snapToGrid w:val="0"/>
        <w:spacing w:line="360" w:lineRule="auto"/>
        <w:jc w:val="center"/>
        <w:rPr>
          <w:rFonts w:ascii="宋体" w:hAnsi="宋体" w:cs="宋体"/>
          <w:szCs w:val="21"/>
        </w:rPr>
      </w:pPr>
      <w:r>
        <w:rPr>
          <w:rFonts w:hint="eastAsia" w:ascii="宋体" w:hAnsi="宋体" w:cs="宋体"/>
          <w:szCs w:val="21"/>
        </w:rPr>
        <w:t>表A-4  年度维保项目（内容）和要求</w:t>
      </w:r>
    </w:p>
    <w:tbl>
      <w:tblPr>
        <w:tblStyle w:val="10"/>
        <w:tblW w:w="8409" w:type="dxa"/>
        <w:tblInd w:w="113"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15"/>
        <w:gridCol w:w="2749"/>
        <w:gridCol w:w="494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12"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序号</w:t>
            </w:r>
          </w:p>
        </w:tc>
        <w:tc>
          <w:tcPr>
            <w:tcW w:w="2749" w:type="dxa"/>
            <w:tcBorders>
              <w:top w:val="single" w:color="auto" w:sz="12" w:space="0"/>
              <w:left w:val="single" w:color="auto" w:sz="6"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维保项目（内容）</w:t>
            </w:r>
          </w:p>
        </w:tc>
        <w:tc>
          <w:tcPr>
            <w:tcW w:w="4945" w:type="dxa"/>
            <w:tcBorders>
              <w:top w:val="single" w:color="auto" w:sz="12" w:space="0"/>
              <w:left w:val="single" w:color="auto" w:sz="6" w:space="0"/>
              <w:bottom w:val="single" w:color="auto" w:sz="6" w:space="0"/>
              <w:right w:val="single" w:color="auto" w:sz="12" w:space="0"/>
            </w:tcBorders>
            <w:noWrap/>
            <w:vAlign w:val="center"/>
          </w:tcPr>
          <w:p>
            <w:pPr>
              <w:widowControl/>
              <w:jc w:val="center"/>
              <w:rPr>
                <w:rFonts w:ascii="宋体" w:hAnsi="宋体" w:cs="宋体"/>
                <w:szCs w:val="21"/>
              </w:rPr>
            </w:pPr>
            <w:r>
              <w:rPr>
                <w:rFonts w:hint="eastAsia" w:ascii="宋体" w:hAnsi="宋体" w:cs="宋体"/>
                <w:szCs w:val="21"/>
              </w:rPr>
              <w:t>维保基本要求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减速机润滑油</w:t>
            </w:r>
          </w:p>
        </w:tc>
        <w:tc>
          <w:tcPr>
            <w:tcW w:w="494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按照制造单位要求适时更换，保证油质符合要求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控制柜接触器，继电器触点</w:t>
            </w:r>
          </w:p>
        </w:tc>
        <w:tc>
          <w:tcPr>
            <w:tcW w:w="494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接触良好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3</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制动器铁芯（柱塞）</w:t>
            </w:r>
          </w:p>
        </w:tc>
        <w:tc>
          <w:tcPr>
            <w:tcW w:w="494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bCs/>
                <w:szCs w:val="21"/>
              </w:rPr>
              <w:t>进行</w:t>
            </w:r>
            <w:r>
              <w:rPr>
                <w:rFonts w:hint="eastAsia" w:ascii="宋体" w:hAnsi="宋体" w:cs="宋体"/>
                <w:szCs w:val="21"/>
              </w:rPr>
              <w:t>清洁、润滑、</w:t>
            </w:r>
            <w:r>
              <w:rPr>
                <w:rFonts w:hint="eastAsia" w:ascii="宋体" w:hAnsi="宋体" w:cs="宋体"/>
                <w:bCs/>
                <w:szCs w:val="21"/>
              </w:rPr>
              <w:t>检查，</w:t>
            </w:r>
            <w:r>
              <w:rPr>
                <w:rFonts w:hint="eastAsia" w:ascii="宋体" w:hAnsi="宋体" w:cs="宋体"/>
                <w:szCs w:val="21"/>
              </w:rPr>
              <w:t>磨损量不超过制造单位要求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4</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制动器制动弹簧压缩量</w:t>
            </w:r>
          </w:p>
        </w:tc>
        <w:tc>
          <w:tcPr>
            <w:tcW w:w="494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符合制造单位要求，保持有足够的制动力</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5</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导电回路绝缘性能</w:t>
            </w:r>
            <w:r>
              <w:rPr>
                <w:rFonts w:hint="eastAsia" w:ascii="宋体" w:hAnsi="宋体" w:cs="宋体"/>
                <w:bCs/>
                <w:szCs w:val="21"/>
              </w:rPr>
              <w:t>测试</w:t>
            </w:r>
          </w:p>
        </w:tc>
        <w:tc>
          <w:tcPr>
            <w:tcW w:w="494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符合标准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6</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限速器安全钳联动试验（每2年进行一次限速器动作速度校验）</w:t>
            </w:r>
          </w:p>
        </w:tc>
        <w:tc>
          <w:tcPr>
            <w:tcW w:w="494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7</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上行超速保护装置动作试验</w:t>
            </w:r>
          </w:p>
        </w:tc>
        <w:tc>
          <w:tcPr>
            <w:tcW w:w="494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8</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轿顶、轿厢架、轿门及其附件安装螺栓</w:t>
            </w:r>
          </w:p>
        </w:tc>
        <w:tc>
          <w:tcPr>
            <w:tcW w:w="494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紧固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bCs/>
                <w:szCs w:val="21"/>
              </w:rPr>
            </w:pPr>
            <w:r>
              <w:rPr>
                <w:rFonts w:hint="eastAsia" w:ascii="宋体" w:hAnsi="宋体" w:cs="宋体"/>
                <w:bCs/>
                <w:szCs w:val="21"/>
              </w:rPr>
              <w:t>9</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bCs/>
                <w:szCs w:val="21"/>
              </w:rPr>
            </w:pPr>
            <w:r>
              <w:rPr>
                <w:rFonts w:hint="eastAsia" w:ascii="宋体" w:hAnsi="宋体" w:cs="宋体"/>
                <w:bCs/>
                <w:szCs w:val="21"/>
              </w:rPr>
              <w:t>轿厢和对重的导轨支架</w:t>
            </w:r>
          </w:p>
        </w:tc>
        <w:tc>
          <w:tcPr>
            <w:tcW w:w="494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bCs/>
                <w:szCs w:val="21"/>
              </w:rPr>
            </w:pPr>
            <w:r>
              <w:rPr>
                <w:rFonts w:hint="eastAsia" w:ascii="宋体" w:hAnsi="宋体" w:cs="宋体"/>
                <w:bCs/>
                <w:szCs w:val="21"/>
              </w:rPr>
              <w:t xml:space="preserve">固定，无松动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bCs/>
                <w:szCs w:val="21"/>
              </w:rPr>
            </w:pPr>
            <w:r>
              <w:rPr>
                <w:rFonts w:hint="eastAsia" w:ascii="宋体" w:hAnsi="宋体" w:cs="宋体"/>
                <w:bCs/>
                <w:szCs w:val="21"/>
              </w:rPr>
              <w:t>10</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bCs/>
                <w:szCs w:val="21"/>
              </w:rPr>
            </w:pPr>
            <w:r>
              <w:rPr>
                <w:rFonts w:hint="eastAsia" w:ascii="宋体" w:hAnsi="宋体" w:cs="宋体"/>
                <w:bCs/>
                <w:szCs w:val="21"/>
              </w:rPr>
              <w:t>轿厢和对重的导轨</w:t>
            </w:r>
          </w:p>
        </w:tc>
        <w:tc>
          <w:tcPr>
            <w:tcW w:w="494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bCs/>
                <w:szCs w:val="21"/>
              </w:rPr>
            </w:pPr>
            <w:r>
              <w:rPr>
                <w:rFonts w:hint="eastAsia" w:ascii="宋体" w:hAnsi="宋体" w:cs="宋体"/>
                <w:bCs/>
                <w:szCs w:val="21"/>
              </w:rPr>
              <w:t>清洁，压板牢固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11</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随行电缆</w:t>
            </w:r>
          </w:p>
        </w:tc>
        <w:tc>
          <w:tcPr>
            <w:tcW w:w="494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无损伤</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12</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层门装置和地坎</w:t>
            </w:r>
          </w:p>
        </w:tc>
        <w:tc>
          <w:tcPr>
            <w:tcW w:w="494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无影响正常使用的变形，各安装螺栓紧固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13</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轿厢称重装置</w:t>
            </w:r>
          </w:p>
        </w:tc>
        <w:tc>
          <w:tcPr>
            <w:tcW w:w="494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准确有效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14</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安全钳钳座</w:t>
            </w:r>
          </w:p>
        </w:tc>
        <w:tc>
          <w:tcPr>
            <w:tcW w:w="494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固定，无松动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15</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轿底各安装螺栓</w:t>
            </w:r>
          </w:p>
        </w:tc>
        <w:tc>
          <w:tcPr>
            <w:tcW w:w="494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紧固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12"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16</w:t>
            </w:r>
          </w:p>
        </w:tc>
        <w:tc>
          <w:tcPr>
            <w:tcW w:w="2749" w:type="dxa"/>
            <w:tcBorders>
              <w:top w:val="single" w:color="auto" w:sz="6" w:space="0"/>
              <w:left w:val="single" w:color="auto" w:sz="6" w:space="0"/>
              <w:bottom w:val="single" w:color="auto" w:sz="12"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缓冲器</w:t>
            </w:r>
          </w:p>
        </w:tc>
        <w:tc>
          <w:tcPr>
            <w:tcW w:w="4945" w:type="dxa"/>
            <w:tcBorders>
              <w:top w:val="single" w:color="auto" w:sz="6" w:space="0"/>
              <w:left w:val="single" w:color="auto" w:sz="6" w:space="0"/>
              <w:bottom w:val="single" w:color="auto" w:sz="12"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固定，无松动</w:t>
            </w:r>
          </w:p>
        </w:tc>
      </w:tr>
    </w:tbl>
    <w:p>
      <w:pPr>
        <w:pStyle w:val="18"/>
        <w:widowControl w:val="0"/>
        <w:autoSpaceDE w:val="0"/>
        <w:autoSpaceDN w:val="0"/>
        <w:spacing w:before="0" w:after="0" w:line="391" w:lineRule="exact"/>
        <w:jc w:val="left"/>
        <w:rPr>
          <w:rFonts w:ascii="宋体" w:hAnsi="宋体" w:cs="宋体"/>
          <w:szCs w:val="21"/>
          <w:lang w:eastAsia="zh-CN"/>
        </w:rPr>
      </w:pPr>
    </w:p>
    <w:p>
      <w:pPr>
        <w:pStyle w:val="18"/>
        <w:widowControl w:val="0"/>
        <w:autoSpaceDE w:val="0"/>
        <w:autoSpaceDN w:val="0"/>
        <w:spacing w:before="0" w:after="0" w:line="391" w:lineRule="exact"/>
        <w:jc w:val="left"/>
        <w:rPr>
          <w:rFonts w:ascii="宋体" w:hAnsi="宋体" w:cs="宋体"/>
          <w:szCs w:val="21"/>
          <w:lang w:eastAsia="zh-CN"/>
        </w:rPr>
      </w:pPr>
    </w:p>
    <w:p>
      <w:pPr>
        <w:pStyle w:val="18"/>
        <w:widowControl w:val="0"/>
        <w:autoSpaceDE w:val="0"/>
        <w:autoSpaceDN w:val="0"/>
        <w:spacing w:before="0" w:after="0" w:line="391" w:lineRule="exact"/>
        <w:jc w:val="left"/>
        <w:rPr>
          <w:rFonts w:ascii="宋体" w:hAnsi="宋体" w:cs="宋体"/>
          <w:szCs w:val="21"/>
          <w:lang w:eastAsia="zh-CN"/>
        </w:rPr>
      </w:pPr>
    </w:p>
    <w:p>
      <w:pPr>
        <w:pStyle w:val="18"/>
        <w:widowControl w:val="0"/>
        <w:autoSpaceDE w:val="0"/>
        <w:autoSpaceDN w:val="0"/>
        <w:spacing w:before="0" w:after="0" w:line="391" w:lineRule="exact"/>
        <w:jc w:val="left"/>
        <w:rPr>
          <w:rFonts w:ascii="宋体" w:hAnsi="宋体" w:cs="宋体"/>
          <w:szCs w:val="21"/>
          <w:lang w:eastAsia="zh-CN"/>
        </w:rPr>
      </w:pPr>
    </w:p>
    <w:p>
      <w:pPr>
        <w:pStyle w:val="18"/>
        <w:widowControl w:val="0"/>
        <w:autoSpaceDE w:val="0"/>
        <w:autoSpaceDN w:val="0"/>
        <w:spacing w:before="0" w:after="0" w:line="391" w:lineRule="exact"/>
        <w:jc w:val="left"/>
        <w:rPr>
          <w:rFonts w:ascii="宋体" w:hAnsi="宋体" w:cs="宋体"/>
          <w:szCs w:val="21"/>
          <w:lang w:eastAsia="zh-CN"/>
        </w:rPr>
      </w:pPr>
    </w:p>
    <w:p>
      <w:pPr>
        <w:pStyle w:val="18"/>
        <w:widowControl w:val="0"/>
        <w:autoSpaceDE w:val="0"/>
        <w:autoSpaceDN w:val="0"/>
        <w:spacing w:before="0" w:after="0" w:line="391" w:lineRule="exact"/>
        <w:jc w:val="left"/>
        <w:rPr>
          <w:rFonts w:ascii="宋体" w:hAnsi="宋体" w:cs="宋体"/>
          <w:szCs w:val="21"/>
          <w:lang w:eastAsia="zh-CN"/>
        </w:rPr>
      </w:pPr>
    </w:p>
    <w:p>
      <w:pPr>
        <w:pStyle w:val="18"/>
        <w:widowControl w:val="0"/>
        <w:autoSpaceDE w:val="0"/>
        <w:autoSpaceDN w:val="0"/>
        <w:spacing w:before="0" w:after="0" w:line="391" w:lineRule="exact"/>
        <w:jc w:val="left"/>
        <w:rPr>
          <w:rFonts w:ascii="宋体" w:hAnsi="宋体" w:cs="宋体"/>
          <w:szCs w:val="21"/>
          <w:lang w:eastAsia="zh-CN"/>
        </w:rPr>
      </w:pPr>
    </w:p>
    <w:p>
      <w:pPr>
        <w:pStyle w:val="18"/>
        <w:widowControl w:val="0"/>
        <w:autoSpaceDE w:val="0"/>
        <w:autoSpaceDN w:val="0"/>
        <w:spacing w:before="0" w:after="0" w:line="391" w:lineRule="exact"/>
        <w:jc w:val="left"/>
        <w:rPr>
          <w:rFonts w:ascii="宋体" w:hAnsi="宋体" w:cs="宋体"/>
          <w:szCs w:val="21"/>
          <w:lang w:eastAsia="zh-CN"/>
        </w:rPr>
      </w:pPr>
    </w:p>
    <w:p>
      <w:pPr>
        <w:pStyle w:val="18"/>
        <w:widowControl w:val="0"/>
        <w:autoSpaceDE w:val="0"/>
        <w:autoSpaceDN w:val="0"/>
        <w:spacing w:before="0" w:after="0" w:line="391" w:lineRule="exact"/>
        <w:jc w:val="left"/>
        <w:rPr>
          <w:rFonts w:ascii="宋体" w:hAnsi="宋体" w:cs="宋体"/>
          <w:szCs w:val="21"/>
          <w:lang w:eastAsia="zh-CN"/>
        </w:rPr>
      </w:pPr>
    </w:p>
    <w:p>
      <w:pPr>
        <w:pStyle w:val="18"/>
        <w:widowControl w:val="0"/>
        <w:autoSpaceDE w:val="0"/>
        <w:autoSpaceDN w:val="0"/>
        <w:spacing w:before="0" w:after="0" w:line="391" w:lineRule="exact"/>
        <w:jc w:val="left"/>
        <w:rPr>
          <w:rFonts w:ascii="宋体" w:hAnsi="宋体" w:cs="宋体"/>
          <w:szCs w:val="21"/>
          <w:lang w:eastAsia="zh-CN"/>
        </w:rPr>
      </w:pPr>
    </w:p>
    <w:p>
      <w:pPr>
        <w:pStyle w:val="18"/>
        <w:widowControl w:val="0"/>
        <w:autoSpaceDE w:val="0"/>
        <w:autoSpaceDN w:val="0"/>
        <w:spacing w:before="0" w:after="0" w:line="391" w:lineRule="exact"/>
        <w:jc w:val="left"/>
        <w:rPr>
          <w:rFonts w:ascii="宋体" w:hAnsi="宋体" w:cs="宋体"/>
          <w:szCs w:val="21"/>
          <w:lang w:eastAsia="zh-CN"/>
        </w:rPr>
      </w:pPr>
    </w:p>
    <w:p>
      <w:pPr>
        <w:pStyle w:val="18"/>
        <w:widowControl w:val="0"/>
        <w:autoSpaceDE w:val="0"/>
        <w:autoSpaceDN w:val="0"/>
        <w:spacing w:before="0" w:after="0" w:line="391" w:lineRule="exact"/>
        <w:jc w:val="left"/>
        <w:rPr>
          <w:rFonts w:ascii="宋体" w:hAnsi="宋体" w:eastAsia="宋体" w:cs="宋体"/>
          <w:szCs w:val="21"/>
          <w:lang w:eastAsia="zh-CN"/>
        </w:rPr>
      </w:pPr>
      <w:r>
        <w:rPr>
          <w:rFonts w:hint="eastAsia" w:ascii="宋体" w:hAnsi="宋体" w:cs="宋体"/>
          <w:szCs w:val="21"/>
          <w:lang w:eastAsia="zh-CN"/>
        </w:rPr>
        <w:t>（</w:t>
      </w:r>
      <w:r>
        <w:rPr>
          <w:rFonts w:hint="eastAsia" w:ascii="宋体" w:hAnsi="宋体" w:eastAsia="宋体" w:cs="宋体"/>
          <w:szCs w:val="21"/>
          <w:lang w:eastAsia="zh-CN"/>
        </w:rPr>
        <w:t>二</w:t>
      </w:r>
      <w:r>
        <w:rPr>
          <w:rFonts w:hint="eastAsia" w:ascii="宋体" w:hAnsi="宋体" w:cs="宋体"/>
          <w:b/>
          <w:szCs w:val="21"/>
          <w:lang w:eastAsia="zh-CN"/>
        </w:rPr>
        <w:t>）</w:t>
      </w:r>
      <w:r>
        <w:rPr>
          <w:rFonts w:ascii="宋体" w:hAnsi="宋体" w:cs="宋体"/>
          <w:b/>
          <w:szCs w:val="21"/>
          <w:lang w:eastAsia="zh-CN"/>
        </w:rPr>
        <w:t>杂物电梯维护保养项目(内容)和要求</w:t>
      </w:r>
    </w:p>
    <w:p>
      <w:pPr>
        <w:widowControl/>
        <w:jc w:val="left"/>
        <w:rPr>
          <w:rFonts w:ascii="宋体" w:hAnsi="宋体" w:cs="宋体"/>
          <w:szCs w:val="21"/>
        </w:rPr>
      </w:pPr>
    </w:p>
    <w:p>
      <w:pPr>
        <w:widowControl/>
        <w:jc w:val="center"/>
        <w:rPr>
          <w:rFonts w:ascii="宋体" w:hAnsi="宋体" w:cs="宋体"/>
          <w:szCs w:val="21"/>
        </w:rPr>
      </w:pPr>
    </w:p>
    <w:p>
      <w:pPr>
        <w:widowControl/>
        <w:adjustRightInd w:val="0"/>
        <w:snapToGrid w:val="0"/>
        <w:spacing w:line="360" w:lineRule="auto"/>
        <w:ind w:firstLine="422" w:firstLineChars="200"/>
        <w:jc w:val="center"/>
        <w:rPr>
          <w:rFonts w:ascii="宋体" w:hAnsi="宋体" w:cs="宋体"/>
          <w:b/>
          <w:szCs w:val="21"/>
        </w:rPr>
      </w:pPr>
      <w:r>
        <w:rPr>
          <w:rFonts w:hint="eastAsia" w:ascii="宋体" w:hAnsi="宋体" w:cs="宋体"/>
          <w:b/>
          <w:szCs w:val="21"/>
        </w:rPr>
        <w:t>C1  半月维保项目（内容）和要求见表C-1。</w:t>
      </w:r>
    </w:p>
    <w:p>
      <w:pPr>
        <w:widowControl/>
        <w:adjustRightInd w:val="0"/>
        <w:snapToGrid w:val="0"/>
        <w:spacing w:line="360" w:lineRule="auto"/>
        <w:jc w:val="center"/>
        <w:rPr>
          <w:rFonts w:ascii="宋体" w:hAnsi="宋体" w:cs="宋体"/>
          <w:szCs w:val="21"/>
        </w:rPr>
      </w:pPr>
      <w:r>
        <w:rPr>
          <w:rFonts w:hint="eastAsia" w:ascii="宋体" w:hAnsi="宋体" w:cs="宋体"/>
          <w:szCs w:val="21"/>
        </w:rPr>
        <w:t>表C-1  半月维保项目（内容）和要求</w:t>
      </w:r>
    </w:p>
    <w:tbl>
      <w:tblPr>
        <w:tblStyle w:val="10"/>
        <w:tblW w:w="9805" w:type="dxa"/>
        <w:tblInd w:w="-312"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40"/>
        <w:gridCol w:w="4700"/>
        <w:gridCol w:w="426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12"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序号</w:t>
            </w:r>
          </w:p>
        </w:tc>
        <w:tc>
          <w:tcPr>
            <w:tcW w:w="4700" w:type="dxa"/>
            <w:tcBorders>
              <w:top w:val="single" w:color="auto" w:sz="12" w:space="0"/>
              <w:left w:val="single" w:color="auto" w:sz="6"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维保项目（内容）</w:t>
            </w:r>
          </w:p>
        </w:tc>
        <w:tc>
          <w:tcPr>
            <w:tcW w:w="4265" w:type="dxa"/>
            <w:tcBorders>
              <w:top w:val="single" w:color="auto" w:sz="12" w:space="0"/>
              <w:left w:val="single" w:color="auto" w:sz="6" w:space="0"/>
              <w:bottom w:val="single" w:color="auto" w:sz="6" w:space="0"/>
              <w:right w:val="single" w:color="auto" w:sz="12" w:space="0"/>
            </w:tcBorders>
            <w:noWrap/>
            <w:vAlign w:val="center"/>
          </w:tcPr>
          <w:p>
            <w:pPr>
              <w:widowControl/>
              <w:jc w:val="center"/>
              <w:rPr>
                <w:rFonts w:ascii="宋体" w:hAnsi="宋体" w:cs="宋体"/>
                <w:szCs w:val="21"/>
              </w:rPr>
            </w:pPr>
            <w:r>
              <w:rPr>
                <w:rFonts w:hint="eastAsia" w:ascii="宋体" w:hAnsi="宋体" w:cs="宋体"/>
                <w:szCs w:val="21"/>
              </w:rPr>
              <w:t>维保基本要求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机房、通道环境</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 xml:space="preserve">清洁，门窗完好、照明正常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手动紧急操作装置</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齐全，在指定位置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3</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驱动主机</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trike/>
                <w:szCs w:val="21"/>
              </w:rPr>
            </w:pPr>
            <w:r>
              <w:rPr>
                <w:rFonts w:hint="eastAsia" w:ascii="宋体" w:hAnsi="宋体" w:cs="宋体"/>
                <w:szCs w:val="21"/>
              </w:rPr>
              <w:t>运行时无异常振动和异常声响</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4</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制动器各销轴部位</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润滑，动作灵活</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5</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制动器间隙</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打开时制动衬与制动轮不应发生摩擦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6</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限速器各销轴部位</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润滑，转动灵活；电气开关正常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7</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轿顶</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8</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轿顶停止装置</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9</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导靴上油杯</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吸油毛毡齐全，油量适宜，油杯无泄漏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10</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对重/平衡重块及压板</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对重/平衡重块无松动，压板紧固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11</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井道照明</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齐全、正常</w:t>
            </w:r>
            <w:r>
              <w:rPr>
                <w:rFonts w:hint="eastAsia" w:ascii="宋体" w:hAnsi="宋体" w:cs="宋体"/>
                <w:szCs w:val="21"/>
              </w:rPr>
              <w:tab/>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spacing w:beforeAutospacing="1" w:afterAutospacing="1"/>
              <w:jc w:val="center"/>
              <w:rPr>
                <w:rFonts w:ascii="宋体" w:hAnsi="宋体" w:cs="宋体"/>
                <w:szCs w:val="21"/>
              </w:rPr>
            </w:pPr>
            <w:r>
              <w:rPr>
                <w:rFonts w:hint="eastAsia" w:ascii="宋体" w:hAnsi="宋体" w:cs="宋体"/>
                <w:szCs w:val="21"/>
              </w:rPr>
              <w:t>12</w:t>
            </w:r>
          </w:p>
        </w:tc>
        <w:tc>
          <w:tcPr>
            <w:tcW w:w="4700" w:type="dxa"/>
            <w:noWrap/>
            <w:vAlign w:val="center"/>
          </w:tcPr>
          <w:p>
            <w:pPr>
              <w:widowControl/>
              <w:jc w:val="left"/>
              <w:rPr>
                <w:rFonts w:ascii="宋体" w:hAnsi="宋体" w:cs="宋体"/>
                <w:szCs w:val="21"/>
              </w:rPr>
            </w:pPr>
            <w:r>
              <w:rPr>
                <w:rFonts w:hint="eastAsia" w:ascii="宋体" w:hAnsi="宋体" w:cs="宋体"/>
                <w:szCs w:val="21"/>
              </w:rPr>
              <w:t>轿门门锁触点</w:t>
            </w:r>
          </w:p>
        </w:tc>
        <w:tc>
          <w:tcPr>
            <w:tcW w:w="4265" w:type="dxa"/>
            <w:noWrap/>
            <w:vAlign w:val="center"/>
          </w:tcPr>
          <w:p>
            <w:pPr>
              <w:widowControl/>
              <w:jc w:val="left"/>
              <w:rPr>
                <w:rFonts w:ascii="宋体" w:hAnsi="宋体" w:cs="宋体"/>
                <w:szCs w:val="21"/>
              </w:rPr>
            </w:pPr>
            <w:r>
              <w:rPr>
                <w:rFonts w:hint="eastAsia" w:ascii="宋体" w:hAnsi="宋体" w:cs="宋体"/>
                <w:szCs w:val="21"/>
              </w:rPr>
              <w:t>清洁，触点接触良好，接线可靠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13</w:t>
            </w:r>
          </w:p>
        </w:tc>
        <w:tc>
          <w:tcPr>
            <w:tcW w:w="4700" w:type="dxa"/>
            <w:noWrap/>
            <w:vAlign w:val="center"/>
          </w:tcPr>
          <w:p>
            <w:pPr>
              <w:widowControl/>
              <w:jc w:val="left"/>
              <w:rPr>
                <w:rFonts w:ascii="宋体" w:hAnsi="宋体" w:cs="宋体"/>
                <w:szCs w:val="21"/>
              </w:rPr>
            </w:pPr>
            <w:r>
              <w:rPr>
                <w:rFonts w:hint="eastAsia" w:ascii="宋体" w:hAnsi="宋体" w:cs="宋体"/>
                <w:szCs w:val="21"/>
              </w:rPr>
              <w:t>层站召唤、层楼显示</w:t>
            </w:r>
          </w:p>
        </w:tc>
        <w:tc>
          <w:tcPr>
            <w:tcW w:w="4265" w:type="dxa"/>
            <w:noWrap/>
            <w:vAlign w:val="center"/>
          </w:tcPr>
          <w:p>
            <w:pPr>
              <w:widowControl/>
              <w:jc w:val="left"/>
              <w:rPr>
                <w:rFonts w:ascii="宋体" w:hAnsi="宋体" w:cs="宋体"/>
                <w:szCs w:val="21"/>
              </w:rPr>
            </w:pPr>
            <w:r>
              <w:rPr>
                <w:rFonts w:hint="eastAsia" w:ascii="宋体" w:hAnsi="宋体" w:cs="宋体"/>
                <w:szCs w:val="21"/>
              </w:rPr>
              <w:t>齐全，有效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14</w:t>
            </w:r>
          </w:p>
        </w:tc>
        <w:tc>
          <w:tcPr>
            <w:tcW w:w="4700" w:type="dxa"/>
            <w:noWrap/>
            <w:vAlign w:val="center"/>
          </w:tcPr>
          <w:p>
            <w:pPr>
              <w:widowControl/>
              <w:jc w:val="left"/>
              <w:rPr>
                <w:rFonts w:ascii="宋体" w:hAnsi="宋体" w:cs="宋体"/>
                <w:szCs w:val="21"/>
              </w:rPr>
            </w:pPr>
            <w:r>
              <w:rPr>
                <w:rFonts w:hint="eastAsia" w:ascii="宋体" w:hAnsi="宋体" w:cs="宋体"/>
                <w:szCs w:val="21"/>
              </w:rPr>
              <w:t>层门地坎</w:t>
            </w:r>
          </w:p>
        </w:tc>
        <w:tc>
          <w:tcPr>
            <w:tcW w:w="4265" w:type="dxa"/>
            <w:noWrap/>
            <w:vAlign w:val="center"/>
          </w:tcPr>
          <w:p>
            <w:pPr>
              <w:widowControl/>
              <w:jc w:val="left"/>
              <w:rPr>
                <w:rFonts w:ascii="宋体" w:hAnsi="宋体" w:cs="宋体"/>
                <w:szCs w:val="21"/>
              </w:rPr>
            </w:pPr>
            <w:r>
              <w:rPr>
                <w:rFonts w:hint="eastAsia" w:ascii="宋体" w:hAnsi="宋体" w:cs="宋体"/>
                <w:szCs w:val="21"/>
              </w:rPr>
              <w:t>清洁</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15</w:t>
            </w:r>
          </w:p>
        </w:tc>
        <w:tc>
          <w:tcPr>
            <w:tcW w:w="4700" w:type="dxa"/>
            <w:noWrap/>
            <w:vAlign w:val="center"/>
          </w:tcPr>
          <w:p>
            <w:pPr>
              <w:widowControl/>
              <w:jc w:val="left"/>
              <w:rPr>
                <w:rFonts w:ascii="宋体" w:hAnsi="宋体" w:cs="宋体"/>
                <w:szCs w:val="21"/>
              </w:rPr>
            </w:pPr>
            <w:r>
              <w:rPr>
                <w:rFonts w:hint="eastAsia" w:ascii="宋体" w:hAnsi="宋体" w:cs="宋体"/>
                <w:szCs w:val="21"/>
              </w:rPr>
              <w:t>层门门锁自动复位</w:t>
            </w:r>
          </w:p>
        </w:tc>
        <w:tc>
          <w:tcPr>
            <w:tcW w:w="4265" w:type="dxa"/>
            <w:noWrap/>
            <w:vAlign w:val="center"/>
          </w:tcPr>
          <w:p>
            <w:pPr>
              <w:widowControl/>
              <w:jc w:val="left"/>
              <w:rPr>
                <w:rFonts w:ascii="宋体" w:hAnsi="宋体" w:cs="宋体"/>
                <w:szCs w:val="21"/>
              </w:rPr>
            </w:pPr>
            <w:r>
              <w:rPr>
                <w:rFonts w:hint="eastAsia" w:ascii="宋体" w:hAnsi="宋体" w:cs="宋体"/>
                <w:szCs w:val="21"/>
              </w:rPr>
              <w:t>用层门钥匙打开手动开锁装置释放后， 层门</w:t>
            </w:r>
          </w:p>
          <w:p>
            <w:pPr>
              <w:widowControl/>
              <w:jc w:val="left"/>
              <w:rPr>
                <w:rFonts w:ascii="宋体" w:hAnsi="宋体" w:cs="宋体"/>
                <w:szCs w:val="21"/>
              </w:rPr>
            </w:pPr>
            <w:r>
              <w:rPr>
                <w:rFonts w:hint="eastAsia" w:ascii="宋体" w:hAnsi="宋体" w:cs="宋体"/>
                <w:szCs w:val="21"/>
              </w:rPr>
              <w:t>门锁能自动复位</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16</w:t>
            </w:r>
          </w:p>
        </w:tc>
        <w:tc>
          <w:tcPr>
            <w:tcW w:w="4700" w:type="dxa"/>
            <w:noWrap/>
            <w:vAlign w:val="center"/>
          </w:tcPr>
          <w:p>
            <w:pPr>
              <w:widowControl/>
              <w:jc w:val="left"/>
              <w:rPr>
                <w:rFonts w:ascii="宋体" w:hAnsi="宋体" w:cs="宋体"/>
                <w:szCs w:val="21"/>
              </w:rPr>
            </w:pPr>
            <w:r>
              <w:rPr>
                <w:rFonts w:hint="eastAsia" w:ascii="宋体" w:hAnsi="宋体" w:cs="宋体"/>
                <w:szCs w:val="21"/>
              </w:rPr>
              <w:t>层门门锁电气触点</w:t>
            </w:r>
          </w:p>
        </w:tc>
        <w:tc>
          <w:tcPr>
            <w:tcW w:w="4265" w:type="dxa"/>
            <w:noWrap/>
            <w:vAlign w:val="center"/>
          </w:tcPr>
          <w:p>
            <w:pPr>
              <w:widowControl/>
              <w:jc w:val="left"/>
              <w:rPr>
                <w:rFonts w:ascii="宋体" w:hAnsi="宋体" w:cs="宋体"/>
                <w:szCs w:val="21"/>
              </w:rPr>
            </w:pPr>
            <w:r>
              <w:rPr>
                <w:rFonts w:hint="eastAsia" w:ascii="宋体" w:hAnsi="宋体" w:cs="宋体"/>
                <w:szCs w:val="21"/>
              </w:rPr>
              <w:t>清洁，触点接触良好，接线可靠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17</w:t>
            </w:r>
          </w:p>
        </w:tc>
        <w:tc>
          <w:tcPr>
            <w:tcW w:w="4700" w:type="dxa"/>
            <w:noWrap/>
            <w:vAlign w:val="center"/>
          </w:tcPr>
          <w:p>
            <w:pPr>
              <w:widowControl/>
              <w:jc w:val="left"/>
              <w:rPr>
                <w:rFonts w:ascii="宋体" w:hAnsi="宋体" w:cs="宋体"/>
                <w:szCs w:val="21"/>
              </w:rPr>
            </w:pPr>
            <w:r>
              <w:rPr>
                <w:rFonts w:hint="eastAsia" w:ascii="宋体" w:hAnsi="宋体" w:cs="宋体"/>
                <w:szCs w:val="21"/>
              </w:rPr>
              <w:t>层门锁紧元件啮合长度</w:t>
            </w:r>
          </w:p>
        </w:tc>
        <w:tc>
          <w:tcPr>
            <w:tcW w:w="4265" w:type="dxa"/>
            <w:noWrap/>
            <w:vAlign w:val="center"/>
          </w:tcPr>
          <w:p>
            <w:pPr>
              <w:widowControl/>
              <w:jc w:val="left"/>
              <w:rPr>
                <w:rFonts w:ascii="宋体" w:hAnsi="宋体" w:cs="宋体"/>
                <w:szCs w:val="21"/>
              </w:rPr>
            </w:pPr>
            <w:r>
              <w:rPr>
                <w:rFonts w:hint="eastAsia" w:ascii="宋体" w:hAnsi="宋体" w:cs="宋体"/>
                <w:szCs w:val="21"/>
              </w:rPr>
              <w:t>不小于5mm</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18</w:t>
            </w:r>
          </w:p>
        </w:tc>
        <w:tc>
          <w:tcPr>
            <w:tcW w:w="4700" w:type="dxa"/>
            <w:noWrap/>
            <w:vAlign w:val="center"/>
          </w:tcPr>
          <w:p>
            <w:pPr>
              <w:widowControl/>
              <w:jc w:val="left"/>
              <w:rPr>
                <w:rFonts w:ascii="宋体" w:hAnsi="宋体" w:cs="宋体"/>
                <w:szCs w:val="21"/>
              </w:rPr>
            </w:pPr>
            <w:r>
              <w:rPr>
                <w:rFonts w:hint="eastAsia" w:ascii="宋体" w:hAnsi="宋体" w:cs="宋体"/>
                <w:szCs w:val="21"/>
              </w:rPr>
              <w:t>层门门导靴</w:t>
            </w:r>
          </w:p>
        </w:tc>
        <w:tc>
          <w:tcPr>
            <w:tcW w:w="4265" w:type="dxa"/>
            <w:noWrap/>
            <w:vAlign w:val="center"/>
          </w:tcPr>
          <w:p>
            <w:pPr>
              <w:widowControl/>
              <w:jc w:val="left"/>
              <w:rPr>
                <w:rFonts w:ascii="宋体" w:hAnsi="宋体" w:cs="宋体"/>
                <w:szCs w:val="21"/>
              </w:rPr>
            </w:pPr>
            <w:r>
              <w:rPr>
                <w:rFonts w:hint="eastAsia" w:ascii="宋体" w:hAnsi="宋体" w:cs="宋体"/>
                <w:szCs w:val="21"/>
              </w:rPr>
              <w:t>无卡阻，滑动顺畅</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19</w:t>
            </w:r>
          </w:p>
        </w:tc>
        <w:tc>
          <w:tcPr>
            <w:tcW w:w="4700" w:type="dxa"/>
            <w:noWrap/>
            <w:vAlign w:val="center"/>
          </w:tcPr>
          <w:p>
            <w:pPr>
              <w:widowControl/>
              <w:jc w:val="left"/>
              <w:rPr>
                <w:rFonts w:ascii="宋体" w:hAnsi="宋体" w:cs="宋体"/>
                <w:szCs w:val="21"/>
              </w:rPr>
            </w:pPr>
            <w:r>
              <w:rPr>
                <w:rFonts w:hint="eastAsia" w:ascii="宋体" w:hAnsi="宋体" w:cs="宋体"/>
                <w:szCs w:val="21"/>
              </w:rPr>
              <w:t>底坑环境</w:t>
            </w:r>
          </w:p>
        </w:tc>
        <w:tc>
          <w:tcPr>
            <w:tcW w:w="4265" w:type="dxa"/>
            <w:noWrap/>
            <w:vAlign w:val="center"/>
          </w:tcPr>
          <w:p>
            <w:pPr>
              <w:widowControl/>
              <w:jc w:val="left"/>
              <w:rPr>
                <w:rFonts w:ascii="宋体" w:hAnsi="宋体" w:cs="宋体"/>
                <w:szCs w:val="21"/>
              </w:rPr>
            </w:pPr>
            <w:r>
              <w:rPr>
                <w:rFonts w:hint="eastAsia" w:ascii="宋体" w:hAnsi="宋体" w:cs="宋体"/>
                <w:szCs w:val="21"/>
              </w:rPr>
              <w:t>清洁，无渗水、积水照明正常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20</w:t>
            </w:r>
          </w:p>
        </w:tc>
        <w:tc>
          <w:tcPr>
            <w:tcW w:w="4700" w:type="dxa"/>
            <w:noWrap/>
            <w:vAlign w:val="center"/>
          </w:tcPr>
          <w:p>
            <w:pPr>
              <w:widowControl/>
              <w:jc w:val="left"/>
              <w:rPr>
                <w:rFonts w:ascii="宋体" w:hAnsi="宋体" w:cs="宋体"/>
                <w:szCs w:val="21"/>
              </w:rPr>
            </w:pPr>
            <w:r>
              <w:rPr>
                <w:rFonts w:hint="eastAsia" w:ascii="宋体" w:hAnsi="宋体" w:cs="宋体"/>
                <w:szCs w:val="21"/>
              </w:rPr>
              <w:t>底坑停止装置</w:t>
            </w:r>
          </w:p>
        </w:tc>
        <w:tc>
          <w:tcPr>
            <w:tcW w:w="4265" w:type="dxa"/>
            <w:noWrap/>
            <w:vAlign w:val="center"/>
          </w:tcPr>
          <w:p>
            <w:pPr>
              <w:widowControl/>
              <w:jc w:val="left"/>
              <w:rPr>
                <w:rFonts w:ascii="宋体" w:hAnsi="宋体" w:cs="宋体"/>
                <w:szCs w:val="21"/>
              </w:rPr>
            </w:pPr>
            <w:r>
              <w:rPr>
                <w:rFonts w:hint="eastAsia" w:ascii="宋体" w:hAnsi="宋体" w:cs="宋体"/>
                <w:szCs w:val="21"/>
              </w:rPr>
              <w:t>工作正常</w:t>
            </w:r>
          </w:p>
        </w:tc>
      </w:tr>
    </w:tbl>
    <w:p>
      <w:pPr>
        <w:widowControl/>
        <w:jc w:val="right"/>
        <w:rPr>
          <w:rFonts w:ascii="宋体" w:hAnsi="宋体" w:cs="宋体"/>
          <w:szCs w:val="21"/>
        </w:rPr>
      </w:pPr>
    </w:p>
    <w:p>
      <w:pPr>
        <w:widowControl/>
        <w:adjustRightInd w:val="0"/>
        <w:snapToGrid w:val="0"/>
        <w:spacing w:line="360" w:lineRule="auto"/>
        <w:ind w:firstLine="420" w:firstLineChars="200"/>
        <w:jc w:val="left"/>
        <w:rPr>
          <w:rFonts w:ascii="宋体" w:hAnsi="宋体" w:cs="宋体"/>
          <w:szCs w:val="21"/>
        </w:rPr>
      </w:pPr>
    </w:p>
    <w:p>
      <w:pPr>
        <w:widowControl/>
        <w:adjustRightInd w:val="0"/>
        <w:snapToGrid w:val="0"/>
        <w:spacing w:line="360" w:lineRule="auto"/>
        <w:ind w:firstLine="420" w:firstLineChars="200"/>
        <w:jc w:val="left"/>
        <w:rPr>
          <w:rFonts w:ascii="宋体" w:hAnsi="宋体" w:cs="宋体"/>
          <w:szCs w:val="21"/>
        </w:rPr>
      </w:pPr>
    </w:p>
    <w:p>
      <w:pPr>
        <w:widowControl/>
        <w:adjustRightInd w:val="0"/>
        <w:snapToGrid w:val="0"/>
        <w:spacing w:line="360" w:lineRule="auto"/>
        <w:ind w:firstLine="420" w:firstLineChars="200"/>
        <w:jc w:val="left"/>
        <w:rPr>
          <w:rFonts w:ascii="宋体" w:hAnsi="宋体" w:cs="宋体"/>
          <w:szCs w:val="21"/>
        </w:rPr>
      </w:pPr>
    </w:p>
    <w:p>
      <w:pPr>
        <w:widowControl/>
        <w:adjustRightInd w:val="0"/>
        <w:snapToGrid w:val="0"/>
        <w:spacing w:line="360" w:lineRule="auto"/>
        <w:ind w:firstLine="420" w:firstLineChars="200"/>
        <w:jc w:val="left"/>
        <w:rPr>
          <w:rFonts w:ascii="宋体" w:hAnsi="宋体" w:cs="宋体"/>
          <w:szCs w:val="21"/>
        </w:rPr>
      </w:pPr>
    </w:p>
    <w:p>
      <w:pPr>
        <w:widowControl/>
        <w:adjustRightInd w:val="0"/>
        <w:snapToGrid w:val="0"/>
        <w:spacing w:line="360" w:lineRule="auto"/>
        <w:jc w:val="left"/>
        <w:rPr>
          <w:rFonts w:ascii="宋体" w:hAnsi="宋体" w:cs="宋体"/>
          <w:szCs w:val="21"/>
        </w:rPr>
      </w:pPr>
    </w:p>
    <w:p>
      <w:pPr>
        <w:pStyle w:val="2"/>
      </w:pPr>
    </w:p>
    <w:p>
      <w:pPr>
        <w:widowControl/>
        <w:adjustRightInd w:val="0"/>
        <w:snapToGrid w:val="0"/>
        <w:spacing w:line="360" w:lineRule="auto"/>
        <w:ind w:firstLine="422" w:firstLineChars="200"/>
        <w:jc w:val="center"/>
        <w:rPr>
          <w:rFonts w:ascii="宋体" w:hAnsi="宋体" w:cs="宋体"/>
          <w:b/>
          <w:szCs w:val="21"/>
        </w:rPr>
      </w:pPr>
    </w:p>
    <w:p>
      <w:pPr>
        <w:widowControl/>
        <w:adjustRightInd w:val="0"/>
        <w:snapToGrid w:val="0"/>
        <w:spacing w:line="360" w:lineRule="auto"/>
        <w:ind w:firstLine="422" w:firstLineChars="200"/>
        <w:jc w:val="center"/>
        <w:rPr>
          <w:rFonts w:ascii="宋体" w:hAnsi="宋体" w:cs="宋体"/>
          <w:b/>
          <w:szCs w:val="21"/>
        </w:rPr>
      </w:pPr>
      <w:r>
        <w:rPr>
          <w:rFonts w:hint="eastAsia" w:ascii="宋体" w:hAnsi="宋体" w:cs="宋体"/>
          <w:b/>
          <w:szCs w:val="21"/>
        </w:rPr>
        <w:t>C2  季度维保项目（内容）和要求</w:t>
      </w:r>
    </w:p>
    <w:p>
      <w:pPr>
        <w:widowControl/>
        <w:adjustRightInd w:val="0"/>
        <w:snapToGrid w:val="0"/>
        <w:spacing w:line="360" w:lineRule="auto"/>
        <w:ind w:firstLine="420" w:firstLineChars="200"/>
        <w:rPr>
          <w:rFonts w:ascii="宋体" w:hAnsi="宋体" w:cs="宋体"/>
          <w:szCs w:val="21"/>
        </w:rPr>
      </w:pPr>
      <w:r>
        <w:rPr>
          <w:rFonts w:hint="eastAsia" w:ascii="宋体" w:hAnsi="宋体" w:cs="宋体"/>
          <w:szCs w:val="21"/>
        </w:rPr>
        <w:t>季度维保项目（内容）和要求除符合C1半月维保的项目（内容）和要求外，还应当符合表C-2的项目（内容）和要求。</w:t>
      </w:r>
    </w:p>
    <w:p>
      <w:pPr>
        <w:widowControl/>
        <w:adjustRightInd w:val="0"/>
        <w:snapToGrid w:val="0"/>
        <w:spacing w:line="360" w:lineRule="auto"/>
        <w:jc w:val="center"/>
        <w:rPr>
          <w:rFonts w:ascii="宋体" w:hAnsi="宋体" w:cs="宋体"/>
          <w:szCs w:val="21"/>
        </w:rPr>
      </w:pPr>
      <w:r>
        <w:rPr>
          <w:rFonts w:hint="eastAsia" w:ascii="宋体" w:hAnsi="宋体" w:cs="宋体"/>
          <w:szCs w:val="21"/>
        </w:rPr>
        <w:t>表C-2  季度维保项目（内容）和要求</w:t>
      </w:r>
    </w:p>
    <w:tbl>
      <w:tblPr>
        <w:tblStyle w:val="10"/>
        <w:tblW w:w="9330" w:type="dxa"/>
        <w:tblInd w:w="113"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15"/>
        <w:gridCol w:w="3420"/>
        <w:gridCol w:w="519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12"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序号</w:t>
            </w:r>
          </w:p>
        </w:tc>
        <w:tc>
          <w:tcPr>
            <w:tcW w:w="3420" w:type="dxa"/>
            <w:tcBorders>
              <w:top w:val="single" w:color="auto" w:sz="12" w:space="0"/>
              <w:left w:val="single" w:color="auto" w:sz="6"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维保项目（内容）</w:t>
            </w:r>
          </w:p>
        </w:tc>
        <w:tc>
          <w:tcPr>
            <w:tcW w:w="5195" w:type="dxa"/>
            <w:tcBorders>
              <w:top w:val="single" w:color="auto" w:sz="12" w:space="0"/>
              <w:left w:val="single" w:color="auto" w:sz="6" w:space="0"/>
              <w:bottom w:val="single" w:color="auto" w:sz="6" w:space="0"/>
              <w:right w:val="single" w:color="auto" w:sz="12" w:space="0"/>
            </w:tcBorders>
            <w:noWrap/>
            <w:vAlign w:val="center"/>
          </w:tcPr>
          <w:p>
            <w:pPr>
              <w:widowControl/>
              <w:jc w:val="center"/>
              <w:rPr>
                <w:rFonts w:ascii="宋体" w:hAnsi="宋体" w:cs="宋体"/>
                <w:szCs w:val="21"/>
              </w:rPr>
            </w:pPr>
            <w:r>
              <w:rPr>
                <w:rFonts w:hint="eastAsia" w:ascii="宋体" w:hAnsi="宋体" w:cs="宋体"/>
                <w:szCs w:val="21"/>
              </w:rPr>
              <w:t>维保基本要求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减速机润滑油</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油量适宜，除蝎杆伸出端外均无渗漏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制动衬</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清洁，磨损量不超过制造单位要求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3</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电引轮槽、悬挂装置</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清洁，无严重油腻，张力均匀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4</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限速器轮槽、 限速器钢丝绳</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清洁，无严熏油腻</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5</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靴衬</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清洁，磨损量不超过制造单位要求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6</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层门、轿门系统中传动钢丝绳、</w:t>
            </w:r>
          </w:p>
          <w:p>
            <w:pPr>
              <w:widowControl/>
              <w:jc w:val="left"/>
              <w:rPr>
                <w:rFonts w:ascii="宋体" w:hAnsi="宋体" w:cs="宋体"/>
                <w:szCs w:val="21"/>
              </w:rPr>
            </w:pPr>
            <w:r>
              <w:rPr>
                <w:rFonts w:hint="eastAsia" w:ascii="宋体" w:hAnsi="宋体" w:cs="宋体"/>
                <w:szCs w:val="21"/>
              </w:rPr>
              <w:t>链条、传动带</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按照制造单位要求进行清洁、调整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7</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层门门导靴</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磨损量不超过制造单位要求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8</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限速晟张紧轮装置和气安全装置</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w:t>
            </w:r>
          </w:p>
        </w:tc>
      </w:tr>
    </w:tbl>
    <w:p>
      <w:pPr>
        <w:widowControl/>
        <w:adjustRightInd w:val="0"/>
        <w:snapToGrid w:val="0"/>
        <w:spacing w:line="360" w:lineRule="auto"/>
        <w:ind w:firstLine="420" w:firstLineChars="200"/>
        <w:jc w:val="left"/>
        <w:rPr>
          <w:rFonts w:ascii="宋体" w:hAnsi="宋体" w:cs="宋体"/>
          <w:szCs w:val="21"/>
        </w:rPr>
      </w:pPr>
    </w:p>
    <w:p>
      <w:pPr>
        <w:widowControl/>
        <w:adjustRightInd w:val="0"/>
        <w:snapToGrid w:val="0"/>
        <w:spacing w:line="360" w:lineRule="auto"/>
        <w:ind w:firstLine="422" w:firstLineChars="200"/>
        <w:jc w:val="center"/>
        <w:rPr>
          <w:rFonts w:ascii="宋体" w:hAnsi="宋体" w:cs="宋体"/>
          <w:b/>
          <w:szCs w:val="21"/>
        </w:rPr>
      </w:pPr>
    </w:p>
    <w:p>
      <w:pPr>
        <w:widowControl/>
        <w:adjustRightInd w:val="0"/>
        <w:snapToGrid w:val="0"/>
        <w:spacing w:line="360" w:lineRule="auto"/>
        <w:ind w:firstLine="422" w:firstLineChars="200"/>
        <w:jc w:val="center"/>
        <w:rPr>
          <w:rFonts w:ascii="宋体" w:hAnsi="宋体" w:cs="宋体"/>
          <w:b/>
          <w:szCs w:val="21"/>
        </w:rPr>
      </w:pPr>
    </w:p>
    <w:p>
      <w:pPr>
        <w:widowControl/>
        <w:adjustRightInd w:val="0"/>
        <w:snapToGrid w:val="0"/>
        <w:spacing w:line="360" w:lineRule="auto"/>
        <w:ind w:firstLine="422" w:firstLineChars="200"/>
        <w:jc w:val="center"/>
        <w:rPr>
          <w:rFonts w:ascii="宋体" w:hAnsi="宋体" w:cs="宋体"/>
          <w:b/>
          <w:szCs w:val="21"/>
        </w:rPr>
      </w:pPr>
    </w:p>
    <w:p>
      <w:pPr>
        <w:widowControl/>
        <w:adjustRightInd w:val="0"/>
        <w:snapToGrid w:val="0"/>
        <w:spacing w:line="360" w:lineRule="auto"/>
        <w:ind w:firstLine="422" w:firstLineChars="200"/>
        <w:jc w:val="center"/>
        <w:rPr>
          <w:rFonts w:ascii="宋体" w:hAnsi="宋体" w:cs="宋体"/>
          <w:b/>
          <w:szCs w:val="21"/>
        </w:rPr>
      </w:pPr>
    </w:p>
    <w:p>
      <w:pPr>
        <w:widowControl/>
        <w:adjustRightInd w:val="0"/>
        <w:snapToGrid w:val="0"/>
        <w:spacing w:line="360" w:lineRule="auto"/>
        <w:ind w:firstLine="422" w:firstLineChars="200"/>
        <w:jc w:val="center"/>
        <w:rPr>
          <w:rFonts w:ascii="宋体" w:hAnsi="宋体" w:cs="宋体"/>
          <w:b/>
          <w:szCs w:val="21"/>
        </w:rPr>
      </w:pPr>
    </w:p>
    <w:p>
      <w:pPr>
        <w:widowControl/>
        <w:adjustRightInd w:val="0"/>
        <w:snapToGrid w:val="0"/>
        <w:spacing w:line="360" w:lineRule="auto"/>
        <w:ind w:firstLine="422" w:firstLineChars="200"/>
        <w:jc w:val="center"/>
        <w:rPr>
          <w:rFonts w:ascii="宋体" w:hAnsi="宋体" w:cs="宋体"/>
          <w:b/>
          <w:szCs w:val="21"/>
        </w:rPr>
      </w:pPr>
    </w:p>
    <w:p>
      <w:pPr>
        <w:widowControl/>
        <w:adjustRightInd w:val="0"/>
        <w:snapToGrid w:val="0"/>
        <w:spacing w:line="360" w:lineRule="auto"/>
        <w:ind w:firstLine="422" w:firstLineChars="200"/>
        <w:jc w:val="center"/>
        <w:rPr>
          <w:rFonts w:ascii="宋体" w:hAnsi="宋体" w:cs="宋体"/>
          <w:b/>
          <w:szCs w:val="21"/>
        </w:rPr>
      </w:pPr>
    </w:p>
    <w:p>
      <w:pPr>
        <w:widowControl/>
        <w:adjustRightInd w:val="0"/>
        <w:snapToGrid w:val="0"/>
        <w:spacing w:line="360" w:lineRule="auto"/>
        <w:ind w:firstLine="422" w:firstLineChars="200"/>
        <w:jc w:val="center"/>
        <w:rPr>
          <w:rFonts w:ascii="宋体" w:hAnsi="宋体" w:cs="宋体"/>
          <w:b/>
          <w:szCs w:val="21"/>
        </w:rPr>
      </w:pPr>
    </w:p>
    <w:p>
      <w:pPr>
        <w:widowControl/>
        <w:adjustRightInd w:val="0"/>
        <w:snapToGrid w:val="0"/>
        <w:spacing w:line="360" w:lineRule="auto"/>
        <w:ind w:firstLine="422" w:firstLineChars="200"/>
        <w:jc w:val="center"/>
        <w:rPr>
          <w:rFonts w:ascii="宋体" w:hAnsi="宋体" w:cs="宋体"/>
          <w:b/>
          <w:szCs w:val="21"/>
        </w:rPr>
      </w:pPr>
    </w:p>
    <w:p>
      <w:pPr>
        <w:widowControl/>
        <w:adjustRightInd w:val="0"/>
        <w:snapToGrid w:val="0"/>
        <w:spacing w:line="360" w:lineRule="auto"/>
        <w:ind w:firstLine="422" w:firstLineChars="200"/>
        <w:jc w:val="center"/>
        <w:rPr>
          <w:rFonts w:ascii="宋体" w:hAnsi="宋体" w:cs="宋体"/>
          <w:b/>
          <w:szCs w:val="21"/>
        </w:rPr>
      </w:pPr>
    </w:p>
    <w:p>
      <w:pPr>
        <w:widowControl/>
        <w:adjustRightInd w:val="0"/>
        <w:snapToGrid w:val="0"/>
        <w:spacing w:line="360" w:lineRule="auto"/>
        <w:ind w:firstLine="422" w:firstLineChars="200"/>
        <w:jc w:val="center"/>
        <w:rPr>
          <w:rFonts w:ascii="宋体" w:hAnsi="宋体" w:cs="宋体"/>
          <w:b/>
          <w:szCs w:val="21"/>
        </w:rPr>
      </w:pPr>
    </w:p>
    <w:p>
      <w:pPr>
        <w:widowControl/>
        <w:adjustRightInd w:val="0"/>
        <w:snapToGrid w:val="0"/>
        <w:spacing w:line="360" w:lineRule="auto"/>
        <w:ind w:firstLine="422" w:firstLineChars="200"/>
        <w:jc w:val="center"/>
        <w:rPr>
          <w:rFonts w:ascii="宋体" w:hAnsi="宋体" w:cs="宋体"/>
          <w:b/>
          <w:szCs w:val="21"/>
        </w:rPr>
      </w:pPr>
    </w:p>
    <w:p>
      <w:pPr>
        <w:widowControl/>
        <w:adjustRightInd w:val="0"/>
        <w:snapToGrid w:val="0"/>
        <w:spacing w:line="360" w:lineRule="auto"/>
        <w:ind w:firstLine="422" w:firstLineChars="200"/>
        <w:jc w:val="center"/>
        <w:rPr>
          <w:rFonts w:ascii="宋体" w:hAnsi="宋体" w:cs="宋体"/>
          <w:b/>
          <w:szCs w:val="21"/>
        </w:rPr>
      </w:pPr>
    </w:p>
    <w:p>
      <w:pPr>
        <w:widowControl/>
        <w:adjustRightInd w:val="0"/>
        <w:snapToGrid w:val="0"/>
        <w:spacing w:line="360" w:lineRule="auto"/>
        <w:ind w:firstLine="422" w:firstLineChars="200"/>
        <w:jc w:val="center"/>
        <w:rPr>
          <w:rFonts w:ascii="宋体" w:hAnsi="宋体" w:cs="宋体"/>
          <w:b/>
          <w:szCs w:val="21"/>
        </w:rPr>
      </w:pPr>
    </w:p>
    <w:p>
      <w:pPr>
        <w:widowControl/>
        <w:adjustRightInd w:val="0"/>
        <w:snapToGrid w:val="0"/>
        <w:spacing w:line="360" w:lineRule="auto"/>
        <w:ind w:firstLine="422" w:firstLineChars="200"/>
        <w:jc w:val="center"/>
        <w:rPr>
          <w:rFonts w:ascii="宋体" w:hAnsi="宋体" w:cs="宋体"/>
          <w:b/>
          <w:szCs w:val="21"/>
        </w:rPr>
      </w:pPr>
    </w:p>
    <w:p>
      <w:pPr>
        <w:widowControl/>
        <w:adjustRightInd w:val="0"/>
        <w:snapToGrid w:val="0"/>
        <w:spacing w:line="360" w:lineRule="auto"/>
        <w:ind w:firstLine="422" w:firstLineChars="200"/>
        <w:jc w:val="center"/>
        <w:rPr>
          <w:rFonts w:ascii="宋体" w:hAnsi="宋体" w:cs="宋体"/>
          <w:b/>
          <w:szCs w:val="21"/>
        </w:rPr>
      </w:pPr>
    </w:p>
    <w:p>
      <w:pPr>
        <w:widowControl/>
        <w:adjustRightInd w:val="0"/>
        <w:snapToGrid w:val="0"/>
        <w:spacing w:line="360" w:lineRule="auto"/>
        <w:ind w:firstLine="422" w:firstLineChars="200"/>
        <w:jc w:val="center"/>
        <w:rPr>
          <w:rFonts w:ascii="宋体" w:hAnsi="宋体" w:cs="宋体"/>
          <w:b/>
          <w:szCs w:val="21"/>
        </w:rPr>
      </w:pPr>
    </w:p>
    <w:p>
      <w:pPr>
        <w:widowControl/>
        <w:adjustRightInd w:val="0"/>
        <w:snapToGrid w:val="0"/>
        <w:spacing w:line="360" w:lineRule="auto"/>
        <w:ind w:firstLine="422" w:firstLineChars="200"/>
        <w:jc w:val="center"/>
        <w:rPr>
          <w:rFonts w:ascii="宋体" w:hAnsi="宋体" w:cs="宋体"/>
          <w:b/>
          <w:szCs w:val="21"/>
        </w:rPr>
      </w:pPr>
    </w:p>
    <w:p>
      <w:pPr>
        <w:widowControl/>
        <w:adjustRightInd w:val="0"/>
        <w:snapToGrid w:val="0"/>
        <w:spacing w:line="360" w:lineRule="auto"/>
        <w:ind w:firstLine="422" w:firstLineChars="200"/>
        <w:jc w:val="center"/>
        <w:rPr>
          <w:rFonts w:ascii="宋体" w:hAnsi="宋体" w:cs="宋体"/>
          <w:b/>
          <w:szCs w:val="21"/>
        </w:rPr>
      </w:pPr>
      <w:r>
        <w:rPr>
          <w:rFonts w:hint="eastAsia" w:ascii="宋体" w:hAnsi="宋体" w:cs="宋体"/>
          <w:b/>
          <w:szCs w:val="21"/>
        </w:rPr>
        <w:t>C3  半年维保项目（内容）和要求</w:t>
      </w:r>
    </w:p>
    <w:p>
      <w:pPr>
        <w:widowControl/>
        <w:adjustRightInd w:val="0"/>
        <w:snapToGrid w:val="0"/>
        <w:spacing w:line="360" w:lineRule="auto"/>
        <w:ind w:firstLine="420" w:firstLineChars="200"/>
        <w:jc w:val="left"/>
        <w:rPr>
          <w:rFonts w:ascii="宋体" w:hAnsi="宋体" w:cs="宋体"/>
          <w:szCs w:val="21"/>
        </w:rPr>
      </w:pPr>
      <w:r>
        <w:rPr>
          <w:rFonts w:hint="eastAsia" w:ascii="宋体" w:hAnsi="宋体" w:cs="宋体"/>
          <w:szCs w:val="21"/>
        </w:rPr>
        <w:t>半年维保项目（内容）和要求除符合C2季度维保的项目（内容）和要求外，还应当符合表C-3的项目（内容）和要求。</w:t>
      </w:r>
    </w:p>
    <w:p>
      <w:pPr>
        <w:widowControl/>
        <w:adjustRightInd w:val="0"/>
        <w:snapToGrid w:val="0"/>
        <w:spacing w:line="360" w:lineRule="auto"/>
        <w:jc w:val="center"/>
        <w:rPr>
          <w:rFonts w:ascii="宋体" w:hAnsi="宋体" w:cs="宋体"/>
          <w:szCs w:val="21"/>
        </w:rPr>
      </w:pPr>
      <w:r>
        <w:rPr>
          <w:rFonts w:hint="eastAsia" w:ascii="宋体" w:hAnsi="宋体" w:cs="宋体"/>
          <w:szCs w:val="21"/>
        </w:rPr>
        <w:t>表C-3  半年维保项目（内容）和要求</w:t>
      </w:r>
    </w:p>
    <w:tbl>
      <w:tblPr>
        <w:tblStyle w:val="10"/>
        <w:tblW w:w="9094" w:type="dxa"/>
        <w:tblInd w:w="113"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15"/>
        <w:gridCol w:w="3420"/>
        <w:gridCol w:w="495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12"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序号</w:t>
            </w:r>
          </w:p>
        </w:tc>
        <w:tc>
          <w:tcPr>
            <w:tcW w:w="3420" w:type="dxa"/>
            <w:tcBorders>
              <w:top w:val="single" w:color="auto" w:sz="12" w:space="0"/>
              <w:left w:val="single" w:color="auto" w:sz="6"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维保项目（内容）</w:t>
            </w:r>
          </w:p>
        </w:tc>
        <w:tc>
          <w:tcPr>
            <w:tcW w:w="4959" w:type="dxa"/>
            <w:tcBorders>
              <w:top w:val="single" w:color="auto" w:sz="12" w:space="0"/>
              <w:left w:val="single" w:color="auto" w:sz="6" w:space="0"/>
              <w:bottom w:val="single" w:color="auto" w:sz="6" w:space="0"/>
              <w:right w:val="single" w:color="auto" w:sz="12" w:space="0"/>
            </w:tcBorders>
            <w:noWrap/>
            <w:vAlign w:val="center"/>
          </w:tcPr>
          <w:p>
            <w:pPr>
              <w:widowControl/>
              <w:jc w:val="center"/>
              <w:rPr>
                <w:rFonts w:ascii="宋体" w:hAnsi="宋体" w:cs="宋体"/>
                <w:szCs w:val="21"/>
              </w:rPr>
            </w:pPr>
            <w:r>
              <w:rPr>
                <w:rFonts w:hint="eastAsia" w:ascii="宋体" w:hAnsi="宋体" w:cs="宋体"/>
                <w:szCs w:val="21"/>
              </w:rPr>
              <w:t>维保基本要求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电动机与减速机联轴器</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连接无松动，弹性元件外观良好，无老化等现象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驱动轮、导向轮轴承部</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无异常声响，无振动，润滑良好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3</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制动器上检测开关</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工作正常，制动器动作可靠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4</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控制柜内各接线端子</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各接线紧固、整齐，线号齐全清晰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5</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控制柜各仪表</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显示正确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6</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悬挂装置</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磨损量、断丝数未超过要求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7</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绳头组合</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螺母无松动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8</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限速器钢丝绳</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磨损量、断丝数不超过制造单位要求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9</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对重缓冲距离</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符合标准值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10</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上、下极限开关</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w:t>
            </w:r>
          </w:p>
        </w:tc>
      </w:tr>
    </w:tbl>
    <w:p>
      <w:pPr>
        <w:rPr>
          <w:rFonts w:hint="eastAsia" w:ascii="宋体" w:hAnsi="宋体" w:cs="宋体"/>
          <w:b/>
          <w:szCs w:val="21"/>
        </w:rPr>
      </w:pPr>
      <w:r>
        <w:rPr>
          <w:rFonts w:hint="eastAsia" w:ascii="宋体" w:hAnsi="宋体" w:cs="宋体"/>
          <w:b/>
          <w:szCs w:val="21"/>
        </w:rPr>
        <w:br w:type="page"/>
      </w:r>
    </w:p>
    <w:p>
      <w:pPr>
        <w:widowControl/>
        <w:adjustRightInd w:val="0"/>
        <w:snapToGrid w:val="0"/>
        <w:spacing w:line="360" w:lineRule="auto"/>
        <w:ind w:firstLine="422" w:firstLineChars="200"/>
        <w:jc w:val="center"/>
        <w:rPr>
          <w:rFonts w:ascii="宋体" w:hAnsi="宋体" w:cs="宋体"/>
          <w:b/>
          <w:szCs w:val="21"/>
        </w:rPr>
      </w:pPr>
      <w:r>
        <w:rPr>
          <w:rFonts w:hint="eastAsia" w:ascii="宋体" w:hAnsi="宋体" w:cs="宋体"/>
          <w:b/>
          <w:szCs w:val="21"/>
        </w:rPr>
        <w:t>C4  年度维保项目（内容）和要求</w:t>
      </w:r>
    </w:p>
    <w:p>
      <w:pPr>
        <w:widowControl/>
        <w:adjustRightInd w:val="0"/>
        <w:snapToGrid w:val="0"/>
        <w:spacing w:line="360" w:lineRule="auto"/>
        <w:ind w:firstLine="420" w:firstLineChars="200"/>
        <w:jc w:val="left"/>
        <w:rPr>
          <w:rFonts w:ascii="宋体" w:hAnsi="宋体" w:cs="宋体"/>
          <w:szCs w:val="21"/>
        </w:rPr>
      </w:pPr>
      <w:r>
        <w:rPr>
          <w:rFonts w:hint="eastAsia" w:ascii="宋体" w:hAnsi="宋体" w:cs="宋体"/>
          <w:szCs w:val="21"/>
        </w:rPr>
        <w:t>年度维保项目（内容）和要求除符合C3半年维保的项目（内容）和要求外，还应当符合表C-4的项目（内容）和要求。</w:t>
      </w:r>
    </w:p>
    <w:p>
      <w:pPr>
        <w:widowControl/>
        <w:adjustRightInd w:val="0"/>
        <w:snapToGrid w:val="0"/>
        <w:spacing w:line="360" w:lineRule="auto"/>
        <w:jc w:val="center"/>
        <w:rPr>
          <w:rFonts w:ascii="宋体" w:hAnsi="宋体" w:cs="宋体"/>
          <w:szCs w:val="21"/>
        </w:rPr>
      </w:pPr>
      <w:r>
        <w:rPr>
          <w:rFonts w:hint="eastAsia" w:ascii="宋体" w:hAnsi="宋体" w:cs="宋体"/>
          <w:szCs w:val="21"/>
        </w:rPr>
        <w:t>表C-4  年度维保项目（内容）和要求</w:t>
      </w:r>
    </w:p>
    <w:tbl>
      <w:tblPr>
        <w:tblStyle w:val="10"/>
        <w:tblW w:w="9119" w:type="dxa"/>
        <w:tblInd w:w="113"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15"/>
        <w:gridCol w:w="2749"/>
        <w:gridCol w:w="565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12"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序号</w:t>
            </w:r>
          </w:p>
        </w:tc>
        <w:tc>
          <w:tcPr>
            <w:tcW w:w="2749" w:type="dxa"/>
            <w:tcBorders>
              <w:top w:val="single" w:color="auto" w:sz="12" w:space="0"/>
              <w:left w:val="single" w:color="auto" w:sz="6"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维保项目（内容）</w:t>
            </w:r>
          </w:p>
        </w:tc>
        <w:tc>
          <w:tcPr>
            <w:tcW w:w="5655" w:type="dxa"/>
            <w:tcBorders>
              <w:top w:val="single" w:color="auto" w:sz="12" w:space="0"/>
              <w:left w:val="single" w:color="auto" w:sz="6" w:space="0"/>
              <w:bottom w:val="single" w:color="auto" w:sz="6" w:space="0"/>
              <w:right w:val="single" w:color="auto" w:sz="12" w:space="0"/>
            </w:tcBorders>
            <w:noWrap/>
            <w:vAlign w:val="center"/>
          </w:tcPr>
          <w:p>
            <w:pPr>
              <w:widowControl/>
              <w:jc w:val="center"/>
              <w:rPr>
                <w:rFonts w:ascii="宋体" w:hAnsi="宋体" w:cs="宋体"/>
                <w:szCs w:val="21"/>
              </w:rPr>
            </w:pPr>
            <w:r>
              <w:rPr>
                <w:rFonts w:hint="eastAsia" w:ascii="宋体" w:hAnsi="宋体" w:cs="宋体"/>
                <w:szCs w:val="21"/>
              </w:rPr>
              <w:t>维保基本要求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减速机润滑油</w:t>
            </w:r>
          </w:p>
        </w:tc>
        <w:tc>
          <w:tcPr>
            <w:tcW w:w="565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按照制造单位要求适时更换，油质符合要求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控制柜接触晟.继电器触点</w:t>
            </w:r>
          </w:p>
        </w:tc>
        <w:tc>
          <w:tcPr>
            <w:tcW w:w="565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接触良好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3</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制动晟铁芯（柱塞)</w:t>
            </w:r>
          </w:p>
        </w:tc>
        <w:tc>
          <w:tcPr>
            <w:tcW w:w="565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分解进行清洁、润滑、检查，磨损量不超过制造单位要求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4</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制动器制动弹簧压缩量</w:t>
            </w:r>
          </w:p>
        </w:tc>
        <w:tc>
          <w:tcPr>
            <w:tcW w:w="565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符合制造单位要求，保持有足够的制动力</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5</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导电回路绝缘性能测试</w:t>
            </w:r>
          </w:p>
        </w:tc>
        <w:tc>
          <w:tcPr>
            <w:tcW w:w="565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符合标准值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6</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限速器安全钳联动试验（每5年进行一次限速器动作速度校验)</w:t>
            </w:r>
          </w:p>
        </w:tc>
        <w:tc>
          <w:tcPr>
            <w:tcW w:w="565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7</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轿顶、轿厢架、 轿门及附件安装螺栓</w:t>
            </w:r>
          </w:p>
        </w:tc>
        <w:tc>
          <w:tcPr>
            <w:tcW w:w="565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紧固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8</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轿厢及对重/评衡重导轨支架</w:t>
            </w:r>
          </w:p>
        </w:tc>
        <w:tc>
          <w:tcPr>
            <w:tcW w:w="565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固定，无松动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9</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轿厢及对重/平衡导轨</w:t>
            </w:r>
          </w:p>
        </w:tc>
        <w:tc>
          <w:tcPr>
            <w:tcW w:w="565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清洁…压板牢固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10</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随行电缆</w:t>
            </w:r>
          </w:p>
        </w:tc>
        <w:tc>
          <w:tcPr>
            <w:tcW w:w="565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无损伤</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11</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层门装置和地坎</w:t>
            </w:r>
          </w:p>
        </w:tc>
        <w:tc>
          <w:tcPr>
            <w:tcW w:w="565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无影响正常使用的变形，各安装螺栓紧固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12</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安全钳钳座</w:t>
            </w:r>
          </w:p>
        </w:tc>
        <w:tc>
          <w:tcPr>
            <w:tcW w:w="565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固定，无松动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13</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轿底各安装螺栓</w:t>
            </w:r>
          </w:p>
        </w:tc>
        <w:tc>
          <w:tcPr>
            <w:tcW w:w="565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紧固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14</w:t>
            </w:r>
          </w:p>
        </w:tc>
        <w:tc>
          <w:tcPr>
            <w:tcW w:w="2749"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缓冲器</w:t>
            </w:r>
          </w:p>
        </w:tc>
        <w:tc>
          <w:tcPr>
            <w:tcW w:w="565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固定，无松动</w:t>
            </w:r>
          </w:p>
        </w:tc>
      </w:tr>
    </w:tbl>
    <w:p>
      <w:pPr>
        <w:widowControl/>
        <w:adjustRightInd w:val="0"/>
        <w:snapToGrid w:val="0"/>
        <w:spacing w:line="360" w:lineRule="auto"/>
        <w:ind w:firstLine="420" w:firstLineChars="200"/>
        <w:jc w:val="left"/>
        <w:rPr>
          <w:rFonts w:ascii="宋体" w:hAnsi="宋体" w:cs="宋体"/>
          <w:szCs w:val="21"/>
        </w:rPr>
      </w:pPr>
    </w:p>
    <w:p>
      <w:pPr>
        <w:pStyle w:val="3"/>
      </w:pPr>
    </w:p>
    <w:p>
      <w:pPr>
        <w:pStyle w:val="19"/>
        <w:widowControl w:val="0"/>
        <w:autoSpaceDE w:val="0"/>
        <w:autoSpaceDN w:val="0"/>
        <w:spacing w:before="0" w:after="0" w:line="391" w:lineRule="exact"/>
        <w:jc w:val="left"/>
        <w:rPr>
          <w:rFonts w:ascii="宋体" w:hAnsi="宋体" w:eastAsia="宋体" w:cs="宋体"/>
          <w:szCs w:val="21"/>
          <w:lang w:eastAsia="zh-CN"/>
        </w:rPr>
      </w:pPr>
    </w:p>
    <w:p>
      <w:pPr>
        <w:pStyle w:val="19"/>
        <w:widowControl w:val="0"/>
        <w:autoSpaceDE w:val="0"/>
        <w:autoSpaceDN w:val="0"/>
        <w:spacing w:before="0" w:after="0" w:line="391" w:lineRule="exact"/>
        <w:jc w:val="left"/>
        <w:rPr>
          <w:rFonts w:ascii="宋体" w:hAnsi="宋体" w:eastAsia="宋体" w:cs="宋体"/>
          <w:szCs w:val="21"/>
          <w:lang w:eastAsia="zh-CN"/>
        </w:rPr>
      </w:pPr>
    </w:p>
    <w:p>
      <w:pPr>
        <w:pStyle w:val="19"/>
        <w:widowControl w:val="0"/>
        <w:autoSpaceDE w:val="0"/>
        <w:autoSpaceDN w:val="0"/>
        <w:spacing w:before="0" w:after="0" w:line="391" w:lineRule="exact"/>
        <w:jc w:val="left"/>
        <w:rPr>
          <w:rFonts w:ascii="宋体" w:hAnsi="宋体" w:eastAsia="宋体" w:cs="宋体"/>
          <w:szCs w:val="21"/>
          <w:lang w:eastAsia="zh-CN"/>
        </w:rPr>
      </w:pPr>
    </w:p>
    <w:p>
      <w:pPr>
        <w:pStyle w:val="19"/>
        <w:widowControl w:val="0"/>
        <w:autoSpaceDE w:val="0"/>
        <w:autoSpaceDN w:val="0"/>
        <w:spacing w:before="0" w:after="0" w:line="391" w:lineRule="exact"/>
        <w:jc w:val="left"/>
        <w:rPr>
          <w:rFonts w:ascii="宋体" w:hAnsi="宋体" w:eastAsia="宋体" w:cs="宋体"/>
          <w:szCs w:val="21"/>
          <w:lang w:eastAsia="zh-CN"/>
        </w:rPr>
      </w:pPr>
    </w:p>
    <w:p>
      <w:pPr>
        <w:pStyle w:val="19"/>
        <w:widowControl w:val="0"/>
        <w:autoSpaceDE w:val="0"/>
        <w:autoSpaceDN w:val="0"/>
        <w:spacing w:before="0" w:after="0" w:line="391" w:lineRule="exact"/>
        <w:jc w:val="left"/>
        <w:rPr>
          <w:rFonts w:ascii="宋体" w:hAnsi="宋体" w:eastAsia="宋体" w:cs="宋体"/>
          <w:szCs w:val="21"/>
          <w:lang w:eastAsia="zh-CN"/>
        </w:rPr>
      </w:pPr>
    </w:p>
    <w:p>
      <w:pPr>
        <w:pStyle w:val="19"/>
        <w:widowControl w:val="0"/>
        <w:autoSpaceDE w:val="0"/>
        <w:autoSpaceDN w:val="0"/>
        <w:spacing w:before="0" w:after="0" w:line="391" w:lineRule="exact"/>
        <w:jc w:val="left"/>
        <w:rPr>
          <w:rFonts w:ascii="宋体" w:hAnsi="宋体" w:eastAsia="宋体" w:cs="宋体"/>
          <w:szCs w:val="21"/>
          <w:lang w:eastAsia="zh-CN"/>
        </w:rPr>
      </w:pPr>
    </w:p>
    <w:p>
      <w:pPr>
        <w:pStyle w:val="19"/>
        <w:widowControl w:val="0"/>
        <w:autoSpaceDE w:val="0"/>
        <w:autoSpaceDN w:val="0"/>
        <w:spacing w:before="0" w:after="0" w:line="391" w:lineRule="exact"/>
        <w:jc w:val="left"/>
        <w:rPr>
          <w:rFonts w:ascii="宋体" w:hAnsi="宋体" w:eastAsia="宋体" w:cs="宋体"/>
          <w:szCs w:val="21"/>
          <w:lang w:eastAsia="zh-CN"/>
        </w:rPr>
      </w:pPr>
    </w:p>
    <w:p>
      <w:pPr>
        <w:pStyle w:val="19"/>
        <w:widowControl w:val="0"/>
        <w:autoSpaceDE w:val="0"/>
        <w:autoSpaceDN w:val="0"/>
        <w:spacing w:before="0" w:after="0" w:line="391" w:lineRule="exact"/>
        <w:jc w:val="left"/>
        <w:rPr>
          <w:rFonts w:ascii="宋体" w:hAnsi="宋体" w:eastAsia="宋体" w:cs="宋体"/>
          <w:szCs w:val="21"/>
          <w:lang w:eastAsia="zh-CN"/>
        </w:rPr>
      </w:pPr>
    </w:p>
    <w:p>
      <w:pPr>
        <w:pStyle w:val="19"/>
        <w:widowControl w:val="0"/>
        <w:autoSpaceDE w:val="0"/>
        <w:autoSpaceDN w:val="0"/>
        <w:spacing w:before="0" w:after="0" w:line="391" w:lineRule="exact"/>
        <w:jc w:val="left"/>
        <w:rPr>
          <w:rFonts w:ascii="宋体" w:hAnsi="宋体" w:eastAsia="宋体" w:cs="宋体"/>
          <w:szCs w:val="21"/>
          <w:lang w:eastAsia="zh-CN"/>
        </w:rPr>
      </w:pPr>
    </w:p>
    <w:p>
      <w:pPr>
        <w:pStyle w:val="19"/>
        <w:widowControl w:val="0"/>
        <w:autoSpaceDE w:val="0"/>
        <w:autoSpaceDN w:val="0"/>
        <w:spacing w:before="0" w:after="0" w:line="391" w:lineRule="exact"/>
        <w:jc w:val="left"/>
        <w:rPr>
          <w:rFonts w:ascii="宋体" w:hAnsi="宋体" w:eastAsia="宋体" w:cs="宋体"/>
          <w:szCs w:val="21"/>
          <w:lang w:eastAsia="zh-CN"/>
        </w:rPr>
      </w:pPr>
    </w:p>
    <w:p>
      <w:pPr>
        <w:pStyle w:val="19"/>
        <w:widowControl w:val="0"/>
        <w:autoSpaceDE w:val="0"/>
        <w:autoSpaceDN w:val="0"/>
        <w:spacing w:before="0" w:after="0" w:line="391" w:lineRule="exact"/>
        <w:jc w:val="left"/>
        <w:rPr>
          <w:rFonts w:ascii="宋体" w:hAnsi="宋体" w:cs="宋体"/>
          <w:szCs w:val="21"/>
          <w:lang w:eastAsia="zh-CN"/>
        </w:rPr>
      </w:pPr>
      <w:r>
        <w:rPr>
          <w:rFonts w:hint="eastAsia" w:ascii="宋体" w:hAnsi="宋体" w:cs="宋体"/>
          <w:sz w:val="28"/>
          <w:szCs w:val="21"/>
          <w:lang w:eastAsia="zh-CN"/>
        </w:rPr>
        <w:t>（</w:t>
      </w:r>
      <w:r>
        <w:rPr>
          <w:rFonts w:hint="eastAsia" w:ascii="宋体" w:hAnsi="宋体" w:eastAsia="宋体" w:cs="宋体"/>
          <w:sz w:val="28"/>
          <w:szCs w:val="21"/>
          <w:lang w:eastAsia="zh-CN"/>
        </w:rPr>
        <w:t>三</w:t>
      </w:r>
      <w:r>
        <w:rPr>
          <w:rFonts w:hint="eastAsia" w:ascii="宋体" w:hAnsi="宋体" w:cs="宋体"/>
          <w:b/>
          <w:sz w:val="28"/>
          <w:szCs w:val="21"/>
          <w:lang w:eastAsia="zh-CN"/>
        </w:rPr>
        <w:t>）自动扶梯与自动人行道维护保养项目</w:t>
      </w:r>
      <w:r>
        <w:rPr>
          <w:rFonts w:ascii="宋体" w:hAnsi="宋体" w:cs="宋体"/>
          <w:b/>
          <w:sz w:val="28"/>
          <w:szCs w:val="21"/>
          <w:lang w:eastAsia="zh-CN"/>
        </w:rPr>
        <w:t>(</w:t>
      </w:r>
      <w:r>
        <w:rPr>
          <w:rFonts w:hint="eastAsia" w:ascii="宋体" w:hAnsi="宋体" w:cs="宋体"/>
          <w:b/>
          <w:sz w:val="28"/>
          <w:szCs w:val="21"/>
          <w:lang w:eastAsia="zh-CN"/>
        </w:rPr>
        <w:t>内容</w:t>
      </w:r>
      <w:r>
        <w:rPr>
          <w:rFonts w:ascii="宋体" w:hAnsi="宋体" w:cs="宋体"/>
          <w:b/>
          <w:sz w:val="28"/>
          <w:szCs w:val="21"/>
          <w:lang w:eastAsia="zh-CN"/>
        </w:rPr>
        <w:t>)</w:t>
      </w:r>
      <w:r>
        <w:rPr>
          <w:rFonts w:hint="eastAsia" w:ascii="宋体" w:hAnsi="宋体" w:cs="宋体"/>
          <w:b/>
          <w:sz w:val="28"/>
          <w:szCs w:val="21"/>
          <w:lang w:eastAsia="zh-CN"/>
        </w:rPr>
        <w:t>和要求</w:t>
      </w:r>
    </w:p>
    <w:p>
      <w:pPr>
        <w:widowControl/>
        <w:jc w:val="center"/>
        <w:rPr>
          <w:rFonts w:ascii="宋体" w:hAnsi="宋体" w:cs="宋体"/>
          <w:szCs w:val="21"/>
        </w:rPr>
      </w:pPr>
    </w:p>
    <w:p>
      <w:pPr>
        <w:widowControl/>
        <w:adjustRightInd w:val="0"/>
        <w:snapToGrid w:val="0"/>
        <w:spacing w:line="360" w:lineRule="auto"/>
        <w:ind w:firstLine="422" w:firstLineChars="200"/>
        <w:jc w:val="center"/>
        <w:rPr>
          <w:rFonts w:ascii="宋体" w:hAnsi="宋体" w:cs="宋体"/>
          <w:b/>
          <w:szCs w:val="21"/>
        </w:rPr>
      </w:pPr>
      <w:r>
        <w:rPr>
          <w:rFonts w:hint="eastAsia" w:ascii="宋体" w:hAnsi="宋体" w:cs="宋体"/>
          <w:b/>
          <w:szCs w:val="21"/>
        </w:rPr>
        <w:t>D1  半月维保项目（内容）和要求见表</w:t>
      </w:r>
    </w:p>
    <w:p>
      <w:pPr>
        <w:widowControl/>
        <w:adjustRightInd w:val="0"/>
        <w:snapToGrid w:val="0"/>
        <w:spacing w:line="360" w:lineRule="auto"/>
        <w:jc w:val="center"/>
        <w:rPr>
          <w:rFonts w:ascii="宋体" w:hAnsi="宋体" w:cs="宋体"/>
          <w:szCs w:val="21"/>
        </w:rPr>
      </w:pPr>
      <w:r>
        <w:rPr>
          <w:rFonts w:hint="eastAsia" w:ascii="宋体" w:hAnsi="宋体" w:cs="宋体"/>
          <w:szCs w:val="21"/>
        </w:rPr>
        <w:t>表D-1  半月维保项目（内容）和要求</w:t>
      </w:r>
    </w:p>
    <w:tbl>
      <w:tblPr>
        <w:tblStyle w:val="10"/>
        <w:tblW w:w="9805" w:type="dxa"/>
        <w:tblInd w:w="-312"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40"/>
        <w:gridCol w:w="4700"/>
        <w:gridCol w:w="426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12"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序号</w:t>
            </w:r>
          </w:p>
        </w:tc>
        <w:tc>
          <w:tcPr>
            <w:tcW w:w="4700" w:type="dxa"/>
            <w:tcBorders>
              <w:top w:val="single" w:color="auto" w:sz="12" w:space="0"/>
              <w:left w:val="single" w:color="auto" w:sz="6"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维保项目（内容）</w:t>
            </w:r>
          </w:p>
        </w:tc>
        <w:tc>
          <w:tcPr>
            <w:tcW w:w="4265" w:type="dxa"/>
            <w:tcBorders>
              <w:top w:val="single" w:color="auto" w:sz="12" w:space="0"/>
              <w:left w:val="single" w:color="auto" w:sz="6" w:space="0"/>
              <w:bottom w:val="single" w:color="auto" w:sz="6" w:space="0"/>
              <w:right w:val="single" w:color="auto" w:sz="12" w:space="0"/>
            </w:tcBorders>
            <w:noWrap/>
            <w:vAlign w:val="center"/>
          </w:tcPr>
          <w:p>
            <w:pPr>
              <w:widowControl/>
              <w:jc w:val="center"/>
              <w:rPr>
                <w:rFonts w:ascii="宋体" w:hAnsi="宋体" w:cs="宋体"/>
                <w:szCs w:val="21"/>
              </w:rPr>
            </w:pPr>
            <w:r>
              <w:rPr>
                <w:rFonts w:hint="eastAsia" w:ascii="宋体" w:hAnsi="宋体" w:cs="宋体"/>
                <w:szCs w:val="21"/>
              </w:rPr>
              <w:t>维保基本要求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电器部件</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清洁，接线紧固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故障显示板</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信号功能正常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3</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设备运行状况</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trike/>
                <w:szCs w:val="21"/>
              </w:rPr>
            </w:pPr>
            <w:r>
              <w:rPr>
                <w:rFonts w:hint="eastAsia" w:ascii="宋体" w:hAnsi="宋体" w:cs="宋体"/>
                <w:szCs w:val="21"/>
              </w:rPr>
              <w:t>正常，没有异常声响和抖动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4</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主驱动链</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运转正常，电气安全保护装置动作有效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5</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制动器机械装置</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清洁，动作正常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6</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制动器状态监测开关</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7</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减速机润滑油</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油量适宜，无渗油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8</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电机通风口</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9</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检修控制装置</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10</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自动润滑油罐油位</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油位正常.润滑系统工作正常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11</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梳齿板开关</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12</w:t>
            </w:r>
          </w:p>
        </w:tc>
        <w:tc>
          <w:tcPr>
            <w:tcW w:w="470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梳齿板照明</w:t>
            </w:r>
          </w:p>
        </w:tc>
        <w:tc>
          <w:tcPr>
            <w:tcW w:w="426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照明正常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spacing w:beforeAutospacing="1" w:afterAutospacing="1"/>
              <w:jc w:val="center"/>
              <w:rPr>
                <w:rFonts w:ascii="宋体" w:hAnsi="宋体" w:cs="宋体"/>
                <w:szCs w:val="21"/>
              </w:rPr>
            </w:pPr>
            <w:r>
              <w:rPr>
                <w:rFonts w:hint="eastAsia" w:ascii="宋体" w:hAnsi="宋体" w:cs="宋体"/>
                <w:szCs w:val="21"/>
              </w:rPr>
              <w:t>13</w:t>
            </w:r>
          </w:p>
        </w:tc>
        <w:tc>
          <w:tcPr>
            <w:tcW w:w="4700" w:type="dxa"/>
            <w:noWrap/>
            <w:vAlign w:val="center"/>
          </w:tcPr>
          <w:p>
            <w:pPr>
              <w:widowControl/>
              <w:jc w:val="left"/>
              <w:rPr>
                <w:rFonts w:ascii="宋体" w:hAnsi="宋体" w:cs="宋体"/>
                <w:szCs w:val="21"/>
              </w:rPr>
            </w:pPr>
            <w:r>
              <w:rPr>
                <w:rFonts w:hint="eastAsia" w:ascii="宋体" w:hAnsi="宋体" w:cs="宋体"/>
                <w:szCs w:val="21"/>
              </w:rPr>
              <w:t>梳齿板梳齿与踏板面齿槽、导向胶带</w:t>
            </w:r>
          </w:p>
        </w:tc>
        <w:tc>
          <w:tcPr>
            <w:tcW w:w="4265" w:type="dxa"/>
            <w:noWrap/>
            <w:vAlign w:val="center"/>
          </w:tcPr>
          <w:p>
            <w:pPr>
              <w:widowControl/>
              <w:jc w:val="left"/>
              <w:rPr>
                <w:rFonts w:ascii="宋体" w:hAnsi="宋体" w:cs="宋体"/>
                <w:szCs w:val="21"/>
              </w:rPr>
            </w:pPr>
            <w:r>
              <w:rPr>
                <w:rFonts w:hint="eastAsia" w:ascii="宋体" w:hAnsi="宋体" w:cs="宋体"/>
                <w:szCs w:val="21"/>
              </w:rPr>
              <w:t>梳齿板完好无损，梳齿板梳齿与踏板面齿槽、导向胶带啮合正常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14</w:t>
            </w:r>
          </w:p>
        </w:tc>
        <w:tc>
          <w:tcPr>
            <w:tcW w:w="4700" w:type="dxa"/>
            <w:noWrap/>
            <w:vAlign w:val="center"/>
          </w:tcPr>
          <w:p>
            <w:pPr>
              <w:widowControl/>
              <w:jc w:val="left"/>
              <w:rPr>
                <w:rFonts w:ascii="宋体" w:hAnsi="宋体" w:cs="宋体"/>
                <w:szCs w:val="21"/>
              </w:rPr>
            </w:pPr>
            <w:r>
              <w:rPr>
                <w:rFonts w:hint="eastAsia" w:ascii="宋体" w:hAnsi="宋体" w:cs="宋体"/>
                <w:szCs w:val="21"/>
              </w:rPr>
              <w:t>梯级或者踏板下陷开关</w:t>
            </w:r>
          </w:p>
        </w:tc>
        <w:tc>
          <w:tcPr>
            <w:tcW w:w="4265" w:type="dxa"/>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15</w:t>
            </w:r>
          </w:p>
        </w:tc>
        <w:tc>
          <w:tcPr>
            <w:tcW w:w="4700" w:type="dxa"/>
            <w:noWrap/>
            <w:vAlign w:val="center"/>
          </w:tcPr>
          <w:p>
            <w:pPr>
              <w:widowControl/>
              <w:jc w:val="left"/>
              <w:rPr>
                <w:rFonts w:ascii="宋体" w:hAnsi="宋体" w:cs="宋体"/>
                <w:szCs w:val="21"/>
              </w:rPr>
            </w:pPr>
            <w:r>
              <w:rPr>
                <w:rFonts w:hint="eastAsia" w:ascii="宋体" w:hAnsi="宋体" w:cs="宋体"/>
                <w:szCs w:val="21"/>
              </w:rPr>
              <w:t>梯级或者踏板缺失监测装置</w:t>
            </w:r>
          </w:p>
        </w:tc>
        <w:tc>
          <w:tcPr>
            <w:tcW w:w="4265" w:type="dxa"/>
            <w:noWrap/>
            <w:vAlign w:val="center"/>
          </w:tcPr>
          <w:p>
            <w:pPr>
              <w:widowControl/>
              <w:jc w:val="left"/>
              <w:rPr>
                <w:rFonts w:ascii="宋体" w:hAnsi="宋体" w:cs="宋体"/>
                <w:szCs w:val="21"/>
              </w:rPr>
            </w:pPr>
            <w:bookmarkStart w:id="3" w:name="OLE_LINK5"/>
            <w:bookmarkStart w:id="4" w:name="OLE_LINK4"/>
            <w:r>
              <w:rPr>
                <w:rFonts w:hint="eastAsia" w:ascii="宋体" w:hAnsi="宋体" w:cs="宋体"/>
                <w:szCs w:val="21"/>
              </w:rPr>
              <w:t>工作正常</w:t>
            </w:r>
            <w:bookmarkEnd w:id="3"/>
            <w:bookmarkEnd w:id="4"/>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16</w:t>
            </w:r>
          </w:p>
        </w:tc>
        <w:tc>
          <w:tcPr>
            <w:tcW w:w="4700" w:type="dxa"/>
            <w:noWrap/>
            <w:vAlign w:val="center"/>
          </w:tcPr>
          <w:p>
            <w:pPr>
              <w:widowControl/>
              <w:jc w:val="left"/>
              <w:rPr>
                <w:rFonts w:ascii="宋体" w:hAnsi="宋体" w:cs="宋体"/>
                <w:szCs w:val="21"/>
              </w:rPr>
            </w:pPr>
            <w:r>
              <w:rPr>
                <w:rFonts w:hint="eastAsia" w:ascii="宋体" w:hAnsi="宋体" w:cs="宋体"/>
                <w:szCs w:val="21"/>
              </w:rPr>
              <w:t>超速或非操纵逆转监测装置</w:t>
            </w:r>
          </w:p>
        </w:tc>
        <w:tc>
          <w:tcPr>
            <w:tcW w:w="4265" w:type="dxa"/>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17</w:t>
            </w:r>
          </w:p>
        </w:tc>
        <w:tc>
          <w:tcPr>
            <w:tcW w:w="4700" w:type="dxa"/>
            <w:noWrap/>
            <w:vAlign w:val="center"/>
          </w:tcPr>
          <w:p>
            <w:pPr>
              <w:widowControl/>
              <w:jc w:val="left"/>
              <w:rPr>
                <w:rFonts w:ascii="宋体" w:hAnsi="宋体" w:cs="宋体"/>
                <w:szCs w:val="21"/>
              </w:rPr>
            </w:pPr>
            <w:r>
              <w:rPr>
                <w:rFonts w:hint="eastAsia" w:ascii="宋体" w:hAnsi="宋体" w:cs="宋体"/>
                <w:szCs w:val="21"/>
              </w:rPr>
              <w:t>检修盖板和楼层板</w:t>
            </w:r>
          </w:p>
        </w:tc>
        <w:tc>
          <w:tcPr>
            <w:tcW w:w="4265" w:type="dxa"/>
            <w:noWrap/>
            <w:vAlign w:val="center"/>
          </w:tcPr>
          <w:p>
            <w:pPr>
              <w:widowControl/>
              <w:jc w:val="left"/>
              <w:rPr>
                <w:rFonts w:ascii="宋体" w:hAnsi="宋体" w:cs="宋体"/>
                <w:szCs w:val="21"/>
              </w:rPr>
            </w:pPr>
            <w:r>
              <w:rPr>
                <w:rFonts w:hint="eastAsia" w:ascii="宋体" w:hAnsi="宋体" w:cs="宋体"/>
                <w:szCs w:val="21"/>
              </w:rPr>
              <w:t>防倾覆或者翻转措施和监控装置有效~可靠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18</w:t>
            </w:r>
          </w:p>
        </w:tc>
        <w:tc>
          <w:tcPr>
            <w:tcW w:w="4700" w:type="dxa"/>
            <w:noWrap/>
            <w:vAlign w:val="center"/>
          </w:tcPr>
          <w:p>
            <w:pPr>
              <w:widowControl/>
              <w:jc w:val="left"/>
              <w:rPr>
                <w:rFonts w:ascii="宋体" w:hAnsi="宋体" w:cs="宋体"/>
                <w:szCs w:val="21"/>
              </w:rPr>
            </w:pPr>
            <w:r>
              <w:rPr>
                <w:rFonts w:hint="eastAsia" w:ascii="宋体" w:hAnsi="宋体" w:cs="宋体"/>
                <w:szCs w:val="21"/>
              </w:rPr>
              <w:t>梯级链张紧开关</w:t>
            </w:r>
          </w:p>
        </w:tc>
        <w:tc>
          <w:tcPr>
            <w:tcW w:w="4265" w:type="dxa"/>
            <w:noWrap/>
            <w:vAlign w:val="center"/>
          </w:tcPr>
          <w:p>
            <w:pPr>
              <w:widowControl/>
              <w:jc w:val="left"/>
              <w:rPr>
                <w:rFonts w:ascii="宋体" w:hAnsi="宋体" w:cs="宋体"/>
                <w:szCs w:val="21"/>
              </w:rPr>
            </w:pPr>
            <w:r>
              <w:rPr>
                <w:rFonts w:hint="eastAsia" w:ascii="宋体" w:hAnsi="宋体" w:cs="宋体"/>
                <w:szCs w:val="21"/>
              </w:rPr>
              <w:t>位置正确，动作正常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19</w:t>
            </w:r>
          </w:p>
        </w:tc>
        <w:tc>
          <w:tcPr>
            <w:tcW w:w="4700" w:type="dxa"/>
            <w:noWrap/>
            <w:vAlign w:val="center"/>
          </w:tcPr>
          <w:p>
            <w:pPr>
              <w:widowControl/>
              <w:jc w:val="left"/>
              <w:rPr>
                <w:rFonts w:ascii="宋体" w:hAnsi="宋体" w:cs="宋体"/>
                <w:szCs w:val="21"/>
              </w:rPr>
            </w:pPr>
            <w:r>
              <w:rPr>
                <w:rFonts w:hint="eastAsia" w:ascii="宋体" w:hAnsi="宋体" w:cs="宋体"/>
                <w:szCs w:val="21"/>
              </w:rPr>
              <w:t>防护挡板</w:t>
            </w:r>
          </w:p>
        </w:tc>
        <w:tc>
          <w:tcPr>
            <w:tcW w:w="4265" w:type="dxa"/>
            <w:noWrap/>
            <w:vAlign w:val="center"/>
          </w:tcPr>
          <w:p>
            <w:pPr>
              <w:widowControl/>
              <w:jc w:val="left"/>
              <w:rPr>
                <w:rFonts w:ascii="宋体" w:hAnsi="宋体" w:cs="宋体"/>
                <w:szCs w:val="21"/>
              </w:rPr>
            </w:pPr>
            <w:r>
              <w:rPr>
                <w:rFonts w:hint="eastAsia" w:ascii="宋体" w:hAnsi="宋体" w:cs="宋体"/>
                <w:szCs w:val="21"/>
              </w:rPr>
              <w:t>有效，无破损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20</w:t>
            </w:r>
          </w:p>
        </w:tc>
        <w:tc>
          <w:tcPr>
            <w:tcW w:w="4700" w:type="dxa"/>
            <w:noWrap/>
            <w:vAlign w:val="center"/>
          </w:tcPr>
          <w:p>
            <w:pPr>
              <w:widowControl/>
              <w:jc w:val="left"/>
              <w:rPr>
                <w:rFonts w:ascii="宋体" w:hAnsi="宋体" w:cs="宋体"/>
                <w:szCs w:val="21"/>
              </w:rPr>
            </w:pPr>
            <w:r>
              <w:rPr>
                <w:rFonts w:hint="eastAsia" w:ascii="宋体" w:hAnsi="宋体" w:cs="宋体"/>
                <w:szCs w:val="21"/>
              </w:rPr>
              <w:t>梯级滚轮和梯级导轨</w:t>
            </w:r>
          </w:p>
        </w:tc>
        <w:tc>
          <w:tcPr>
            <w:tcW w:w="4265" w:type="dxa"/>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21</w:t>
            </w:r>
          </w:p>
        </w:tc>
        <w:tc>
          <w:tcPr>
            <w:tcW w:w="4700" w:type="dxa"/>
            <w:noWrap/>
            <w:vAlign w:val="center"/>
          </w:tcPr>
          <w:p>
            <w:pPr>
              <w:widowControl/>
              <w:jc w:val="left"/>
              <w:rPr>
                <w:rFonts w:ascii="宋体" w:hAnsi="宋体" w:cs="宋体"/>
                <w:szCs w:val="21"/>
              </w:rPr>
            </w:pPr>
            <w:r>
              <w:rPr>
                <w:rFonts w:hint="eastAsia" w:ascii="宋体" w:hAnsi="宋体" w:cs="宋体"/>
                <w:szCs w:val="21"/>
              </w:rPr>
              <w:t>梯级、踏板与围裙板之间的间隙</w:t>
            </w:r>
          </w:p>
        </w:tc>
        <w:tc>
          <w:tcPr>
            <w:tcW w:w="4265" w:type="dxa"/>
            <w:noWrap/>
            <w:vAlign w:val="center"/>
          </w:tcPr>
          <w:p>
            <w:pPr>
              <w:widowControl/>
              <w:jc w:val="left"/>
              <w:rPr>
                <w:rFonts w:ascii="宋体" w:hAnsi="宋体" w:cs="宋体"/>
                <w:szCs w:val="21"/>
              </w:rPr>
            </w:pPr>
            <w:r>
              <w:rPr>
                <w:rFonts w:hint="eastAsia" w:ascii="宋体" w:hAnsi="宋体" w:cs="宋体"/>
                <w:szCs w:val="21"/>
              </w:rPr>
              <w:t>任何一侧的水平间隙及两侧间隙之和符合</w:t>
            </w:r>
          </w:p>
          <w:p>
            <w:pPr>
              <w:widowControl/>
              <w:jc w:val="left"/>
              <w:rPr>
                <w:rFonts w:ascii="宋体" w:hAnsi="宋体" w:cs="宋体"/>
                <w:szCs w:val="21"/>
              </w:rPr>
            </w:pPr>
            <w:r>
              <w:rPr>
                <w:rFonts w:hint="eastAsia" w:ascii="宋体" w:hAnsi="宋体" w:cs="宋体"/>
                <w:szCs w:val="21"/>
              </w:rPr>
              <w:t>标推值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22</w:t>
            </w:r>
          </w:p>
        </w:tc>
        <w:tc>
          <w:tcPr>
            <w:tcW w:w="4700" w:type="dxa"/>
            <w:noWrap/>
            <w:vAlign w:val="center"/>
          </w:tcPr>
          <w:p>
            <w:pPr>
              <w:widowControl/>
              <w:jc w:val="left"/>
              <w:rPr>
                <w:rFonts w:ascii="宋体" w:hAnsi="宋体" w:cs="宋体"/>
                <w:szCs w:val="21"/>
              </w:rPr>
            </w:pPr>
            <w:r>
              <w:rPr>
                <w:rFonts w:hint="eastAsia" w:ascii="宋体" w:hAnsi="宋体" w:cs="宋体"/>
                <w:szCs w:val="21"/>
              </w:rPr>
              <w:t>运行方向显示</w:t>
            </w:r>
          </w:p>
        </w:tc>
        <w:tc>
          <w:tcPr>
            <w:tcW w:w="4265" w:type="dxa"/>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23</w:t>
            </w:r>
          </w:p>
        </w:tc>
        <w:tc>
          <w:tcPr>
            <w:tcW w:w="4700" w:type="dxa"/>
            <w:noWrap/>
            <w:vAlign w:val="center"/>
          </w:tcPr>
          <w:p>
            <w:pPr>
              <w:widowControl/>
              <w:jc w:val="left"/>
              <w:rPr>
                <w:rFonts w:ascii="宋体" w:hAnsi="宋体" w:cs="宋体"/>
                <w:szCs w:val="21"/>
              </w:rPr>
            </w:pPr>
            <w:r>
              <w:rPr>
                <w:rFonts w:hint="eastAsia" w:ascii="宋体" w:hAnsi="宋体" w:cs="宋体"/>
                <w:szCs w:val="21"/>
              </w:rPr>
              <w:t>扶手带入口处保护开关</w:t>
            </w:r>
          </w:p>
        </w:tc>
        <w:tc>
          <w:tcPr>
            <w:tcW w:w="4265" w:type="dxa"/>
            <w:noWrap/>
            <w:vAlign w:val="center"/>
          </w:tcPr>
          <w:p>
            <w:pPr>
              <w:widowControl/>
              <w:jc w:val="left"/>
              <w:rPr>
                <w:rFonts w:ascii="宋体" w:hAnsi="宋体" w:cs="宋体"/>
                <w:szCs w:val="21"/>
              </w:rPr>
            </w:pPr>
            <w:r>
              <w:rPr>
                <w:rFonts w:hint="eastAsia" w:ascii="宋体" w:hAnsi="宋体" w:cs="宋体"/>
                <w:szCs w:val="21"/>
              </w:rPr>
              <w:t>动作灵活可靠，清除入口处垃圾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24</w:t>
            </w:r>
          </w:p>
        </w:tc>
        <w:tc>
          <w:tcPr>
            <w:tcW w:w="4700" w:type="dxa"/>
            <w:noWrap/>
            <w:vAlign w:val="center"/>
          </w:tcPr>
          <w:p>
            <w:pPr>
              <w:widowControl/>
              <w:jc w:val="left"/>
              <w:rPr>
                <w:rFonts w:ascii="宋体" w:hAnsi="宋体" w:cs="宋体"/>
                <w:szCs w:val="21"/>
              </w:rPr>
            </w:pPr>
            <w:r>
              <w:rPr>
                <w:rFonts w:hint="eastAsia" w:ascii="宋体" w:hAnsi="宋体" w:cs="宋体"/>
                <w:szCs w:val="21"/>
              </w:rPr>
              <w:t>扶手带</w:t>
            </w:r>
          </w:p>
        </w:tc>
        <w:tc>
          <w:tcPr>
            <w:tcW w:w="4265" w:type="dxa"/>
            <w:noWrap/>
            <w:vAlign w:val="center"/>
          </w:tcPr>
          <w:p>
            <w:pPr>
              <w:widowControl/>
              <w:jc w:val="left"/>
              <w:rPr>
                <w:rFonts w:ascii="宋体" w:hAnsi="宋体" w:cs="宋体"/>
                <w:szCs w:val="21"/>
              </w:rPr>
            </w:pPr>
            <w:r>
              <w:rPr>
                <w:rFonts w:hint="eastAsia" w:ascii="宋体" w:hAnsi="宋体" w:cs="宋体"/>
                <w:szCs w:val="21"/>
              </w:rPr>
              <w:t>表面无毛刺，无机械损伤，运行无摩擦</w:t>
            </w:r>
          </w:p>
        </w:tc>
      </w:tr>
    </w:tbl>
    <w:p>
      <w:pPr>
        <w:widowControl/>
        <w:jc w:val="right"/>
        <w:rPr>
          <w:rFonts w:ascii="宋体" w:hAnsi="宋体" w:cs="宋体"/>
          <w:szCs w:val="21"/>
        </w:rPr>
      </w:pPr>
    </w:p>
    <w:p>
      <w:pPr>
        <w:widowControl/>
        <w:jc w:val="right"/>
        <w:rPr>
          <w:rFonts w:ascii="宋体" w:hAnsi="宋体" w:cs="宋体"/>
          <w:szCs w:val="21"/>
        </w:rPr>
      </w:pPr>
    </w:p>
    <w:p>
      <w:pPr>
        <w:widowControl/>
        <w:jc w:val="right"/>
        <w:rPr>
          <w:rFonts w:ascii="宋体" w:hAnsi="宋体" w:cs="宋体"/>
          <w:szCs w:val="21"/>
        </w:rPr>
      </w:pPr>
    </w:p>
    <w:p>
      <w:pPr>
        <w:widowControl/>
        <w:jc w:val="right"/>
        <w:rPr>
          <w:rFonts w:ascii="宋体" w:hAnsi="宋体" w:cs="宋体"/>
          <w:szCs w:val="21"/>
        </w:rPr>
      </w:pPr>
    </w:p>
    <w:p>
      <w:pPr>
        <w:widowControl/>
        <w:jc w:val="right"/>
        <w:rPr>
          <w:rFonts w:ascii="宋体" w:hAnsi="宋体" w:cs="宋体"/>
          <w:szCs w:val="21"/>
        </w:rPr>
      </w:pPr>
    </w:p>
    <w:p>
      <w:pPr>
        <w:widowControl/>
        <w:jc w:val="right"/>
        <w:rPr>
          <w:rFonts w:ascii="宋体" w:hAnsi="宋体" w:cs="宋体"/>
          <w:szCs w:val="21"/>
        </w:rPr>
      </w:pPr>
      <w:r>
        <w:rPr>
          <w:rFonts w:hint="eastAsia" w:ascii="宋体" w:hAnsi="宋体" w:cs="宋体"/>
          <w:szCs w:val="21"/>
        </w:rPr>
        <w:t>续表</w:t>
      </w:r>
    </w:p>
    <w:tbl>
      <w:tblPr>
        <w:tblStyle w:val="10"/>
        <w:tblW w:w="9870" w:type="dxa"/>
        <w:tblInd w:w="-312"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40"/>
        <w:gridCol w:w="4725"/>
        <w:gridCol w:w="430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序号</w:t>
            </w:r>
          </w:p>
        </w:tc>
        <w:tc>
          <w:tcPr>
            <w:tcW w:w="4725" w:type="dxa"/>
            <w:tcBorders>
              <w:top w:val="single" w:color="auto" w:sz="6" w:space="0"/>
              <w:left w:val="single" w:color="auto" w:sz="6"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维保项目（内容）</w:t>
            </w:r>
          </w:p>
        </w:tc>
        <w:tc>
          <w:tcPr>
            <w:tcW w:w="4305" w:type="dxa"/>
            <w:tcBorders>
              <w:top w:val="single" w:color="auto" w:sz="6" w:space="0"/>
              <w:left w:val="single" w:color="auto" w:sz="6" w:space="0"/>
              <w:bottom w:val="single" w:color="auto" w:sz="6" w:space="0"/>
              <w:right w:val="single" w:color="auto" w:sz="12" w:space="0"/>
            </w:tcBorders>
            <w:noWrap/>
            <w:vAlign w:val="center"/>
          </w:tcPr>
          <w:p>
            <w:pPr>
              <w:widowControl/>
              <w:jc w:val="center"/>
              <w:rPr>
                <w:rFonts w:ascii="宋体" w:hAnsi="宋体" w:cs="宋体"/>
                <w:szCs w:val="21"/>
              </w:rPr>
            </w:pPr>
            <w:r>
              <w:rPr>
                <w:rFonts w:hint="eastAsia" w:ascii="宋体" w:hAnsi="宋体" w:cs="宋体"/>
                <w:szCs w:val="21"/>
              </w:rPr>
              <w:t>维保基本要求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25</w:t>
            </w:r>
          </w:p>
        </w:tc>
        <w:tc>
          <w:tcPr>
            <w:tcW w:w="4725"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扶手带运行</w:t>
            </w:r>
          </w:p>
        </w:tc>
        <w:tc>
          <w:tcPr>
            <w:tcW w:w="430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速度正常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26</w:t>
            </w:r>
          </w:p>
        </w:tc>
        <w:tc>
          <w:tcPr>
            <w:tcW w:w="4725"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扶手护壁板</w:t>
            </w:r>
          </w:p>
        </w:tc>
        <w:tc>
          <w:tcPr>
            <w:tcW w:w="430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牢固可靠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27</w:t>
            </w:r>
          </w:p>
        </w:tc>
        <w:tc>
          <w:tcPr>
            <w:tcW w:w="4725"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上下出入口处的照明</w:t>
            </w:r>
          </w:p>
        </w:tc>
        <w:tc>
          <w:tcPr>
            <w:tcW w:w="430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28</w:t>
            </w:r>
          </w:p>
        </w:tc>
        <w:tc>
          <w:tcPr>
            <w:tcW w:w="4725"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上下出入口和扶梯之间保护栏杆</w:t>
            </w:r>
          </w:p>
        </w:tc>
        <w:tc>
          <w:tcPr>
            <w:tcW w:w="430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牢固可靠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29</w:t>
            </w:r>
          </w:p>
        </w:tc>
        <w:tc>
          <w:tcPr>
            <w:tcW w:w="4725"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出入口安全警示标志</w:t>
            </w:r>
          </w:p>
        </w:tc>
        <w:tc>
          <w:tcPr>
            <w:tcW w:w="430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齐全，醒目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30</w:t>
            </w:r>
          </w:p>
        </w:tc>
        <w:tc>
          <w:tcPr>
            <w:tcW w:w="4725"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分离机房、各驱动和转向站</w:t>
            </w:r>
          </w:p>
        </w:tc>
        <w:tc>
          <w:tcPr>
            <w:tcW w:w="430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清洁，无杂物</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31</w:t>
            </w:r>
          </w:p>
        </w:tc>
        <w:tc>
          <w:tcPr>
            <w:tcW w:w="4725"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自动运行功能</w:t>
            </w:r>
          </w:p>
        </w:tc>
        <w:tc>
          <w:tcPr>
            <w:tcW w:w="430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840"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32</w:t>
            </w:r>
          </w:p>
        </w:tc>
        <w:tc>
          <w:tcPr>
            <w:tcW w:w="4725"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紧急停止开关</w:t>
            </w:r>
          </w:p>
        </w:tc>
        <w:tc>
          <w:tcPr>
            <w:tcW w:w="430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840" w:type="dxa"/>
            <w:tcBorders>
              <w:top w:val="single" w:color="auto" w:sz="6" w:space="0"/>
              <w:left w:val="single" w:color="auto" w:sz="12" w:space="0"/>
              <w:bottom w:val="single" w:color="auto" w:sz="12"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33</w:t>
            </w:r>
          </w:p>
        </w:tc>
        <w:tc>
          <w:tcPr>
            <w:tcW w:w="4725" w:type="dxa"/>
            <w:tcBorders>
              <w:top w:val="single" w:color="auto" w:sz="6" w:space="0"/>
              <w:left w:val="single" w:color="auto" w:sz="6" w:space="0"/>
              <w:bottom w:val="single" w:color="auto" w:sz="12"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驱动主机的固定</w:t>
            </w:r>
          </w:p>
        </w:tc>
        <w:tc>
          <w:tcPr>
            <w:tcW w:w="4305" w:type="dxa"/>
            <w:tcBorders>
              <w:top w:val="single" w:color="auto" w:sz="6" w:space="0"/>
              <w:left w:val="single" w:color="auto" w:sz="6" w:space="0"/>
              <w:bottom w:val="single" w:color="auto" w:sz="12"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牢固可靠</w:t>
            </w:r>
          </w:p>
        </w:tc>
      </w:tr>
    </w:tbl>
    <w:p>
      <w:pPr>
        <w:widowControl/>
        <w:adjustRightInd w:val="0"/>
        <w:snapToGrid w:val="0"/>
        <w:spacing w:line="360" w:lineRule="auto"/>
        <w:ind w:firstLine="420" w:firstLineChars="200"/>
        <w:jc w:val="left"/>
        <w:rPr>
          <w:rFonts w:ascii="宋体" w:hAnsi="宋体" w:cs="宋体"/>
          <w:szCs w:val="21"/>
        </w:rPr>
      </w:pPr>
    </w:p>
    <w:p>
      <w:pPr>
        <w:widowControl/>
        <w:adjustRightInd w:val="0"/>
        <w:snapToGrid w:val="0"/>
        <w:spacing w:line="360" w:lineRule="auto"/>
        <w:ind w:firstLine="420" w:firstLineChars="200"/>
        <w:jc w:val="left"/>
        <w:rPr>
          <w:rFonts w:ascii="宋体" w:hAnsi="宋体" w:cs="宋体"/>
          <w:szCs w:val="21"/>
        </w:rPr>
      </w:pPr>
    </w:p>
    <w:p>
      <w:pPr>
        <w:rPr>
          <w:rFonts w:ascii="宋体" w:hAnsi="宋体" w:cs="宋体"/>
          <w:b/>
          <w:szCs w:val="21"/>
        </w:rPr>
      </w:pPr>
      <w:r>
        <w:rPr>
          <w:rFonts w:hint="eastAsia" w:ascii="宋体" w:hAnsi="宋体" w:cs="宋体"/>
          <w:b/>
          <w:szCs w:val="21"/>
        </w:rPr>
        <w:br w:type="page"/>
      </w:r>
    </w:p>
    <w:p>
      <w:pPr>
        <w:widowControl/>
        <w:adjustRightInd w:val="0"/>
        <w:snapToGrid w:val="0"/>
        <w:spacing w:line="360" w:lineRule="auto"/>
        <w:ind w:firstLine="422" w:firstLineChars="200"/>
        <w:jc w:val="center"/>
        <w:rPr>
          <w:rFonts w:ascii="宋体" w:hAnsi="宋体" w:cs="宋体"/>
          <w:b/>
          <w:szCs w:val="21"/>
        </w:rPr>
      </w:pPr>
      <w:r>
        <w:rPr>
          <w:rFonts w:hint="eastAsia" w:ascii="宋体" w:hAnsi="宋体" w:cs="宋体"/>
          <w:b/>
          <w:szCs w:val="21"/>
        </w:rPr>
        <w:t>D2  季度维保项目（内容）和要求</w:t>
      </w:r>
    </w:p>
    <w:p>
      <w:pPr>
        <w:widowControl/>
        <w:adjustRightInd w:val="0"/>
        <w:snapToGrid w:val="0"/>
        <w:spacing w:line="360" w:lineRule="auto"/>
        <w:ind w:firstLine="420" w:firstLineChars="200"/>
        <w:rPr>
          <w:rFonts w:ascii="宋体" w:hAnsi="宋体" w:cs="宋体"/>
          <w:szCs w:val="21"/>
        </w:rPr>
      </w:pPr>
      <w:r>
        <w:rPr>
          <w:rFonts w:hint="eastAsia" w:ascii="宋体" w:hAnsi="宋体" w:cs="宋体"/>
          <w:szCs w:val="21"/>
        </w:rPr>
        <w:t>季度维保项目（内容）和要求除符合D1半月维保的项目（内容）和要求外，还应当符合表D-2的项目（内容）和要求。</w:t>
      </w:r>
    </w:p>
    <w:p>
      <w:pPr>
        <w:widowControl/>
        <w:adjustRightInd w:val="0"/>
        <w:snapToGrid w:val="0"/>
        <w:spacing w:line="360" w:lineRule="auto"/>
        <w:jc w:val="center"/>
        <w:rPr>
          <w:rFonts w:ascii="宋体" w:hAnsi="宋体" w:cs="宋体"/>
          <w:szCs w:val="21"/>
        </w:rPr>
      </w:pPr>
      <w:r>
        <w:rPr>
          <w:rFonts w:hint="eastAsia" w:ascii="宋体" w:hAnsi="宋体" w:cs="宋体"/>
          <w:szCs w:val="21"/>
        </w:rPr>
        <w:t>表D-2  季度维保项目（内容）和要求</w:t>
      </w:r>
    </w:p>
    <w:tbl>
      <w:tblPr>
        <w:tblStyle w:val="10"/>
        <w:tblW w:w="9330" w:type="dxa"/>
        <w:tblInd w:w="113"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15"/>
        <w:gridCol w:w="3420"/>
        <w:gridCol w:w="519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12"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序号</w:t>
            </w:r>
          </w:p>
        </w:tc>
        <w:tc>
          <w:tcPr>
            <w:tcW w:w="3420" w:type="dxa"/>
            <w:tcBorders>
              <w:top w:val="single" w:color="auto" w:sz="12" w:space="0"/>
              <w:left w:val="single" w:color="auto" w:sz="6"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维保项目（内容）</w:t>
            </w:r>
          </w:p>
        </w:tc>
        <w:tc>
          <w:tcPr>
            <w:tcW w:w="5195" w:type="dxa"/>
            <w:tcBorders>
              <w:top w:val="single" w:color="auto" w:sz="12" w:space="0"/>
              <w:left w:val="single" w:color="auto" w:sz="6" w:space="0"/>
              <w:bottom w:val="single" w:color="auto" w:sz="6" w:space="0"/>
              <w:right w:val="single" w:color="auto" w:sz="12" w:space="0"/>
            </w:tcBorders>
            <w:noWrap/>
            <w:vAlign w:val="center"/>
          </w:tcPr>
          <w:p>
            <w:pPr>
              <w:widowControl/>
              <w:jc w:val="center"/>
              <w:rPr>
                <w:rFonts w:ascii="宋体" w:hAnsi="宋体" w:cs="宋体"/>
                <w:szCs w:val="21"/>
              </w:rPr>
            </w:pPr>
            <w:r>
              <w:rPr>
                <w:rFonts w:hint="eastAsia" w:ascii="宋体" w:hAnsi="宋体" w:cs="宋体"/>
                <w:szCs w:val="21"/>
              </w:rPr>
              <w:t>维保基本要求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扶手带的运行速度</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相对于梯级、踏板或者胶带的速度允差为0~+2%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梯级链张紧装置</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3</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梯级轴衬</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润滑有效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4</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梯级链润滑</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运行工侃正裳</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5</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防灌水保护装置</w:t>
            </w:r>
          </w:p>
        </w:tc>
        <w:tc>
          <w:tcPr>
            <w:tcW w:w="5195"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动作可靠（雨季到来之前必须完成）</w:t>
            </w:r>
          </w:p>
        </w:tc>
      </w:tr>
    </w:tbl>
    <w:p>
      <w:pPr>
        <w:widowControl/>
        <w:adjustRightInd w:val="0"/>
        <w:snapToGrid w:val="0"/>
        <w:spacing w:line="360" w:lineRule="auto"/>
        <w:ind w:firstLine="420" w:firstLineChars="200"/>
        <w:jc w:val="left"/>
        <w:rPr>
          <w:rFonts w:ascii="宋体" w:hAnsi="宋体" w:cs="宋体"/>
          <w:szCs w:val="21"/>
        </w:rPr>
      </w:pPr>
    </w:p>
    <w:p>
      <w:pPr>
        <w:rPr>
          <w:rFonts w:hint="eastAsia" w:ascii="宋体" w:hAnsi="宋体" w:cs="宋体"/>
          <w:b/>
          <w:szCs w:val="21"/>
        </w:rPr>
      </w:pPr>
      <w:r>
        <w:rPr>
          <w:rFonts w:hint="eastAsia" w:ascii="宋体" w:hAnsi="宋体" w:cs="宋体"/>
          <w:b/>
          <w:szCs w:val="21"/>
        </w:rPr>
        <w:br w:type="page"/>
      </w:r>
    </w:p>
    <w:p>
      <w:pPr>
        <w:widowControl/>
        <w:adjustRightInd w:val="0"/>
        <w:snapToGrid w:val="0"/>
        <w:spacing w:line="360" w:lineRule="auto"/>
        <w:ind w:firstLine="422" w:firstLineChars="200"/>
        <w:jc w:val="center"/>
        <w:rPr>
          <w:rFonts w:ascii="宋体" w:hAnsi="宋体" w:cs="宋体"/>
          <w:b/>
          <w:szCs w:val="21"/>
        </w:rPr>
      </w:pPr>
      <w:r>
        <w:rPr>
          <w:rFonts w:hint="eastAsia" w:ascii="宋体" w:hAnsi="宋体" w:cs="宋体"/>
          <w:b/>
          <w:szCs w:val="21"/>
        </w:rPr>
        <w:t>D3  半年维保项目（内容）和要求</w:t>
      </w:r>
    </w:p>
    <w:p>
      <w:pPr>
        <w:widowControl/>
        <w:adjustRightInd w:val="0"/>
        <w:snapToGrid w:val="0"/>
        <w:spacing w:line="360" w:lineRule="auto"/>
        <w:ind w:firstLine="420" w:firstLineChars="200"/>
        <w:jc w:val="left"/>
        <w:rPr>
          <w:rFonts w:ascii="宋体" w:hAnsi="宋体" w:cs="宋体"/>
          <w:szCs w:val="21"/>
        </w:rPr>
      </w:pPr>
      <w:r>
        <w:rPr>
          <w:rFonts w:hint="eastAsia" w:ascii="宋体" w:hAnsi="宋体" w:cs="宋体"/>
          <w:szCs w:val="21"/>
        </w:rPr>
        <w:t>半年维保项目（内容）和要求除符合D2季度维保的项目（内容）和要求外，还应当符合表D-3的项目（内容）和要求。</w:t>
      </w:r>
    </w:p>
    <w:p>
      <w:pPr>
        <w:widowControl/>
        <w:adjustRightInd w:val="0"/>
        <w:snapToGrid w:val="0"/>
        <w:spacing w:line="360" w:lineRule="auto"/>
        <w:jc w:val="center"/>
        <w:rPr>
          <w:rFonts w:ascii="宋体" w:hAnsi="宋体" w:cs="宋体"/>
          <w:szCs w:val="21"/>
        </w:rPr>
      </w:pPr>
      <w:r>
        <w:rPr>
          <w:rFonts w:hint="eastAsia" w:ascii="宋体" w:hAnsi="宋体" w:cs="宋体"/>
          <w:szCs w:val="21"/>
        </w:rPr>
        <w:t>表D-3  半年维保项目（内容）和要求</w:t>
      </w:r>
    </w:p>
    <w:tbl>
      <w:tblPr>
        <w:tblStyle w:val="10"/>
        <w:tblW w:w="9094" w:type="dxa"/>
        <w:tblInd w:w="113"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15"/>
        <w:gridCol w:w="3420"/>
        <w:gridCol w:w="495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12"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序号</w:t>
            </w:r>
          </w:p>
        </w:tc>
        <w:tc>
          <w:tcPr>
            <w:tcW w:w="3420" w:type="dxa"/>
            <w:tcBorders>
              <w:top w:val="single" w:color="auto" w:sz="12" w:space="0"/>
              <w:left w:val="single" w:color="auto" w:sz="6"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维保项目（内容）</w:t>
            </w:r>
          </w:p>
        </w:tc>
        <w:tc>
          <w:tcPr>
            <w:tcW w:w="4959" w:type="dxa"/>
            <w:tcBorders>
              <w:top w:val="single" w:color="auto" w:sz="12" w:space="0"/>
              <w:left w:val="single" w:color="auto" w:sz="6" w:space="0"/>
              <w:bottom w:val="single" w:color="auto" w:sz="6" w:space="0"/>
              <w:right w:val="single" w:color="auto" w:sz="12" w:space="0"/>
            </w:tcBorders>
            <w:noWrap/>
            <w:vAlign w:val="center"/>
          </w:tcPr>
          <w:p>
            <w:pPr>
              <w:widowControl/>
              <w:jc w:val="center"/>
              <w:rPr>
                <w:rFonts w:ascii="宋体" w:hAnsi="宋体" w:cs="宋体"/>
                <w:szCs w:val="21"/>
              </w:rPr>
            </w:pPr>
            <w:r>
              <w:rPr>
                <w:rFonts w:hint="eastAsia" w:ascii="宋体" w:hAnsi="宋体" w:cs="宋体"/>
                <w:szCs w:val="21"/>
              </w:rPr>
              <w:t>维保基本要求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制动衬厚度</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不小干制造单位要求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主驱动链</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清理表面油污，润滑</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3</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主驱动链链条滑块</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清洁，厚度符合制造单位要求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4</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电动机与减速机联轴器</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连接无松动，弹性元件外观良好，无老化等现象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5</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空载向下运行制动距离</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符合标准值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6</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制动器机械装置</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润滑，工作有效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7</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附加制动器</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清洁和润滑，功能可靠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8</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减速机润滑油</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按照制造单位的要求进行检查、更换</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vMerge w:val="restart"/>
            <w:tcBorders>
              <w:top w:val="single" w:color="auto" w:sz="6" w:space="0"/>
              <w:left w:val="single" w:color="auto" w:sz="12"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9</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调整梳齿板梳齿与踏板面齿槽</w:t>
            </w:r>
          </w:p>
        </w:tc>
        <w:tc>
          <w:tcPr>
            <w:tcW w:w="4959" w:type="dxa"/>
            <w:vMerge w:val="restart"/>
            <w:tcBorders>
              <w:top w:val="single" w:color="auto" w:sz="6" w:space="0"/>
              <w:left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符合标進值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vMerge w:val="continue"/>
            <w:tcBorders>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合深度和间隙</w:t>
            </w:r>
          </w:p>
        </w:tc>
        <w:tc>
          <w:tcPr>
            <w:tcW w:w="4959" w:type="dxa"/>
            <w:vMerge w:val="continue"/>
            <w:tcBorders>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10</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扶手带张紧度张紧弹策负荷长度</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符合制造单位要求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11</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扶手带速度监控系统</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12</w:t>
            </w:r>
          </w:p>
        </w:tc>
        <w:tc>
          <w:tcPr>
            <w:tcW w:w="3420"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梯級踏板加热装置</w:t>
            </w:r>
          </w:p>
        </w:tc>
        <w:tc>
          <w:tcPr>
            <w:tcW w:w="4959"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功能正常，温度感应器接线牢固(冬季到来之前必须完成)</w:t>
            </w:r>
          </w:p>
        </w:tc>
      </w:tr>
    </w:tbl>
    <w:p>
      <w:pPr>
        <w:rPr>
          <w:rFonts w:ascii="宋体" w:hAnsi="宋体" w:cs="宋体"/>
          <w:b/>
          <w:szCs w:val="21"/>
        </w:rPr>
      </w:pPr>
      <w:r>
        <w:rPr>
          <w:rFonts w:hint="eastAsia" w:ascii="宋体" w:hAnsi="宋体" w:cs="宋体"/>
          <w:b/>
          <w:szCs w:val="21"/>
        </w:rPr>
        <w:br w:type="page"/>
      </w:r>
    </w:p>
    <w:p>
      <w:pPr>
        <w:widowControl/>
        <w:adjustRightInd w:val="0"/>
        <w:snapToGrid w:val="0"/>
        <w:spacing w:line="360" w:lineRule="auto"/>
        <w:ind w:firstLine="422" w:firstLineChars="200"/>
        <w:jc w:val="center"/>
        <w:rPr>
          <w:rFonts w:ascii="宋体" w:hAnsi="宋体" w:cs="宋体"/>
          <w:b/>
          <w:szCs w:val="21"/>
        </w:rPr>
      </w:pPr>
      <w:r>
        <w:rPr>
          <w:rFonts w:hint="eastAsia" w:ascii="宋体" w:hAnsi="宋体" w:cs="宋体"/>
          <w:b/>
          <w:szCs w:val="21"/>
        </w:rPr>
        <w:t>D4  年度维保项目（内容）和要求</w:t>
      </w:r>
    </w:p>
    <w:p>
      <w:pPr>
        <w:widowControl/>
        <w:adjustRightInd w:val="0"/>
        <w:snapToGrid w:val="0"/>
        <w:spacing w:line="360" w:lineRule="auto"/>
        <w:ind w:firstLine="420" w:firstLineChars="200"/>
        <w:jc w:val="left"/>
        <w:rPr>
          <w:rFonts w:ascii="宋体" w:hAnsi="宋体" w:cs="宋体"/>
          <w:szCs w:val="21"/>
        </w:rPr>
      </w:pPr>
      <w:r>
        <w:rPr>
          <w:rFonts w:hint="eastAsia" w:ascii="宋体" w:hAnsi="宋体" w:cs="宋体"/>
          <w:szCs w:val="21"/>
        </w:rPr>
        <w:t>年度维保项目（内容）和要求除符合D3半年维保的项目（内容）和要求外，还应当符合表D-4的项目（内容）和要求。</w:t>
      </w:r>
    </w:p>
    <w:p>
      <w:pPr>
        <w:widowControl/>
        <w:adjustRightInd w:val="0"/>
        <w:snapToGrid w:val="0"/>
        <w:spacing w:line="360" w:lineRule="auto"/>
        <w:jc w:val="center"/>
        <w:rPr>
          <w:rFonts w:ascii="宋体" w:hAnsi="宋体" w:cs="宋体"/>
          <w:szCs w:val="21"/>
        </w:rPr>
      </w:pPr>
      <w:r>
        <w:rPr>
          <w:rFonts w:hint="eastAsia" w:ascii="宋体" w:hAnsi="宋体" w:cs="宋体"/>
          <w:szCs w:val="21"/>
        </w:rPr>
        <w:t>表D-4  年度维保项目（内容）和要求</w:t>
      </w:r>
    </w:p>
    <w:tbl>
      <w:tblPr>
        <w:tblStyle w:val="10"/>
        <w:tblW w:w="9129" w:type="dxa"/>
        <w:tblInd w:w="113"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15"/>
        <w:gridCol w:w="2743"/>
        <w:gridCol w:w="567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12"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序号</w:t>
            </w:r>
          </w:p>
        </w:tc>
        <w:tc>
          <w:tcPr>
            <w:tcW w:w="2743" w:type="dxa"/>
            <w:tcBorders>
              <w:top w:val="single" w:color="auto" w:sz="12" w:space="0"/>
              <w:left w:val="single" w:color="auto" w:sz="6"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维保项目（内容）</w:t>
            </w:r>
          </w:p>
        </w:tc>
        <w:tc>
          <w:tcPr>
            <w:tcW w:w="5671" w:type="dxa"/>
            <w:tcBorders>
              <w:top w:val="single" w:color="auto" w:sz="12" w:space="0"/>
              <w:left w:val="single" w:color="auto" w:sz="6" w:space="0"/>
              <w:bottom w:val="single" w:color="auto" w:sz="6" w:space="0"/>
              <w:right w:val="single" w:color="auto" w:sz="12" w:space="0"/>
            </w:tcBorders>
            <w:noWrap/>
            <w:vAlign w:val="center"/>
          </w:tcPr>
          <w:p>
            <w:pPr>
              <w:widowControl/>
              <w:jc w:val="center"/>
              <w:rPr>
                <w:rFonts w:ascii="宋体" w:hAnsi="宋体" w:cs="宋体"/>
                <w:szCs w:val="21"/>
              </w:rPr>
            </w:pPr>
            <w:r>
              <w:rPr>
                <w:rFonts w:hint="eastAsia" w:ascii="宋体" w:hAnsi="宋体" w:cs="宋体"/>
                <w:szCs w:val="21"/>
              </w:rPr>
              <w:t>维保基本要求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w:t>
            </w:r>
          </w:p>
        </w:tc>
        <w:tc>
          <w:tcPr>
            <w:tcW w:w="2743"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主接触器</w:t>
            </w:r>
          </w:p>
        </w:tc>
        <w:tc>
          <w:tcPr>
            <w:tcW w:w="5671"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工作可靠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2</w:t>
            </w:r>
          </w:p>
        </w:tc>
        <w:tc>
          <w:tcPr>
            <w:tcW w:w="2743"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主机速度检测功能</w:t>
            </w:r>
          </w:p>
        </w:tc>
        <w:tc>
          <w:tcPr>
            <w:tcW w:w="5671"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功能可靠，清洁感应面、感应间隙符合制造单位要求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3</w:t>
            </w:r>
          </w:p>
        </w:tc>
        <w:tc>
          <w:tcPr>
            <w:tcW w:w="2743"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电缆</w:t>
            </w:r>
          </w:p>
        </w:tc>
        <w:tc>
          <w:tcPr>
            <w:tcW w:w="5671"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bCs/>
                <w:szCs w:val="21"/>
              </w:rPr>
              <w:t>无破损，固定牢固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4</w:t>
            </w:r>
          </w:p>
        </w:tc>
        <w:tc>
          <w:tcPr>
            <w:tcW w:w="2743"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扶手带托轮 滑轮群、防静电轮</w:t>
            </w:r>
          </w:p>
        </w:tc>
        <w:tc>
          <w:tcPr>
            <w:tcW w:w="5671"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清洁无损伤.托轮转动平滑</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5</w:t>
            </w:r>
          </w:p>
        </w:tc>
        <w:tc>
          <w:tcPr>
            <w:tcW w:w="2743"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扶手带内侧凸缘处</w:t>
            </w:r>
          </w:p>
        </w:tc>
        <w:tc>
          <w:tcPr>
            <w:tcW w:w="5671"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无损伤，清洁扶手导轨滑动面</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6</w:t>
            </w:r>
          </w:p>
        </w:tc>
        <w:tc>
          <w:tcPr>
            <w:tcW w:w="2743"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扶手带断带保护开关</w:t>
            </w:r>
          </w:p>
        </w:tc>
        <w:tc>
          <w:tcPr>
            <w:tcW w:w="5671"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功能正常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7</w:t>
            </w:r>
          </w:p>
        </w:tc>
        <w:tc>
          <w:tcPr>
            <w:tcW w:w="2743"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扶手带导向块和导向轮</w:t>
            </w:r>
          </w:p>
        </w:tc>
        <w:tc>
          <w:tcPr>
            <w:tcW w:w="5671"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清洁，工作正常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8</w:t>
            </w:r>
          </w:p>
        </w:tc>
        <w:tc>
          <w:tcPr>
            <w:tcW w:w="2743"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进入梳齿板处的梯级与</w:t>
            </w:r>
          </w:p>
          <w:p>
            <w:pPr>
              <w:widowControl/>
              <w:jc w:val="left"/>
              <w:rPr>
                <w:rFonts w:ascii="宋体" w:hAnsi="宋体" w:cs="宋体"/>
                <w:szCs w:val="21"/>
              </w:rPr>
            </w:pPr>
            <w:r>
              <w:rPr>
                <w:rFonts w:hint="eastAsia" w:ascii="宋体" w:hAnsi="宋体" w:cs="宋体"/>
                <w:szCs w:val="21"/>
              </w:rPr>
              <w:t>导轮的轴向窜动量</w:t>
            </w:r>
          </w:p>
        </w:tc>
        <w:tc>
          <w:tcPr>
            <w:tcW w:w="5671"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9</w:t>
            </w:r>
          </w:p>
        </w:tc>
        <w:tc>
          <w:tcPr>
            <w:tcW w:w="2743"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内处盖板连接</w:t>
            </w:r>
          </w:p>
        </w:tc>
        <w:tc>
          <w:tcPr>
            <w:tcW w:w="5671"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紧密牢固，连接处的凸台缝隙符合制造单位要求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10</w:t>
            </w:r>
          </w:p>
        </w:tc>
        <w:tc>
          <w:tcPr>
            <w:tcW w:w="2743"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围裙板安全开关</w:t>
            </w:r>
          </w:p>
        </w:tc>
        <w:tc>
          <w:tcPr>
            <w:tcW w:w="5671"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测试有效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szCs w:val="21"/>
              </w:rPr>
            </w:pPr>
            <w:r>
              <w:rPr>
                <w:rFonts w:hint="eastAsia" w:ascii="宋体" w:hAnsi="宋体" w:cs="宋体"/>
                <w:szCs w:val="21"/>
              </w:rPr>
              <w:t>11</w:t>
            </w:r>
          </w:p>
        </w:tc>
        <w:tc>
          <w:tcPr>
            <w:tcW w:w="2743"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szCs w:val="21"/>
              </w:rPr>
            </w:pPr>
            <w:r>
              <w:rPr>
                <w:rFonts w:hint="eastAsia" w:ascii="宋体" w:hAnsi="宋体" w:cs="宋体"/>
                <w:szCs w:val="21"/>
              </w:rPr>
              <w:t>围裙板对接处</w:t>
            </w:r>
          </w:p>
        </w:tc>
        <w:tc>
          <w:tcPr>
            <w:tcW w:w="5671"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szCs w:val="21"/>
              </w:rPr>
            </w:pPr>
            <w:r>
              <w:rPr>
                <w:rFonts w:hint="eastAsia" w:ascii="宋体" w:hAnsi="宋体" w:cs="宋体"/>
                <w:szCs w:val="21"/>
              </w:rPr>
              <w:t>紧密平滑</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6" w:space="0"/>
              <w:right w:val="single" w:color="auto" w:sz="6" w:space="0"/>
            </w:tcBorders>
            <w:noWrap/>
            <w:vAlign w:val="center"/>
          </w:tcPr>
          <w:p>
            <w:pPr>
              <w:widowControl/>
              <w:jc w:val="center"/>
              <w:rPr>
                <w:rFonts w:ascii="宋体" w:hAnsi="宋体" w:cs="宋体"/>
                <w:bCs/>
                <w:szCs w:val="21"/>
              </w:rPr>
            </w:pPr>
            <w:r>
              <w:rPr>
                <w:rFonts w:hint="eastAsia" w:ascii="宋体" w:hAnsi="宋体" w:cs="宋体"/>
                <w:bCs/>
                <w:szCs w:val="21"/>
              </w:rPr>
              <w:t>12</w:t>
            </w:r>
          </w:p>
        </w:tc>
        <w:tc>
          <w:tcPr>
            <w:tcW w:w="2743" w:type="dxa"/>
            <w:tcBorders>
              <w:top w:val="single" w:color="auto" w:sz="6" w:space="0"/>
              <w:left w:val="single" w:color="auto" w:sz="6" w:space="0"/>
              <w:bottom w:val="single" w:color="auto" w:sz="6" w:space="0"/>
              <w:right w:val="single" w:color="auto" w:sz="6" w:space="0"/>
            </w:tcBorders>
            <w:noWrap/>
            <w:vAlign w:val="center"/>
          </w:tcPr>
          <w:p>
            <w:pPr>
              <w:widowControl/>
              <w:jc w:val="left"/>
              <w:rPr>
                <w:rFonts w:ascii="宋体" w:hAnsi="宋体" w:cs="宋体"/>
                <w:bCs/>
                <w:szCs w:val="21"/>
              </w:rPr>
            </w:pPr>
            <w:r>
              <w:rPr>
                <w:rFonts w:hint="eastAsia" w:ascii="宋体" w:hAnsi="宋体" w:cs="宋体"/>
                <w:bCs/>
                <w:szCs w:val="21"/>
              </w:rPr>
              <w:t>电气安全装置</w:t>
            </w:r>
          </w:p>
        </w:tc>
        <w:tc>
          <w:tcPr>
            <w:tcW w:w="5671" w:type="dxa"/>
            <w:tcBorders>
              <w:top w:val="single" w:color="auto" w:sz="6" w:space="0"/>
              <w:left w:val="single" w:color="auto" w:sz="6" w:space="0"/>
              <w:bottom w:val="single" w:color="auto" w:sz="6" w:space="0"/>
              <w:right w:val="single" w:color="auto" w:sz="12" w:space="0"/>
            </w:tcBorders>
            <w:noWrap/>
            <w:vAlign w:val="center"/>
          </w:tcPr>
          <w:p>
            <w:pPr>
              <w:widowControl/>
              <w:jc w:val="left"/>
              <w:rPr>
                <w:rFonts w:ascii="宋体" w:hAnsi="宋体" w:cs="宋体"/>
                <w:bCs/>
                <w:szCs w:val="21"/>
              </w:rPr>
            </w:pPr>
            <w:r>
              <w:rPr>
                <w:rFonts w:hint="eastAsia" w:ascii="宋体" w:hAnsi="宋体" w:cs="宋体"/>
                <w:bCs/>
                <w:szCs w:val="21"/>
              </w:rPr>
              <w:t>动作可靠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7" w:hRule="atLeast"/>
        </w:trPr>
        <w:tc>
          <w:tcPr>
            <w:tcW w:w="715" w:type="dxa"/>
            <w:tcBorders>
              <w:top w:val="single" w:color="auto" w:sz="6" w:space="0"/>
              <w:left w:val="single" w:color="auto" w:sz="12" w:space="0"/>
              <w:bottom w:val="single" w:color="auto" w:sz="12" w:space="0"/>
              <w:right w:val="single" w:color="auto" w:sz="6" w:space="0"/>
            </w:tcBorders>
            <w:noWrap/>
            <w:vAlign w:val="center"/>
          </w:tcPr>
          <w:p>
            <w:pPr>
              <w:widowControl/>
              <w:jc w:val="center"/>
              <w:rPr>
                <w:rFonts w:ascii="宋体" w:hAnsi="宋体" w:cs="宋体"/>
                <w:bCs/>
                <w:szCs w:val="21"/>
              </w:rPr>
            </w:pPr>
            <w:r>
              <w:rPr>
                <w:rFonts w:hint="eastAsia" w:ascii="宋体" w:hAnsi="宋体" w:cs="宋体"/>
                <w:bCs/>
                <w:szCs w:val="21"/>
              </w:rPr>
              <w:t>13</w:t>
            </w:r>
          </w:p>
        </w:tc>
        <w:tc>
          <w:tcPr>
            <w:tcW w:w="2743" w:type="dxa"/>
            <w:tcBorders>
              <w:top w:val="single" w:color="auto" w:sz="6" w:space="0"/>
              <w:left w:val="single" w:color="auto" w:sz="6" w:space="0"/>
              <w:bottom w:val="single" w:color="auto" w:sz="12" w:space="0"/>
              <w:right w:val="single" w:color="auto" w:sz="6" w:space="0"/>
            </w:tcBorders>
            <w:noWrap/>
            <w:vAlign w:val="center"/>
          </w:tcPr>
          <w:p>
            <w:pPr>
              <w:widowControl/>
              <w:jc w:val="left"/>
              <w:rPr>
                <w:rFonts w:ascii="宋体" w:hAnsi="宋体" w:cs="宋体"/>
                <w:bCs/>
                <w:szCs w:val="21"/>
              </w:rPr>
            </w:pPr>
            <w:r>
              <w:rPr>
                <w:rFonts w:hint="eastAsia" w:ascii="宋体" w:hAnsi="宋体" w:cs="宋体"/>
                <w:bCs/>
                <w:szCs w:val="21"/>
              </w:rPr>
              <w:t>设备运行状况</w:t>
            </w:r>
          </w:p>
        </w:tc>
        <w:tc>
          <w:tcPr>
            <w:tcW w:w="5671" w:type="dxa"/>
            <w:tcBorders>
              <w:top w:val="single" w:color="auto" w:sz="6" w:space="0"/>
              <w:left w:val="single" w:color="auto" w:sz="6" w:space="0"/>
              <w:bottom w:val="single" w:color="auto" w:sz="12" w:space="0"/>
              <w:right w:val="single" w:color="auto" w:sz="12" w:space="0"/>
            </w:tcBorders>
            <w:noWrap/>
            <w:vAlign w:val="center"/>
          </w:tcPr>
          <w:p>
            <w:pPr>
              <w:widowControl/>
              <w:jc w:val="left"/>
              <w:rPr>
                <w:rFonts w:ascii="宋体" w:hAnsi="宋体" w:cs="宋体"/>
                <w:bCs/>
                <w:szCs w:val="21"/>
              </w:rPr>
            </w:pPr>
            <w:r>
              <w:rPr>
                <w:rFonts w:hint="eastAsia" w:ascii="宋体" w:hAnsi="宋体" w:cs="宋体"/>
                <w:bCs/>
                <w:szCs w:val="21"/>
              </w:rPr>
              <w:t>正常，梯级运行平稳，无异常抖动，无异常声响</w:t>
            </w:r>
          </w:p>
        </w:tc>
      </w:tr>
    </w:tbl>
    <w:p>
      <w:pPr>
        <w:widowControl/>
        <w:adjustRightInd w:val="0"/>
        <w:snapToGrid w:val="0"/>
        <w:spacing w:line="360" w:lineRule="auto"/>
        <w:jc w:val="left"/>
        <w:rPr>
          <w:rFonts w:ascii="宋体" w:hAnsi="宋体" w:cs="宋体"/>
          <w:szCs w:val="21"/>
        </w:rPr>
      </w:pPr>
      <w:r>
        <w:rPr>
          <w:rFonts w:hint="eastAsia" w:ascii="宋体" w:hAnsi="宋体" w:cs="宋体"/>
          <w:szCs w:val="21"/>
        </w:rPr>
        <w:t>注：(1)如果某些电梯没有表中的项目（内容），如有的电梯不含有某种部件，项目（内容）可适当进行调整；</w:t>
      </w:r>
    </w:p>
    <w:p>
      <w:pPr>
        <w:widowControl/>
        <w:adjustRightInd w:val="0"/>
        <w:snapToGrid w:val="0"/>
        <w:spacing w:line="360" w:lineRule="auto"/>
        <w:ind w:firstLine="420" w:firstLineChars="200"/>
        <w:jc w:val="left"/>
        <w:rPr>
          <w:rFonts w:ascii="宋体" w:hAnsi="宋体" w:cs="宋体"/>
          <w:szCs w:val="21"/>
        </w:rPr>
      </w:pPr>
      <w:r>
        <w:rPr>
          <w:rFonts w:hint="eastAsia" w:ascii="宋体" w:hAnsi="宋体" w:cs="宋体"/>
          <w:szCs w:val="21"/>
        </w:rPr>
        <w:t>(2)维保项目（内容）和要求中对测试、试验有明确规定的，应当按照规定进行测试、试验，没有明确规定，一般为检查、调整、清洁和润滑；</w:t>
      </w:r>
    </w:p>
    <w:p>
      <w:pPr>
        <w:widowControl/>
        <w:spacing w:line="360" w:lineRule="auto"/>
        <w:jc w:val="left"/>
        <w:rPr>
          <w:rFonts w:ascii="宋体" w:hAnsi="宋体" w:cs="宋体"/>
          <w:szCs w:val="21"/>
        </w:rPr>
      </w:pPr>
      <w:r>
        <w:rPr>
          <w:rFonts w:hint="eastAsia" w:ascii="宋体" w:hAnsi="宋体" w:cs="宋体"/>
          <w:szCs w:val="21"/>
        </w:rPr>
        <w:t xml:space="preserve">    (3)维保基本要求，规定为“符合标准”的，有国家标准应当符合国家标准，没有国家标准的应当符合行业标准、企业标准；</w:t>
      </w:r>
    </w:p>
    <w:p>
      <w:pPr>
        <w:adjustRightInd w:val="0"/>
        <w:snapToGrid w:val="0"/>
        <w:spacing w:line="360" w:lineRule="auto"/>
        <w:ind w:firstLine="420" w:firstLineChars="200"/>
        <w:rPr>
          <w:rFonts w:ascii="宋体" w:hAnsi="宋体" w:cs="宋体"/>
          <w:szCs w:val="21"/>
        </w:rPr>
      </w:pPr>
      <w:r>
        <w:rPr>
          <w:rFonts w:hint="eastAsia" w:ascii="宋体" w:hAnsi="宋体" w:cs="宋体"/>
          <w:szCs w:val="21"/>
        </w:rPr>
        <w:t>(4)维保基本要求，规定为“制造单位要求”的，按照制造单位的要求，其他没有明确的“要求”，应当为安全技术规范、标准或者制造单位等的要求。</w:t>
      </w:r>
    </w:p>
    <w:p/>
    <w:p>
      <w:pPr>
        <w:rPr>
          <w:szCs w:val="21"/>
        </w:rPr>
      </w:pPr>
    </w:p>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swiss"/>
    <w:pitch w:val="default"/>
    <w:sig w:usb0="00000001" w:usb1="080E0000" w:usb2="0000000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w:pict>
        <v:shape id="_x0000_s4100" o:spid="_x0000_s4100" o:spt="202" type="#_x0000_t202" style="position:absolute;left:0pt;margin-top:0pt;height:144pt;width:144pt;mso-position-horizontal:center;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pPr>
                  <w:pStyle w:val="8"/>
                  <w:rPr>
                    <w:rFonts w:hint="eastAsia" w:eastAsiaTheme="minorEastAsia"/>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w:t>
                </w:r>
              </w:p>
            </w:txbxContent>
          </v:textbox>
        </v:shape>
      </w:pict>
    </w:r>
    <w:r>
      <w:pict>
        <v:shape id="WordPictureWatermark4600752" o:spid="_x0000_s4101" o:spt="75" type="#_x0000_t75" style="position:absolute;left:0pt;margin-left:-36.25pt;margin-top:374.9pt;height:79.6pt;width:251.15pt;mso-position-horizontal-relative:margin;mso-position-vertical-relative:margin;rotation:-1680064f;z-index:-251656192;mso-width-relative:page;mso-height-relative:page;" filled="f" o:preferrelative="t" stroked="f" coordsize="21600,21600" o:allowincell="f">
          <v:path/>
          <v:fill on="f" focussize="0,0"/>
          <v:stroke on="f" joinstyle="miter"/>
          <v:imagedata r:id="rId1" gain="19661f" blacklevel="22938f" o:title="扬州一院水印图片"/>
          <o:lock v:ext="edit" aspectratio="t"/>
        </v:shape>
      </w:pict>
    </w:r>
    <w:r>
      <w:pict>
        <v:shape id="_x0000_s4102" o:spid="_x0000_s4102" o:spt="75" type="#_x0000_t75" style="position:absolute;left:0pt;margin-left:174.15pt;margin-top:458.4pt;height:79.4pt;width:250.65pt;mso-position-horizontal-relative:margin;mso-position-vertical-relative:margin;rotation:-1822309f;z-index:-251654144;mso-width-relative:page;mso-height-relative:page;" filled="f" o:preferrelative="t" stroked="f" coordsize="21600,21600" o:allowincell="f">
          <v:path/>
          <v:fill on="f" focussize="0,0"/>
          <v:stroke on="f" joinstyle="miter"/>
          <v:imagedata r:id="rId1" gain="19661f" blacklevel="22938f" o:title="扬州一院水印图片"/>
          <o:lock v:ext="edit" aspectratio="t"/>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pict>
        <v:shape id="_x0000_s4098" o:spid="_x0000_s4098" o:spt="75" type="#_x0000_t75" style="position:absolute;left:0pt;margin-left:177.9pt;margin-top:151.9pt;height:78.1pt;width:246.5pt;mso-position-horizontal-relative:margin;mso-position-vertical-relative:margin;rotation:-1600287f;z-index:-251653120;mso-width-relative:page;mso-height-relative:page;" filled="f" o:preferrelative="t" stroked="f" coordsize="21600,21600" o:allowincell="f">
          <v:path/>
          <v:fill on="f" focussize="0,0"/>
          <v:stroke on="f" joinstyle="miter"/>
          <v:imagedata r:id="rId1" gain="19661f" blacklevel="22938f" o:title="扬州一院水印图片"/>
          <o:lock v:ext="edit" aspectratio="t"/>
        </v:shape>
      </w:pict>
    </w:r>
    <w:r>
      <w:pict>
        <v:shape id="_x0000_s4099" o:spid="_x0000_s4099" o:spt="75" type="#_x0000_t75" style="position:absolute;left:0pt;margin-left:-59.3pt;margin-top:86.1pt;height:81.1pt;width:256pt;mso-position-horizontal-relative:margin;mso-position-vertical-relative:margin;rotation:-1600287f;z-index:-251655168;mso-width-relative:page;mso-height-relative:page;" filled="f" o:preferrelative="t" stroked="f" coordsize="21600,21600" o:allowincell="f">
          <v:path/>
          <v:fill on="f" focussize="0,0"/>
          <v:stroke on="f" joinstyle="miter"/>
          <v:imagedata r:id="rId1" gain="19661f" blacklevel="22938f" o:title="扬州一院水印图片"/>
          <o:lock v:ext="edit" aspectratio="t"/>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pict>
        <v:shape id="WordPictureWatermark4600751" o:spid="_x0000_s4103" o:spt="75" type="#_x0000_t75" style="position:absolute;left:0pt;height:131.55pt;width:415.25pt;mso-position-horizontal:center;mso-position-horizontal-relative:margin;mso-position-vertical:center;mso-position-vertical-relative:margin;z-index:-251657216;mso-width-relative:page;mso-height-relative:page;" filled="f" o:preferrelative="t" stroked="f" coordsize="21600,21600" o:allowincell="f">
          <v:path/>
          <v:fill on="f" focussize="0,0"/>
          <v:stroke on="f" joinstyle="miter"/>
          <v:imagedata r:id="rId1" gain="19661f" blacklevel="22938f" o:title="扬州一院水印图片"/>
          <o:lock v:ext="edit" aspectratio="t"/>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pict>
        <v:shape id="WordPictureWatermark4600750" o:spid="_x0000_s4097" o:spt="75" type="#_x0000_t75" style="position:absolute;left:0pt;height:131.55pt;width:415.25pt;mso-position-horizontal:center;mso-position-horizontal-relative:margin;mso-position-vertical:center;mso-position-vertical-relative:margin;z-index:-251658240;mso-width-relative:page;mso-height-relative:page;" filled="f" o:preferrelative="t" stroked="f" coordsize="21600,21600" o:allowincell="f">
          <v:path/>
          <v:fill on="f" focussize="0,0"/>
          <v:stroke on="f" joinstyle="miter"/>
          <v:imagedata r:id="rId1" gain="19661f" blacklevel="22938f" o:title="扬州一院水印图片"/>
          <o:lock v:ext="edit" aspectratio="t"/>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3208E"/>
    <w:multiLevelType w:val="multilevel"/>
    <w:tmpl w:val="0053208E"/>
    <w:lvl w:ilvl="0" w:tentative="0">
      <w:start w:val="1"/>
      <w:numFmt w:val="chineseCountingThousand"/>
      <w:lvlText w:val="%1、"/>
      <w:lvlJc w:val="left"/>
      <w:pPr>
        <w:ind w:left="431" w:hanging="431"/>
      </w:pPr>
      <w:rPr>
        <w:rFonts w:hint="default" w:cs="Times New Roman"/>
        <w:b/>
        <w:i w:val="0"/>
        <w:iCs w:val="0"/>
        <w:caps w:val="0"/>
        <w:strike w:val="0"/>
        <w:vanish w:val="0"/>
        <w:color w:val="000000"/>
        <w:spacing w:val="0"/>
        <w:position w:val="0"/>
        <w:sz w:val="21"/>
        <w:szCs w:val="32"/>
        <w:u w:val="none"/>
        <w:vertAlign w:val="baseline"/>
      </w:rPr>
    </w:lvl>
    <w:lvl w:ilvl="1" w:tentative="0">
      <w:start w:val="1"/>
      <w:numFmt w:val="decimal"/>
      <w:pStyle w:val="4"/>
      <w:suff w:val="space"/>
      <w:lvlText w:val="%1.%2"/>
      <w:lvlJc w:val="left"/>
      <w:pPr>
        <w:ind w:left="851" w:hanging="567"/>
      </w:pPr>
      <w:rPr>
        <w:rFonts w:hint="default" w:ascii="Arial" w:hAnsi="Arial" w:eastAsia="黑体"/>
        <w:b/>
        <w:i w:val="0"/>
        <w:sz w:val="28"/>
        <w:szCs w:val="28"/>
      </w:rPr>
    </w:lvl>
    <w:lvl w:ilvl="2" w:tentative="0">
      <w:start w:val="1"/>
      <w:numFmt w:val="decimal"/>
      <w:suff w:val="space"/>
      <w:lvlText w:val="%1.%2.%3"/>
      <w:lvlJc w:val="left"/>
      <w:pPr>
        <w:ind w:left="720" w:hanging="720"/>
      </w:pPr>
      <w:rPr>
        <w:rFonts w:hint="default" w:ascii="Arial" w:hAnsi="Arial" w:eastAsia="黑体"/>
        <w:b/>
        <w:i w:val="0"/>
        <w:sz w:val="28"/>
        <w:szCs w:val="28"/>
      </w:rPr>
    </w:lvl>
    <w:lvl w:ilvl="3" w:tentative="0">
      <w:start w:val="1"/>
      <w:numFmt w:val="decimal"/>
      <w:suff w:val="space"/>
      <w:lvlText w:val="%1.%2.%3.%4"/>
      <w:lvlJc w:val="left"/>
      <w:pPr>
        <w:ind w:left="864" w:hanging="864"/>
      </w:pPr>
      <w:rPr>
        <w:rFonts w:hint="default" w:ascii="Arial" w:hAnsi="Arial" w:eastAsia="黑体"/>
        <w:b/>
        <w:i w:val="0"/>
        <w:sz w:val="30"/>
        <w:szCs w:val="30"/>
      </w:rPr>
    </w:lvl>
    <w:lvl w:ilvl="4" w:tentative="0">
      <w:start w:val="1"/>
      <w:numFmt w:val="decimal"/>
      <w:suff w:val="space"/>
      <w:lvlText w:val="%1.%2.%3.%4.%5"/>
      <w:lvlJc w:val="left"/>
      <w:pPr>
        <w:ind w:left="1008" w:hanging="1008"/>
      </w:pPr>
      <w:rPr>
        <w:rFonts w:hint="default" w:ascii="Arial" w:hAnsi="Arial" w:eastAsia="黑体"/>
        <w:b/>
        <w:i w:val="0"/>
        <w:sz w:val="28"/>
        <w:szCs w:val="28"/>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dit="forms" w:formatting="1" w:enforcement="1" w:cryptProviderType="rsaFull" w:cryptAlgorithmClass="hash" w:cryptAlgorithmType="typeAny" w:cryptAlgorithmSid="4" w:cryptSpinCount="0" w:hash="jgVmZtuhMh2wkibp/bRnxxHlc+g=" w:salt="FiijZgBMISaOd/W3zopFMg=="/>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74331D"/>
    <w:rsid w:val="001A4880"/>
    <w:rsid w:val="00203713"/>
    <w:rsid w:val="002945AD"/>
    <w:rsid w:val="00380A8D"/>
    <w:rsid w:val="003B452A"/>
    <w:rsid w:val="00427B06"/>
    <w:rsid w:val="00481F12"/>
    <w:rsid w:val="00602052"/>
    <w:rsid w:val="0061740C"/>
    <w:rsid w:val="006F6438"/>
    <w:rsid w:val="0074331D"/>
    <w:rsid w:val="008E3F32"/>
    <w:rsid w:val="00953859"/>
    <w:rsid w:val="00963A20"/>
    <w:rsid w:val="00D14833"/>
    <w:rsid w:val="00DB451E"/>
    <w:rsid w:val="00E56DCE"/>
    <w:rsid w:val="00F31AC4"/>
    <w:rsid w:val="03A96345"/>
    <w:rsid w:val="3CB81C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0" w:semiHidden="0" w:name="Normal Indent"/>
    <w:lsdException w:uiPriority="99" w:name="footnote text"/>
    <w:lsdException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2"/>
    <w:basedOn w:val="1"/>
    <w:next w:val="5"/>
    <w:qFormat/>
    <w:uiPriority w:val="0"/>
    <w:pPr>
      <w:keepNext/>
      <w:keepLines/>
      <w:numPr>
        <w:ilvl w:val="1"/>
        <w:numId w:val="1"/>
      </w:numPr>
      <w:spacing w:before="312" w:after="312"/>
      <w:jc w:val="left"/>
      <w:outlineLvl w:val="1"/>
    </w:pPr>
    <w:rPr>
      <w:rFonts w:ascii="Arial" w:hAnsi="Arial"/>
      <w:b/>
      <w:bCs/>
      <w:sz w:val="28"/>
      <w:szCs w:val="36"/>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First Indent 2"/>
    <w:basedOn w:val="3"/>
    <w:unhideWhenUsed/>
    <w:qFormat/>
    <w:uiPriority w:val="99"/>
    <w:pPr>
      <w:ind w:firstLine="420"/>
    </w:pPr>
  </w:style>
  <w:style w:type="paragraph" w:styleId="3">
    <w:name w:val="Body Text Indent"/>
    <w:basedOn w:val="1"/>
    <w:qFormat/>
    <w:uiPriority w:val="0"/>
    <w:pPr>
      <w:spacing w:after="120"/>
      <w:ind w:left="420"/>
    </w:pPr>
    <w:rPr>
      <w:sz w:val="20"/>
      <w:szCs w:val="24"/>
    </w:rPr>
  </w:style>
  <w:style w:type="paragraph" w:styleId="5">
    <w:name w:val="Normal Indent"/>
    <w:basedOn w:val="1"/>
    <w:unhideWhenUsed/>
    <w:qFormat/>
    <w:uiPriority w:val="0"/>
    <w:pPr>
      <w:ind w:firstLine="420"/>
    </w:pPr>
  </w:style>
  <w:style w:type="paragraph" w:styleId="6">
    <w:name w:val="Body Text Indent 2"/>
    <w:basedOn w:val="1"/>
    <w:link w:val="14"/>
    <w:qFormat/>
    <w:uiPriority w:val="0"/>
    <w:pPr>
      <w:autoSpaceDE w:val="0"/>
      <w:autoSpaceDN w:val="0"/>
      <w:snapToGrid w:val="0"/>
      <w:spacing w:line="590" w:lineRule="atLeast"/>
      <w:ind w:firstLine="630" w:firstLineChars="200"/>
    </w:pPr>
    <w:rPr>
      <w:rFonts w:ascii="Times New Roman" w:hAnsi="Calibri" w:eastAsia="仿宋_GB2312" w:cs="Times New Roman"/>
      <w:kern w:val="0"/>
      <w:sz w:val="32"/>
      <w:szCs w:val="32"/>
    </w:rPr>
  </w:style>
  <w:style w:type="paragraph" w:styleId="7">
    <w:name w:val="Balloon Text"/>
    <w:basedOn w:val="1"/>
    <w:link w:val="15"/>
    <w:semiHidden/>
    <w:unhideWhenUsed/>
    <w:qFormat/>
    <w:uiPriority w:val="99"/>
    <w:rPr>
      <w:sz w:val="18"/>
      <w:szCs w:val="18"/>
    </w:rPr>
  </w:style>
  <w:style w:type="paragraph" w:styleId="8">
    <w:name w:val="footer"/>
    <w:basedOn w:val="1"/>
    <w:link w:val="13"/>
    <w:unhideWhenUsed/>
    <w:uiPriority w:val="99"/>
    <w:pPr>
      <w:tabs>
        <w:tab w:val="center" w:pos="4153"/>
        <w:tab w:val="right" w:pos="8306"/>
      </w:tabs>
      <w:snapToGrid w:val="0"/>
      <w:jc w:val="left"/>
    </w:pPr>
    <w:rPr>
      <w:sz w:val="18"/>
      <w:szCs w:val="18"/>
    </w:rPr>
  </w:style>
  <w:style w:type="paragraph" w:styleId="9">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12">
    <w:name w:val="页眉 Char"/>
    <w:basedOn w:val="11"/>
    <w:link w:val="9"/>
    <w:qFormat/>
    <w:uiPriority w:val="99"/>
    <w:rPr>
      <w:sz w:val="18"/>
      <w:szCs w:val="18"/>
    </w:rPr>
  </w:style>
  <w:style w:type="character" w:customStyle="1" w:styleId="13">
    <w:name w:val="页脚 Char"/>
    <w:basedOn w:val="11"/>
    <w:link w:val="8"/>
    <w:qFormat/>
    <w:uiPriority w:val="99"/>
    <w:rPr>
      <w:sz w:val="18"/>
      <w:szCs w:val="18"/>
    </w:rPr>
  </w:style>
  <w:style w:type="character" w:customStyle="1" w:styleId="14">
    <w:name w:val="正文文本缩进 2 Char"/>
    <w:basedOn w:val="11"/>
    <w:link w:val="6"/>
    <w:qFormat/>
    <w:uiPriority w:val="0"/>
    <w:rPr>
      <w:rFonts w:ascii="Times New Roman" w:hAnsi="Calibri" w:eastAsia="仿宋_GB2312" w:cs="Times New Roman"/>
      <w:kern w:val="0"/>
      <w:sz w:val="32"/>
      <w:szCs w:val="32"/>
    </w:rPr>
  </w:style>
  <w:style w:type="character" w:customStyle="1" w:styleId="15">
    <w:name w:val="批注框文本 Char"/>
    <w:basedOn w:val="11"/>
    <w:link w:val="7"/>
    <w:semiHidden/>
    <w:qFormat/>
    <w:uiPriority w:val="99"/>
    <w:rPr>
      <w:sz w:val="18"/>
      <w:szCs w:val="18"/>
    </w:rPr>
  </w:style>
  <w:style w:type="character" w:customStyle="1" w:styleId="16">
    <w:name w:val="font21"/>
    <w:basedOn w:val="11"/>
    <w:qFormat/>
    <w:uiPriority w:val="0"/>
    <w:rPr>
      <w:rFonts w:hint="eastAsia" w:ascii="宋体" w:hAnsi="宋体" w:eastAsia="宋体" w:cs="宋体"/>
      <w:color w:val="000000"/>
      <w:sz w:val="18"/>
      <w:szCs w:val="18"/>
      <w:u w:val="none"/>
    </w:rPr>
  </w:style>
  <w:style w:type="character" w:customStyle="1" w:styleId="17">
    <w:name w:val="font51"/>
    <w:basedOn w:val="11"/>
    <w:qFormat/>
    <w:uiPriority w:val="0"/>
    <w:rPr>
      <w:rFonts w:hint="eastAsia" w:ascii="宋体" w:hAnsi="宋体" w:eastAsia="宋体" w:cs="宋体"/>
      <w:b/>
      <w:color w:val="000000"/>
      <w:sz w:val="20"/>
      <w:szCs w:val="20"/>
      <w:u w:val="none"/>
    </w:rPr>
  </w:style>
  <w:style w:type="paragraph" w:customStyle="1" w:styleId="18">
    <w:name w:val="Normal_14"/>
    <w:qFormat/>
    <w:uiPriority w:val="0"/>
    <w:pPr>
      <w:spacing w:before="120" w:after="240"/>
      <w:jc w:val="both"/>
    </w:pPr>
    <w:rPr>
      <w:rFonts w:ascii="Calibri" w:hAnsi="Calibri" w:eastAsia="Calibri" w:cs="Times New Roman"/>
      <w:sz w:val="22"/>
      <w:szCs w:val="22"/>
      <w:lang w:val="ru-RU" w:eastAsia="en-US" w:bidi="ar-SA"/>
    </w:rPr>
  </w:style>
  <w:style w:type="paragraph" w:customStyle="1" w:styleId="19">
    <w:name w:val="Normal_17"/>
    <w:qFormat/>
    <w:uiPriority w:val="0"/>
    <w:pPr>
      <w:spacing w:before="120" w:after="240"/>
      <w:jc w:val="both"/>
    </w:pPr>
    <w:rPr>
      <w:rFonts w:ascii="Calibri" w:hAnsi="Calibri" w:eastAsia="Calibri" w:cs="Times New Roman"/>
      <w:sz w:val="22"/>
      <w:szCs w:val="22"/>
      <w:lang w:val="ru-RU" w:eastAsia="en-US"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8"/>
    <customShpInfo spid="_x0000_s4099"/>
    <customShpInfo spid="_x0000_s4103"/>
    <customShpInfo spid="_x0000_s4097"/>
    <customShpInfo spid="_x0000_s4100" textRotate="1"/>
    <customShpInfo spid="_x0000_s4101"/>
    <customShpInfo spid="_x0000_s410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0</Words>
  <Characters>0</Characters>
  <Lines>1</Lines>
  <Paragraphs>1</Paragraphs>
  <TotalTime>10</TotalTime>
  <ScaleCrop>false</ScaleCrop>
  <LinksUpToDate>false</LinksUpToDate>
  <CharactersWithSpaces>0</CharactersWithSpaces>
  <Application>WPS Office_11.1.0.8597_F1E327BC-269C-435d-A152-05C5408002CA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2018-01-08T02:06:00Z</dcterms:created>
  <dc:creator>野丫头</dc:creator>
  <cp:lastModifiedBy>刘书洵（22178）</cp:lastModifiedBy>
  <dcterms:modified xsi:type="dcterms:W3CDTF">2025-05-23T07:35:26Z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2052-11.1.0.8597</vt:lpwstr>
  </property>
</Properties>
</file>