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70B41">
      <w:pPr>
        <w:jc w:val="center"/>
        <w:rPr>
          <w:b/>
          <w:bCs/>
          <w:sz w:val="36"/>
          <w:szCs w:val="36"/>
        </w:rPr>
      </w:pPr>
      <w:r>
        <w:rPr>
          <w:rFonts w:hint="eastAsia"/>
          <w:b/>
          <w:sz w:val="36"/>
          <w:szCs w:val="36"/>
        </w:rPr>
        <w:t>编  制  说  明</w:t>
      </w:r>
    </w:p>
    <w:p w14:paraId="15ACD0FB">
      <w:pPr>
        <w:spacing w:line="480" w:lineRule="auto"/>
        <w:jc w:val="left"/>
        <w:rPr>
          <w:b/>
          <w:sz w:val="28"/>
          <w:szCs w:val="28"/>
        </w:rPr>
      </w:pPr>
      <w:r>
        <w:rPr>
          <w:rFonts w:hint="eastAsia"/>
          <w:b/>
          <w:sz w:val="24"/>
        </w:rPr>
        <w:t>工程名称：</w:t>
      </w:r>
      <w:r>
        <w:rPr>
          <w:rFonts w:hint="eastAsia" w:asciiTheme="minorEastAsia" w:hAnsiTheme="minorEastAsia" w:eastAsiaTheme="minorEastAsia"/>
          <w:b/>
          <w:sz w:val="22"/>
          <w:szCs w:val="22"/>
          <w:lang w:eastAsia="zh-CN"/>
        </w:rPr>
        <w:t>无锡市第六高级中学槐古校区变电间增容改造项目</w:t>
      </w:r>
    </w:p>
    <w:tbl>
      <w:tblPr>
        <w:tblStyle w:val="5"/>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7"/>
      </w:tblGrid>
      <w:tr w14:paraId="0B0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9977" w:type="dxa"/>
          </w:tcPr>
          <w:p w14:paraId="24F980A0">
            <w:pPr>
              <w:snapToGrid w:val="0"/>
              <w:spacing w:line="460" w:lineRule="exact"/>
              <w:rPr>
                <w:szCs w:val="21"/>
              </w:rPr>
            </w:pPr>
            <w:r>
              <w:rPr>
                <w:rFonts w:hint="eastAsia" w:ascii="宋体" w:hAnsi="宋体" w:cs="宋体"/>
                <w:b/>
                <w:szCs w:val="21"/>
              </w:rPr>
              <w:t>一、工程概况</w:t>
            </w:r>
          </w:p>
          <w:p w14:paraId="3889067C">
            <w:pPr>
              <w:autoSpaceDE w:val="0"/>
              <w:autoSpaceDN w:val="0"/>
              <w:adjustRightInd w:val="0"/>
              <w:snapToGrid w:val="0"/>
              <w:spacing w:line="460" w:lineRule="exact"/>
              <w:ind w:left="-18" w:firstLine="420" w:firstLineChars="200"/>
              <w:jc w:val="left"/>
              <w:rPr>
                <w:rFonts w:hint="eastAsia"/>
                <w:szCs w:val="21"/>
                <w:lang w:eastAsia="zh-CN"/>
              </w:rPr>
            </w:pPr>
            <w:r>
              <w:rPr>
                <w:rFonts w:hint="eastAsia"/>
                <w:szCs w:val="21"/>
              </w:rPr>
              <w:t>工程名称：</w:t>
            </w:r>
            <w:r>
              <w:rPr>
                <w:rFonts w:hint="eastAsia"/>
                <w:szCs w:val="21"/>
                <w:lang w:eastAsia="zh-CN"/>
              </w:rPr>
              <w:t>无锡市第六高级中学槐古校区变电间增容改造项目</w:t>
            </w:r>
          </w:p>
          <w:p w14:paraId="50728ABB">
            <w:pPr>
              <w:autoSpaceDE w:val="0"/>
              <w:autoSpaceDN w:val="0"/>
              <w:adjustRightInd w:val="0"/>
              <w:snapToGrid w:val="0"/>
              <w:spacing w:line="460" w:lineRule="exact"/>
              <w:ind w:left="-18" w:firstLine="420" w:firstLineChars="200"/>
              <w:jc w:val="left"/>
              <w:rPr>
                <w:rFonts w:hint="eastAsia"/>
                <w:szCs w:val="21"/>
                <w:lang w:val="en-US" w:eastAsia="zh-CN"/>
              </w:rPr>
            </w:pPr>
            <w:r>
              <w:rPr>
                <w:rFonts w:hint="eastAsia"/>
                <w:szCs w:val="21"/>
                <w:lang w:val="en-US" w:eastAsia="zh-CN"/>
              </w:rPr>
              <w:t>包括2个单位工程，名称为：供电改造工程、室外管沟工程。</w:t>
            </w:r>
          </w:p>
          <w:p w14:paraId="120CE262">
            <w:pPr>
              <w:autoSpaceDE w:val="0"/>
              <w:autoSpaceDN w:val="0"/>
              <w:adjustRightInd w:val="0"/>
              <w:snapToGrid w:val="0"/>
              <w:spacing w:line="460" w:lineRule="exact"/>
              <w:ind w:left="-18" w:firstLine="420" w:firstLineChars="200"/>
              <w:jc w:val="left"/>
              <w:rPr>
                <w:rFonts w:hint="default"/>
                <w:szCs w:val="21"/>
                <w:lang w:val="en-US" w:eastAsia="zh-CN"/>
              </w:rPr>
            </w:pPr>
            <w:r>
              <w:rPr>
                <w:rFonts w:hint="eastAsia"/>
                <w:szCs w:val="21"/>
                <w:lang w:val="en-US" w:eastAsia="zh-CN"/>
              </w:rPr>
              <w:t>包含：室外管沟工程，如：钢筋混凝土基础，电力井等；供电改造工程，如：高低压配电柜改造,内部连接铜排，调试，二次配电等。</w:t>
            </w:r>
          </w:p>
          <w:p w14:paraId="274060DF">
            <w:pPr>
              <w:autoSpaceDE w:val="0"/>
              <w:autoSpaceDN w:val="0"/>
              <w:adjustRightInd w:val="0"/>
              <w:snapToGrid w:val="0"/>
              <w:spacing w:line="460" w:lineRule="exact"/>
              <w:ind w:left="-18" w:firstLine="420" w:firstLineChars="200"/>
              <w:jc w:val="left"/>
              <w:rPr>
                <w:rFonts w:hint="eastAsia"/>
                <w:szCs w:val="21"/>
              </w:rPr>
            </w:pPr>
            <w:r>
              <w:rPr>
                <w:rFonts w:hint="eastAsia"/>
                <w:szCs w:val="21"/>
              </w:rPr>
              <w:t>招标工期及内容详见招标文件。</w:t>
            </w:r>
          </w:p>
          <w:p w14:paraId="04A5924B">
            <w:pPr>
              <w:autoSpaceDE w:val="0"/>
              <w:autoSpaceDN w:val="0"/>
              <w:adjustRightInd w:val="0"/>
              <w:snapToGrid w:val="0"/>
              <w:spacing w:line="460" w:lineRule="exact"/>
              <w:ind w:left="-18" w:firstLine="420" w:firstLineChars="200"/>
              <w:jc w:val="left"/>
              <w:rPr>
                <w:rFonts w:hint="eastAsia"/>
                <w:szCs w:val="21"/>
              </w:rPr>
            </w:pPr>
          </w:p>
          <w:p w14:paraId="23D4C9C2">
            <w:pPr>
              <w:autoSpaceDE w:val="0"/>
              <w:autoSpaceDN w:val="0"/>
              <w:adjustRightInd w:val="0"/>
              <w:snapToGrid w:val="0"/>
              <w:spacing w:line="460" w:lineRule="exact"/>
              <w:ind w:left="-18"/>
              <w:jc w:val="left"/>
              <w:rPr>
                <w:rFonts w:ascii="宋体" w:hAnsi="宋体" w:cs="宋体"/>
                <w:b/>
                <w:kern w:val="0"/>
                <w:szCs w:val="21"/>
              </w:rPr>
            </w:pPr>
            <w:r>
              <w:rPr>
                <w:rFonts w:hint="eastAsia" w:ascii="宋体" w:hAnsi="宋体" w:cs="宋体"/>
                <w:b/>
                <w:kern w:val="0"/>
                <w:szCs w:val="21"/>
              </w:rPr>
              <w:t>二、工程招标范围：</w:t>
            </w:r>
          </w:p>
          <w:p w14:paraId="302DD470">
            <w:pPr>
              <w:autoSpaceDE w:val="0"/>
              <w:autoSpaceDN w:val="0"/>
              <w:adjustRightInd w:val="0"/>
              <w:snapToGrid w:val="0"/>
              <w:spacing w:line="460" w:lineRule="exact"/>
              <w:ind w:left="-18" w:firstLine="420" w:firstLineChars="200"/>
              <w:jc w:val="left"/>
              <w:rPr>
                <w:rFonts w:hint="eastAsia"/>
                <w:szCs w:val="21"/>
              </w:rPr>
            </w:pPr>
            <w:r>
              <w:rPr>
                <w:rFonts w:hint="eastAsia"/>
                <w:szCs w:val="21"/>
              </w:rPr>
              <w:t>招标清单范围内的</w:t>
            </w:r>
            <w:r>
              <w:rPr>
                <w:rFonts w:hint="eastAsia"/>
                <w:szCs w:val="21"/>
                <w:lang w:val="en-US" w:eastAsia="zh-CN"/>
              </w:rPr>
              <w:t>室外管沟工程，如：钢筋混凝土基础，电力井等；供电改造工程，如：高低压配电柜改造,内部连接铜排，调试，二次配电等。</w:t>
            </w:r>
          </w:p>
          <w:p w14:paraId="7EE05548">
            <w:pPr>
              <w:autoSpaceDE w:val="0"/>
              <w:autoSpaceDN w:val="0"/>
              <w:adjustRightInd w:val="0"/>
              <w:snapToGrid w:val="0"/>
              <w:spacing w:line="460" w:lineRule="exact"/>
              <w:jc w:val="left"/>
              <w:rPr>
                <w:rFonts w:ascii="宋体" w:hAnsi="宋体" w:cs="宋体"/>
                <w:b/>
                <w:kern w:val="0"/>
                <w:szCs w:val="21"/>
              </w:rPr>
            </w:pPr>
            <w:r>
              <w:rPr>
                <w:rFonts w:hint="eastAsia" w:ascii="宋体" w:hAnsi="宋体" w:cs="宋体"/>
                <w:b/>
                <w:kern w:val="0"/>
                <w:szCs w:val="21"/>
              </w:rPr>
              <w:t>三、工程量清单编制依据：</w:t>
            </w:r>
          </w:p>
          <w:p w14:paraId="7F2284B9">
            <w:pPr>
              <w:spacing w:line="440" w:lineRule="atLeast"/>
              <w:ind w:firstLine="465"/>
              <w:rPr>
                <w:szCs w:val="21"/>
              </w:rPr>
            </w:pPr>
            <w:r>
              <w:rPr>
                <w:szCs w:val="21"/>
              </w:rPr>
              <w:t>1)</w:t>
            </w:r>
            <w:r>
              <w:rPr>
                <w:rFonts w:hint="eastAsia"/>
                <w:szCs w:val="21"/>
              </w:rPr>
              <w:t xml:space="preserve"> 现场踏勘，按照设计图纸编制。</w:t>
            </w:r>
          </w:p>
          <w:p w14:paraId="777B11F2">
            <w:pPr>
              <w:spacing w:line="440" w:lineRule="atLeast"/>
              <w:ind w:firstLine="465"/>
              <w:rPr>
                <w:szCs w:val="21"/>
              </w:rPr>
            </w:pPr>
            <w:r>
              <w:rPr>
                <w:szCs w:val="21"/>
              </w:rPr>
              <w:t>2)</w:t>
            </w:r>
            <w:r>
              <w:rPr>
                <w:rFonts w:hint="eastAsia"/>
                <w:szCs w:val="21"/>
              </w:rPr>
              <w:t xml:space="preserve"> 江苏省住房和城乡建设部颁发的《建设工程工程量清单计价规范》(</w:t>
            </w:r>
            <w:r>
              <w:rPr>
                <w:szCs w:val="21"/>
              </w:rPr>
              <w:t>GB50500-20</w:t>
            </w:r>
            <w:r>
              <w:rPr>
                <w:rFonts w:hint="eastAsia"/>
                <w:szCs w:val="21"/>
              </w:rPr>
              <w:t>13)。</w:t>
            </w:r>
          </w:p>
          <w:p w14:paraId="3D190A7E">
            <w:pPr>
              <w:widowControl/>
              <w:snapToGrid w:val="0"/>
              <w:spacing w:line="400" w:lineRule="atLeast"/>
              <w:ind w:firstLine="480"/>
              <w:rPr>
                <w:szCs w:val="21"/>
              </w:rPr>
            </w:pPr>
            <w:r>
              <w:rPr>
                <w:szCs w:val="21"/>
              </w:rPr>
              <w:t>3)</w:t>
            </w:r>
            <w:r>
              <w:rPr>
                <w:rFonts w:hint="eastAsia"/>
                <w:szCs w:val="21"/>
              </w:rPr>
              <w:t xml:space="preserve"> 2014年《江苏安装工程计价定额》、2014年《江苏</w:t>
            </w:r>
            <w:r>
              <w:rPr>
                <w:rFonts w:hint="eastAsia"/>
                <w:szCs w:val="21"/>
                <w:lang w:val="en-US" w:eastAsia="zh-CN"/>
              </w:rPr>
              <w:t>土建装饰</w:t>
            </w:r>
            <w:r>
              <w:rPr>
                <w:rFonts w:hint="eastAsia"/>
                <w:szCs w:val="21"/>
              </w:rPr>
              <w:t>工程计价定额》</w:t>
            </w:r>
            <w:r>
              <w:rPr>
                <w:rFonts w:hint="eastAsia"/>
                <w:szCs w:val="21"/>
                <w:lang w:eastAsia="zh-CN"/>
              </w:rPr>
              <w:t>、</w:t>
            </w:r>
            <w:r>
              <w:rPr>
                <w:rFonts w:hint="eastAsia"/>
                <w:szCs w:val="21"/>
              </w:rPr>
              <w:t>2014年《江苏</w:t>
            </w:r>
            <w:r>
              <w:rPr>
                <w:rFonts w:hint="eastAsia"/>
                <w:szCs w:val="21"/>
                <w:lang w:val="en-US" w:eastAsia="zh-CN"/>
              </w:rPr>
              <w:t>市政</w:t>
            </w:r>
            <w:r>
              <w:rPr>
                <w:rFonts w:hint="eastAsia"/>
                <w:szCs w:val="21"/>
              </w:rPr>
              <w:t>工程计价定额》。</w:t>
            </w:r>
          </w:p>
          <w:p w14:paraId="4B026CC3">
            <w:pPr>
              <w:spacing w:line="440" w:lineRule="atLeast"/>
              <w:ind w:firstLine="420" w:firstLineChars="200"/>
              <w:rPr>
                <w:szCs w:val="21"/>
              </w:rPr>
            </w:pPr>
            <w:r>
              <w:rPr>
                <w:szCs w:val="21"/>
              </w:rPr>
              <w:t>4)</w:t>
            </w:r>
            <w:r>
              <w:rPr>
                <w:rFonts w:hint="eastAsia"/>
                <w:szCs w:val="21"/>
              </w:rPr>
              <w:t xml:space="preserve"> 2014 年颁布的江苏省建设厅颁布的《江苏省建设工程费用定额》；2019年4月1日江苏省住房和城乡建设厅关于建筑业增值税计价政策调整的通知《苏建函价2019_178号文》。</w:t>
            </w:r>
          </w:p>
          <w:p w14:paraId="7CBC67D6">
            <w:pPr>
              <w:spacing w:line="440" w:lineRule="atLeast"/>
              <w:ind w:firstLine="465"/>
              <w:rPr>
                <w:szCs w:val="21"/>
              </w:rPr>
            </w:pPr>
            <w:r>
              <w:rPr>
                <w:szCs w:val="21"/>
              </w:rPr>
              <w:t>5)</w:t>
            </w:r>
            <w:r>
              <w:rPr>
                <w:rFonts w:hint="eastAsia"/>
                <w:szCs w:val="21"/>
              </w:rPr>
              <w:t xml:space="preserve"> 无锡市建设局有关文件。</w:t>
            </w:r>
          </w:p>
          <w:p w14:paraId="3FE9E7E1">
            <w:pPr>
              <w:spacing w:line="440" w:lineRule="atLeast"/>
              <w:ind w:firstLine="465"/>
              <w:rPr>
                <w:szCs w:val="21"/>
              </w:rPr>
            </w:pPr>
            <w:r>
              <w:rPr>
                <w:rFonts w:hint="eastAsia"/>
                <w:szCs w:val="21"/>
              </w:rPr>
              <w:t>6）采用增值税一般计税方法计算工程造价。</w:t>
            </w:r>
          </w:p>
          <w:p w14:paraId="6AEF3E3E">
            <w:pPr>
              <w:spacing w:line="440" w:lineRule="atLeast"/>
              <w:ind w:firstLine="465"/>
              <w:rPr>
                <w:szCs w:val="21"/>
              </w:rPr>
            </w:pPr>
            <w:r>
              <w:rPr>
                <w:rFonts w:hint="eastAsia"/>
                <w:szCs w:val="21"/>
                <w:lang w:val="en-US" w:eastAsia="zh-CN"/>
              </w:rPr>
              <w:t>7</w:t>
            </w:r>
            <w:r>
              <w:rPr>
                <w:rFonts w:hint="eastAsia"/>
                <w:szCs w:val="21"/>
              </w:rPr>
              <w:t>）建筑工人实名制已按照省标准取费计入总价措施费中。</w:t>
            </w:r>
          </w:p>
          <w:p w14:paraId="13A0428D">
            <w:pPr>
              <w:spacing w:line="440" w:lineRule="atLeast"/>
              <w:ind w:firstLine="465"/>
              <w:rPr>
                <w:szCs w:val="21"/>
              </w:rPr>
            </w:pPr>
          </w:p>
          <w:p w14:paraId="454E7A31">
            <w:pPr>
              <w:autoSpaceDE w:val="0"/>
              <w:autoSpaceDN w:val="0"/>
              <w:adjustRightInd w:val="0"/>
              <w:snapToGrid w:val="0"/>
              <w:spacing w:line="420" w:lineRule="exact"/>
              <w:ind w:left="-18"/>
              <w:rPr>
                <w:rFonts w:ascii="宋体" w:hAnsi="宋体" w:cs="宋体"/>
                <w:b/>
                <w:kern w:val="0"/>
                <w:szCs w:val="21"/>
              </w:rPr>
            </w:pPr>
            <w:r>
              <w:rPr>
                <w:rFonts w:hint="eastAsia" w:ascii="宋体" w:hAnsi="宋体" w:cs="宋体"/>
                <w:b/>
                <w:kern w:val="0"/>
                <w:szCs w:val="21"/>
              </w:rPr>
              <w:t>四、工程质量、材料、施工等特殊要求：</w:t>
            </w:r>
          </w:p>
          <w:p w14:paraId="56B61542">
            <w:pPr>
              <w:spacing w:line="420" w:lineRule="exact"/>
              <w:ind w:firstLine="465"/>
              <w:rPr>
                <w:rFonts w:ascii="宋体" w:hAnsi="宋体"/>
                <w:szCs w:val="21"/>
              </w:rPr>
            </w:pPr>
            <w:r>
              <w:rPr>
                <w:rFonts w:ascii="宋体" w:hAnsi="宋体"/>
                <w:szCs w:val="21"/>
              </w:rPr>
              <w:t>1)</w:t>
            </w:r>
            <w:r>
              <w:rPr>
                <w:rFonts w:hint="eastAsia" w:ascii="宋体" w:hAnsi="宋体"/>
                <w:szCs w:val="21"/>
              </w:rPr>
              <w:t xml:space="preserve"> 工程质量要求见招标文件及设计要求。</w:t>
            </w:r>
          </w:p>
          <w:p w14:paraId="096751BA">
            <w:pPr>
              <w:spacing w:line="420" w:lineRule="exact"/>
              <w:ind w:firstLine="465"/>
              <w:rPr>
                <w:rFonts w:ascii="宋体" w:hAnsi="宋体"/>
                <w:szCs w:val="21"/>
              </w:rPr>
            </w:pPr>
            <w:r>
              <w:rPr>
                <w:rFonts w:hint="eastAsia" w:ascii="宋体" w:hAnsi="宋体"/>
                <w:szCs w:val="21"/>
              </w:rPr>
              <w:t>2）施工的特殊要求：详见招标文件、图纸和招标清单。</w:t>
            </w:r>
          </w:p>
          <w:p w14:paraId="3C02FB9A">
            <w:pPr>
              <w:spacing w:line="420" w:lineRule="exact"/>
              <w:ind w:firstLine="465"/>
              <w:rPr>
                <w:rFonts w:ascii="宋体" w:hAnsi="宋体"/>
                <w:szCs w:val="21"/>
              </w:rPr>
            </w:pPr>
            <w:r>
              <w:rPr>
                <w:rFonts w:hint="eastAsia" w:ascii="宋体" w:hAnsi="宋体"/>
                <w:szCs w:val="21"/>
              </w:rPr>
              <w:t>3）适用规范与技术标准详见本工程招标文件及施工图纸。</w:t>
            </w:r>
          </w:p>
          <w:p w14:paraId="372FB36F">
            <w:pPr>
              <w:spacing w:line="420" w:lineRule="exact"/>
              <w:ind w:firstLine="465"/>
              <w:rPr>
                <w:rFonts w:ascii="宋体" w:hAnsi="宋体"/>
                <w:szCs w:val="21"/>
              </w:rPr>
            </w:pPr>
            <w:r>
              <w:rPr>
                <w:rFonts w:hint="eastAsia" w:ascii="宋体" w:hAnsi="宋体"/>
                <w:szCs w:val="21"/>
              </w:rPr>
              <w:t>4）质量检测按照国家相关规定和规范执行。施工企业按规定进行材料、构配件等试样的制作、封样和其它为保证工程质量进行的材料检验试验工作所发生的费用以及根据有关国家标准或验收规范要求对材料、构配件和建筑物工程质量检测检验发生的费用均由承包商支付，投标人需将可能发生的该项费用列入投标报价，合同执行过程中不予调整。</w:t>
            </w:r>
          </w:p>
          <w:p w14:paraId="380D188D">
            <w:pPr>
              <w:autoSpaceDE w:val="0"/>
              <w:autoSpaceDN w:val="0"/>
              <w:adjustRightInd w:val="0"/>
              <w:spacing w:line="420" w:lineRule="exact"/>
              <w:ind w:firstLine="420"/>
              <w:jc w:val="left"/>
              <w:rPr>
                <w:rFonts w:ascii="宋体" w:hAnsi="宋体"/>
                <w:szCs w:val="21"/>
              </w:rPr>
            </w:pPr>
            <w:r>
              <w:rPr>
                <w:rFonts w:hint="eastAsia" w:ascii="宋体" w:hAnsi="宋体"/>
                <w:szCs w:val="21"/>
              </w:rPr>
              <w:t>5）现场临时供电及供水由施工单位应自行考虑，结算时不调整，建设单位不另行提供。</w:t>
            </w:r>
          </w:p>
          <w:p w14:paraId="15BD09E1">
            <w:pPr>
              <w:autoSpaceDE w:val="0"/>
              <w:autoSpaceDN w:val="0"/>
              <w:adjustRightInd w:val="0"/>
              <w:spacing w:line="420" w:lineRule="exact"/>
              <w:ind w:firstLine="420"/>
              <w:jc w:val="left"/>
              <w:rPr>
                <w:rFonts w:ascii="宋体" w:hAnsi="宋体"/>
                <w:szCs w:val="21"/>
              </w:rPr>
            </w:pPr>
          </w:p>
          <w:p w14:paraId="3CD04B25">
            <w:pPr>
              <w:autoSpaceDE w:val="0"/>
              <w:autoSpaceDN w:val="0"/>
              <w:adjustRightInd w:val="0"/>
              <w:spacing w:line="420" w:lineRule="exact"/>
              <w:jc w:val="left"/>
              <w:rPr>
                <w:rFonts w:ascii="宋体" w:hAnsi="宋体"/>
                <w:szCs w:val="21"/>
              </w:rPr>
            </w:pPr>
            <w:r>
              <w:rPr>
                <w:rFonts w:hint="eastAsia" w:ascii="宋体" w:hAnsi="宋体" w:cs="宋体"/>
                <w:b/>
                <w:kern w:val="0"/>
                <w:szCs w:val="21"/>
              </w:rPr>
              <w:t>五、招标人自行采购材料名称、规格、型号及招标人暂列金额</w:t>
            </w:r>
          </w:p>
          <w:p w14:paraId="5B26B956">
            <w:pPr>
              <w:spacing w:line="440" w:lineRule="atLeast"/>
              <w:ind w:firstLine="735" w:firstLineChars="350"/>
              <w:rPr>
                <w:rFonts w:hint="default"/>
                <w:szCs w:val="21"/>
                <w:lang w:val="en-US" w:eastAsia="zh-CN"/>
              </w:rPr>
            </w:pPr>
            <w:r>
              <w:rPr>
                <w:rFonts w:hint="eastAsia"/>
                <w:szCs w:val="21"/>
              </w:rPr>
              <w:t>暂列金：</w:t>
            </w:r>
            <w:r>
              <w:rPr>
                <w:rFonts w:hint="eastAsia"/>
                <w:szCs w:val="21"/>
                <w:lang w:val="en-US" w:eastAsia="zh-CN"/>
              </w:rPr>
              <w:t>0</w:t>
            </w:r>
            <w:r>
              <w:rPr>
                <w:rFonts w:hint="eastAsia"/>
                <w:szCs w:val="21"/>
              </w:rPr>
              <w:t>元</w:t>
            </w:r>
            <w:r>
              <w:rPr>
                <w:rFonts w:hint="eastAsia"/>
                <w:szCs w:val="21"/>
                <w:lang w:eastAsia="zh-CN"/>
              </w:rPr>
              <w:t>（</w:t>
            </w:r>
            <w:r>
              <w:rPr>
                <w:rFonts w:hint="eastAsia"/>
                <w:szCs w:val="21"/>
                <w:lang w:val="en-US" w:eastAsia="zh-CN"/>
              </w:rPr>
              <w:t>含税金）</w:t>
            </w:r>
            <w:r>
              <w:rPr>
                <w:rFonts w:hint="eastAsia"/>
                <w:szCs w:val="21"/>
              </w:rPr>
              <w:t>；</w:t>
            </w:r>
          </w:p>
          <w:p w14:paraId="1F61BB89">
            <w:pPr>
              <w:spacing w:line="440" w:lineRule="atLeast"/>
              <w:ind w:firstLine="735" w:firstLineChars="350"/>
              <w:rPr>
                <w:rFonts w:hint="eastAsia"/>
                <w:szCs w:val="21"/>
              </w:rPr>
            </w:pPr>
            <w:r>
              <w:rPr>
                <w:rFonts w:hint="eastAsia"/>
                <w:szCs w:val="21"/>
              </w:rPr>
              <w:t>专业工程暂估价：0元。</w:t>
            </w:r>
          </w:p>
          <w:p w14:paraId="2D65B24B">
            <w:pPr>
              <w:spacing w:line="440" w:lineRule="atLeast"/>
              <w:ind w:firstLine="735" w:firstLineChars="350"/>
              <w:rPr>
                <w:rFonts w:hint="eastAsia"/>
                <w:szCs w:val="21"/>
              </w:rPr>
            </w:pPr>
          </w:p>
          <w:p w14:paraId="405BF771">
            <w:pPr>
              <w:spacing w:line="420" w:lineRule="exact"/>
              <w:rPr>
                <w:rFonts w:ascii="宋体" w:hAnsi="宋体" w:cs="宋体"/>
                <w:b/>
                <w:kern w:val="0"/>
                <w:szCs w:val="21"/>
              </w:rPr>
            </w:pPr>
            <w:r>
              <w:rPr>
                <w:rFonts w:hint="eastAsia" w:ascii="宋体" w:hAnsi="宋体" w:cs="宋体"/>
                <w:b/>
                <w:kern w:val="0"/>
                <w:szCs w:val="21"/>
              </w:rPr>
              <w:t>六、其他需说明的问题：</w:t>
            </w:r>
          </w:p>
          <w:p w14:paraId="1A877767">
            <w:pPr>
              <w:spacing w:line="420" w:lineRule="exact"/>
              <w:ind w:firstLine="465"/>
              <w:rPr>
                <w:szCs w:val="21"/>
              </w:rPr>
            </w:pPr>
            <w:r>
              <w:rPr>
                <w:rFonts w:hint="eastAsia"/>
                <w:szCs w:val="21"/>
              </w:rPr>
              <w:t>1) 投标人应按招标文件中的要求认真报价。投标人在编制报价文件时发现本清单说明部分</w:t>
            </w:r>
          </w:p>
          <w:p w14:paraId="1281E767">
            <w:pPr>
              <w:spacing w:line="420" w:lineRule="exact"/>
              <w:ind w:firstLine="465"/>
              <w:rPr>
                <w:szCs w:val="21"/>
              </w:rPr>
            </w:pPr>
            <w:r>
              <w:rPr>
                <w:rFonts w:hint="eastAsia"/>
                <w:szCs w:val="21"/>
              </w:rPr>
              <w:t>内容若与招标文件有矛盾时，投标人应提供书面答疑，要求书面澄清，若答疑阶段已过</w:t>
            </w:r>
          </w:p>
          <w:p w14:paraId="1D5222E1">
            <w:pPr>
              <w:spacing w:line="420" w:lineRule="exact"/>
              <w:ind w:firstLine="465"/>
              <w:rPr>
                <w:szCs w:val="21"/>
              </w:rPr>
            </w:pPr>
            <w:r>
              <w:rPr>
                <w:rFonts w:hint="eastAsia"/>
                <w:szCs w:val="21"/>
              </w:rPr>
              <w:t xml:space="preserve">时发现，则以招标文件为准。 </w:t>
            </w:r>
          </w:p>
          <w:p w14:paraId="4617FDBD">
            <w:pPr>
              <w:spacing w:line="420" w:lineRule="exact"/>
              <w:ind w:firstLine="465"/>
              <w:rPr>
                <w:szCs w:val="21"/>
              </w:rPr>
            </w:pPr>
            <w:r>
              <w:rPr>
                <w:rFonts w:hint="eastAsia"/>
                <w:szCs w:val="21"/>
              </w:rPr>
              <w:t>2) 项目指引“工程内容”中列举了分项工程计量范围内完成本分项工程应有的工作内容，</w:t>
            </w:r>
          </w:p>
          <w:p w14:paraId="61433B6F">
            <w:pPr>
              <w:spacing w:line="420" w:lineRule="exact"/>
              <w:ind w:firstLine="465"/>
              <w:rPr>
                <w:szCs w:val="21"/>
              </w:rPr>
            </w:pPr>
            <w:r>
              <w:rPr>
                <w:rFonts w:hint="eastAsia"/>
                <w:szCs w:val="21"/>
              </w:rPr>
              <w:t>凡说明了的工作内容均应包括在报价范围中，清单中未描述到但又是完成分项工程必须</w:t>
            </w:r>
          </w:p>
          <w:p w14:paraId="26180FCD">
            <w:pPr>
              <w:spacing w:line="420" w:lineRule="exact"/>
              <w:ind w:firstLine="465"/>
              <w:rPr>
                <w:szCs w:val="21"/>
              </w:rPr>
            </w:pPr>
            <w:r>
              <w:rPr>
                <w:rFonts w:hint="eastAsia"/>
                <w:szCs w:val="21"/>
              </w:rPr>
              <w:t>有的工作内容，也应包括在报价中。工程量清单内项目特征描述与技术要求相矛盾时，</w:t>
            </w:r>
          </w:p>
          <w:p w14:paraId="0897B1B5">
            <w:pPr>
              <w:spacing w:line="420" w:lineRule="exact"/>
              <w:ind w:firstLine="465"/>
              <w:rPr>
                <w:szCs w:val="21"/>
              </w:rPr>
            </w:pPr>
            <w:r>
              <w:rPr>
                <w:rFonts w:hint="eastAsia"/>
                <w:szCs w:val="21"/>
              </w:rPr>
              <w:t xml:space="preserve">以技术要求为准。 </w:t>
            </w:r>
          </w:p>
          <w:p w14:paraId="5774FE8E">
            <w:pPr>
              <w:spacing w:line="420" w:lineRule="exact"/>
              <w:ind w:firstLine="465"/>
              <w:rPr>
                <w:szCs w:val="21"/>
              </w:rPr>
            </w:pPr>
            <w:r>
              <w:rPr>
                <w:rFonts w:hint="eastAsia"/>
                <w:szCs w:val="21"/>
              </w:rPr>
              <w:t>3) 工程量清单所列的工程量系本招标人根据甲方提供的设计图计算的，作为投标报价的基</w:t>
            </w:r>
          </w:p>
          <w:p w14:paraId="693506BE">
            <w:pPr>
              <w:spacing w:line="420" w:lineRule="exact"/>
              <w:ind w:firstLine="465"/>
              <w:rPr>
                <w:szCs w:val="21"/>
              </w:rPr>
            </w:pPr>
            <w:r>
              <w:rPr>
                <w:rFonts w:hint="eastAsia"/>
                <w:szCs w:val="21"/>
              </w:rPr>
              <w:t xml:space="preserve">础。本工程量清单应与投标须知、合同条件、合同协议、工程范围和图纸一起使用。 </w:t>
            </w:r>
          </w:p>
          <w:p w14:paraId="3A9073B1">
            <w:pPr>
              <w:spacing w:line="420" w:lineRule="exact"/>
              <w:ind w:firstLine="465"/>
              <w:rPr>
                <w:szCs w:val="21"/>
              </w:rPr>
            </w:pPr>
            <w:r>
              <w:rPr>
                <w:rFonts w:hint="eastAsia"/>
                <w:szCs w:val="21"/>
              </w:rPr>
              <w:t xml:space="preserve">①投标单位在拿到工程量清单后必须严格按此清单数量自主报价，并充分考虑风险因素。 </w:t>
            </w:r>
          </w:p>
          <w:p w14:paraId="3E063339">
            <w:pPr>
              <w:spacing w:line="420" w:lineRule="exact"/>
              <w:ind w:firstLine="465"/>
              <w:rPr>
                <w:szCs w:val="21"/>
              </w:rPr>
            </w:pPr>
            <w:r>
              <w:rPr>
                <w:rFonts w:hint="eastAsia"/>
                <w:szCs w:val="21"/>
              </w:rPr>
              <w:t>②各投标单位可根据施工组织设计采取的方案相应增加或减少措施费用，各投标单位的最</w:t>
            </w:r>
          </w:p>
          <w:p w14:paraId="0C3882AA">
            <w:pPr>
              <w:spacing w:line="420" w:lineRule="exact"/>
              <w:ind w:firstLine="465"/>
              <w:rPr>
                <w:szCs w:val="21"/>
              </w:rPr>
            </w:pPr>
            <w:r>
              <w:rPr>
                <w:rFonts w:hint="eastAsia"/>
                <w:szCs w:val="21"/>
              </w:rPr>
              <w:t xml:space="preserve">终报价必须包括完成本工程的所有费用在内。 </w:t>
            </w:r>
          </w:p>
          <w:p w14:paraId="347B25EF">
            <w:pPr>
              <w:numPr>
                <w:ilvl w:val="0"/>
                <w:numId w:val="1"/>
              </w:numPr>
              <w:spacing w:line="420" w:lineRule="exact"/>
              <w:ind w:firstLine="465"/>
              <w:rPr>
                <w:szCs w:val="21"/>
              </w:rPr>
            </w:pPr>
            <w:r>
              <w:rPr>
                <w:rFonts w:hint="eastAsia"/>
                <w:szCs w:val="21"/>
              </w:rPr>
              <w:t>编制投标报价时，单位工程费汇总严格按照工程量清单提供的格式。</w:t>
            </w:r>
          </w:p>
          <w:p w14:paraId="199808E2">
            <w:pPr>
              <w:numPr>
                <w:ilvl w:val="0"/>
                <w:numId w:val="1"/>
              </w:numPr>
              <w:spacing w:line="420" w:lineRule="exact"/>
              <w:ind w:firstLine="465"/>
              <w:rPr>
                <w:szCs w:val="21"/>
              </w:rPr>
            </w:pPr>
            <w:r>
              <w:rPr>
                <w:rFonts w:hint="eastAsia"/>
                <w:szCs w:val="21"/>
                <w:lang w:val="en-US" w:eastAsia="zh-CN"/>
              </w:rPr>
              <w:t>设备</w:t>
            </w:r>
            <w:r>
              <w:rPr>
                <w:rFonts w:hint="eastAsia"/>
                <w:szCs w:val="21"/>
              </w:rPr>
              <w:t>按</w:t>
            </w:r>
            <w:r>
              <w:rPr>
                <w:rFonts w:hint="eastAsia"/>
                <w:szCs w:val="21"/>
                <w:lang w:val="en-US" w:eastAsia="zh-CN"/>
              </w:rPr>
              <w:t>满足供电公司要求的市场价</w:t>
            </w:r>
            <w:r>
              <w:rPr>
                <w:rFonts w:hint="eastAsia"/>
                <w:szCs w:val="21"/>
              </w:rPr>
              <w:t>考虑。</w:t>
            </w:r>
          </w:p>
          <w:p w14:paraId="72222626">
            <w:pPr>
              <w:numPr>
                <w:ilvl w:val="0"/>
                <w:numId w:val="1"/>
              </w:numPr>
              <w:spacing w:line="420" w:lineRule="exact"/>
              <w:ind w:firstLine="465"/>
              <w:rPr>
                <w:szCs w:val="21"/>
              </w:rPr>
            </w:pPr>
            <w:r>
              <w:rPr>
                <w:rFonts w:hint="eastAsia"/>
                <w:szCs w:val="21"/>
              </w:rPr>
              <w:t>投标人在编制报价文件时发现本清单说明部分内容若与招标文件有矛旨时，投标人应提供书面答疑，要求书面澄清，若答疑阶段已过时发现，则以招标文件为准。清单项目特征只对工程项目的主要内容和工序做简要描述，不能详尽招标施工图中的每项说明与内容﹐如投标人未提供书面答疑，视为完成招标施工图中所有工作所需的费用均已包含在投标报价中。</w:t>
            </w:r>
          </w:p>
          <w:p w14:paraId="6A65025A">
            <w:pPr>
              <w:numPr>
                <w:ilvl w:val="0"/>
                <w:numId w:val="1"/>
              </w:numPr>
              <w:spacing w:line="420" w:lineRule="exact"/>
              <w:ind w:firstLine="465"/>
              <w:rPr>
                <w:szCs w:val="21"/>
              </w:rPr>
            </w:pPr>
            <w:r>
              <w:rPr>
                <w:rFonts w:hint="eastAsia"/>
                <w:szCs w:val="21"/>
              </w:rPr>
              <w:t>本清单所列工程数里是根据图纸或现行情况估算和暂定的,仅作为投标的共同基础，不作为最终结算与支付的依据。工程里清单所列工程里的变动,丝毫不会降低或影响合同条件的效力﹐也不免除承包商按规定的标准进行施工和修复缺陷的责任。</w:t>
            </w:r>
          </w:p>
          <w:p w14:paraId="57F9D7A6">
            <w:pPr>
              <w:numPr>
                <w:ilvl w:val="0"/>
                <w:numId w:val="1"/>
              </w:numPr>
              <w:spacing w:line="420" w:lineRule="exact"/>
              <w:ind w:firstLine="465"/>
              <w:rPr>
                <w:szCs w:val="21"/>
              </w:rPr>
            </w:pPr>
            <w:r>
              <w:rPr>
                <w:rFonts w:hint="eastAsia"/>
                <w:szCs w:val="21"/>
              </w:rPr>
              <w:t>投标人应充分做好踏勘工作,负责做好施工场地周围高空线路〈高压线等〉、地下管线和邻近建筑物﹑构筑物(含文物保护建筑)、古树名木的保护工作，并将预计可能发生的费用列入投标报价中。需特别提醒投标人﹐因施工现场现有的周边条件而采用的施工方案所增加的措施费﹐投标人需自行调查后充分考虑在相关的投标报价中，不得因此另行增加费用。</w:t>
            </w:r>
          </w:p>
          <w:p w14:paraId="50092D8B">
            <w:pPr>
              <w:numPr>
                <w:ilvl w:val="0"/>
                <w:numId w:val="1"/>
              </w:numPr>
              <w:spacing w:line="420" w:lineRule="exact"/>
              <w:ind w:firstLine="465"/>
              <w:rPr>
                <w:szCs w:val="21"/>
              </w:rPr>
            </w:pPr>
            <w:r>
              <w:rPr>
                <w:rFonts w:hint="eastAsia"/>
                <w:szCs w:val="21"/>
              </w:rPr>
              <w:t>发包人（招标人）不提供超出定点线外的临时用地,若另需租用土地，费用视为已纳入合适的报价项目中。施工临时用电﹑用水由中标人自行解决﹐发生的申请和使用费用全部纳入投标报价,如有需要﹐发包人可协助中标人办理相关申请手续。投标人还应当考虑施工过程因涉及的陆上、水上与交通﹑路政﹑航道、海事、水利等部门的申请事项所发生的押金或保证金等临时性费用。</w:t>
            </w:r>
          </w:p>
          <w:p w14:paraId="7F7A66C8">
            <w:pPr>
              <w:numPr>
                <w:ilvl w:val="0"/>
                <w:numId w:val="1"/>
              </w:numPr>
              <w:spacing w:line="420" w:lineRule="exact"/>
              <w:ind w:firstLine="465"/>
              <w:rPr>
                <w:szCs w:val="21"/>
              </w:rPr>
            </w:pPr>
            <w:r>
              <w:rPr>
                <w:rFonts w:hint="eastAsia"/>
                <w:szCs w:val="21"/>
              </w:rPr>
              <w:t>投标人的投标报价中，要充分考虑临时设施的费用，报价中必须考虑应满足实现“标准化施工现场和规范化施工作业”的现场管理﹑标准化施工现场的要求。临时设施搭设﹑标准化施工现场和规范化施工作业需符合《无锡市建设工程文明施工导则》、《市政府办公室关于印发促进建设工程文明施工水平提升工作通知》等。</w:t>
            </w:r>
          </w:p>
          <w:p w14:paraId="1DFDAB53">
            <w:pPr>
              <w:numPr>
                <w:ilvl w:val="0"/>
                <w:numId w:val="2"/>
              </w:numPr>
              <w:autoSpaceDE w:val="0"/>
              <w:autoSpaceDN w:val="0"/>
              <w:adjustRightInd w:val="0"/>
              <w:snapToGrid w:val="0"/>
              <w:spacing w:line="460" w:lineRule="exact"/>
              <w:ind w:left="-18"/>
              <w:rPr>
                <w:rFonts w:hint="eastAsia" w:ascii="宋体" w:hAnsi="宋体" w:cs="宋体"/>
                <w:b/>
                <w:kern w:val="0"/>
                <w:szCs w:val="21"/>
              </w:rPr>
            </w:pPr>
            <w:r>
              <w:rPr>
                <w:rFonts w:hint="eastAsia" w:ascii="宋体" w:hAnsi="宋体" w:cs="宋体"/>
                <w:b/>
                <w:kern w:val="0"/>
                <w:szCs w:val="21"/>
              </w:rPr>
              <w:t>不可竞争费用标准计取：（结算时根据有关规定按照不同类别调整）</w:t>
            </w:r>
          </w:p>
          <w:tbl>
            <w:tblPr>
              <w:tblStyle w:val="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988"/>
              <w:gridCol w:w="1800"/>
              <w:gridCol w:w="1580"/>
              <w:gridCol w:w="1744"/>
              <w:gridCol w:w="1744"/>
            </w:tblGrid>
            <w:tr w14:paraId="3A76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3D14D862">
                  <w:pPr>
                    <w:contextualSpacing/>
                    <w:rPr>
                      <w:b/>
                      <w:sz w:val="18"/>
                      <w:szCs w:val="18"/>
                    </w:rPr>
                  </w:pPr>
                  <w:r>
                    <w:rPr>
                      <w:rFonts w:hint="eastAsia"/>
                      <w:b/>
                      <w:sz w:val="18"/>
                      <w:szCs w:val="18"/>
                    </w:rPr>
                    <w:t>序号</w:t>
                  </w:r>
                </w:p>
              </w:tc>
              <w:tc>
                <w:tcPr>
                  <w:tcW w:w="2788" w:type="dxa"/>
                  <w:gridSpan w:val="2"/>
                  <w:vAlign w:val="center"/>
                </w:tcPr>
                <w:p w14:paraId="01ED8998">
                  <w:pPr>
                    <w:contextualSpacing/>
                    <w:jc w:val="center"/>
                    <w:rPr>
                      <w:b/>
                      <w:sz w:val="18"/>
                      <w:szCs w:val="18"/>
                    </w:rPr>
                  </w:pPr>
                  <w:r>
                    <w:rPr>
                      <w:rFonts w:hint="eastAsia"/>
                      <w:b/>
                      <w:sz w:val="18"/>
                      <w:szCs w:val="18"/>
                    </w:rPr>
                    <w:t>费用类别</w:t>
                  </w:r>
                </w:p>
              </w:tc>
              <w:tc>
                <w:tcPr>
                  <w:tcW w:w="1580" w:type="dxa"/>
                  <w:vAlign w:val="center"/>
                </w:tcPr>
                <w:p w14:paraId="6973451C">
                  <w:pPr>
                    <w:contextualSpacing/>
                    <w:jc w:val="center"/>
                    <w:rPr>
                      <w:b/>
                      <w:sz w:val="18"/>
                      <w:szCs w:val="18"/>
                    </w:rPr>
                  </w:pPr>
                  <w:r>
                    <w:rPr>
                      <w:rFonts w:hint="eastAsia"/>
                      <w:b/>
                      <w:sz w:val="18"/>
                      <w:szCs w:val="18"/>
                    </w:rPr>
                    <w:t>计费基础</w:t>
                  </w:r>
                </w:p>
              </w:tc>
              <w:tc>
                <w:tcPr>
                  <w:tcW w:w="3488" w:type="dxa"/>
                  <w:gridSpan w:val="2"/>
                  <w:vAlign w:val="center"/>
                </w:tcPr>
                <w:p w14:paraId="2D244871">
                  <w:pPr>
                    <w:contextualSpacing/>
                    <w:jc w:val="center"/>
                    <w:rPr>
                      <w:rFonts w:hint="eastAsia"/>
                      <w:b/>
                      <w:sz w:val="18"/>
                      <w:szCs w:val="18"/>
                      <w:lang w:val="en-US" w:eastAsia="zh-CN"/>
                    </w:rPr>
                  </w:pPr>
                  <w:r>
                    <w:rPr>
                      <w:rFonts w:hint="eastAsia"/>
                      <w:b/>
                      <w:sz w:val="18"/>
                      <w:szCs w:val="18"/>
                      <w:lang w:val="en-US" w:eastAsia="zh-CN"/>
                    </w:rPr>
                    <w:t>费率%</w:t>
                  </w:r>
                </w:p>
              </w:tc>
            </w:tr>
            <w:tr w14:paraId="0CC6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2" w:type="dxa"/>
                  <w:vMerge w:val="continue"/>
                  <w:vAlign w:val="center"/>
                </w:tcPr>
                <w:p w14:paraId="67202E12">
                  <w:pPr>
                    <w:contextualSpacing/>
                    <w:rPr>
                      <w:sz w:val="18"/>
                      <w:szCs w:val="18"/>
                    </w:rPr>
                  </w:pPr>
                </w:p>
              </w:tc>
              <w:tc>
                <w:tcPr>
                  <w:tcW w:w="2788" w:type="dxa"/>
                  <w:gridSpan w:val="2"/>
                  <w:vMerge w:val="continue"/>
                  <w:vAlign w:val="center"/>
                </w:tcPr>
                <w:p w14:paraId="4541BEE0">
                  <w:pPr>
                    <w:contextualSpacing/>
                    <w:rPr>
                      <w:sz w:val="18"/>
                      <w:szCs w:val="18"/>
                    </w:rPr>
                  </w:pPr>
                </w:p>
              </w:tc>
              <w:tc>
                <w:tcPr>
                  <w:tcW w:w="1580" w:type="dxa"/>
                  <w:vMerge w:val="continue"/>
                  <w:vAlign w:val="center"/>
                </w:tcPr>
                <w:p w14:paraId="4B5E5732">
                  <w:pPr>
                    <w:contextualSpacing/>
                    <w:rPr>
                      <w:sz w:val="18"/>
                      <w:szCs w:val="18"/>
                    </w:rPr>
                  </w:pPr>
                </w:p>
              </w:tc>
              <w:tc>
                <w:tcPr>
                  <w:tcW w:w="1744" w:type="dxa"/>
                  <w:vAlign w:val="center"/>
                </w:tcPr>
                <w:p w14:paraId="5B0A49E5">
                  <w:pPr>
                    <w:contextualSpacing/>
                    <w:jc w:val="center"/>
                    <w:rPr>
                      <w:rFonts w:hint="default" w:eastAsia="宋体"/>
                      <w:b/>
                      <w:sz w:val="18"/>
                      <w:szCs w:val="18"/>
                      <w:lang w:val="en-US" w:eastAsia="zh-CN"/>
                    </w:rPr>
                  </w:pPr>
                  <w:r>
                    <w:rPr>
                      <w:rFonts w:hint="eastAsia"/>
                      <w:b/>
                      <w:sz w:val="18"/>
                      <w:szCs w:val="18"/>
                      <w:lang w:val="en-US" w:eastAsia="zh-CN"/>
                    </w:rPr>
                    <w:t>安装</w:t>
                  </w:r>
                </w:p>
              </w:tc>
              <w:tc>
                <w:tcPr>
                  <w:tcW w:w="1744" w:type="dxa"/>
                  <w:vAlign w:val="center"/>
                </w:tcPr>
                <w:p w14:paraId="26327323">
                  <w:pPr>
                    <w:contextualSpacing/>
                    <w:jc w:val="center"/>
                    <w:rPr>
                      <w:rFonts w:hint="default"/>
                      <w:b/>
                      <w:sz w:val="18"/>
                      <w:szCs w:val="18"/>
                      <w:lang w:val="en-US" w:eastAsia="zh-CN"/>
                    </w:rPr>
                  </w:pPr>
                  <w:r>
                    <w:rPr>
                      <w:rFonts w:hint="eastAsia"/>
                      <w:b/>
                      <w:sz w:val="18"/>
                      <w:szCs w:val="18"/>
                      <w:lang w:val="en-US" w:eastAsia="zh-CN"/>
                    </w:rPr>
                    <w:t>市政</w:t>
                  </w:r>
                </w:p>
              </w:tc>
            </w:tr>
            <w:tr w14:paraId="305C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0B397EC">
                  <w:pPr>
                    <w:contextualSpacing/>
                    <w:rPr>
                      <w:sz w:val="18"/>
                      <w:szCs w:val="18"/>
                    </w:rPr>
                  </w:pPr>
                  <w:r>
                    <w:rPr>
                      <w:rFonts w:hint="eastAsia"/>
                      <w:sz w:val="18"/>
                      <w:szCs w:val="18"/>
                    </w:rPr>
                    <w:t>1</w:t>
                  </w:r>
                </w:p>
              </w:tc>
              <w:tc>
                <w:tcPr>
                  <w:tcW w:w="988" w:type="dxa"/>
                  <w:vMerge w:val="restart"/>
                  <w:vAlign w:val="center"/>
                </w:tcPr>
                <w:p w14:paraId="74A97EA4">
                  <w:pPr>
                    <w:contextualSpacing/>
                    <w:rPr>
                      <w:sz w:val="18"/>
                      <w:szCs w:val="18"/>
                    </w:rPr>
                  </w:pPr>
                  <w:r>
                    <w:rPr>
                      <w:rFonts w:hint="eastAsia"/>
                      <w:sz w:val="18"/>
                      <w:szCs w:val="18"/>
                    </w:rPr>
                    <w:t>安全文明措施费（%）</w:t>
                  </w:r>
                </w:p>
              </w:tc>
              <w:tc>
                <w:tcPr>
                  <w:tcW w:w="1800" w:type="dxa"/>
                  <w:vAlign w:val="center"/>
                </w:tcPr>
                <w:p w14:paraId="08107527">
                  <w:pPr>
                    <w:contextualSpacing/>
                    <w:rPr>
                      <w:sz w:val="18"/>
                      <w:szCs w:val="18"/>
                    </w:rPr>
                  </w:pPr>
                  <w:r>
                    <w:rPr>
                      <w:rFonts w:hint="eastAsia"/>
                      <w:sz w:val="18"/>
                      <w:szCs w:val="18"/>
                    </w:rPr>
                    <w:t>基本费</w:t>
                  </w:r>
                </w:p>
              </w:tc>
              <w:tc>
                <w:tcPr>
                  <w:tcW w:w="1580" w:type="dxa"/>
                  <w:vMerge w:val="restart"/>
                  <w:vAlign w:val="center"/>
                </w:tcPr>
                <w:p w14:paraId="1DC7667A">
                  <w:pPr>
                    <w:contextualSpacing/>
                    <w:rPr>
                      <w:sz w:val="18"/>
                      <w:szCs w:val="18"/>
                    </w:rPr>
                  </w:pPr>
                  <w:r>
                    <w:rPr>
                      <w:rFonts w:hint="eastAsia"/>
                      <w:sz w:val="18"/>
                      <w:szCs w:val="18"/>
                    </w:rPr>
                    <w:t>分部分项合计+单价措施项目合计-除税工程设备费</w:t>
                  </w:r>
                </w:p>
              </w:tc>
              <w:tc>
                <w:tcPr>
                  <w:tcW w:w="1744" w:type="dxa"/>
                  <w:vAlign w:val="center"/>
                </w:tcPr>
                <w:p w14:paraId="3F7B3433">
                  <w:pPr>
                    <w:contextualSpacing/>
                    <w:jc w:val="center"/>
                    <w:rPr>
                      <w:rFonts w:hint="default" w:eastAsia="宋体"/>
                      <w:sz w:val="18"/>
                      <w:szCs w:val="18"/>
                      <w:lang w:val="en-US" w:eastAsia="zh-CN"/>
                    </w:rPr>
                  </w:pPr>
                  <w:r>
                    <w:rPr>
                      <w:rFonts w:hint="eastAsia"/>
                      <w:sz w:val="18"/>
                      <w:szCs w:val="18"/>
                      <w:lang w:val="en-US" w:eastAsia="zh-CN"/>
                    </w:rPr>
                    <w:t>1.5</w:t>
                  </w:r>
                </w:p>
              </w:tc>
              <w:tc>
                <w:tcPr>
                  <w:tcW w:w="1744" w:type="dxa"/>
                  <w:vAlign w:val="center"/>
                </w:tcPr>
                <w:p w14:paraId="2367D1C6">
                  <w:pPr>
                    <w:numPr>
                      <w:ilvl w:val="0"/>
                      <w:numId w:val="0"/>
                    </w:numPr>
                    <w:ind w:left="0" w:leftChars="0" w:firstLine="0" w:firstLineChars="0"/>
                    <w:contextualSpacing/>
                    <w:jc w:val="center"/>
                    <w:rPr>
                      <w:rFonts w:hint="eastAsia"/>
                      <w:sz w:val="18"/>
                      <w:szCs w:val="18"/>
                      <w:lang w:val="en-US" w:eastAsia="zh-CN"/>
                    </w:rPr>
                  </w:pPr>
                  <w:r>
                    <w:rPr>
                      <w:rFonts w:hint="eastAsia" w:ascii="Times New Roman" w:hAnsi="Times New Roman" w:eastAsia="宋体" w:cs="Times New Roman"/>
                      <w:color w:val="auto"/>
                      <w:sz w:val="18"/>
                      <w:szCs w:val="18"/>
                    </w:rPr>
                    <w:t>1.5</w:t>
                  </w:r>
                </w:p>
              </w:tc>
            </w:tr>
            <w:tr w14:paraId="67AA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2" w:type="dxa"/>
                  <w:vAlign w:val="center"/>
                </w:tcPr>
                <w:p w14:paraId="23536683">
                  <w:pPr>
                    <w:contextualSpacing/>
                    <w:rPr>
                      <w:sz w:val="18"/>
                      <w:szCs w:val="18"/>
                    </w:rPr>
                  </w:pPr>
                  <w:r>
                    <w:rPr>
                      <w:rFonts w:hint="eastAsia"/>
                      <w:sz w:val="18"/>
                      <w:szCs w:val="18"/>
                    </w:rPr>
                    <w:t>2</w:t>
                  </w:r>
                </w:p>
              </w:tc>
              <w:tc>
                <w:tcPr>
                  <w:tcW w:w="988" w:type="dxa"/>
                  <w:vMerge w:val="continue"/>
                  <w:vAlign w:val="center"/>
                </w:tcPr>
                <w:p w14:paraId="5D769BE2">
                  <w:pPr>
                    <w:contextualSpacing/>
                    <w:rPr>
                      <w:sz w:val="18"/>
                      <w:szCs w:val="18"/>
                    </w:rPr>
                  </w:pPr>
                </w:p>
              </w:tc>
              <w:tc>
                <w:tcPr>
                  <w:tcW w:w="1800" w:type="dxa"/>
                  <w:vAlign w:val="center"/>
                </w:tcPr>
                <w:p w14:paraId="6CE88CBD">
                  <w:pPr>
                    <w:contextualSpacing/>
                    <w:rPr>
                      <w:sz w:val="18"/>
                      <w:szCs w:val="18"/>
                    </w:rPr>
                  </w:pPr>
                  <w:r>
                    <w:rPr>
                      <w:rFonts w:hint="eastAsia"/>
                      <w:sz w:val="18"/>
                      <w:szCs w:val="18"/>
                    </w:rPr>
                    <w:t>增加费</w:t>
                  </w:r>
                </w:p>
              </w:tc>
              <w:tc>
                <w:tcPr>
                  <w:tcW w:w="1580" w:type="dxa"/>
                  <w:vMerge w:val="continue"/>
                  <w:vAlign w:val="center"/>
                </w:tcPr>
                <w:p w14:paraId="1A9B7D35">
                  <w:pPr>
                    <w:contextualSpacing/>
                    <w:rPr>
                      <w:sz w:val="18"/>
                      <w:szCs w:val="18"/>
                    </w:rPr>
                  </w:pPr>
                </w:p>
              </w:tc>
              <w:tc>
                <w:tcPr>
                  <w:tcW w:w="1744" w:type="dxa"/>
                  <w:vAlign w:val="center"/>
                </w:tcPr>
                <w:p w14:paraId="55FA4EB5">
                  <w:pPr>
                    <w:contextualSpacing/>
                    <w:jc w:val="center"/>
                    <w:rPr>
                      <w:sz w:val="18"/>
                      <w:szCs w:val="18"/>
                    </w:rPr>
                  </w:pPr>
                  <w:r>
                    <w:rPr>
                      <w:rFonts w:hint="eastAsia"/>
                      <w:sz w:val="18"/>
                      <w:szCs w:val="18"/>
                    </w:rPr>
                    <w:t>0</w:t>
                  </w:r>
                </w:p>
              </w:tc>
              <w:tc>
                <w:tcPr>
                  <w:tcW w:w="1744" w:type="dxa"/>
                  <w:vAlign w:val="center"/>
                </w:tcPr>
                <w:p w14:paraId="397AE181">
                  <w:pPr>
                    <w:contextualSpacing/>
                    <w:jc w:val="center"/>
                    <w:rPr>
                      <w:rFonts w:hint="eastAsia"/>
                      <w:sz w:val="18"/>
                      <w:szCs w:val="18"/>
                    </w:rPr>
                  </w:pPr>
                </w:p>
              </w:tc>
            </w:tr>
            <w:tr w14:paraId="122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Align w:val="center"/>
                </w:tcPr>
                <w:p w14:paraId="5872DDFF">
                  <w:pPr>
                    <w:contextualSpacing/>
                    <w:rPr>
                      <w:sz w:val="18"/>
                      <w:szCs w:val="18"/>
                    </w:rPr>
                  </w:pPr>
                  <w:r>
                    <w:rPr>
                      <w:rFonts w:hint="eastAsia"/>
                      <w:sz w:val="18"/>
                      <w:szCs w:val="18"/>
                    </w:rPr>
                    <w:t>3</w:t>
                  </w:r>
                </w:p>
              </w:tc>
              <w:tc>
                <w:tcPr>
                  <w:tcW w:w="988" w:type="dxa"/>
                  <w:vMerge w:val="continue"/>
                  <w:vAlign w:val="center"/>
                </w:tcPr>
                <w:p w14:paraId="44D8528D">
                  <w:pPr>
                    <w:contextualSpacing/>
                    <w:rPr>
                      <w:sz w:val="18"/>
                      <w:szCs w:val="18"/>
                    </w:rPr>
                  </w:pPr>
                </w:p>
              </w:tc>
              <w:tc>
                <w:tcPr>
                  <w:tcW w:w="1800" w:type="dxa"/>
                  <w:vAlign w:val="center"/>
                </w:tcPr>
                <w:p w14:paraId="3B6FE280">
                  <w:pPr>
                    <w:contextualSpacing/>
                    <w:rPr>
                      <w:sz w:val="18"/>
                      <w:szCs w:val="18"/>
                    </w:rPr>
                  </w:pPr>
                  <w:r>
                    <w:rPr>
                      <w:rFonts w:hint="eastAsia"/>
                      <w:sz w:val="18"/>
                      <w:szCs w:val="18"/>
                    </w:rPr>
                    <w:t>扬尘污染防治增加费</w:t>
                  </w:r>
                </w:p>
              </w:tc>
              <w:tc>
                <w:tcPr>
                  <w:tcW w:w="1580" w:type="dxa"/>
                  <w:vMerge w:val="continue"/>
                  <w:vAlign w:val="center"/>
                </w:tcPr>
                <w:p w14:paraId="47FB90A6">
                  <w:pPr>
                    <w:contextualSpacing/>
                    <w:rPr>
                      <w:sz w:val="18"/>
                      <w:szCs w:val="18"/>
                    </w:rPr>
                  </w:pPr>
                </w:p>
              </w:tc>
              <w:tc>
                <w:tcPr>
                  <w:tcW w:w="1744" w:type="dxa"/>
                  <w:vAlign w:val="center"/>
                </w:tcPr>
                <w:p w14:paraId="06925481">
                  <w:pPr>
                    <w:contextualSpacing/>
                    <w:jc w:val="center"/>
                    <w:rPr>
                      <w:rFonts w:hint="default" w:eastAsia="宋体"/>
                      <w:sz w:val="18"/>
                      <w:szCs w:val="18"/>
                      <w:lang w:val="en-US" w:eastAsia="zh-CN"/>
                    </w:rPr>
                  </w:pPr>
                  <w:r>
                    <w:rPr>
                      <w:rFonts w:hint="eastAsia"/>
                      <w:sz w:val="18"/>
                      <w:szCs w:val="18"/>
                    </w:rPr>
                    <w:t>0.</w:t>
                  </w:r>
                  <w:r>
                    <w:rPr>
                      <w:sz w:val="18"/>
                      <w:szCs w:val="18"/>
                    </w:rPr>
                    <w:t>2</w:t>
                  </w:r>
                  <w:r>
                    <w:rPr>
                      <w:rFonts w:hint="eastAsia"/>
                      <w:sz w:val="18"/>
                      <w:szCs w:val="18"/>
                      <w:lang w:val="en-US" w:eastAsia="zh-CN"/>
                    </w:rPr>
                    <w:t>1</w:t>
                  </w:r>
                </w:p>
              </w:tc>
              <w:tc>
                <w:tcPr>
                  <w:tcW w:w="1744" w:type="dxa"/>
                  <w:vAlign w:val="center"/>
                </w:tcPr>
                <w:p w14:paraId="0EB94F4A">
                  <w:pPr>
                    <w:contextualSpacing/>
                    <w:jc w:val="center"/>
                    <w:rPr>
                      <w:rFonts w:hint="eastAsia"/>
                      <w:sz w:val="18"/>
                      <w:szCs w:val="18"/>
                    </w:rPr>
                  </w:pPr>
                  <w:r>
                    <w:rPr>
                      <w:rFonts w:hint="eastAsia" w:ascii="Times New Roman" w:hAnsi="Times New Roman" w:eastAsia="宋体" w:cs="Times New Roman"/>
                      <w:color w:val="auto"/>
                      <w:sz w:val="18"/>
                      <w:szCs w:val="18"/>
                    </w:rPr>
                    <w:t>0.31</w:t>
                  </w:r>
                </w:p>
              </w:tc>
            </w:tr>
            <w:tr w14:paraId="6035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3825C1B5">
                  <w:pPr>
                    <w:contextualSpacing/>
                    <w:rPr>
                      <w:sz w:val="18"/>
                      <w:szCs w:val="18"/>
                    </w:rPr>
                  </w:pPr>
                  <w:r>
                    <w:rPr>
                      <w:rFonts w:hint="eastAsia"/>
                      <w:sz w:val="18"/>
                      <w:szCs w:val="18"/>
                    </w:rPr>
                    <w:t>4</w:t>
                  </w:r>
                </w:p>
              </w:tc>
              <w:tc>
                <w:tcPr>
                  <w:tcW w:w="2788" w:type="dxa"/>
                  <w:gridSpan w:val="2"/>
                  <w:vAlign w:val="center"/>
                </w:tcPr>
                <w:p w14:paraId="5DE2100A">
                  <w:pPr>
                    <w:contextualSpacing/>
                    <w:rPr>
                      <w:sz w:val="18"/>
                      <w:szCs w:val="18"/>
                    </w:rPr>
                  </w:pPr>
                  <w:r>
                    <w:rPr>
                      <w:rFonts w:hint="eastAsia"/>
                      <w:sz w:val="18"/>
                      <w:szCs w:val="18"/>
                    </w:rPr>
                    <w:t>暂列金额</w:t>
                  </w:r>
                </w:p>
              </w:tc>
              <w:tc>
                <w:tcPr>
                  <w:tcW w:w="1580" w:type="dxa"/>
                  <w:vAlign w:val="center"/>
                </w:tcPr>
                <w:p w14:paraId="34CB35C3">
                  <w:pPr>
                    <w:contextualSpacing/>
                    <w:rPr>
                      <w:sz w:val="18"/>
                      <w:szCs w:val="18"/>
                    </w:rPr>
                  </w:pPr>
                </w:p>
              </w:tc>
              <w:tc>
                <w:tcPr>
                  <w:tcW w:w="1744" w:type="dxa"/>
                  <w:vAlign w:val="center"/>
                </w:tcPr>
                <w:p w14:paraId="4F05AB87">
                  <w:pPr>
                    <w:contextualSpacing/>
                    <w:jc w:val="center"/>
                    <w:rPr>
                      <w:sz w:val="18"/>
                      <w:szCs w:val="18"/>
                    </w:rPr>
                  </w:pPr>
                </w:p>
              </w:tc>
              <w:tc>
                <w:tcPr>
                  <w:tcW w:w="1744" w:type="dxa"/>
                  <w:vAlign w:val="center"/>
                </w:tcPr>
                <w:p w14:paraId="67705AB0">
                  <w:pPr>
                    <w:contextualSpacing/>
                    <w:jc w:val="center"/>
                    <w:rPr>
                      <w:sz w:val="18"/>
                      <w:szCs w:val="18"/>
                    </w:rPr>
                  </w:pPr>
                </w:p>
              </w:tc>
            </w:tr>
            <w:tr w14:paraId="27B7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6647F31C">
                  <w:pPr>
                    <w:contextualSpacing/>
                    <w:rPr>
                      <w:sz w:val="18"/>
                      <w:szCs w:val="18"/>
                    </w:rPr>
                  </w:pPr>
                  <w:r>
                    <w:rPr>
                      <w:rFonts w:hint="eastAsia"/>
                      <w:sz w:val="18"/>
                      <w:szCs w:val="18"/>
                    </w:rPr>
                    <w:t>5</w:t>
                  </w:r>
                </w:p>
              </w:tc>
              <w:tc>
                <w:tcPr>
                  <w:tcW w:w="988" w:type="dxa"/>
                  <w:vMerge w:val="restart"/>
                  <w:vAlign w:val="center"/>
                </w:tcPr>
                <w:p w14:paraId="08CA4641">
                  <w:pPr>
                    <w:contextualSpacing/>
                    <w:rPr>
                      <w:sz w:val="18"/>
                      <w:szCs w:val="18"/>
                    </w:rPr>
                  </w:pPr>
                  <w:r>
                    <w:rPr>
                      <w:rFonts w:hint="eastAsia"/>
                      <w:sz w:val="18"/>
                      <w:szCs w:val="18"/>
                    </w:rPr>
                    <w:t>规费费率(%)</w:t>
                  </w:r>
                </w:p>
              </w:tc>
              <w:tc>
                <w:tcPr>
                  <w:tcW w:w="1800" w:type="dxa"/>
                  <w:vAlign w:val="center"/>
                </w:tcPr>
                <w:p w14:paraId="3008B563">
                  <w:pPr>
                    <w:contextualSpacing/>
                    <w:rPr>
                      <w:sz w:val="18"/>
                      <w:szCs w:val="18"/>
                    </w:rPr>
                  </w:pPr>
                  <w:r>
                    <w:rPr>
                      <w:rFonts w:hint="eastAsia"/>
                      <w:sz w:val="18"/>
                      <w:szCs w:val="18"/>
                    </w:rPr>
                    <w:t>社会保险费</w:t>
                  </w:r>
                </w:p>
              </w:tc>
              <w:tc>
                <w:tcPr>
                  <w:tcW w:w="1580" w:type="dxa"/>
                  <w:vMerge w:val="restart"/>
                  <w:vAlign w:val="center"/>
                </w:tcPr>
                <w:p w14:paraId="693A3DB7">
                  <w:pPr>
                    <w:contextualSpacing/>
                    <w:rPr>
                      <w:sz w:val="18"/>
                      <w:szCs w:val="18"/>
                    </w:rPr>
                  </w:pPr>
                  <w:r>
                    <w:rPr>
                      <w:rFonts w:hint="eastAsia"/>
                      <w:sz w:val="18"/>
                      <w:szCs w:val="18"/>
                    </w:rPr>
                    <w:t>分部分项工程费+措施项目费+其他项目费-除税工程设备费</w:t>
                  </w:r>
                </w:p>
              </w:tc>
              <w:tc>
                <w:tcPr>
                  <w:tcW w:w="1744" w:type="dxa"/>
                  <w:vAlign w:val="center"/>
                </w:tcPr>
                <w:p w14:paraId="4EBE49FC">
                  <w:pPr>
                    <w:contextualSpacing/>
                    <w:jc w:val="center"/>
                    <w:rPr>
                      <w:rFonts w:hint="eastAsia" w:eastAsia="宋体"/>
                      <w:sz w:val="18"/>
                      <w:szCs w:val="18"/>
                      <w:lang w:val="en-US" w:eastAsia="zh-CN"/>
                    </w:rPr>
                  </w:pPr>
                  <w:r>
                    <w:rPr>
                      <w:rFonts w:hint="eastAsia"/>
                      <w:sz w:val="18"/>
                      <w:szCs w:val="18"/>
                    </w:rPr>
                    <w:t>2</w:t>
                  </w:r>
                  <w:r>
                    <w:rPr>
                      <w:sz w:val="18"/>
                      <w:szCs w:val="18"/>
                    </w:rPr>
                    <w:t>.4</w:t>
                  </w:r>
                </w:p>
              </w:tc>
              <w:tc>
                <w:tcPr>
                  <w:tcW w:w="1744" w:type="dxa"/>
                  <w:vAlign w:val="center"/>
                </w:tcPr>
                <w:p w14:paraId="104B7133">
                  <w:pPr>
                    <w:contextualSpacing/>
                    <w:jc w:val="center"/>
                    <w:rPr>
                      <w:rFonts w:hint="eastAsia"/>
                      <w:sz w:val="18"/>
                      <w:szCs w:val="18"/>
                    </w:rPr>
                  </w:pPr>
                  <w:r>
                    <w:rPr>
                      <w:rFonts w:hint="eastAsia" w:ascii="Times New Roman" w:hAnsi="Times New Roman" w:eastAsia="宋体" w:cs="Times New Roman"/>
                      <w:color w:val="auto"/>
                      <w:sz w:val="18"/>
                      <w:szCs w:val="18"/>
                    </w:rPr>
                    <w:t>2</w:t>
                  </w:r>
                </w:p>
              </w:tc>
            </w:tr>
            <w:tr w14:paraId="7E8E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136CDFA9">
                  <w:pPr>
                    <w:contextualSpacing/>
                    <w:rPr>
                      <w:sz w:val="18"/>
                      <w:szCs w:val="18"/>
                    </w:rPr>
                  </w:pPr>
                  <w:r>
                    <w:rPr>
                      <w:rFonts w:hint="eastAsia"/>
                      <w:sz w:val="18"/>
                      <w:szCs w:val="18"/>
                    </w:rPr>
                    <w:t>6</w:t>
                  </w:r>
                </w:p>
              </w:tc>
              <w:tc>
                <w:tcPr>
                  <w:tcW w:w="988" w:type="dxa"/>
                  <w:vMerge w:val="continue"/>
                  <w:vAlign w:val="center"/>
                </w:tcPr>
                <w:p w14:paraId="376A803D">
                  <w:pPr>
                    <w:contextualSpacing/>
                    <w:rPr>
                      <w:sz w:val="18"/>
                      <w:szCs w:val="18"/>
                    </w:rPr>
                  </w:pPr>
                </w:p>
              </w:tc>
              <w:tc>
                <w:tcPr>
                  <w:tcW w:w="1800" w:type="dxa"/>
                  <w:vAlign w:val="center"/>
                </w:tcPr>
                <w:p w14:paraId="327C716A">
                  <w:pPr>
                    <w:contextualSpacing/>
                    <w:rPr>
                      <w:sz w:val="18"/>
                      <w:szCs w:val="18"/>
                    </w:rPr>
                  </w:pPr>
                  <w:r>
                    <w:rPr>
                      <w:rFonts w:hint="eastAsia"/>
                      <w:sz w:val="18"/>
                      <w:szCs w:val="18"/>
                    </w:rPr>
                    <w:t>住房公积金</w:t>
                  </w:r>
                </w:p>
              </w:tc>
              <w:tc>
                <w:tcPr>
                  <w:tcW w:w="1580" w:type="dxa"/>
                  <w:vMerge w:val="continue"/>
                  <w:vAlign w:val="center"/>
                </w:tcPr>
                <w:p w14:paraId="2BCFC5A8">
                  <w:pPr>
                    <w:contextualSpacing/>
                    <w:rPr>
                      <w:sz w:val="18"/>
                      <w:szCs w:val="18"/>
                    </w:rPr>
                  </w:pPr>
                </w:p>
              </w:tc>
              <w:tc>
                <w:tcPr>
                  <w:tcW w:w="1744" w:type="dxa"/>
                  <w:vAlign w:val="center"/>
                </w:tcPr>
                <w:p w14:paraId="630B713F">
                  <w:pPr>
                    <w:contextualSpacing/>
                    <w:jc w:val="center"/>
                    <w:rPr>
                      <w:rFonts w:hint="default" w:eastAsia="宋体"/>
                      <w:sz w:val="18"/>
                      <w:szCs w:val="18"/>
                      <w:lang w:val="en-US" w:eastAsia="zh-CN"/>
                    </w:rPr>
                  </w:pPr>
                  <w:r>
                    <w:rPr>
                      <w:rFonts w:hint="eastAsia"/>
                      <w:sz w:val="18"/>
                      <w:szCs w:val="18"/>
                    </w:rPr>
                    <w:t>0.</w:t>
                  </w:r>
                  <w:r>
                    <w:rPr>
                      <w:sz w:val="18"/>
                      <w:szCs w:val="18"/>
                    </w:rPr>
                    <w:t>42</w:t>
                  </w:r>
                </w:p>
              </w:tc>
              <w:tc>
                <w:tcPr>
                  <w:tcW w:w="1744" w:type="dxa"/>
                  <w:vAlign w:val="center"/>
                </w:tcPr>
                <w:p w14:paraId="232CD9DF">
                  <w:pPr>
                    <w:contextualSpacing/>
                    <w:jc w:val="center"/>
                    <w:rPr>
                      <w:rFonts w:hint="eastAsia"/>
                      <w:sz w:val="18"/>
                      <w:szCs w:val="18"/>
                    </w:rPr>
                  </w:pPr>
                  <w:r>
                    <w:rPr>
                      <w:rFonts w:hint="eastAsia" w:ascii="Times New Roman" w:hAnsi="Times New Roman" w:eastAsia="宋体" w:cs="Times New Roman"/>
                      <w:color w:val="auto"/>
                      <w:sz w:val="18"/>
                      <w:szCs w:val="18"/>
                    </w:rPr>
                    <w:t>0.34</w:t>
                  </w:r>
                </w:p>
              </w:tc>
            </w:tr>
            <w:tr w14:paraId="14F2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1CA3DD90">
                  <w:pPr>
                    <w:contextualSpacing/>
                    <w:rPr>
                      <w:sz w:val="18"/>
                      <w:szCs w:val="18"/>
                    </w:rPr>
                  </w:pPr>
                  <w:r>
                    <w:rPr>
                      <w:rFonts w:hint="eastAsia"/>
                      <w:sz w:val="18"/>
                      <w:szCs w:val="18"/>
                    </w:rPr>
                    <w:t>7</w:t>
                  </w:r>
                </w:p>
              </w:tc>
              <w:tc>
                <w:tcPr>
                  <w:tcW w:w="988" w:type="dxa"/>
                  <w:vMerge w:val="continue"/>
                  <w:vAlign w:val="center"/>
                </w:tcPr>
                <w:p w14:paraId="06FC280E">
                  <w:pPr>
                    <w:contextualSpacing/>
                    <w:rPr>
                      <w:sz w:val="18"/>
                      <w:szCs w:val="18"/>
                    </w:rPr>
                  </w:pPr>
                </w:p>
              </w:tc>
              <w:tc>
                <w:tcPr>
                  <w:tcW w:w="1800" w:type="dxa"/>
                  <w:vAlign w:val="center"/>
                </w:tcPr>
                <w:p w14:paraId="143AD00B">
                  <w:pPr>
                    <w:contextualSpacing/>
                    <w:rPr>
                      <w:sz w:val="18"/>
                      <w:szCs w:val="18"/>
                    </w:rPr>
                  </w:pPr>
                  <w:r>
                    <w:rPr>
                      <w:rFonts w:hint="eastAsia"/>
                      <w:sz w:val="18"/>
                      <w:szCs w:val="18"/>
                    </w:rPr>
                    <w:t>环境保护税</w:t>
                  </w:r>
                </w:p>
              </w:tc>
              <w:tc>
                <w:tcPr>
                  <w:tcW w:w="1580" w:type="dxa"/>
                  <w:vMerge w:val="continue"/>
                  <w:vAlign w:val="center"/>
                </w:tcPr>
                <w:p w14:paraId="0AD7B988">
                  <w:pPr>
                    <w:contextualSpacing/>
                    <w:rPr>
                      <w:sz w:val="18"/>
                      <w:szCs w:val="18"/>
                    </w:rPr>
                  </w:pPr>
                </w:p>
              </w:tc>
              <w:tc>
                <w:tcPr>
                  <w:tcW w:w="1744" w:type="dxa"/>
                  <w:vAlign w:val="center"/>
                </w:tcPr>
                <w:p w14:paraId="0D093816">
                  <w:pPr>
                    <w:contextualSpacing/>
                    <w:jc w:val="center"/>
                    <w:rPr>
                      <w:sz w:val="18"/>
                      <w:szCs w:val="18"/>
                    </w:rPr>
                  </w:pPr>
                  <w:r>
                    <w:rPr>
                      <w:rFonts w:hint="eastAsia"/>
                      <w:sz w:val="18"/>
                      <w:szCs w:val="18"/>
                    </w:rPr>
                    <w:t>0</w:t>
                  </w:r>
                </w:p>
              </w:tc>
              <w:tc>
                <w:tcPr>
                  <w:tcW w:w="1744" w:type="dxa"/>
                  <w:vAlign w:val="center"/>
                </w:tcPr>
                <w:p w14:paraId="59E7392B">
                  <w:pPr>
                    <w:contextualSpacing/>
                    <w:jc w:val="center"/>
                    <w:rPr>
                      <w:rFonts w:hint="eastAsia" w:eastAsia="宋体"/>
                      <w:sz w:val="18"/>
                      <w:szCs w:val="18"/>
                      <w:lang w:val="en-US" w:eastAsia="zh-CN"/>
                    </w:rPr>
                  </w:pPr>
                  <w:r>
                    <w:rPr>
                      <w:rFonts w:hint="eastAsia"/>
                      <w:sz w:val="18"/>
                      <w:szCs w:val="18"/>
                      <w:lang w:val="en-US" w:eastAsia="zh-CN"/>
                    </w:rPr>
                    <w:t>0</w:t>
                  </w:r>
                </w:p>
              </w:tc>
            </w:tr>
            <w:tr w14:paraId="369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14:paraId="6DE316A7">
                  <w:pPr>
                    <w:contextualSpacing/>
                    <w:rPr>
                      <w:sz w:val="18"/>
                      <w:szCs w:val="18"/>
                    </w:rPr>
                  </w:pPr>
                  <w:r>
                    <w:rPr>
                      <w:rFonts w:hint="eastAsia"/>
                      <w:sz w:val="18"/>
                      <w:szCs w:val="18"/>
                    </w:rPr>
                    <w:t>8</w:t>
                  </w:r>
                </w:p>
              </w:tc>
              <w:tc>
                <w:tcPr>
                  <w:tcW w:w="2788" w:type="dxa"/>
                  <w:gridSpan w:val="2"/>
                  <w:vAlign w:val="center"/>
                </w:tcPr>
                <w:p w14:paraId="2A7BF3A4">
                  <w:pPr>
                    <w:contextualSpacing/>
                    <w:rPr>
                      <w:sz w:val="18"/>
                      <w:szCs w:val="18"/>
                    </w:rPr>
                  </w:pPr>
                  <w:r>
                    <w:rPr>
                      <w:rFonts w:hint="eastAsia"/>
                      <w:sz w:val="18"/>
                      <w:szCs w:val="18"/>
                    </w:rPr>
                    <w:t>税金费率（%）</w:t>
                  </w:r>
                </w:p>
              </w:tc>
              <w:tc>
                <w:tcPr>
                  <w:tcW w:w="1580" w:type="dxa"/>
                  <w:vAlign w:val="center"/>
                </w:tcPr>
                <w:p w14:paraId="4E22B634">
                  <w:pPr>
                    <w:contextualSpacing/>
                    <w:rPr>
                      <w:sz w:val="18"/>
                      <w:szCs w:val="18"/>
                    </w:rPr>
                  </w:pPr>
                  <w:r>
                    <w:rPr>
                      <w:rFonts w:hint="eastAsia"/>
                      <w:sz w:val="18"/>
                      <w:szCs w:val="18"/>
                    </w:rPr>
                    <w:t>分部分项工程费+措施项目费+其他项目费+规费-除税甲供材料和甲供设备费</w:t>
                  </w:r>
                  <w:r>
                    <w:rPr>
                      <w:sz w:val="18"/>
                      <w:szCs w:val="18"/>
                    </w:rPr>
                    <w:t>/1.01</w:t>
                  </w:r>
                </w:p>
              </w:tc>
              <w:tc>
                <w:tcPr>
                  <w:tcW w:w="1744" w:type="dxa"/>
                  <w:vAlign w:val="center"/>
                </w:tcPr>
                <w:p w14:paraId="56FF4B4E">
                  <w:pPr>
                    <w:contextualSpacing/>
                    <w:jc w:val="center"/>
                    <w:rPr>
                      <w:sz w:val="18"/>
                      <w:szCs w:val="18"/>
                    </w:rPr>
                  </w:pPr>
                  <w:r>
                    <w:rPr>
                      <w:rFonts w:hint="eastAsia"/>
                      <w:sz w:val="18"/>
                      <w:szCs w:val="18"/>
                    </w:rPr>
                    <w:t>9</w:t>
                  </w:r>
                </w:p>
              </w:tc>
              <w:tc>
                <w:tcPr>
                  <w:tcW w:w="1744" w:type="dxa"/>
                  <w:vAlign w:val="center"/>
                </w:tcPr>
                <w:p w14:paraId="2C455ACE">
                  <w:pPr>
                    <w:contextualSpacing/>
                    <w:jc w:val="center"/>
                    <w:rPr>
                      <w:rFonts w:hint="eastAsia"/>
                      <w:sz w:val="18"/>
                      <w:szCs w:val="18"/>
                    </w:rPr>
                  </w:pPr>
                  <w:r>
                    <w:rPr>
                      <w:rFonts w:hint="eastAsia" w:ascii="Times New Roman" w:hAnsi="Times New Roman" w:eastAsia="宋体" w:cs="Times New Roman"/>
                      <w:color w:val="auto"/>
                      <w:sz w:val="18"/>
                      <w:szCs w:val="18"/>
                    </w:rPr>
                    <w:t>9</w:t>
                  </w:r>
                </w:p>
              </w:tc>
            </w:tr>
          </w:tbl>
          <w:p w14:paraId="42CAA714">
            <w:pPr>
              <w:numPr>
                <w:ilvl w:val="0"/>
                <w:numId w:val="0"/>
              </w:numPr>
              <w:autoSpaceDE w:val="0"/>
              <w:autoSpaceDN w:val="0"/>
              <w:adjustRightInd w:val="0"/>
              <w:snapToGrid w:val="0"/>
              <w:spacing w:line="460" w:lineRule="exact"/>
              <w:rPr>
                <w:rFonts w:hint="eastAsia" w:ascii="宋体" w:hAnsi="宋体" w:cs="宋体"/>
                <w:b/>
                <w:kern w:val="0"/>
                <w:szCs w:val="21"/>
              </w:rPr>
            </w:pPr>
          </w:p>
          <w:p w14:paraId="4397EF58">
            <w:pPr>
              <w:numPr>
                <w:ilvl w:val="0"/>
                <w:numId w:val="0"/>
              </w:numPr>
              <w:autoSpaceDE w:val="0"/>
              <w:autoSpaceDN w:val="0"/>
              <w:adjustRightInd w:val="0"/>
              <w:snapToGrid w:val="0"/>
              <w:spacing w:line="460" w:lineRule="exact"/>
              <w:rPr>
                <w:rFonts w:hint="eastAsia" w:ascii="宋体" w:hAnsi="宋体" w:cs="宋体"/>
                <w:b/>
                <w:kern w:val="0"/>
                <w:szCs w:val="21"/>
              </w:rPr>
            </w:pPr>
          </w:p>
          <w:p w14:paraId="434F2F57">
            <w:pPr>
              <w:numPr>
                <w:ilvl w:val="0"/>
                <w:numId w:val="0"/>
              </w:numPr>
              <w:autoSpaceDE w:val="0"/>
              <w:autoSpaceDN w:val="0"/>
              <w:adjustRightInd w:val="0"/>
              <w:snapToGrid w:val="0"/>
              <w:spacing w:line="460" w:lineRule="exact"/>
              <w:rPr>
                <w:rFonts w:hint="eastAsia" w:ascii="宋体" w:hAnsi="宋体" w:cs="宋体"/>
                <w:b/>
                <w:kern w:val="0"/>
                <w:szCs w:val="21"/>
              </w:rPr>
            </w:pPr>
          </w:p>
          <w:p w14:paraId="1BB8EFC1">
            <w:pPr>
              <w:numPr>
                <w:ilvl w:val="0"/>
                <w:numId w:val="3"/>
              </w:numPr>
              <w:autoSpaceDE w:val="0"/>
              <w:autoSpaceDN w:val="0"/>
              <w:adjustRightInd w:val="0"/>
              <w:snapToGrid w:val="0"/>
              <w:spacing w:line="400" w:lineRule="exact"/>
              <w:ind w:left="0"/>
              <w:rPr>
                <w:rFonts w:ascii="宋体" w:hAnsi="宋体" w:cs="宋体"/>
                <w:b/>
                <w:kern w:val="0"/>
                <w:szCs w:val="21"/>
              </w:rPr>
            </w:pPr>
            <w:r>
              <w:rPr>
                <w:rFonts w:hint="eastAsia" w:ascii="宋体" w:hAnsi="宋体" w:cs="宋体"/>
                <w:b/>
                <w:kern w:val="0"/>
                <w:szCs w:val="21"/>
              </w:rPr>
              <w:t>品牌推荐表：</w:t>
            </w:r>
          </w:p>
          <w:tbl>
            <w:tblPr>
              <w:tblStyle w:val="5"/>
              <w:tblpPr w:leftFromText="180" w:rightFromText="180" w:vertAnchor="text" w:tblpXSpec="center" w:tblpY="1"/>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1779"/>
              <w:gridCol w:w="1421"/>
              <w:gridCol w:w="1314"/>
              <w:gridCol w:w="1543"/>
              <w:gridCol w:w="1315"/>
            </w:tblGrid>
            <w:tr w14:paraId="5E9453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45" w:type="dxa"/>
                  <w:noWrap w:val="0"/>
                  <w:vAlign w:val="center"/>
                </w:tcPr>
                <w:p w14:paraId="7CFB43C8">
                  <w:pPr>
                    <w:jc w:val="center"/>
                    <w:rPr>
                      <w:rFonts w:hint="eastAsia" w:ascii="宋体" w:hAnsi="宋体"/>
                      <w:b/>
                      <w:szCs w:val="21"/>
                    </w:rPr>
                  </w:pPr>
                  <w:r>
                    <w:rPr>
                      <w:rFonts w:hint="eastAsia" w:ascii="宋体" w:hAnsi="宋体"/>
                      <w:b/>
                      <w:szCs w:val="21"/>
                    </w:rPr>
                    <w:t>序号</w:t>
                  </w:r>
                </w:p>
              </w:tc>
              <w:tc>
                <w:tcPr>
                  <w:tcW w:w="1779" w:type="dxa"/>
                  <w:noWrap w:val="0"/>
                  <w:vAlign w:val="center"/>
                </w:tcPr>
                <w:p w14:paraId="47818A41">
                  <w:pPr>
                    <w:jc w:val="center"/>
                    <w:rPr>
                      <w:rFonts w:hint="eastAsia" w:ascii="宋体" w:hAnsi="宋体"/>
                      <w:b/>
                      <w:szCs w:val="21"/>
                    </w:rPr>
                  </w:pPr>
                  <w:r>
                    <w:rPr>
                      <w:rFonts w:hint="eastAsia" w:ascii="宋体" w:hAnsi="宋体"/>
                      <w:b/>
                      <w:szCs w:val="21"/>
                    </w:rPr>
                    <w:t>设备材料名称</w:t>
                  </w:r>
                </w:p>
              </w:tc>
              <w:tc>
                <w:tcPr>
                  <w:tcW w:w="1421" w:type="dxa"/>
                  <w:noWrap w:val="0"/>
                  <w:vAlign w:val="center"/>
                </w:tcPr>
                <w:p w14:paraId="491CA5DB">
                  <w:pPr>
                    <w:jc w:val="center"/>
                    <w:rPr>
                      <w:rFonts w:hint="eastAsia" w:ascii="宋体" w:hAnsi="宋体"/>
                      <w:b/>
                      <w:szCs w:val="21"/>
                    </w:rPr>
                  </w:pPr>
                  <w:r>
                    <w:rPr>
                      <w:rFonts w:hint="eastAsia" w:ascii="宋体" w:hAnsi="宋体"/>
                      <w:b/>
                      <w:szCs w:val="21"/>
                    </w:rPr>
                    <w:t>推荐品牌1</w:t>
                  </w:r>
                </w:p>
              </w:tc>
              <w:tc>
                <w:tcPr>
                  <w:tcW w:w="1314" w:type="dxa"/>
                  <w:noWrap w:val="0"/>
                  <w:vAlign w:val="center"/>
                </w:tcPr>
                <w:p w14:paraId="6A861FD5">
                  <w:pPr>
                    <w:jc w:val="center"/>
                    <w:rPr>
                      <w:rFonts w:hint="eastAsia" w:ascii="宋体" w:hAnsi="宋体"/>
                      <w:b/>
                      <w:szCs w:val="21"/>
                    </w:rPr>
                  </w:pPr>
                  <w:r>
                    <w:rPr>
                      <w:rFonts w:hint="eastAsia" w:ascii="宋体" w:hAnsi="宋体"/>
                      <w:b/>
                      <w:szCs w:val="21"/>
                    </w:rPr>
                    <w:t>推荐品牌2</w:t>
                  </w:r>
                </w:p>
              </w:tc>
              <w:tc>
                <w:tcPr>
                  <w:tcW w:w="1543" w:type="dxa"/>
                  <w:noWrap w:val="0"/>
                  <w:vAlign w:val="center"/>
                </w:tcPr>
                <w:p w14:paraId="2B28EBA7">
                  <w:pPr>
                    <w:jc w:val="center"/>
                    <w:rPr>
                      <w:rFonts w:hint="eastAsia" w:ascii="宋体" w:hAnsi="宋体"/>
                      <w:b/>
                      <w:szCs w:val="21"/>
                    </w:rPr>
                  </w:pPr>
                  <w:r>
                    <w:rPr>
                      <w:rFonts w:hint="eastAsia" w:ascii="宋体" w:hAnsi="宋体"/>
                      <w:b/>
                      <w:szCs w:val="21"/>
                    </w:rPr>
                    <w:t>推荐品牌3</w:t>
                  </w:r>
                </w:p>
              </w:tc>
              <w:tc>
                <w:tcPr>
                  <w:tcW w:w="1315" w:type="dxa"/>
                  <w:noWrap w:val="0"/>
                  <w:vAlign w:val="center"/>
                </w:tcPr>
                <w:p w14:paraId="09041068">
                  <w:pPr>
                    <w:jc w:val="center"/>
                    <w:rPr>
                      <w:rFonts w:hint="eastAsia" w:ascii="宋体" w:hAnsi="宋体"/>
                      <w:b/>
                      <w:szCs w:val="21"/>
                    </w:rPr>
                  </w:pPr>
                  <w:r>
                    <w:rPr>
                      <w:rFonts w:hint="eastAsia" w:ascii="宋体" w:hAnsi="宋体"/>
                      <w:b/>
                      <w:szCs w:val="21"/>
                    </w:rPr>
                    <w:t>备注</w:t>
                  </w:r>
                </w:p>
              </w:tc>
            </w:tr>
            <w:tr w14:paraId="65729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745" w:type="dxa"/>
                  <w:noWrap w:val="0"/>
                  <w:vAlign w:val="center"/>
                </w:tcPr>
                <w:p w14:paraId="2CC035BD">
                  <w:pPr>
                    <w:jc w:val="center"/>
                    <w:rPr>
                      <w:rFonts w:hint="eastAsia" w:ascii="宋体" w:hAnsi="宋体"/>
                      <w:sz w:val="18"/>
                      <w:szCs w:val="18"/>
                    </w:rPr>
                  </w:pPr>
                  <w:r>
                    <w:rPr>
                      <w:rFonts w:hint="eastAsia" w:ascii="宋体" w:hAnsi="宋体"/>
                      <w:sz w:val="18"/>
                      <w:szCs w:val="18"/>
                    </w:rPr>
                    <w:t>1</w:t>
                  </w:r>
                </w:p>
              </w:tc>
              <w:tc>
                <w:tcPr>
                  <w:tcW w:w="1779" w:type="dxa"/>
                  <w:noWrap w:val="0"/>
                  <w:vAlign w:val="center"/>
                </w:tcPr>
                <w:p w14:paraId="166B34EC">
                  <w:pPr>
                    <w:jc w:val="center"/>
                    <w:rPr>
                      <w:rFonts w:hint="eastAsia" w:ascii="宋体" w:hAnsi="宋体"/>
                      <w:sz w:val="18"/>
                      <w:szCs w:val="18"/>
                    </w:rPr>
                  </w:pPr>
                  <w:r>
                    <w:rPr>
                      <w:rFonts w:hint="eastAsia" w:ascii="宋体" w:hAnsi="宋体"/>
                      <w:sz w:val="18"/>
                      <w:szCs w:val="18"/>
                    </w:rPr>
                    <w:t>变压器</w:t>
                  </w:r>
                </w:p>
              </w:tc>
              <w:tc>
                <w:tcPr>
                  <w:tcW w:w="1421" w:type="dxa"/>
                  <w:noWrap w:val="0"/>
                  <w:vAlign w:val="center"/>
                </w:tcPr>
                <w:p w14:paraId="51B809DA">
                  <w:pPr>
                    <w:jc w:val="center"/>
                    <w:rPr>
                      <w:rFonts w:hint="eastAsia"/>
                      <w:sz w:val="18"/>
                      <w:szCs w:val="18"/>
                    </w:rPr>
                  </w:pPr>
                  <w:r>
                    <w:rPr>
                      <w:rFonts w:hint="eastAsia"/>
                      <w:sz w:val="18"/>
                      <w:szCs w:val="18"/>
                    </w:rPr>
                    <w:t>江苏华鹏</w:t>
                  </w:r>
                </w:p>
              </w:tc>
              <w:tc>
                <w:tcPr>
                  <w:tcW w:w="1314" w:type="dxa"/>
                  <w:noWrap w:val="0"/>
                  <w:vAlign w:val="center"/>
                </w:tcPr>
                <w:p w14:paraId="287AB5BB">
                  <w:pPr>
                    <w:jc w:val="center"/>
                    <w:rPr>
                      <w:rFonts w:hint="default" w:eastAsia="宋体"/>
                      <w:sz w:val="18"/>
                      <w:szCs w:val="18"/>
                      <w:lang w:val="en-US" w:eastAsia="zh-CN"/>
                    </w:rPr>
                  </w:pPr>
                  <w:r>
                    <w:rPr>
                      <w:rFonts w:hint="eastAsia"/>
                      <w:sz w:val="18"/>
                      <w:szCs w:val="18"/>
                      <w:lang w:val="en-US" w:eastAsia="zh-CN"/>
                    </w:rPr>
                    <w:t>江苏亚威</w:t>
                  </w:r>
                </w:p>
              </w:tc>
              <w:tc>
                <w:tcPr>
                  <w:tcW w:w="1543" w:type="dxa"/>
                  <w:noWrap w:val="0"/>
                  <w:vAlign w:val="center"/>
                </w:tcPr>
                <w:p w14:paraId="553DFFB3">
                  <w:pPr>
                    <w:jc w:val="center"/>
                    <w:rPr>
                      <w:rFonts w:hint="eastAsia" w:eastAsia="宋体"/>
                      <w:sz w:val="18"/>
                      <w:szCs w:val="18"/>
                      <w:lang w:eastAsia="zh-CN"/>
                    </w:rPr>
                  </w:pPr>
                  <w:r>
                    <w:rPr>
                      <w:rFonts w:hint="eastAsia"/>
                      <w:sz w:val="18"/>
                      <w:szCs w:val="18"/>
                      <w:lang w:val="en-US" w:eastAsia="zh-CN"/>
                    </w:rPr>
                    <w:t>江苏环东</w:t>
                  </w:r>
                </w:p>
              </w:tc>
              <w:tc>
                <w:tcPr>
                  <w:tcW w:w="1315" w:type="dxa"/>
                  <w:noWrap w:val="0"/>
                  <w:vAlign w:val="center"/>
                </w:tcPr>
                <w:p w14:paraId="783D13BC">
                  <w:pPr>
                    <w:jc w:val="center"/>
                    <w:rPr>
                      <w:rFonts w:hint="eastAsia" w:ascii="宋体" w:hAnsi="宋体"/>
                      <w:sz w:val="18"/>
                      <w:szCs w:val="18"/>
                    </w:rPr>
                  </w:pPr>
                  <w:r>
                    <w:rPr>
                      <w:rFonts w:hint="eastAsia" w:ascii="宋体" w:hAnsi="宋体"/>
                      <w:sz w:val="18"/>
                      <w:szCs w:val="18"/>
                    </w:rPr>
                    <w:t>优质</w:t>
                  </w:r>
                </w:p>
              </w:tc>
            </w:tr>
            <w:tr w14:paraId="1D555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45" w:type="dxa"/>
                  <w:noWrap w:val="0"/>
                  <w:vAlign w:val="center"/>
                </w:tcPr>
                <w:p w14:paraId="6BA076F2">
                  <w:pPr>
                    <w:jc w:val="center"/>
                    <w:rPr>
                      <w:rFonts w:hint="eastAsia" w:ascii="宋体" w:hAnsi="宋体" w:eastAsia="宋体"/>
                      <w:sz w:val="18"/>
                      <w:szCs w:val="18"/>
                      <w:lang w:eastAsia="zh-CN"/>
                    </w:rPr>
                  </w:pPr>
                  <w:r>
                    <w:rPr>
                      <w:rFonts w:hint="eastAsia" w:ascii="宋体" w:hAnsi="宋体"/>
                      <w:sz w:val="18"/>
                      <w:szCs w:val="18"/>
                      <w:lang w:val="en-US" w:eastAsia="zh-CN"/>
                    </w:rPr>
                    <w:t>2</w:t>
                  </w:r>
                </w:p>
              </w:tc>
              <w:tc>
                <w:tcPr>
                  <w:tcW w:w="1779" w:type="dxa"/>
                  <w:noWrap w:val="0"/>
                  <w:vAlign w:val="center"/>
                </w:tcPr>
                <w:p w14:paraId="25DCF3D3">
                  <w:pPr>
                    <w:jc w:val="center"/>
                    <w:rPr>
                      <w:rFonts w:hint="eastAsia" w:ascii="宋体" w:hAnsi="宋体"/>
                      <w:sz w:val="18"/>
                      <w:szCs w:val="18"/>
                    </w:rPr>
                  </w:pPr>
                  <w:r>
                    <w:rPr>
                      <w:rFonts w:hint="eastAsia" w:ascii="宋体" w:hAnsi="宋体"/>
                      <w:sz w:val="18"/>
                      <w:szCs w:val="18"/>
                    </w:rPr>
                    <w:t>10KV高压熔断器</w:t>
                  </w:r>
                </w:p>
              </w:tc>
              <w:tc>
                <w:tcPr>
                  <w:tcW w:w="1421" w:type="dxa"/>
                  <w:noWrap w:val="0"/>
                  <w:vAlign w:val="center"/>
                </w:tcPr>
                <w:p w14:paraId="1D1B74B6">
                  <w:pPr>
                    <w:jc w:val="center"/>
                    <w:rPr>
                      <w:rFonts w:ascii="宋体" w:hAnsi="宋体"/>
                      <w:sz w:val="18"/>
                      <w:szCs w:val="18"/>
                    </w:rPr>
                  </w:pPr>
                  <w:r>
                    <w:rPr>
                      <w:rFonts w:hint="eastAsia" w:ascii="宋体" w:hAnsi="宋体"/>
                      <w:sz w:val="18"/>
                      <w:szCs w:val="18"/>
                    </w:rPr>
                    <w:t>施耐德</w:t>
                  </w:r>
                </w:p>
              </w:tc>
              <w:tc>
                <w:tcPr>
                  <w:tcW w:w="1314" w:type="dxa"/>
                  <w:noWrap w:val="0"/>
                  <w:vAlign w:val="center"/>
                </w:tcPr>
                <w:p w14:paraId="0975E0C8">
                  <w:pPr>
                    <w:jc w:val="center"/>
                    <w:rPr>
                      <w:rFonts w:ascii="宋体" w:hAnsi="宋体"/>
                      <w:sz w:val="18"/>
                      <w:szCs w:val="18"/>
                    </w:rPr>
                  </w:pPr>
                  <w:r>
                    <w:rPr>
                      <w:rFonts w:hint="eastAsia" w:ascii="宋体" w:hAnsi="宋体"/>
                      <w:sz w:val="18"/>
                      <w:szCs w:val="18"/>
                    </w:rPr>
                    <w:t>A</w:t>
                  </w:r>
                  <w:r>
                    <w:rPr>
                      <w:rFonts w:ascii="宋体" w:hAnsi="宋体"/>
                      <w:sz w:val="18"/>
                      <w:szCs w:val="18"/>
                    </w:rPr>
                    <w:t>BB</w:t>
                  </w:r>
                </w:p>
              </w:tc>
              <w:tc>
                <w:tcPr>
                  <w:tcW w:w="1543" w:type="dxa"/>
                  <w:noWrap w:val="0"/>
                  <w:vAlign w:val="center"/>
                </w:tcPr>
                <w:p w14:paraId="6A902A03">
                  <w:pPr>
                    <w:jc w:val="center"/>
                    <w:rPr>
                      <w:rFonts w:hint="default" w:ascii="宋体" w:hAnsi="宋体" w:eastAsia="宋体"/>
                      <w:sz w:val="18"/>
                      <w:szCs w:val="18"/>
                      <w:lang w:val="en-US" w:eastAsia="zh-CN"/>
                    </w:rPr>
                  </w:pPr>
                  <w:r>
                    <w:rPr>
                      <w:rFonts w:hint="eastAsia" w:ascii="宋体" w:hAnsi="宋体"/>
                      <w:sz w:val="18"/>
                      <w:szCs w:val="18"/>
                      <w:lang w:val="en-US" w:eastAsia="zh-CN"/>
                    </w:rPr>
                    <w:t>常熟开关</w:t>
                  </w:r>
                </w:p>
              </w:tc>
              <w:tc>
                <w:tcPr>
                  <w:tcW w:w="1315" w:type="dxa"/>
                  <w:noWrap w:val="0"/>
                  <w:vAlign w:val="center"/>
                </w:tcPr>
                <w:p w14:paraId="3E05637B">
                  <w:pPr>
                    <w:jc w:val="center"/>
                    <w:rPr>
                      <w:rFonts w:hint="eastAsia" w:ascii="宋体" w:hAnsi="宋体"/>
                      <w:sz w:val="18"/>
                      <w:szCs w:val="18"/>
                    </w:rPr>
                  </w:pPr>
                  <w:r>
                    <w:rPr>
                      <w:rFonts w:hint="eastAsia" w:ascii="宋体" w:hAnsi="宋体"/>
                      <w:sz w:val="18"/>
                      <w:szCs w:val="18"/>
                    </w:rPr>
                    <w:t>优质</w:t>
                  </w:r>
                </w:p>
              </w:tc>
            </w:tr>
            <w:tr w14:paraId="4AF10D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45" w:type="dxa"/>
                  <w:noWrap w:val="0"/>
                  <w:vAlign w:val="center"/>
                </w:tcPr>
                <w:p w14:paraId="77721493">
                  <w:pPr>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1779" w:type="dxa"/>
                  <w:noWrap w:val="0"/>
                  <w:vAlign w:val="center"/>
                </w:tcPr>
                <w:p w14:paraId="717563B2">
                  <w:pPr>
                    <w:jc w:val="center"/>
                    <w:rPr>
                      <w:rFonts w:hint="eastAsia" w:ascii="宋体" w:hAnsi="宋体"/>
                      <w:sz w:val="18"/>
                      <w:szCs w:val="18"/>
                    </w:rPr>
                  </w:pPr>
                  <w:r>
                    <w:rPr>
                      <w:rFonts w:hint="eastAsia" w:ascii="宋体" w:hAnsi="宋体"/>
                      <w:sz w:val="18"/>
                      <w:szCs w:val="18"/>
                    </w:rPr>
                    <w:t>10KV真空断路器</w:t>
                  </w:r>
                </w:p>
              </w:tc>
              <w:tc>
                <w:tcPr>
                  <w:tcW w:w="1421" w:type="dxa"/>
                  <w:noWrap w:val="0"/>
                  <w:vAlign w:val="center"/>
                </w:tcPr>
                <w:p w14:paraId="6C30F494">
                  <w:pPr>
                    <w:jc w:val="center"/>
                    <w:rPr>
                      <w:rFonts w:ascii="宋体" w:hAnsi="宋体"/>
                      <w:sz w:val="18"/>
                      <w:szCs w:val="18"/>
                    </w:rPr>
                  </w:pPr>
                  <w:r>
                    <w:rPr>
                      <w:rFonts w:hint="eastAsia" w:ascii="宋体" w:hAnsi="宋体"/>
                      <w:sz w:val="18"/>
                      <w:szCs w:val="18"/>
                    </w:rPr>
                    <w:t>施耐德</w:t>
                  </w:r>
                </w:p>
              </w:tc>
              <w:tc>
                <w:tcPr>
                  <w:tcW w:w="1314" w:type="dxa"/>
                  <w:noWrap w:val="0"/>
                  <w:vAlign w:val="center"/>
                </w:tcPr>
                <w:p w14:paraId="7082F7ED">
                  <w:pPr>
                    <w:jc w:val="center"/>
                    <w:rPr>
                      <w:rFonts w:ascii="宋体" w:hAnsi="宋体"/>
                      <w:sz w:val="18"/>
                      <w:szCs w:val="18"/>
                    </w:rPr>
                  </w:pPr>
                  <w:r>
                    <w:rPr>
                      <w:rFonts w:hint="eastAsia" w:ascii="宋体" w:hAnsi="宋体"/>
                      <w:sz w:val="18"/>
                      <w:szCs w:val="18"/>
                    </w:rPr>
                    <w:t>A</w:t>
                  </w:r>
                  <w:r>
                    <w:rPr>
                      <w:rFonts w:ascii="宋体" w:hAnsi="宋体"/>
                      <w:sz w:val="18"/>
                      <w:szCs w:val="18"/>
                    </w:rPr>
                    <w:t>BB</w:t>
                  </w:r>
                </w:p>
              </w:tc>
              <w:tc>
                <w:tcPr>
                  <w:tcW w:w="1543" w:type="dxa"/>
                  <w:noWrap w:val="0"/>
                  <w:vAlign w:val="center"/>
                </w:tcPr>
                <w:p w14:paraId="011045AE">
                  <w:pPr>
                    <w:jc w:val="center"/>
                    <w:rPr>
                      <w:rFonts w:ascii="宋体" w:hAnsi="宋体"/>
                      <w:sz w:val="18"/>
                      <w:szCs w:val="18"/>
                    </w:rPr>
                  </w:pPr>
                  <w:r>
                    <w:rPr>
                      <w:rFonts w:hint="eastAsia" w:ascii="宋体" w:hAnsi="宋体"/>
                      <w:sz w:val="18"/>
                      <w:szCs w:val="18"/>
                      <w:lang w:val="en-US" w:eastAsia="zh-CN"/>
                    </w:rPr>
                    <w:t>常熟开关</w:t>
                  </w:r>
                </w:p>
              </w:tc>
              <w:tc>
                <w:tcPr>
                  <w:tcW w:w="1315" w:type="dxa"/>
                  <w:noWrap w:val="0"/>
                  <w:vAlign w:val="center"/>
                </w:tcPr>
                <w:p w14:paraId="0D375A7C">
                  <w:pPr>
                    <w:jc w:val="center"/>
                    <w:rPr>
                      <w:rFonts w:hint="eastAsia" w:ascii="宋体" w:hAnsi="宋体"/>
                      <w:sz w:val="18"/>
                      <w:szCs w:val="18"/>
                    </w:rPr>
                  </w:pPr>
                  <w:r>
                    <w:rPr>
                      <w:rFonts w:hint="eastAsia" w:ascii="宋体" w:hAnsi="宋体"/>
                      <w:sz w:val="18"/>
                      <w:szCs w:val="18"/>
                    </w:rPr>
                    <w:t>优质</w:t>
                  </w:r>
                </w:p>
              </w:tc>
            </w:tr>
            <w:tr w14:paraId="3180BB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45" w:type="dxa"/>
                  <w:noWrap w:val="0"/>
                  <w:vAlign w:val="center"/>
                </w:tcPr>
                <w:p w14:paraId="3EE84F0D">
                  <w:pPr>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1779" w:type="dxa"/>
                  <w:noWrap w:val="0"/>
                  <w:vAlign w:val="center"/>
                </w:tcPr>
                <w:p w14:paraId="44346191">
                  <w:pPr>
                    <w:jc w:val="center"/>
                    <w:rPr>
                      <w:rFonts w:hint="eastAsia" w:ascii="宋体" w:hAnsi="宋体"/>
                      <w:sz w:val="18"/>
                      <w:szCs w:val="18"/>
                    </w:rPr>
                  </w:pPr>
                  <w:r>
                    <w:rPr>
                      <w:rFonts w:hint="eastAsia" w:ascii="宋体" w:hAnsi="宋体"/>
                      <w:sz w:val="18"/>
                      <w:szCs w:val="18"/>
                    </w:rPr>
                    <w:t>电线、电缆</w:t>
                  </w:r>
                </w:p>
              </w:tc>
              <w:tc>
                <w:tcPr>
                  <w:tcW w:w="1421" w:type="dxa"/>
                  <w:noWrap w:val="0"/>
                  <w:vAlign w:val="center"/>
                </w:tcPr>
                <w:p w14:paraId="6272B62E">
                  <w:pPr>
                    <w:jc w:val="center"/>
                    <w:rPr>
                      <w:rFonts w:hint="default" w:ascii="宋体" w:hAnsi="宋体" w:eastAsia="宋体"/>
                      <w:sz w:val="18"/>
                      <w:szCs w:val="18"/>
                      <w:lang w:val="en-US" w:eastAsia="zh-CN"/>
                    </w:rPr>
                  </w:pPr>
                  <w:r>
                    <w:rPr>
                      <w:rFonts w:hint="eastAsia" w:ascii="宋体" w:hAnsi="宋体"/>
                      <w:sz w:val="18"/>
                      <w:szCs w:val="18"/>
                      <w:lang w:val="en-US" w:eastAsia="zh-CN"/>
                    </w:rPr>
                    <w:t>万向</w:t>
                  </w:r>
                </w:p>
              </w:tc>
              <w:tc>
                <w:tcPr>
                  <w:tcW w:w="1314" w:type="dxa"/>
                  <w:noWrap w:val="0"/>
                  <w:vAlign w:val="center"/>
                </w:tcPr>
                <w:p w14:paraId="44727CEB">
                  <w:pPr>
                    <w:jc w:val="center"/>
                    <w:rPr>
                      <w:rFonts w:hint="eastAsia" w:ascii="宋体" w:hAnsi="宋体" w:eastAsia="宋体"/>
                      <w:sz w:val="18"/>
                      <w:szCs w:val="18"/>
                      <w:lang w:eastAsia="zh-CN"/>
                    </w:rPr>
                  </w:pPr>
                  <w:r>
                    <w:rPr>
                      <w:rFonts w:hint="eastAsia" w:ascii="宋体" w:hAnsi="宋体"/>
                      <w:sz w:val="18"/>
                      <w:szCs w:val="18"/>
                      <w:lang w:val="en-US" w:eastAsia="zh-CN"/>
                    </w:rPr>
                    <w:t>华美</w:t>
                  </w:r>
                </w:p>
              </w:tc>
              <w:tc>
                <w:tcPr>
                  <w:tcW w:w="1543" w:type="dxa"/>
                  <w:noWrap w:val="0"/>
                  <w:vAlign w:val="center"/>
                </w:tcPr>
                <w:p w14:paraId="78F1B617">
                  <w:pPr>
                    <w:jc w:val="center"/>
                    <w:rPr>
                      <w:rFonts w:hint="eastAsia" w:ascii="宋体" w:hAnsi="宋体"/>
                      <w:sz w:val="18"/>
                      <w:szCs w:val="18"/>
                    </w:rPr>
                  </w:pPr>
                  <w:r>
                    <w:rPr>
                      <w:rFonts w:hint="eastAsia" w:ascii="宋体" w:hAnsi="宋体"/>
                      <w:sz w:val="18"/>
                      <w:szCs w:val="18"/>
                    </w:rPr>
                    <w:t>江南</w:t>
                  </w:r>
                </w:p>
              </w:tc>
              <w:tc>
                <w:tcPr>
                  <w:tcW w:w="1315" w:type="dxa"/>
                  <w:noWrap w:val="0"/>
                  <w:vAlign w:val="center"/>
                </w:tcPr>
                <w:p w14:paraId="5E39B926">
                  <w:pPr>
                    <w:jc w:val="center"/>
                  </w:pPr>
                  <w:r>
                    <w:rPr>
                      <w:rFonts w:hint="eastAsia" w:ascii="宋体" w:hAnsi="宋体"/>
                      <w:sz w:val="18"/>
                      <w:szCs w:val="18"/>
                    </w:rPr>
                    <w:t>优质</w:t>
                  </w:r>
                </w:p>
              </w:tc>
            </w:tr>
            <w:tr w14:paraId="109292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45" w:type="dxa"/>
                  <w:noWrap w:val="0"/>
                  <w:vAlign w:val="center"/>
                </w:tcPr>
                <w:p w14:paraId="280924E7">
                  <w:pPr>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1779" w:type="dxa"/>
                  <w:noWrap w:val="0"/>
                  <w:vAlign w:val="center"/>
                </w:tcPr>
                <w:p w14:paraId="36D94434">
                  <w:pPr>
                    <w:jc w:val="center"/>
                    <w:rPr>
                      <w:rFonts w:hint="default" w:ascii="宋体" w:hAnsi="宋体"/>
                      <w:sz w:val="18"/>
                      <w:szCs w:val="18"/>
                      <w:lang w:val="en-US"/>
                    </w:rPr>
                  </w:pPr>
                  <w:r>
                    <w:rPr>
                      <w:rFonts w:hint="eastAsia" w:ascii="宋体" w:hAnsi="宋体"/>
                      <w:sz w:val="18"/>
                      <w:szCs w:val="18"/>
                      <w:lang w:val="en-US" w:eastAsia="zh-CN"/>
                    </w:rPr>
                    <w:t>牵引管</w:t>
                  </w:r>
                </w:p>
              </w:tc>
              <w:tc>
                <w:tcPr>
                  <w:tcW w:w="1421" w:type="dxa"/>
                  <w:noWrap w:val="0"/>
                  <w:vAlign w:val="center"/>
                </w:tcPr>
                <w:p w14:paraId="60F3032D">
                  <w:pPr>
                    <w:jc w:val="center"/>
                    <w:rPr>
                      <w:rFonts w:ascii="宋体" w:hAnsi="宋体"/>
                      <w:sz w:val="18"/>
                      <w:szCs w:val="18"/>
                    </w:rPr>
                  </w:pPr>
                  <w:r>
                    <w:rPr>
                      <w:rFonts w:hint="eastAsia" w:ascii="宋体" w:hAnsi="宋体"/>
                      <w:sz w:val="18"/>
                      <w:szCs w:val="18"/>
                      <w:lang w:val="en-US" w:eastAsia="zh-CN"/>
                    </w:rPr>
                    <w:t>金德</w:t>
                  </w:r>
                </w:p>
              </w:tc>
              <w:tc>
                <w:tcPr>
                  <w:tcW w:w="1314" w:type="dxa"/>
                  <w:noWrap w:val="0"/>
                  <w:vAlign w:val="center"/>
                </w:tcPr>
                <w:p w14:paraId="4A195451">
                  <w:pPr>
                    <w:jc w:val="center"/>
                    <w:rPr>
                      <w:rFonts w:ascii="宋体" w:hAnsi="宋体"/>
                      <w:sz w:val="18"/>
                      <w:szCs w:val="18"/>
                    </w:rPr>
                  </w:pPr>
                  <w:r>
                    <w:rPr>
                      <w:rFonts w:hint="eastAsia" w:ascii="宋体" w:hAnsi="宋体"/>
                      <w:sz w:val="18"/>
                      <w:szCs w:val="18"/>
                      <w:lang w:val="en-US" w:eastAsia="zh-CN"/>
                    </w:rPr>
                    <w:t>联塑</w:t>
                  </w:r>
                </w:p>
              </w:tc>
              <w:tc>
                <w:tcPr>
                  <w:tcW w:w="1543" w:type="dxa"/>
                  <w:noWrap w:val="0"/>
                  <w:vAlign w:val="center"/>
                </w:tcPr>
                <w:p w14:paraId="7F9797AD">
                  <w:pPr>
                    <w:jc w:val="center"/>
                    <w:rPr>
                      <w:rFonts w:ascii="宋体" w:hAnsi="宋体"/>
                      <w:sz w:val="18"/>
                      <w:szCs w:val="18"/>
                    </w:rPr>
                  </w:pPr>
                  <w:r>
                    <w:rPr>
                      <w:rFonts w:hint="eastAsia" w:ascii="宋体" w:hAnsi="宋体"/>
                      <w:sz w:val="18"/>
                      <w:szCs w:val="18"/>
                      <w:lang w:val="en-US" w:eastAsia="zh-CN"/>
                    </w:rPr>
                    <w:t>中财</w:t>
                  </w:r>
                </w:p>
              </w:tc>
              <w:tc>
                <w:tcPr>
                  <w:tcW w:w="1315" w:type="dxa"/>
                  <w:noWrap w:val="0"/>
                  <w:vAlign w:val="center"/>
                </w:tcPr>
                <w:p w14:paraId="1D5245A0">
                  <w:pPr>
                    <w:jc w:val="center"/>
                    <w:rPr>
                      <w:rFonts w:hint="eastAsia" w:ascii="宋体" w:hAnsi="宋体"/>
                      <w:sz w:val="18"/>
                      <w:szCs w:val="18"/>
                    </w:rPr>
                  </w:pPr>
                  <w:r>
                    <w:rPr>
                      <w:rFonts w:hint="eastAsia" w:ascii="宋体" w:hAnsi="宋体"/>
                      <w:sz w:val="18"/>
                      <w:szCs w:val="18"/>
                    </w:rPr>
                    <w:t>优质</w:t>
                  </w:r>
                </w:p>
              </w:tc>
            </w:tr>
            <w:tr w14:paraId="70714A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745" w:type="dxa"/>
                  <w:noWrap w:val="0"/>
                  <w:vAlign w:val="center"/>
                </w:tcPr>
                <w:p w14:paraId="5F541D19">
                  <w:pPr>
                    <w:jc w:val="center"/>
                    <w:rPr>
                      <w:rFonts w:hint="eastAsia" w:ascii="宋体" w:hAnsi="宋体" w:eastAsia="宋体"/>
                      <w:sz w:val="18"/>
                      <w:szCs w:val="18"/>
                      <w:lang w:eastAsia="zh-CN"/>
                    </w:rPr>
                  </w:pPr>
                  <w:bookmarkStart w:id="0" w:name="_GoBack"/>
                  <w:bookmarkEnd w:id="0"/>
                </w:p>
              </w:tc>
              <w:tc>
                <w:tcPr>
                  <w:tcW w:w="1779" w:type="dxa"/>
                  <w:noWrap w:val="0"/>
                  <w:vAlign w:val="center"/>
                </w:tcPr>
                <w:p w14:paraId="08BD890F">
                  <w:pPr>
                    <w:jc w:val="center"/>
                    <w:rPr>
                      <w:rFonts w:hint="eastAsia" w:ascii="宋体" w:hAnsi="宋体"/>
                      <w:sz w:val="18"/>
                      <w:szCs w:val="18"/>
                    </w:rPr>
                  </w:pPr>
                </w:p>
              </w:tc>
              <w:tc>
                <w:tcPr>
                  <w:tcW w:w="1421" w:type="dxa"/>
                  <w:noWrap w:val="0"/>
                  <w:vAlign w:val="center"/>
                </w:tcPr>
                <w:p w14:paraId="5494AE57">
                  <w:pPr>
                    <w:jc w:val="center"/>
                    <w:rPr>
                      <w:rFonts w:ascii="宋体" w:hAnsi="宋体"/>
                      <w:sz w:val="18"/>
                      <w:szCs w:val="18"/>
                    </w:rPr>
                  </w:pPr>
                </w:p>
              </w:tc>
              <w:tc>
                <w:tcPr>
                  <w:tcW w:w="1314" w:type="dxa"/>
                  <w:noWrap w:val="0"/>
                  <w:vAlign w:val="center"/>
                </w:tcPr>
                <w:p w14:paraId="72FC4507">
                  <w:pPr>
                    <w:jc w:val="center"/>
                    <w:rPr>
                      <w:rFonts w:ascii="宋体" w:hAnsi="宋体"/>
                      <w:sz w:val="18"/>
                      <w:szCs w:val="18"/>
                    </w:rPr>
                  </w:pPr>
                </w:p>
              </w:tc>
              <w:tc>
                <w:tcPr>
                  <w:tcW w:w="1543" w:type="dxa"/>
                  <w:noWrap w:val="0"/>
                  <w:vAlign w:val="center"/>
                </w:tcPr>
                <w:p w14:paraId="7412CF76">
                  <w:pPr>
                    <w:jc w:val="center"/>
                    <w:rPr>
                      <w:rFonts w:ascii="宋体" w:hAnsi="宋体"/>
                      <w:sz w:val="18"/>
                      <w:szCs w:val="18"/>
                    </w:rPr>
                  </w:pPr>
                </w:p>
              </w:tc>
              <w:tc>
                <w:tcPr>
                  <w:tcW w:w="1315" w:type="dxa"/>
                  <w:noWrap w:val="0"/>
                  <w:vAlign w:val="center"/>
                </w:tcPr>
                <w:p w14:paraId="2BD88643">
                  <w:pPr>
                    <w:jc w:val="center"/>
                    <w:rPr>
                      <w:rFonts w:hint="eastAsia" w:ascii="宋体" w:hAnsi="宋体"/>
                      <w:sz w:val="18"/>
                      <w:szCs w:val="18"/>
                    </w:rPr>
                  </w:pPr>
                </w:p>
              </w:tc>
            </w:tr>
            <w:tr w14:paraId="5BB63E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745" w:type="dxa"/>
                  <w:noWrap w:val="0"/>
                  <w:vAlign w:val="center"/>
                </w:tcPr>
                <w:p w14:paraId="3042C8E5">
                  <w:pPr>
                    <w:jc w:val="center"/>
                    <w:rPr>
                      <w:rFonts w:hint="eastAsia" w:ascii="宋体" w:hAnsi="宋体" w:eastAsia="宋体"/>
                      <w:sz w:val="18"/>
                      <w:szCs w:val="18"/>
                      <w:lang w:eastAsia="zh-CN"/>
                    </w:rPr>
                  </w:pPr>
                </w:p>
              </w:tc>
              <w:tc>
                <w:tcPr>
                  <w:tcW w:w="1779" w:type="dxa"/>
                  <w:noWrap w:val="0"/>
                  <w:vAlign w:val="center"/>
                </w:tcPr>
                <w:p w14:paraId="1026E108">
                  <w:pPr>
                    <w:jc w:val="center"/>
                    <w:rPr>
                      <w:rFonts w:hint="eastAsia" w:ascii="宋体" w:hAnsi="宋体"/>
                      <w:sz w:val="18"/>
                      <w:szCs w:val="18"/>
                    </w:rPr>
                  </w:pPr>
                </w:p>
              </w:tc>
              <w:tc>
                <w:tcPr>
                  <w:tcW w:w="1421" w:type="dxa"/>
                  <w:noWrap w:val="0"/>
                  <w:vAlign w:val="center"/>
                </w:tcPr>
                <w:p w14:paraId="58F86317">
                  <w:pPr>
                    <w:jc w:val="center"/>
                    <w:rPr>
                      <w:rFonts w:ascii="宋体" w:hAnsi="宋体"/>
                      <w:sz w:val="18"/>
                      <w:szCs w:val="18"/>
                    </w:rPr>
                  </w:pPr>
                </w:p>
              </w:tc>
              <w:tc>
                <w:tcPr>
                  <w:tcW w:w="1314" w:type="dxa"/>
                  <w:noWrap w:val="0"/>
                  <w:vAlign w:val="center"/>
                </w:tcPr>
                <w:p w14:paraId="28E54BE8">
                  <w:pPr>
                    <w:jc w:val="center"/>
                    <w:rPr>
                      <w:rFonts w:ascii="宋体" w:hAnsi="宋体"/>
                      <w:sz w:val="18"/>
                      <w:szCs w:val="18"/>
                    </w:rPr>
                  </w:pPr>
                </w:p>
              </w:tc>
              <w:tc>
                <w:tcPr>
                  <w:tcW w:w="1543" w:type="dxa"/>
                  <w:noWrap w:val="0"/>
                  <w:vAlign w:val="center"/>
                </w:tcPr>
                <w:p w14:paraId="448FC1D3">
                  <w:pPr>
                    <w:jc w:val="center"/>
                    <w:rPr>
                      <w:rFonts w:ascii="宋体" w:hAnsi="宋体"/>
                      <w:sz w:val="18"/>
                      <w:szCs w:val="18"/>
                    </w:rPr>
                  </w:pPr>
                </w:p>
              </w:tc>
              <w:tc>
                <w:tcPr>
                  <w:tcW w:w="1315" w:type="dxa"/>
                  <w:noWrap w:val="0"/>
                  <w:vAlign w:val="center"/>
                </w:tcPr>
                <w:p w14:paraId="0285F5A9">
                  <w:pPr>
                    <w:jc w:val="center"/>
                    <w:rPr>
                      <w:rFonts w:hint="eastAsia" w:ascii="宋体" w:hAnsi="宋体"/>
                      <w:sz w:val="18"/>
                      <w:szCs w:val="18"/>
                    </w:rPr>
                  </w:pPr>
                </w:p>
              </w:tc>
            </w:tr>
          </w:tbl>
          <w:p w14:paraId="643B52D3">
            <w:pPr>
              <w:ind w:firstLine="420"/>
              <w:rPr>
                <w:rFonts w:hint="eastAsia"/>
                <w:szCs w:val="21"/>
                <w:lang w:val="en-US" w:eastAsia="zh-CN"/>
              </w:rPr>
            </w:pPr>
          </w:p>
        </w:tc>
      </w:tr>
    </w:tbl>
    <w:p w14:paraId="2AF6AC82">
      <w:pPr>
        <w:rPr>
          <w:sz w:val="24"/>
        </w:rPr>
        <w:sectPr>
          <w:footerReference r:id="rId3" w:type="default"/>
          <w:pgSz w:w="11906" w:h="16838"/>
          <w:pgMar w:top="851" w:right="737" w:bottom="737" w:left="1134" w:header="851" w:footer="662" w:gutter="0"/>
          <w:pgNumType w:start="1"/>
          <w:cols w:space="425" w:num="1"/>
          <w:docGrid w:type="lines" w:linePitch="312" w:charSpace="0"/>
        </w:sectPr>
      </w:pPr>
    </w:p>
    <w:p w14:paraId="28BF113B">
      <w:pPr>
        <w:rPr>
          <w:sz w:val="24"/>
        </w:rPr>
      </w:pPr>
    </w:p>
    <w:sectPr>
      <w:footerReference r:id="rId4" w:type="default"/>
      <w:type w:val="continuous"/>
      <w:pgSz w:w="11906" w:h="16838"/>
      <w:pgMar w:top="851" w:right="737"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58B2D">
    <w:pPr>
      <w:pStyle w:val="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p w14:paraId="0223468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20F3">
    <w:pPr>
      <w:pStyle w:val="3"/>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w:t>
    </w:r>
    <w:r>
      <w:rPr>
        <w:sz w:val="21"/>
        <w:szCs w:val="21"/>
      </w:rPr>
      <w:fldChar w:fldCharType="end"/>
    </w:r>
  </w:p>
  <w:p w14:paraId="3FD5D3E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F2C99"/>
    <w:multiLevelType w:val="singleLevel"/>
    <w:tmpl w:val="F77F2C99"/>
    <w:lvl w:ilvl="0" w:tentative="0">
      <w:start w:val="8"/>
      <w:numFmt w:val="chineseCounting"/>
      <w:suff w:val="nothing"/>
      <w:lvlText w:val="%1、"/>
      <w:lvlJc w:val="left"/>
      <w:pPr>
        <w:ind w:left="18"/>
      </w:pPr>
      <w:rPr>
        <w:rFonts w:hint="eastAsia"/>
      </w:rPr>
    </w:lvl>
  </w:abstractNum>
  <w:abstractNum w:abstractNumId="1">
    <w:nsid w:val="2D53B598"/>
    <w:multiLevelType w:val="singleLevel"/>
    <w:tmpl w:val="2D53B598"/>
    <w:lvl w:ilvl="0" w:tentative="0">
      <w:start w:val="4"/>
      <w:numFmt w:val="decimal"/>
      <w:suff w:val="space"/>
      <w:lvlText w:val="%1)"/>
      <w:lvlJc w:val="left"/>
    </w:lvl>
  </w:abstractNum>
  <w:abstractNum w:abstractNumId="2">
    <w:nsid w:val="3B19DC04"/>
    <w:multiLevelType w:val="singleLevel"/>
    <w:tmpl w:val="3B19DC04"/>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ZWQ0YjhlZmE5NGU5ZmYyM2ZjNmQ2YjdkNzI4Y2MifQ=="/>
  </w:docVars>
  <w:rsids>
    <w:rsidRoot w:val="009A3D93"/>
    <w:rsid w:val="000016FD"/>
    <w:rsid w:val="00003BDA"/>
    <w:rsid w:val="00006484"/>
    <w:rsid w:val="00006929"/>
    <w:rsid w:val="0002541F"/>
    <w:rsid w:val="00030A2E"/>
    <w:rsid w:val="00035E60"/>
    <w:rsid w:val="00041764"/>
    <w:rsid w:val="00054B7A"/>
    <w:rsid w:val="0005579C"/>
    <w:rsid w:val="000610C3"/>
    <w:rsid w:val="000635FA"/>
    <w:rsid w:val="0007358D"/>
    <w:rsid w:val="00077A39"/>
    <w:rsid w:val="00080196"/>
    <w:rsid w:val="00083AC2"/>
    <w:rsid w:val="0009155F"/>
    <w:rsid w:val="00093DB0"/>
    <w:rsid w:val="00095BD8"/>
    <w:rsid w:val="000976DD"/>
    <w:rsid w:val="000A59EF"/>
    <w:rsid w:val="000A6FB3"/>
    <w:rsid w:val="000B0DF7"/>
    <w:rsid w:val="000B1CC3"/>
    <w:rsid w:val="000B45E9"/>
    <w:rsid w:val="000B6F2D"/>
    <w:rsid w:val="000D2761"/>
    <w:rsid w:val="000D4F60"/>
    <w:rsid w:val="000D5E7F"/>
    <w:rsid w:val="000E1528"/>
    <w:rsid w:val="000E72B1"/>
    <w:rsid w:val="000E75C0"/>
    <w:rsid w:val="000F13A7"/>
    <w:rsid w:val="000F5876"/>
    <w:rsid w:val="000F7BEA"/>
    <w:rsid w:val="00102171"/>
    <w:rsid w:val="00124AED"/>
    <w:rsid w:val="00131C97"/>
    <w:rsid w:val="00132C2C"/>
    <w:rsid w:val="001379D1"/>
    <w:rsid w:val="00150A3E"/>
    <w:rsid w:val="00155B80"/>
    <w:rsid w:val="00163FCD"/>
    <w:rsid w:val="001709DB"/>
    <w:rsid w:val="0019008F"/>
    <w:rsid w:val="0019089D"/>
    <w:rsid w:val="001927B6"/>
    <w:rsid w:val="0019510A"/>
    <w:rsid w:val="00195260"/>
    <w:rsid w:val="00197EAC"/>
    <w:rsid w:val="001A4521"/>
    <w:rsid w:val="001A556C"/>
    <w:rsid w:val="001A73CD"/>
    <w:rsid w:val="001B4FF3"/>
    <w:rsid w:val="001B6F38"/>
    <w:rsid w:val="001C0B67"/>
    <w:rsid w:val="001E1359"/>
    <w:rsid w:val="001F249F"/>
    <w:rsid w:val="001F2543"/>
    <w:rsid w:val="001F7819"/>
    <w:rsid w:val="002000CE"/>
    <w:rsid w:val="002109C0"/>
    <w:rsid w:val="0021290E"/>
    <w:rsid w:val="002140B5"/>
    <w:rsid w:val="0021634A"/>
    <w:rsid w:val="00216936"/>
    <w:rsid w:val="00217282"/>
    <w:rsid w:val="00221C16"/>
    <w:rsid w:val="00224060"/>
    <w:rsid w:val="00224FE4"/>
    <w:rsid w:val="002257E2"/>
    <w:rsid w:val="00233735"/>
    <w:rsid w:val="00234E96"/>
    <w:rsid w:val="00236E40"/>
    <w:rsid w:val="0024642F"/>
    <w:rsid w:val="00253107"/>
    <w:rsid w:val="00254A1A"/>
    <w:rsid w:val="00254F91"/>
    <w:rsid w:val="0025597C"/>
    <w:rsid w:val="0026013B"/>
    <w:rsid w:val="0026508B"/>
    <w:rsid w:val="002709C9"/>
    <w:rsid w:val="0027129A"/>
    <w:rsid w:val="00272093"/>
    <w:rsid w:val="00273D19"/>
    <w:rsid w:val="00280698"/>
    <w:rsid w:val="00281918"/>
    <w:rsid w:val="00286745"/>
    <w:rsid w:val="00297B2A"/>
    <w:rsid w:val="00297E35"/>
    <w:rsid w:val="002A0201"/>
    <w:rsid w:val="002A2C49"/>
    <w:rsid w:val="002A4164"/>
    <w:rsid w:val="002B3287"/>
    <w:rsid w:val="002B41DD"/>
    <w:rsid w:val="002C627F"/>
    <w:rsid w:val="002C670A"/>
    <w:rsid w:val="002D022A"/>
    <w:rsid w:val="002D2272"/>
    <w:rsid w:val="002D49A7"/>
    <w:rsid w:val="002E2AFE"/>
    <w:rsid w:val="002E6147"/>
    <w:rsid w:val="002E646E"/>
    <w:rsid w:val="002F052D"/>
    <w:rsid w:val="002F22AB"/>
    <w:rsid w:val="002F381D"/>
    <w:rsid w:val="002F551D"/>
    <w:rsid w:val="002F5923"/>
    <w:rsid w:val="00300145"/>
    <w:rsid w:val="00306CE6"/>
    <w:rsid w:val="00312436"/>
    <w:rsid w:val="00312B89"/>
    <w:rsid w:val="00313815"/>
    <w:rsid w:val="00315232"/>
    <w:rsid w:val="00322A2B"/>
    <w:rsid w:val="003235E8"/>
    <w:rsid w:val="0032686A"/>
    <w:rsid w:val="00330F87"/>
    <w:rsid w:val="003321DB"/>
    <w:rsid w:val="0033273D"/>
    <w:rsid w:val="00336FFD"/>
    <w:rsid w:val="00341212"/>
    <w:rsid w:val="003470F7"/>
    <w:rsid w:val="00350B11"/>
    <w:rsid w:val="00351591"/>
    <w:rsid w:val="00356CB3"/>
    <w:rsid w:val="003620A8"/>
    <w:rsid w:val="0036397B"/>
    <w:rsid w:val="0036640F"/>
    <w:rsid w:val="00372E67"/>
    <w:rsid w:val="00377C88"/>
    <w:rsid w:val="00384B8B"/>
    <w:rsid w:val="00386ADC"/>
    <w:rsid w:val="0039461A"/>
    <w:rsid w:val="00394E54"/>
    <w:rsid w:val="0039580E"/>
    <w:rsid w:val="00396F33"/>
    <w:rsid w:val="003B08D7"/>
    <w:rsid w:val="003B5115"/>
    <w:rsid w:val="003B52C0"/>
    <w:rsid w:val="003C2846"/>
    <w:rsid w:val="003E5C15"/>
    <w:rsid w:val="003F1A85"/>
    <w:rsid w:val="003F5388"/>
    <w:rsid w:val="0040399D"/>
    <w:rsid w:val="004072CA"/>
    <w:rsid w:val="00415D4C"/>
    <w:rsid w:val="00415FE0"/>
    <w:rsid w:val="00416650"/>
    <w:rsid w:val="004254AF"/>
    <w:rsid w:val="00431D63"/>
    <w:rsid w:val="00435C23"/>
    <w:rsid w:val="00436046"/>
    <w:rsid w:val="0044117D"/>
    <w:rsid w:val="0044214D"/>
    <w:rsid w:val="0045694E"/>
    <w:rsid w:val="00463FAF"/>
    <w:rsid w:val="00474931"/>
    <w:rsid w:val="004763CF"/>
    <w:rsid w:val="004927CB"/>
    <w:rsid w:val="0049473F"/>
    <w:rsid w:val="00496276"/>
    <w:rsid w:val="004A27E9"/>
    <w:rsid w:val="004A37D7"/>
    <w:rsid w:val="004A4AD7"/>
    <w:rsid w:val="004A57A2"/>
    <w:rsid w:val="004A76B0"/>
    <w:rsid w:val="004A7786"/>
    <w:rsid w:val="004B6F94"/>
    <w:rsid w:val="004C07A0"/>
    <w:rsid w:val="004C2F22"/>
    <w:rsid w:val="004D1955"/>
    <w:rsid w:val="004D65EA"/>
    <w:rsid w:val="004E3174"/>
    <w:rsid w:val="004E770F"/>
    <w:rsid w:val="004E7EC5"/>
    <w:rsid w:val="004F2350"/>
    <w:rsid w:val="004F294E"/>
    <w:rsid w:val="00501D88"/>
    <w:rsid w:val="005100B5"/>
    <w:rsid w:val="00510176"/>
    <w:rsid w:val="00510E71"/>
    <w:rsid w:val="005127C3"/>
    <w:rsid w:val="00513A93"/>
    <w:rsid w:val="00522231"/>
    <w:rsid w:val="0052270F"/>
    <w:rsid w:val="0053211C"/>
    <w:rsid w:val="0053427B"/>
    <w:rsid w:val="0053612D"/>
    <w:rsid w:val="005367FB"/>
    <w:rsid w:val="00537AE7"/>
    <w:rsid w:val="00550E91"/>
    <w:rsid w:val="00550F6B"/>
    <w:rsid w:val="00552A58"/>
    <w:rsid w:val="00552FA4"/>
    <w:rsid w:val="00553170"/>
    <w:rsid w:val="00556A93"/>
    <w:rsid w:val="005570F7"/>
    <w:rsid w:val="00567354"/>
    <w:rsid w:val="0057212E"/>
    <w:rsid w:val="00572C25"/>
    <w:rsid w:val="005736F5"/>
    <w:rsid w:val="00573DC6"/>
    <w:rsid w:val="00575F4A"/>
    <w:rsid w:val="00576E3D"/>
    <w:rsid w:val="005820C4"/>
    <w:rsid w:val="005826EC"/>
    <w:rsid w:val="005866A2"/>
    <w:rsid w:val="00586CA7"/>
    <w:rsid w:val="00590768"/>
    <w:rsid w:val="00597BD4"/>
    <w:rsid w:val="005A0898"/>
    <w:rsid w:val="005A1FB9"/>
    <w:rsid w:val="005A5A59"/>
    <w:rsid w:val="005A64C8"/>
    <w:rsid w:val="005C0946"/>
    <w:rsid w:val="005C0C85"/>
    <w:rsid w:val="005C2E66"/>
    <w:rsid w:val="005C3CDF"/>
    <w:rsid w:val="005C45D3"/>
    <w:rsid w:val="005C580A"/>
    <w:rsid w:val="005D1591"/>
    <w:rsid w:val="005D18B5"/>
    <w:rsid w:val="005D2DA3"/>
    <w:rsid w:val="005D3A51"/>
    <w:rsid w:val="005D614A"/>
    <w:rsid w:val="005D6636"/>
    <w:rsid w:val="005D6FF1"/>
    <w:rsid w:val="005E417D"/>
    <w:rsid w:val="005E43E2"/>
    <w:rsid w:val="005E57DB"/>
    <w:rsid w:val="005F7450"/>
    <w:rsid w:val="00613BB3"/>
    <w:rsid w:val="006202B9"/>
    <w:rsid w:val="0063222C"/>
    <w:rsid w:val="00634752"/>
    <w:rsid w:val="006368B1"/>
    <w:rsid w:val="006428CC"/>
    <w:rsid w:val="00644194"/>
    <w:rsid w:val="00644DFF"/>
    <w:rsid w:val="00650AC3"/>
    <w:rsid w:val="00651E0B"/>
    <w:rsid w:val="006535F1"/>
    <w:rsid w:val="00653FE8"/>
    <w:rsid w:val="00654DD6"/>
    <w:rsid w:val="00657ECB"/>
    <w:rsid w:val="00661268"/>
    <w:rsid w:val="00666F7B"/>
    <w:rsid w:val="00670070"/>
    <w:rsid w:val="00671079"/>
    <w:rsid w:val="00672CBC"/>
    <w:rsid w:val="00674794"/>
    <w:rsid w:val="00676406"/>
    <w:rsid w:val="00676B8E"/>
    <w:rsid w:val="00684871"/>
    <w:rsid w:val="00686071"/>
    <w:rsid w:val="00686647"/>
    <w:rsid w:val="0069634B"/>
    <w:rsid w:val="006A2C3B"/>
    <w:rsid w:val="006A3332"/>
    <w:rsid w:val="006A3B35"/>
    <w:rsid w:val="006A427D"/>
    <w:rsid w:val="006B3F89"/>
    <w:rsid w:val="006B705C"/>
    <w:rsid w:val="006C6C9E"/>
    <w:rsid w:val="006D3814"/>
    <w:rsid w:val="006D4A01"/>
    <w:rsid w:val="006D55BC"/>
    <w:rsid w:val="006D6813"/>
    <w:rsid w:val="006E18F7"/>
    <w:rsid w:val="006E20D2"/>
    <w:rsid w:val="006E6F30"/>
    <w:rsid w:val="006F5836"/>
    <w:rsid w:val="006F599C"/>
    <w:rsid w:val="00702703"/>
    <w:rsid w:val="00705D5D"/>
    <w:rsid w:val="00715286"/>
    <w:rsid w:val="007162A0"/>
    <w:rsid w:val="0072426D"/>
    <w:rsid w:val="00727826"/>
    <w:rsid w:val="007402DB"/>
    <w:rsid w:val="00741B5C"/>
    <w:rsid w:val="0074270A"/>
    <w:rsid w:val="0074544C"/>
    <w:rsid w:val="0074595B"/>
    <w:rsid w:val="00751DD7"/>
    <w:rsid w:val="00752E0E"/>
    <w:rsid w:val="0075596A"/>
    <w:rsid w:val="007569E7"/>
    <w:rsid w:val="00762992"/>
    <w:rsid w:val="00763BD0"/>
    <w:rsid w:val="0077607D"/>
    <w:rsid w:val="0078224F"/>
    <w:rsid w:val="007927A4"/>
    <w:rsid w:val="00794511"/>
    <w:rsid w:val="007976C1"/>
    <w:rsid w:val="007A0CE8"/>
    <w:rsid w:val="007A74BA"/>
    <w:rsid w:val="007B2854"/>
    <w:rsid w:val="007B30C3"/>
    <w:rsid w:val="007B6185"/>
    <w:rsid w:val="007D7F3A"/>
    <w:rsid w:val="007E1C59"/>
    <w:rsid w:val="007E50A8"/>
    <w:rsid w:val="007E5E28"/>
    <w:rsid w:val="007F6F9A"/>
    <w:rsid w:val="008154E1"/>
    <w:rsid w:val="00822E8E"/>
    <w:rsid w:val="0082475B"/>
    <w:rsid w:val="00841507"/>
    <w:rsid w:val="00845426"/>
    <w:rsid w:val="00847CD9"/>
    <w:rsid w:val="008554A7"/>
    <w:rsid w:val="00872405"/>
    <w:rsid w:val="00872BC2"/>
    <w:rsid w:val="00873FCA"/>
    <w:rsid w:val="00880142"/>
    <w:rsid w:val="008835C0"/>
    <w:rsid w:val="00883D9E"/>
    <w:rsid w:val="00892F07"/>
    <w:rsid w:val="00895F8D"/>
    <w:rsid w:val="008A6016"/>
    <w:rsid w:val="008B0ACA"/>
    <w:rsid w:val="008B4B30"/>
    <w:rsid w:val="008B78F5"/>
    <w:rsid w:val="008D2BEA"/>
    <w:rsid w:val="008D2E3D"/>
    <w:rsid w:val="008D5C3C"/>
    <w:rsid w:val="008E005A"/>
    <w:rsid w:val="008F263E"/>
    <w:rsid w:val="00900571"/>
    <w:rsid w:val="0090169C"/>
    <w:rsid w:val="00902B2E"/>
    <w:rsid w:val="009074B9"/>
    <w:rsid w:val="00910467"/>
    <w:rsid w:val="00912790"/>
    <w:rsid w:val="009158A6"/>
    <w:rsid w:val="00915948"/>
    <w:rsid w:val="00916113"/>
    <w:rsid w:val="00917786"/>
    <w:rsid w:val="00924A4B"/>
    <w:rsid w:val="00931CDF"/>
    <w:rsid w:val="0093595C"/>
    <w:rsid w:val="00937BCE"/>
    <w:rsid w:val="00940AA5"/>
    <w:rsid w:val="00942C49"/>
    <w:rsid w:val="00943A52"/>
    <w:rsid w:val="009471DF"/>
    <w:rsid w:val="00953BAD"/>
    <w:rsid w:val="00954DAA"/>
    <w:rsid w:val="009612D1"/>
    <w:rsid w:val="009612E9"/>
    <w:rsid w:val="00962F6B"/>
    <w:rsid w:val="00966381"/>
    <w:rsid w:val="0097041E"/>
    <w:rsid w:val="009714E2"/>
    <w:rsid w:val="00971C36"/>
    <w:rsid w:val="009800CE"/>
    <w:rsid w:val="00980EAA"/>
    <w:rsid w:val="00983C88"/>
    <w:rsid w:val="0099427D"/>
    <w:rsid w:val="009A33C6"/>
    <w:rsid w:val="009A3D93"/>
    <w:rsid w:val="009A6617"/>
    <w:rsid w:val="009B1734"/>
    <w:rsid w:val="009B3571"/>
    <w:rsid w:val="009B3D99"/>
    <w:rsid w:val="009B61FF"/>
    <w:rsid w:val="009B6CA7"/>
    <w:rsid w:val="009D0F64"/>
    <w:rsid w:val="009D39C9"/>
    <w:rsid w:val="009F47BF"/>
    <w:rsid w:val="009F5E00"/>
    <w:rsid w:val="009F6D58"/>
    <w:rsid w:val="009F76CC"/>
    <w:rsid w:val="00A04178"/>
    <w:rsid w:val="00A166B9"/>
    <w:rsid w:val="00A2032D"/>
    <w:rsid w:val="00A236B3"/>
    <w:rsid w:val="00A24489"/>
    <w:rsid w:val="00A26820"/>
    <w:rsid w:val="00A26F6B"/>
    <w:rsid w:val="00A338FF"/>
    <w:rsid w:val="00A41BC2"/>
    <w:rsid w:val="00A50249"/>
    <w:rsid w:val="00A52E42"/>
    <w:rsid w:val="00A621C9"/>
    <w:rsid w:val="00A63D47"/>
    <w:rsid w:val="00A64F12"/>
    <w:rsid w:val="00A70471"/>
    <w:rsid w:val="00A714D6"/>
    <w:rsid w:val="00A735EF"/>
    <w:rsid w:val="00A7568B"/>
    <w:rsid w:val="00A761B0"/>
    <w:rsid w:val="00A84F8F"/>
    <w:rsid w:val="00A865A5"/>
    <w:rsid w:val="00A90419"/>
    <w:rsid w:val="00A90B37"/>
    <w:rsid w:val="00A93896"/>
    <w:rsid w:val="00AA5280"/>
    <w:rsid w:val="00AA66EF"/>
    <w:rsid w:val="00AB6D7A"/>
    <w:rsid w:val="00AB770D"/>
    <w:rsid w:val="00AC66AA"/>
    <w:rsid w:val="00AC6DEF"/>
    <w:rsid w:val="00AC7142"/>
    <w:rsid w:val="00AC7822"/>
    <w:rsid w:val="00AD30EC"/>
    <w:rsid w:val="00AE5254"/>
    <w:rsid w:val="00AE5AA7"/>
    <w:rsid w:val="00B05577"/>
    <w:rsid w:val="00B111F0"/>
    <w:rsid w:val="00B1771E"/>
    <w:rsid w:val="00B244DF"/>
    <w:rsid w:val="00B3026A"/>
    <w:rsid w:val="00B32BDA"/>
    <w:rsid w:val="00B35B81"/>
    <w:rsid w:val="00B40A9E"/>
    <w:rsid w:val="00B41340"/>
    <w:rsid w:val="00B41DF3"/>
    <w:rsid w:val="00B470BF"/>
    <w:rsid w:val="00B567ED"/>
    <w:rsid w:val="00B7047E"/>
    <w:rsid w:val="00B70614"/>
    <w:rsid w:val="00B71409"/>
    <w:rsid w:val="00B7368C"/>
    <w:rsid w:val="00B75452"/>
    <w:rsid w:val="00B80246"/>
    <w:rsid w:val="00B80BCC"/>
    <w:rsid w:val="00B81D7F"/>
    <w:rsid w:val="00B91580"/>
    <w:rsid w:val="00BA20C0"/>
    <w:rsid w:val="00BA67AF"/>
    <w:rsid w:val="00BB0FCB"/>
    <w:rsid w:val="00BB2B92"/>
    <w:rsid w:val="00BD4B3D"/>
    <w:rsid w:val="00BE0202"/>
    <w:rsid w:val="00BE24DC"/>
    <w:rsid w:val="00BE6174"/>
    <w:rsid w:val="00BE6455"/>
    <w:rsid w:val="00BE7CBE"/>
    <w:rsid w:val="00BF4947"/>
    <w:rsid w:val="00BF4A8C"/>
    <w:rsid w:val="00BF5C4E"/>
    <w:rsid w:val="00C026A3"/>
    <w:rsid w:val="00C13F87"/>
    <w:rsid w:val="00C15B9D"/>
    <w:rsid w:val="00C178F6"/>
    <w:rsid w:val="00C17F28"/>
    <w:rsid w:val="00C200CE"/>
    <w:rsid w:val="00C263D1"/>
    <w:rsid w:val="00C301AB"/>
    <w:rsid w:val="00C32CF1"/>
    <w:rsid w:val="00C33FA4"/>
    <w:rsid w:val="00C457D3"/>
    <w:rsid w:val="00C45F98"/>
    <w:rsid w:val="00C4766A"/>
    <w:rsid w:val="00C4774D"/>
    <w:rsid w:val="00C5000E"/>
    <w:rsid w:val="00C51361"/>
    <w:rsid w:val="00C57645"/>
    <w:rsid w:val="00C6590C"/>
    <w:rsid w:val="00C65BBF"/>
    <w:rsid w:val="00C65E95"/>
    <w:rsid w:val="00C70BA5"/>
    <w:rsid w:val="00C76C73"/>
    <w:rsid w:val="00C824E2"/>
    <w:rsid w:val="00C87C9E"/>
    <w:rsid w:val="00C94CDD"/>
    <w:rsid w:val="00CA5124"/>
    <w:rsid w:val="00CA52EE"/>
    <w:rsid w:val="00CA6B48"/>
    <w:rsid w:val="00CB5B4E"/>
    <w:rsid w:val="00CB765F"/>
    <w:rsid w:val="00CC1695"/>
    <w:rsid w:val="00CD50D8"/>
    <w:rsid w:val="00CE7DC3"/>
    <w:rsid w:val="00CF2F23"/>
    <w:rsid w:val="00CF60EE"/>
    <w:rsid w:val="00D00F7C"/>
    <w:rsid w:val="00D020C2"/>
    <w:rsid w:val="00D05979"/>
    <w:rsid w:val="00D11CDB"/>
    <w:rsid w:val="00D13526"/>
    <w:rsid w:val="00D22320"/>
    <w:rsid w:val="00D22E9D"/>
    <w:rsid w:val="00D31445"/>
    <w:rsid w:val="00D32CAC"/>
    <w:rsid w:val="00D44CAE"/>
    <w:rsid w:val="00D450D5"/>
    <w:rsid w:val="00D505B3"/>
    <w:rsid w:val="00D531F7"/>
    <w:rsid w:val="00D53342"/>
    <w:rsid w:val="00D535D1"/>
    <w:rsid w:val="00D57675"/>
    <w:rsid w:val="00D61E78"/>
    <w:rsid w:val="00D86FB9"/>
    <w:rsid w:val="00D936D8"/>
    <w:rsid w:val="00D94B4C"/>
    <w:rsid w:val="00DA1AFC"/>
    <w:rsid w:val="00DA544D"/>
    <w:rsid w:val="00DA7DDB"/>
    <w:rsid w:val="00DB127B"/>
    <w:rsid w:val="00DB262F"/>
    <w:rsid w:val="00DB53B7"/>
    <w:rsid w:val="00DC1581"/>
    <w:rsid w:val="00DC5DA9"/>
    <w:rsid w:val="00DD1A42"/>
    <w:rsid w:val="00DD594D"/>
    <w:rsid w:val="00DD5E94"/>
    <w:rsid w:val="00DE1263"/>
    <w:rsid w:val="00DE6033"/>
    <w:rsid w:val="00DE67D2"/>
    <w:rsid w:val="00DF5F1D"/>
    <w:rsid w:val="00DF6CDA"/>
    <w:rsid w:val="00E036E8"/>
    <w:rsid w:val="00E06D31"/>
    <w:rsid w:val="00E06D76"/>
    <w:rsid w:val="00E07B94"/>
    <w:rsid w:val="00E13A4B"/>
    <w:rsid w:val="00E160A8"/>
    <w:rsid w:val="00E160EA"/>
    <w:rsid w:val="00E2476D"/>
    <w:rsid w:val="00E41711"/>
    <w:rsid w:val="00E41D79"/>
    <w:rsid w:val="00E51653"/>
    <w:rsid w:val="00E62CCB"/>
    <w:rsid w:val="00E74E9A"/>
    <w:rsid w:val="00E836DC"/>
    <w:rsid w:val="00E8519D"/>
    <w:rsid w:val="00E94B32"/>
    <w:rsid w:val="00E9519F"/>
    <w:rsid w:val="00E952B5"/>
    <w:rsid w:val="00EB7AE1"/>
    <w:rsid w:val="00EC04B1"/>
    <w:rsid w:val="00EC14D6"/>
    <w:rsid w:val="00EC297C"/>
    <w:rsid w:val="00EE4F56"/>
    <w:rsid w:val="00EE787A"/>
    <w:rsid w:val="00EF1AC7"/>
    <w:rsid w:val="00EF6933"/>
    <w:rsid w:val="00F00552"/>
    <w:rsid w:val="00F01107"/>
    <w:rsid w:val="00F01BE7"/>
    <w:rsid w:val="00F032A1"/>
    <w:rsid w:val="00F06DE9"/>
    <w:rsid w:val="00F13E9C"/>
    <w:rsid w:val="00F204F2"/>
    <w:rsid w:val="00F40839"/>
    <w:rsid w:val="00F45FCB"/>
    <w:rsid w:val="00F4763E"/>
    <w:rsid w:val="00F518E8"/>
    <w:rsid w:val="00F5769E"/>
    <w:rsid w:val="00F606E9"/>
    <w:rsid w:val="00F62792"/>
    <w:rsid w:val="00F65AD3"/>
    <w:rsid w:val="00F816DB"/>
    <w:rsid w:val="00F823F6"/>
    <w:rsid w:val="00F97322"/>
    <w:rsid w:val="00FA3C27"/>
    <w:rsid w:val="00FA51CA"/>
    <w:rsid w:val="00FA7EA8"/>
    <w:rsid w:val="00FB22AB"/>
    <w:rsid w:val="00FC1679"/>
    <w:rsid w:val="00FC5528"/>
    <w:rsid w:val="00FD10CC"/>
    <w:rsid w:val="00FD3B29"/>
    <w:rsid w:val="00FD518F"/>
    <w:rsid w:val="00FE4C84"/>
    <w:rsid w:val="00FE7739"/>
    <w:rsid w:val="00FF134B"/>
    <w:rsid w:val="00FF1BEB"/>
    <w:rsid w:val="00FF2CCC"/>
    <w:rsid w:val="00FF595E"/>
    <w:rsid w:val="00FF72D9"/>
    <w:rsid w:val="00FF75B0"/>
    <w:rsid w:val="013D404E"/>
    <w:rsid w:val="04223F19"/>
    <w:rsid w:val="048C4D52"/>
    <w:rsid w:val="06B251FF"/>
    <w:rsid w:val="09E5406D"/>
    <w:rsid w:val="0CFB2536"/>
    <w:rsid w:val="0EF10673"/>
    <w:rsid w:val="0F671B7F"/>
    <w:rsid w:val="179F4A1D"/>
    <w:rsid w:val="17ED3ECA"/>
    <w:rsid w:val="18243027"/>
    <w:rsid w:val="18AE65E4"/>
    <w:rsid w:val="1CA02C53"/>
    <w:rsid w:val="208A47D4"/>
    <w:rsid w:val="219F1CCE"/>
    <w:rsid w:val="253A3554"/>
    <w:rsid w:val="27B97E3A"/>
    <w:rsid w:val="27E00492"/>
    <w:rsid w:val="2AE702B7"/>
    <w:rsid w:val="2BE00D02"/>
    <w:rsid w:val="2C7166A2"/>
    <w:rsid w:val="2CE529DC"/>
    <w:rsid w:val="2E9B68CA"/>
    <w:rsid w:val="2EBD6F30"/>
    <w:rsid w:val="3016178C"/>
    <w:rsid w:val="31427B4E"/>
    <w:rsid w:val="35420DBE"/>
    <w:rsid w:val="36435176"/>
    <w:rsid w:val="38A20F74"/>
    <w:rsid w:val="38E94736"/>
    <w:rsid w:val="39272408"/>
    <w:rsid w:val="3D9E0BD0"/>
    <w:rsid w:val="409E2BAD"/>
    <w:rsid w:val="40D6749A"/>
    <w:rsid w:val="42A92467"/>
    <w:rsid w:val="4740029A"/>
    <w:rsid w:val="47F50FC8"/>
    <w:rsid w:val="4FA074E8"/>
    <w:rsid w:val="53887142"/>
    <w:rsid w:val="571F13FF"/>
    <w:rsid w:val="583B3E5C"/>
    <w:rsid w:val="59311465"/>
    <w:rsid w:val="5B795383"/>
    <w:rsid w:val="5FAD25D8"/>
    <w:rsid w:val="60DB21D3"/>
    <w:rsid w:val="622F51C8"/>
    <w:rsid w:val="67E919B4"/>
    <w:rsid w:val="685443BE"/>
    <w:rsid w:val="6B2277DB"/>
    <w:rsid w:val="6BB1380B"/>
    <w:rsid w:val="6D131468"/>
    <w:rsid w:val="6D851A83"/>
    <w:rsid w:val="6F281DE7"/>
    <w:rsid w:val="6FA4464A"/>
    <w:rsid w:val="70F303FB"/>
    <w:rsid w:val="73301408"/>
    <w:rsid w:val="74280460"/>
    <w:rsid w:val="75A41EED"/>
    <w:rsid w:val="76DE0D7C"/>
    <w:rsid w:val="78FF116D"/>
    <w:rsid w:val="7C753216"/>
    <w:rsid w:val="7CEA3B1A"/>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99"/>
    <w:rPr>
      <w:kern w:val="2"/>
      <w:sz w:val="18"/>
      <w:szCs w:val="18"/>
    </w:rPr>
  </w:style>
  <w:style w:type="character" w:customStyle="1" w:styleId="9">
    <w:name w:val="页脚 Char"/>
    <w:link w:val="3"/>
    <w:qFormat/>
    <w:uiPriority w:val="99"/>
    <w:rPr>
      <w:kern w:val="2"/>
      <w:sz w:val="18"/>
      <w:szCs w:val="18"/>
    </w:rPr>
  </w:style>
  <w:style w:type="character" w:customStyle="1" w:styleId="10">
    <w:name w:val="批注框文本 Char"/>
    <w:link w:val="2"/>
    <w:qFormat/>
    <w:uiPriority w:val="0"/>
    <w:rPr>
      <w:kern w:val="2"/>
      <w:sz w:val="18"/>
      <w:szCs w:val="18"/>
    </w:rPr>
  </w:style>
  <w:style w:type="paragraph" w:customStyle="1" w:styleId="11">
    <w:name w:val="样式 (西文) 宋体 四号 两端对齐 行距: 1.5 倍行距 首行缩进:  2.14 字符1"/>
    <w:basedOn w:val="1"/>
    <w:qFormat/>
    <w:uiPriority w:val="0"/>
    <w:pPr>
      <w:autoSpaceDE w:val="0"/>
      <w:autoSpaceDN w:val="0"/>
      <w:adjustRightInd w:val="0"/>
      <w:spacing w:line="360" w:lineRule="auto"/>
      <w:ind w:left="200" w:leftChars="100" w:right="200" w:rightChars="100" w:firstLine="514" w:firstLineChars="214"/>
      <w:textAlignment w:val="baseline"/>
    </w:pPr>
    <w:rPr>
      <w:rFonts w:ascii="宋体" w:cs="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2342</Words>
  <Characters>2435</Characters>
  <Lines>2</Lines>
  <Paragraphs>5</Paragraphs>
  <TotalTime>0</TotalTime>
  <ScaleCrop>false</ScaleCrop>
  <LinksUpToDate>false</LinksUpToDate>
  <CharactersWithSpaces>2456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2018-06-13T02:53:00Z</dcterms:created>
  <dc:creator>系统管理员(admin)</dc:creator>
  <cp:lastModifiedBy>C.c小样</cp:lastModifiedBy>
  <cp:lastPrinted>2010-08-23T15:11:00Z</cp:lastPrinted>
  <dcterms:modified xsi:type="dcterms:W3CDTF">2025-06-03T01:32:19Z</dcterms:modified>
  <dc:title>填 表 须 知</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3E45193D05CC4EA3ABAD88AFB72AECCF</vt:lpwstr>
  </property>
  <property fmtid="{D5CDD505-2E9C-101B-9397-08002B2CF9AE}" pid="4" name="KSOTemplateDocerSaveRecord">
    <vt:lpwstr>eyJoZGlkIjoiZjZlZWQ0YjhlZmE5NGU5ZmYyM2ZjNmQ2YjdkNzI4Y2MiLCJ1c2VySWQiOiI3MjIxOTQ4MjAifQ==</vt:lpwstr>
  </property>
</Properties>
</file>