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邳州市解放路实验学校图书采购项目更正（澄清）内容（</w:t>
      </w:r>
      <w:r>
        <w:rPr>
          <w:rFonts w:hint="eastAsia" w:ascii="宋体" w:hAnsi="宋体" w:cs="宋体"/>
          <w:b w:val="0"/>
          <w:bCs w:val="0"/>
          <w:sz w:val="30"/>
          <w:szCs w:val="30"/>
          <w:highlight w:val="none"/>
        </w:rPr>
        <w:t>一</w:t>
      </w:r>
      <w:r>
        <w:rPr>
          <w:rFonts w:hint="eastAsia" w:ascii="宋体" w:hAnsi="宋体" w:eastAsia="宋体" w:cs="宋体"/>
          <w:b w:val="0"/>
          <w:bCs w:val="0"/>
          <w:sz w:val="30"/>
          <w:szCs w:val="30"/>
          <w:highlight w:val="none"/>
        </w:rPr>
        <w:t>）</w:t>
      </w:r>
    </w:p>
    <w:p>
      <w:pPr>
        <w:pStyle w:val="6"/>
        <w:widowControl/>
        <w:spacing w:beforeAutospacing="0" w:afterAutospacing="0" w:line="38" w:lineRule="atLeast"/>
        <w:jc w:val="both"/>
        <w:rPr>
          <w:rFonts w:hint="eastAsia" w:ascii="宋体" w:hAnsi="宋体" w:eastAsia="宋体" w:cs="宋体"/>
          <w:b/>
          <w:bCs/>
          <w:sz w:val="28"/>
          <w:szCs w:val="28"/>
        </w:rPr>
      </w:pPr>
    </w:p>
    <w:p>
      <w:pPr>
        <w:pStyle w:val="6"/>
        <w:widowControl/>
        <w:spacing w:beforeAutospacing="0" w:afterAutospacing="0" w:line="38" w:lineRule="atLeast"/>
        <w:jc w:val="both"/>
        <w:rPr>
          <w:rStyle w:val="8"/>
          <w:rFonts w:hint="eastAsia" w:ascii="宋体" w:hAnsi="宋体" w:eastAsia="宋体" w:cs="宋体"/>
          <w:sz w:val="28"/>
          <w:szCs w:val="28"/>
        </w:rPr>
      </w:pPr>
      <w:r>
        <w:rPr>
          <w:rFonts w:hint="eastAsia" w:ascii="宋体" w:hAnsi="宋体" w:eastAsia="宋体" w:cs="宋体"/>
          <w:b/>
          <w:bCs/>
          <w:sz w:val="28"/>
          <w:szCs w:val="28"/>
        </w:rPr>
        <w:t>一、以下为澄清或者修改的内容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eastAsia" w:ascii="Times New Roman" w:hAnsi="Times New Roman" w:eastAsia="宋体" w:cs="宋体"/>
          <w:b/>
          <w:sz w:val="24"/>
          <w:szCs w:val="24"/>
          <w:lang w:val="en-US" w:eastAsia="zh-CN"/>
        </w:rPr>
      </w:pPr>
      <w:r>
        <w:rPr>
          <w:rStyle w:val="8"/>
          <w:rFonts w:hint="eastAsia" w:ascii="Times New Roman" w:hAnsi="Times New Roman" w:eastAsia="宋体" w:cs="宋体"/>
          <w:b/>
          <w:sz w:val="24"/>
          <w:szCs w:val="24"/>
          <w:lang w:val="en-US" w:eastAsia="zh-CN"/>
        </w:rPr>
        <w:t>1、</w:t>
      </w:r>
      <w:r>
        <w:rPr>
          <w:rStyle w:val="8"/>
          <w:rFonts w:hint="eastAsia" w:ascii="Times New Roman" w:hAnsi="Times New Roman" w:cs="宋体"/>
          <w:b/>
          <w:sz w:val="24"/>
          <w:szCs w:val="24"/>
          <w:lang w:val="en-US" w:eastAsia="zh-CN"/>
        </w:rPr>
        <w:t>提交投标文件截止时间和</w:t>
      </w:r>
      <w:r>
        <w:rPr>
          <w:rFonts w:hint="eastAsia" w:ascii="宋体" w:hAnsi="宋体" w:eastAsia="宋体" w:cs="宋体"/>
          <w:b/>
          <w:bCs/>
          <w:color w:val="auto"/>
          <w:sz w:val="24"/>
          <w:highlight w:val="none"/>
        </w:rPr>
        <w:t>开标时间</w:t>
      </w:r>
      <w:r>
        <w:rPr>
          <w:rFonts w:hint="eastAsia" w:cs="宋体"/>
          <w:b/>
          <w:bCs/>
          <w:color w:val="auto"/>
          <w:sz w:val="24"/>
          <w:highlight w:val="none"/>
          <w:lang w:val="en-US" w:eastAsia="zh-CN"/>
        </w:rPr>
        <w:t>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default" w:ascii="Times New Roman" w:hAnsi="Times New Roman" w:eastAsia="宋体" w:cs="宋体"/>
          <w:b/>
          <w:sz w:val="24"/>
          <w:szCs w:val="24"/>
          <w:lang w:val="en-US" w:eastAsia="zh-CN"/>
        </w:rPr>
      </w:pPr>
      <w:r>
        <w:rPr>
          <w:rStyle w:val="8"/>
          <w:rFonts w:hint="eastAsia" w:ascii="Times New Roman" w:hAnsi="Times New Roman" w:cs="宋体"/>
          <w:b/>
          <w:sz w:val="24"/>
          <w:szCs w:val="24"/>
          <w:lang w:val="en-US" w:eastAsia="zh-CN"/>
        </w:rPr>
        <w:t>原提交投标文件截止时间和</w:t>
      </w:r>
      <w:r>
        <w:rPr>
          <w:rFonts w:hint="eastAsia" w:ascii="宋体" w:hAnsi="宋体" w:eastAsia="宋体" w:cs="宋体"/>
          <w:b/>
          <w:bCs/>
          <w:color w:val="auto"/>
          <w:sz w:val="24"/>
          <w:highlight w:val="none"/>
        </w:rPr>
        <w:t>开标时间</w:t>
      </w:r>
      <w:r>
        <w:rPr>
          <w:rFonts w:hint="eastAsia" w:ascii="宋体" w:hAnsi="宋体" w:eastAsia="宋体" w:cs="宋体"/>
          <w:b/>
          <w:bCs/>
          <w:color w:val="auto"/>
          <w:sz w:val="24"/>
          <w:highlight w:val="none"/>
          <w:lang w:val="en-US" w:eastAsia="zh-CN"/>
        </w:rPr>
        <w:t>为</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eastAsia="zh-CN"/>
        </w:rPr>
        <w:t>2025年</w:t>
      </w:r>
      <w:r>
        <w:rPr>
          <w:rFonts w:hint="eastAsia" w:ascii="宋体" w:hAnsi="宋体" w:cs="宋体"/>
          <w:b/>
          <w:bCs/>
          <w:color w:val="auto"/>
          <w:sz w:val="24"/>
          <w:szCs w:val="24"/>
          <w:highlight w:val="none"/>
          <w:lang w:val="en-US" w:eastAsia="zh-CN"/>
        </w:rPr>
        <w:t>04月24日北京时间09:30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eastAsia" w:ascii="Times New Roman" w:hAnsi="Times New Roman" w:cs="宋体"/>
          <w:b/>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eastAsia" w:ascii="Times New Roman" w:hAnsi="Times New Roman" w:cs="宋体"/>
          <w:b/>
          <w:sz w:val="24"/>
          <w:szCs w:val="24"/>
          <w:lang w:val="en-US" w:eastAsia="zh-CN"/>
        </w:rPr>
      </w:pPr>
      <w:r>
        <w:rPr>
          <w:rStyle w:val="8"/>
          <w:rFonts w:hint="eastAsia" w:ascii="Times New Roman" w:hAnsi="Times New Roman" w:cs="宋体"/>
          <w:b/>
          <w:sz w:val="24"/>
          <w:szCs w:val="24"/>
          <w:lang w:val="en-US" w:eastAsia="zh-CN"/>
        </w:rPr>
        <w:t>现更正为：</w:t>
      </w:r>
      <w:bookmarkStart w:id="0" w:name="_GoBack"/>
      <w:bookmarkEnd w:id="0"/>
    </w:p>
    <w:p>
      <w:pPr>
        <w:rPr>
          <w:rStyle w:val="8"/>
          <w:rFonts w:hint="eastAsia" w:ascii="Times New Roman" w:hAnsi="Times New Roman" w:cs="宋体"/>
          <w:b/>
          <w:sz w:val="24"/>
          <w:szCs w:val="24"/>
          <w:lang w:val="en-US" w:eastAsia="zh-CN"/>
        </w:rPr>
      </w:pPr>
    </w:p>
    <w:p>
      <w:pPr>
        <w:rPr>
          <w:rFonts w:hint="default"/>
          <w:lang w:val="en-US" w:eastAsia="zh-CN"/>
        </w:rPr>
      </w:pPr>
      <w:r>
        <w:rPr>
          <w:rStyle w:val="8"/>
          <w:rFonts w:hint="eastAsia" w:ascii="Times New Roman" w:hAnsi="Times New Roman" w:cs="宋体"/>
          <w:b/>
          <w:sz w:val="24"/>
          <w:szCs w:val="24"/>
          <w:lang w:val="en-US" w:eastAsia="zh-CN"/>
        </w:rPr>
        <w:t>提交投标文件截止时间和</w:t>
      </w:r>
      <w:r>
        <w:rPr>
          <w:rFonts w:hint="eastAsia" w:ascii="宋体" w:hAnsi="宋体" w:eastAsia="宋体" w:cs="宋体"/>
          <w:b/>
          <w:bCs/>
          <w:color w:val="auto"/>
          <w:sz w:val="24"/>
          <w:highlight w:val="none"/>
        </w:rPr>
        <w:t>开标时间</w:t>
      </w:r>
      <w:r>
        <w:rPr>
          <w:rFonts w:hint="eastAsia" w:ascii="宋体" w:hAnsi="宋体" w:eastAsia="宋体" w:cs="宋体"/>
          <w:b/>
          <w:bCs/>
          <w:color w:val="auto"/>
          <w:sz w:val="24"/>
          <w:highlight w:val="none"/>
          <w:lang w:val="en-US" w:eastAsia="zh-CN"/>
        </w:rPr>
        <w:t>为</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eastAsia="zh-CN"/>
        </w:rPr>
        <w:t>2025年</w:t>
      </w:r>
      <w:r>
        <w:rPr>
          <w:rFonts w:hint="eastAsia" w:ascii="宋体" w:hAnsi="宋体" w:cs="宋体"/>
          <w:b/>
          <w:bCs/>
          <w:color w:val="auto"/>
          <w:sz w:val="24"/>
          <w:szCs w:val="24"/>
          <w:highlight w:val="none"/>
          <w:lang w:val="en-US" w:eastAsia="zh-CN"/>
        </w:rPr>
        <w:t>05月09日北京时间14:30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eastAsia" w:ascii="Times New Roman" w:hAnsi="Times New Roman" w:eastAsia="宋体" w:cs="宋体"/>
          <w:b/>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default" w:ascii="Times New Roman" w:hAnsi="Times New Roman" w:eastAsia="宋体" w:cs="宋体"/>
          <w:b/>
          <w:sz w:val="24"/>
          <w:szCs w:val="24"/>
          <w:lang w:val="en-US" w:eastAsia="zh-CN"/>
        </w:rPr>
      </w:pPr>
      <w:r>
        <w:rPr>
          <w:rStyle w:val="8"/>
          <w:rFonts w:hint="eastAsia" w:ascii="Times New Roman" w:hAnsi="Times New Roman" w:cs="宋体"/>
          <w:b/>
          <w:sz w:val="24"/>
          <w:szCs w:val="24"/>
          <w:lang w:val="en-US" w:eastAsia="zh-CN"/>
        </w:rPr>
        <w:t>2、</w:t>
      </w:r>
      <w:r>
        <w:rPr>
          <w:rStyle w:val="8"/>
          <w:rFonts w:hint="eastAsia" w:ascii="Times New Roman" w:hAnsi="Times New Roman" w:eastAsia="宋体" w:cs="宋体"/>
          <w:b/>
          <w:sz w:val="24"/>
          <w:szCs w:val="24"/>
          <w:lang w:val="en-US" w:eastAsia="zh-CN"/>
        </w:rPr>
        <w:t>《</w:t>
      </w:r>
      <w:r>
        <w:rPr>
          <w:rStyle w:val="8"/>
          <w:rFonts w:hint="eastAsia" w:ascii="Times New Roman" w:hAnsi="Times New Roman" w:cs="宋体"/>
          <w:b/>
          <w:sz w:val="24"/>
          <w:szCs w:val="24"/>
          <w:lang w:val="en-US" w:eastAsia="zh-CN"/>
        </w:rPr>
        <w:t>评标标准</w:t>
      </w:r>
      <w:r>
        <w:rPr>
          <w:rStyle w:val="8"/>
          <w:rFonts w:hint="eastAsia" w:ascii="Times New Roman" w:hAnsi="Times New Roman" w:eastAsia="宋体" w:cs="宋体"/>
          <w:b/>
          <w:sz w:val="24"/>
          <w:szCs w:val="24"/>
          <w:lang w:val="en-US" w:eastAsia="zh-CN"/>
        </w:rPr>
        <w:t>》</w:t>
      </w:r>
      <w:r>
        <w:rPr>
          <w:rStyle w:val="8"/>
          <w:rFonts w:hint="eastAsia" w:ascii="Times New Roman" w:hAnsi="Times New Roman" w:cs="宋体"/>
          <w:b/>
          <w:sz w:val="24"/>
          <w:szCs w:val="24"/>
          <w:lang w:val="en-US" w:eastAsia="zh-CN"/>
        </w:rPr>
        <w:t>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eastAsia" w:ascii="Times New Roman" w:hAnsi="Times New Roman" w:eastAsia="宋体" w:cs="宋体"/>
          <w:b/>
          <w:sz w:val="24"/>
          <w:szCs w:val="24"/>
          <w:lang w:val="en-US" w:eastAsia="zh-CN"/>
        </w:rPr>
      </w:pPr>
      <w:r>
        <w:rPr>
          <w:rStyle w:val="8"/>
          <w:rFonts w:hint="eastAsia" w:ascii="Times New Roman" w:hAnsi="Times New Roman" w:eastAsia="宋体" w:cs="宋体"/>
          <w:b/>
          <w:sz w:val="24"/>
          <w:szCs w:val="24"/>
          <w:lang w:val="en-US" w:eastAsia="zh-CN"/>
        </w:rPr>
        <w:t>原招标文件第</w:t>
      </w:r>
      <w:r>
        <w:rPr>
          <w:rStyle w:val="8"/>
          <w:rFonts w:hint="eastAsia" w:ascii="Times New Roman" w:hAnsi="Times New Roman" w:cs="宋体"/>
          <w:b/>
          <w:sz w:val="24"/>
          <w:szCs w:val="24"/>
          <w:lang w:val="en-US" w:eastAsia="zh-CN"/>
        </w:rPr>
        <w:t>四</w:t>
      </w:r>
      <w:r>
        <w:rPr>
          <w:rStyle w:val="8"/>
          <w:rFonts w:hint="eastAsia" w:ascii="Times New Roman" w:hAnsi="Times New Roman" w:eastAsia="宋体" w:cs="宋体"/>
          <w:b/>
          <w:sz w:val="24"/>
          <w:szCs w:val="24"/>
          <w:lang w:val="en-US" w:eastAsia="zh-CN"/>
        </w:rPr>
        <w:t>章《</w:t>
      </w:r>
      <w:r>
        <w:rPr>
          <w:rStyle w:val="8"/>
          <w:rFonts w:hint="eastAsia" w:ascii="Times New Roman" w:hAnsi="Times New Roman" w:cs="宋体"/>
          <w:b/>
          <w:sz w:val="24"/>
          <w:szCs w:val="24"/>
          <w:lang w:val="en-US" w:eastAsia="zh-CN"/>
        </w:rPr>
        <w:t>评标标准</w:t>
      </w:r>
      <w:r>
        <w:rPr>
          <w:rStyle w:val="8"/>
          <w:rFonts w:hint="eastAsia" w:ascii="Times New Roman" w:hAnsi="Times New Roman" w:eastAsia="宋体" w:cs="宋体"/>
          <w:b/>
          <w:sz w:val="24"/>
          <w:szCs w:val="24"/>
          <w:lang w:val="en-US" w:eastAsia="zh-CN"/>
        </w:rPr>
        <w:t>》</w:t>
      </w:r>
    </w:p>
    <w:tbl>
      <w:tblPr>
        <w:tblStyle w:val="9"/>
        <w:tblW w:w="8522" w:type="dxa"/>
        <w:jc w:val="center"/>
        <w:tblCellSpacing w:w="0" w:type="dxa"/>
        <w:tblInd w:w="10" w:type="dxa"/>
        <w:shd w:val="clear" w:color="auto" w:fill="auto"/>
        <w:tblLayout w:type="fixed"/>
        <w:tblCellMar>
          <w:top w:w="0" w:type="dxa"/>
          <w:left w:w="108" w:type="dxa"/>
          <w:bottom w:w="0" w:type="dxa"/>
          <w:right w:w="108" w:type="dxa"/>
        </w:tblCellMar>
      </w:tblPr>
      <w:tblGrid>
        <w:gridCol w:w="1847"/>
        <w:gridCol w:w="1847"/>
        <w:gridCol w:w="4828"/>
      </w:tblGrid>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3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b/>
                <w:color w:val="000000"/>
                <w:sz w:val="21"/>
                <w:szCs w:val="21"/>
              </w:rPr>
              <w:t>评审因素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b/>
                <w:color w:val="000000"/>
                <w:sz w:val="21"/>
                <w:szCs w:val="21"/>
              </w:rPr>
              <w:t>评审因素细化和量化</w:t>
            </w:r>
          </w:p>
        </w:tc>
      </w:tr>
      <w:tr>
        <w:tblPrEx>
          <w:shd w:val="clear" w:color="auto" w:fill="auto"/>
          <w:tblLayout w:type="fixed"/>
          <w:tblCellMar>
            <w:top w:w="0" w:type="dxa"/>
            <w:left w:w="108" w:type="dxa"/>
            <w:bottom w:w="0" w:type="dxa"/>
            <w:right w:w="108" w:type="dxa"/>
          </w:tblCellMar>
        </w:tblPrEx>
        <w:trPr>
          <w:trHeight w:val="731" w:hRule="atLeast"/>
          <w:tblCellSpacing w:w="0" w:type="dxa"/>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价格部分（30分）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价格</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（30分）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采用低价优先法计算，即满足招标文件要求且投标人评审价格最低的投标报价为评标基准价，其价格得分为满分：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各投标人价格得分=最低报价（100%-投标人的最高优惠率）÷各投标人评审价格（100%-优惠率）×30（按四舍五入取至小数点后两位）。</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得分四舍五入保留到小数点后2位</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例：A报价优惠率20%   B报价优惠率30%   C报价优惠率40%，</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报价换算成：A评审价：100%-20%=80% ；B评审价：100%-30%=70% ；C评审价：100%-40%=60%（基准价）</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A价格分为：60%÷80%*30=22.5分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B价格分为：60%÷70%*30=25.71分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C价格分为：30分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注：投标人所投货物全部为中小企业生产且使用该中小企业商号或者注册商标的，或投标人所投货物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100%-《开标一览表》中的“优惠率”）×（100%-10%）×30。</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商务部分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（13分）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t> </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业绩</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（4分）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投标文件中提供投标人为卖方（乙方），合同签订日期在2022年01月01日以后，合同内容与本项目相同或类似的合同的原件扫描件（时间以合同签订日期为准），每份得2分，本项最高得4分。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注：投标文件中提供业绩合同扫描件并加盖电子签章方为有效，不提供不得分。</w:t>
            </w:r>
          </w:p>
        </w:tc>
      </w:tr>
      <w:tr>
        <w:tblPrEx>
          <w:shd w:val="clear" w:color="auto" w:fill="auto"/>
          <w:tblLayout w:type="fixed"/>
          <w:tblCellMar>
            <w:top w:w="0" w:type="dxa"/>
            <w:left w:w="108" w:type="dxa"/>
            <w:bottom w:w="0" w:type="dxa"/>
            <w:right w:w="108" w:type="dxa"/>
          </w:tblCellMar>
        </w:tblPrEx>
        <w:trPr>
          <w:trHeight w:val="272"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投标人评价</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（9分）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投标文件中提供投标人有效的职业健康安全管理体系认证证书、环境管理体系认证证书、质量管理体系认证证书、信息安全管理体系认证证书每提供一项得1分，满分4分。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注：投标文件中提供有效的证书原件扫描件及全国认证认可信息公共服务平台网站查询标示为有效的截图加盖电子签章。</w:t>
            </w:r>
          </w:p>
        </w:tc>
      </w:tr>
      <w:tr>
        <w:tblPrEx>
          <w:shd w:val="clear" w:color="auto" w:fill="auto"/>
          <w:tblLayout w:type="fixed"/>
          <w:tblCellMar>
            <w:top w:w="0" w:type="dxa"/>
            <w:left w:w="108" w:type="dxa"/>
            <w:bottom w:w="0" w:type="dxa"/>
            <w:right w:w="108" w:type="dxa"/>
          </w:tblCellMar>
        </w:tblPrEx>
        <w:trPr>
          <w:trHeight w:val="756"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投标人获得2020年度（含）以来全国优秀中小学馆配商荣誉称号,每提供一个得1分,最高不超过5分。提供证书原件扫描件加盖电子签章。</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技术部分（57分）</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技术人员</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（10分）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投标人有稳定的编目加工团队（至少4人），团队成员须为投标人正式员工，且人员具有Calis或国图培训编目员证书。</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符合条件4人的不得分；在此基础上每增加1人得1分。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本项最高得5分，最低得0分。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b/>
                <w:color w:val="000000"/>
                <w:sz w:val="21"/>
                <w:szCs w:val="21"/>
              </w:rPr>
              <w:t>注：上述人员须提供人员证书原件扫描件以及近6个月内任何一个月的投标人为其缴纳的社保证明材料 （提供原件扫描件加盖电子签章）</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投标人从事图书行业，有丰富的图书项目工作团队（至少4人），团队成员须为投标人正式员工，且人员具有中华人民共和国人力资源和社会保障部、新闻出版总署签发的出版物发行员（二级或三级）上岗资格证书。</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rPr>
                <w:rFonts w:hint="eastAsia" w:ascii="宋体" w:hAnsi="宋体" w:eastAsia="宋体" w:cs="宋体"/>
                <w:color w:val="000000"/>
                <w:sz w:val="21"/>
                <w:szCs w:val="21"/>
              </w:rPr>
              <w:t>符合条件4人的不得分，在此基础上每增加1人二级出版物发行员得1分，每增加1人三级出版物发行员得0.5分，限评5人。</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rPr>
                <w:rFonts w:hint="eastAsia" w:ascii="宋体" w:hAnsi="宋体" w:eastAsia="宋体" w:cs="宋体"/>
                <w:color w:val="000000"/>
                <w:sz w:val="21"/>
                <w:szCs w:val="21"/>
              </w:rPr>
              <w:t>本项最高得5分，最低得0分。</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rPr>
                <w:rFonts w:hint="eastAsia" w:ascii="宋体" w:hAnsi="宋体" w:eastAsia="宋体" w:cs="宋体"/>
                <w:b/>
                <w:color w:val="000000"/>
                <w:sz w:val="21"/>
                <w:szCs w:val="21"/>
              </w:rPr>
              <w:t>注：上述人员须提供人员证书原件扫描件以及近6个月内任何一个月的投标人为其缴纳的社保证明材料 （提供原件扫描件加盖电子签章）</w:t>
            </w:r>
          </w:p>
        </w:tc>
      </w:tr>
      <w:tr>
        <w:tblPrEx>
          <w:shd w:val="clear" w:color="auto" w:fill="auto"/>
          <w:tblLayout w:type="fixed"/>
          <w:tblCellMar>
            <w:top w:w="0" w:type="dxa"/>
            <w:left w:w="108" w:type="dxa"/>
            <w:bottom w:w="0" w:type="dxa"/>
            <w:right w:w="108" w:type="dxa"/>
          </w:tblCellMar>
        </w:tblPrEx>
        <w:trPr>
          <w:trHeight w:val="801"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图书质量</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（2分）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图书质量必须100％是正版，投标文件中须提供承诺书加盖电子签章（格式详见附件），不提供不得分。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本项最高得2分，最低得0分。</w:t>
            </w:r>
          </w:p>
        </w:tc>
      </w:tr>
      <w:tr>
        <w:tblPrEx>
          <w:shd w:val="clear" w:color="auto" w:fill="auto"/>
          <w:tblLayout w:type="fixed"/>
          <w:tblCellMar>
            <w:top w:w="0" w:type="dxa"/>
            <w:left w:w="108" w:type="dxa"/>
            <w:bottom w:w="0" w:type="dxa"/>
            <w:right w:w="108" w:type="dxa"/>
          </w:tblCellMar>
        </w:tblPrEx>
        <w:trPr>
          <w:trHeight w:val="801"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包装与配送方案（5分）</w:t>
            </w:r>
          </w:p>
        </w:tc>
        <w:tc>
          <w:tcPr>
            <w:tcW w:w="4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根据供应商提供图书包装方案、图书配送计划、图书配套数据措施方案等进行综合评分。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全面性（3分）：全面具体详实得3分；较全面得2分；基本具备的得1分，不全面得0分。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合理性（2分）：合理的得2分；基本合理的得1分，欠缺合理性或不提供得0分。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本项最高得5分，最低得0分。</w:t>
            </w:r>
          </w:p>
        </w:tc>
      </w:tr>
      <w:tr>
        <w:tblPrEx>
          <w:tblLayout w:type="fixed"/>
          <w:tblCellMar>
            <w:top w:w="0" w:type="dxa"/>
            <w:left w:w="108" w:type="dxa"/>
            <w:bottom w:w="0" w:type="dxa"/>
            <w:right w:w="108" w:type="dxa"/>
          </w:tblCellMar>
        </w:tblPrEx>
        <w:trPr>
          <w:trHeight w:val="801"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质量控制方案（14分）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为保证投标人供货综合能力及所供图书质量，投标人需出具本项目图书所涉及出版社（详见附件出版社清单）的代理发行证明材料，提供300份（含）以上得8分，200（含）～299（含）份得6分，100（含）～199（含）份得4分，99（含）份以下得2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本项最多得8分。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严格按出版社清单（详见附件）中的顺序排放代理发行证明材料。</w:t>
            </w:r>
          </w:p>
        </w:tc>
      </w:tr>
      <w:tr>
        <w:tblPrEx>
          <w:tblLayout w:type="fixed"/>
          <w:tblCellMar>
            <w:top w:w="0" w:type="dxa"/>
            <w:left w:w="108" w:type="dxa"/>
            <w:bottom w:w="0" w:type="dxa"/>
            <w:right w:w="108" w:type="dxa"/>
          </w:tblCellMar>
        </w:tblPrEx>
        <w:trPr>
          <w:trHeight w:val="1232"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质量控制方案：如何协助采购人严把图书质量，如图书供货品种、质量等。</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全面性（3分）：全面具体详实得3分；较全面得2分；基本具备的得1分，不全面得0分。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合理性（3分）：合理的得3分；基本合理的得2分，欠缺合理性的得1分，不提供得0分。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本项最高得6分，最低得0分。</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现采能力</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（5分）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要求投标人有一定规模的现采场所，能组织大型书市现采活动（投标文件中需提供房产证扫描件或房产租赁合同扫描件及房租缴费税务正规发票扫描件或场地使用授权扫描件，并提供场地内外部图片至少各两张）。根据场所的配置、面积、规范、环境等进行综合评价。</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设施齐全、面积较大、规范度高、环境整洁干净得5分；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设施比较齐全、面积比较大、规范度比较高、环境比较整洁较干净得3分；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设施不全、面积较小、环境一般得1分。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没有现采场所的不得分。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本项最高得5分，最低得0分。</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供货实施方案（6分）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对投标文件中供货方案（包括采购措施、供货措施、进度保障、图书包装措施、图书配送计划、图书配套数据措施）等内容全面性、合理性进行综合评分。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全面性（3分）：全面具体详实得3分；较全面得2分；基本具备的得1分，不全面得0分。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合理性（3分）：合理的得3分；基本合理的得2分，欠缺合理性的得1分，不提供得0分。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本项最高得6分，最低得0分。</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加工服务方案（6分）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对投标文件中加工服务方案的内容全面性、合理性进行综合评分。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全面性（3分）：全面具体详实得3分；较全面得2分；基本具备的得1分，不全面得0分。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合理性（3分）：合理的得3分；基本合理的得2分，欠缺合理性的得1分，不提供得0分。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本项最高得6分，最低得0分。</w:t>
            </w:r>
          </w:p>
        </w:tc>
      </w:tr>
      <w:tr>
        <w:tblPrEx>
          <w:shd w:val="clear" w:color="auto" w:fill="auto"/>
          <w:tblLayout w:type="fixed"/>
          <w:tblCellMar>
            <w:top w:w="0" w:type="dxa"/>
            <w:left w:w="108" w:type="dxa"/>
            <w:bottom w:w="0" w:type="dxa"/>
            <w:right w:w="108" w:type="dxa"/>
          </w:tblCellMar>
        </w:tblPrEx>
        <w:trPr>
          <w:trHeight w:val="20" w:hRule="atLeast"/>
          <w:tblCellSpacing w:w="0" w:type="dxa"/>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center"/>
            </w:pPr>
            <w:r>
              <w:rPr>
                <w:rFonts w:hint="eastAsia" w:ascii="宋体" w:hAnsi="宋体" w:eastAsia="宋体" w:cs="宋体"/>
                <w:color w:val="000000"/>
                <w:sz w:val="21"/>
                <w:szCs w:val="21"/>
              </w:rPr>
              <w:t>售后服务方案（9分）</w:t>
            </w:r>
          </w:p>
        </w:tc>
        <w:tc>
          <w:tcPr>
            <w:tcW w:w="4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根据供应商提供的售后服务体系、售后服务人员、便捷性及保障性的服务机构、售后服务承诺、售后服务应答及处理时间，质保期内的售后服务范围、质保期满后的售后服务范围进行综合评分。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全面性（3分）：全面具体详实得3分；较全面得2分；基本具备的得1分，不全面得0分。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合理性（3分）：合理的得3分；基本合理的得2分，欠缺合理性的得1分，不提供得0分。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针对性（3分）：针对性强得3分；基本合理的得2分，欠缺针对性的得1分，不提供得0分。</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2" w:lineRule="auto"/>
              <w:jc w:val="both"/>
            </w:pPr>
            <w:r>
              <w:rPr>
                <w:rFonts w:hint="eastAsia" w:ascii="宋体" w:hAnsi="宋体" w:eastAsia="宋体" w:cs="宋体"/>
                <w:color w:val="000000"/>
                <w:sz w:val="21"/>
                <w:szCs w:val="21"/>
              </w:rPr>
              <w:t>本项最高得9分，最低得0分。</w:t>
            </w:r>
          </w:p>
        </w:tc>
      </w:tr>
    </w:tbl>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hint="eastAsia" w:ascii="宋体" w:hAnsi="宋体" w:eastAsia="宋体" w:cs="宋体"/>
          <w:b/>
          <w:color w:val="000000"/>
          <w:sz w:val="24"/>
          <w:szCs w:val="24"/>
        </w:rPr>
        <w:t>附件：出版社清单</w:t>
      </w:r>
    </w:p>
    <w:tbl>
      <w:tblPr>
        <w:tblStyle w:val="9"/>
        <w:tblW w:w="8522" w:type="dxa"/>
        <w:jc w:val="center"/>
        <w:tblCellSpacing w:w="0" w:type="dxa"/>
        <w:tblInd w:w="10" w:type="dxa"/>
        <w:shd w:val="clear" w:color="auto" w:fill="FFFFFF"/>
        <w:tblLayout w:type="fixed"/>
        <w:tblCellMar>
          <w:top w:w="0" w:type="dxa"/>
          <w:left w:w="108" w:type="dxa"/>
          <w:bottom w:w="0" w:type="dxa"/>
          <w:right w:w="108" w:type="dxa"/>
        </w:tblCellMar>
      </w:tblPr>
      <w:tblGrid>
        <w:gridCol w:w="704"/>
        <w:gridCol w:w="2828"/>
        <w:gridCol w:w="729"/>
        <w:gridCol w:w="704"/>
        <w:gridCol w:w="2828"/>
        <w:gridCol w:w="729"/>
      </w:tblGrid>
      <w:tr>
        <w:tblPrEx>
          <w:tblLayout w:type="fixed"/>
        </w:tblPrEx>
        <w:trPr>
          <w:trHeight w:val="30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color w:val="000000"/>
                <w:sz w:val="22"/>
                <w:szCs w:val="22"/>
              </w:rPr>
              <w:t>序号</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color w:val="000000"/>
                <w:sz w:val="22"/>
                <w:szCs w:val="22"/>
              </w:rPr>
              <w:t>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color w:val="000000"/>
                <w:sz w:val="22"/>
                <w:szCs w:val="22"/>
              </w:rPr>
              <w:t>是否</w:t>
            </w:r>
            <w:r>
              <w:rPr>
                <w:rFonts w:hint="eastAsia" w:ascii="宋体" w:hAnsi="宋体" w:eastAsia="宋体" w:cs="宋体"/>
                <w:b/>
                <w:color w:val="000000"/>
                <w:sz w:val="22"/>
                <w:szCs w:val="22"/>
              </w:rPr>
              <w:br w:type="textWrapping"/>
            </w:r>
            <w:r>
              <w:rPr>
                <w:rFonts w:hint="eastAsia" w:ascii="宋体" w:hAnsi="宋体" w:eastAsia="宋体" w:cs="宋体"/>
                <w:b/>
                <w:color w:val="000000"/>
                <w:sz w:val="22"/>
                <w:szCs w:val="22"/>
              </w:rPr>
              <w:t> 提供</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color w:val="000000"/>
                <w:sz w:val="22"/>
                <w:szCs w:val="22"/>
              </w:rPr>
              <w:t>序号</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color w:val="000000"/>
                <w:sz w:val="22"/>
                <w:szCs w:val="22"/>
              </w:rPr>
              <w:t>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color w:val="000000"/>
                <w:sz w:val="22"/>
                <w:szCs w:val="22"/>
              </w:rPr>
              <w:t>是否</w:t>
            </w:r>
            <w:r>
              <w:rPr>
                <w:rFonts w:hint="eastAsia" w:ascii="宋体" w:hAnsi="宋体" w:eastAsia="宋体" w:cs="宋体"/>
                <w:b/>
                <w:color w:val="000000"/>
                <w:sz w:val="22"/>
                <w:szCs w:val="22"/>
              </w:rPr>
              <w:br w:type="textWrapping"/>
            </w:r>
            <w:r>
              <w:rPr>
                <w:rFonts w:hint="eastAsia" w:ascii="宋体" w:hAnsi="宋体" w:eastAsia="宋体" w:cs="宋体"/>
                <w:b/>
                <w:color w:val="000000"/>
                <w:sz w:val="22"/>
                <w:szCs w:val="22"/>
              </w:rPr>
              <w:t> 提供</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人民文学出版社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人民武警出版社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人民邮电出版社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三辰影库音像电子出版社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三环出版社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三晋出版社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安徽文艺出版社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三秦出版社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巴蜀书社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山东电子音像出版社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百花文艺出版社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山东画报出版社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百花洲文艺出版社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北方妇女儿童出版社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北方文艺出版社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山东省地图出版社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北京工业大学出版社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北京工艺美术出版社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山东友谊出版社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北京航空航天大学出版社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山西教育出版社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山西经济出版社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山西科学技术出版社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北京理工大学出版社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山西人民出版社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北京联合出版公司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陕西科学技术出版社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北京日报出版社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陕西人民出版社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陕西人民教育出版社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北京时代华文书局</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陕西人民美术出版社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北京希望电子出版社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陕西师范大学出版社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北京燕山出版社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汕头大学出版社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北岳文艺出版社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209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商务印书馆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兵器工业出版社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上海辞书出版社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朝华出版社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晨光出版社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上海交通大学出版社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成都地图出版社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成都时代出版社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上海锦绣文章出版社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崇文书局</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上海科技教育出版社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春风文艺出版社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大连出版社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上海科学技术文献出版社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大连理工大学出版社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上海科学普及出版社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大象出版社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219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地震出版社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上海人民美术出版社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地质出版社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上海三联书店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电子工业出版社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上海社会科学院出版社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东北大学出版社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上海书画出版社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东北师范大学出版社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上海文化出版社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东方出版社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东方出版中心</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上海译文出版社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东南大学出版社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上海音乐出版社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敦煌文艺出版社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二十一世纪出版社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229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石油工业出版社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福建教育出版社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时代文艺出版社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49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福建科学技术出版社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世界图书出版公司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福建人民出版社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首都师范大学出版社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福建少年儿童出版社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四川辞书出版社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甘肃科学技术出版社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甘肃人民出版社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甘肃少年儿童出版社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甘肃文化出版社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格致出版社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古吴轩出版社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239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光明日报出版社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四川文艺出版社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59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光启书局</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苏州大学出版社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广东教育出版社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台海出版社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广东科技出版社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太白文艺出版社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广东旅游出版社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泰山出版社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广东人民出版社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天地出版社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广陵书社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天津大学出版社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广西教育出版社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天津教育出版社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广西科学技术出版社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天津科技翻译出版公司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广西美术出版社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249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天津科学技术出版社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广西民族出版社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天津人民出版社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69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广西师范大学出版社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天津人民美术出版社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广州出版社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天天出版社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贵州大学出版社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同心出版社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贵州科技出版社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团结出版社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贵州人民出版社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万卷出版公司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国际文化出版公司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未来出版社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哈尔滨出版社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文化发展出版社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哈尔滨工业大学出版社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文化艺术出版社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海南出版社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259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文汇出版社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海天出版社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文津出版社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79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海豚出版社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文心出版社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海峡书局出版社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五洲传播</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海峡文艺出版社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武汉出版社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海燕出版社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武汉大学出版社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航空工业出版社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西安出版社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合肥工业大学出版社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西安电子科技大学出版社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河北大学出版社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西安交通大学出版社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河北教育出版社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西北工业大学出版社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河北科学技术出版社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269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西南交通大学出版社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河北美术出版社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西苑出版社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89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河北人民出版社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希望出版社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河北少年儿童出版社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现代出版社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河海大学出版社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现代教育出版社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河南大学出版社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线装书局</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河南科学技术出版社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湘潭大学出版社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河南美术出版社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新华出版社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河南文艺出版社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新疆科学技术出版社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黑龙江教育出版社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新疆青少年出版社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黑龙江科学技术出版社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279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新疆人民卫生出版社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黑龙江美术出版社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新疆生产建设兵团出版社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99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黑龙江人民出版社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新疆文化出版社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黑龙江少年儿童出版社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新蕾出版社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红旗出版社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新世纪出版社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湖北教育出版社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新世界出版社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湖北科学技术出版社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新星出版社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湖北美术出版社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延边大学出版社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湖北人民出版社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延边教育出版社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湖南科学技术出版社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研究出版社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湖南美术出版社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289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燕山大学出版社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湖南人民出版社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阳光出版社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109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湖南少年儿童出版社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译林出版社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湖南文化音像出版社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应急管理出版社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湖南文艺出版社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语文出版社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花城出版社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远方出版社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花山文艺出版社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岳麓书社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华东师范大学出版社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云南科技出版社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华龄出版社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云南美术出版社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华文出版社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云南人民出版社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华夏出版社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299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长江出版社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华语教学出版社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长江少年儿童出版社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119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华中科技大学出版社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长江文艺出版社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华中师范大学出版社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浙江工商大学出版社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化学工业出版社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浙江古籍出版社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黄河水利出版社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黄山书社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机械工业出版社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吉林出版集团</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浙江人民美术出版社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309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浙江摄影出版社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浙江文艺出版社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129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郑州大学出版社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吉林摄影出版社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知识出版社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吉林文史出版社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中国财富出版社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济南出版社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中国城市出版社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中国大百科全书出版社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江苏凤凰出版社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中国大地出版社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江苏凤凰教育出版社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中国地图出版社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江苏凤凰科学技术出版社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中国地质大学出版社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江苏凤凰美术出版社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319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中国电影出版社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江苏凤凰少年儿童出版社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中国纺织出版社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139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江苏凤凰文艺出版社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中国妇女出版社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江苏人民出版社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中国广播影视出版社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江西高校出版社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中国国际广播出版社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江西教育出版社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中国海洋大学出版社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江西科学技术出版社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中国和平出版社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江西美术出版社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中国华侨出版社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接力出版社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中国画报出版社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金城出版社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中国科技出版社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金盾出版社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329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经济日报出版社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中国科学技术大学出版社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149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九州出版社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中国林业出版社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开明出版社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中国民主法制出版社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科学出版社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中国民族文化出版社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科学技术文献出版社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中国农业科学技术出版社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科学普及出版社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中国青年出版社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兰州大学出版社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中国人口出版社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蓝天出版社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中国人口与健康出版社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漓江出版社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中国人民大学出版社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连环画出版社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339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中国商务出版社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辽海出版社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中国商业出版社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159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辽宁大学出版社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辽宁科学技术出版社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中国社会出版社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辽宁美术出版社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中国市场出版社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辽宁人民出版社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中国书籍出版社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辽宁少年儿童出版社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中国水利水电出版社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旅游教育出版社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中国铁道出版社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煤炭工业出版社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中国文联出版社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民主与建设出版社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中国文史出版社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明天出版社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349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中国言实出版社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南方出版社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中国友谊出版公司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169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南海出版公司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中国宇航出版公司</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南京出版社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中国致公出版社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南京大学出版社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中国中福会出版社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南京师范大学出版社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中华工商联合出版社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内蒙古科学技术出版社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中华书局</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174</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内蒙古人民出版社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中信出版社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175</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农村读物出版社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中央编译出版社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176</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齐鲁书社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177</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青岛出版社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359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中原农民出版社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178</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清华大学出版社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360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中州古籍出版社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179</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群言出版社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361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重庆出版社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180</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人民出版社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362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重庆大学出版社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shd w:val="clear" w:color="auto" w:fill="FFFFFF"/>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181</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人民美术出版社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363</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作家出版社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tblPrEx>
          <w:tblLayout w:type="fixed"/>
          <w:tblCellMar>
            <w:top w:w="0" w:type="dxa"/>
            <w:left w:w="108" w:type="dxa"/>
            <w:bottom w:w="0" w:type="dxa"/>
            <w:right w:w="108" w:type="dxa"/>
          </w:tblCellMar>
        </w:tblPrEx>
        <w:trPr>
          <w:trHeight w:val="270" w:hRule="atLeast"/>
          <w:tblCellSpacing w:w="0" w:type="dxa"/>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182</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2"/>
                <w:szCs w:val="22"/>
              </w:rPr>
              <w:t>人民体育出版社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bl>
    <w:p>
      <w:pPr>
        <w:pStyle w:val="11"/>
        <w:spacing w:line="360" w:lineRule="auto"/>
        <w:ind w:left="0" w:leftChars="0" w:firstLine="0" w:firstLineChars="0"/>
        <w:rPr>
          <w:rFonts w:hint="eastAsia" w:ascii="宋体" w:hAnsi="宋体" w:cs="宋体"/>
          <w:b/>
          <w:bCs/>
        </w:rPr>
      </w:pPr>
    </w:p>
    <w:p>
      <w:pPr>
        <w:pStyle w:val="11"/>
        <w:spacing w:line="360" w:lineRule="auto"/>
        <w:ind w:left="0" w:firstLine="241" w:firstLineChars="100"/>
        <w:rPr>
          <w:rFonts w:hint="eastAsia" w:ascii="宋体" w:hAnsi="宋体" w:cs="宋体"/>
          <w:b/>
          <w:bCs/>
        </w:rPr>
      </w:pPr>
      <w:r>
        <w:rPr>
          <w:rFonts w:hint="eastAsia" w:ascii="宋体" w:hAnsi="宋体" w:cs="宋体"/>
          <w:b/>
          <w:bCs/>
        </w:rPr>
        <w:t>现更正为：</w:t>
      </w:r>
    </w:p>
    <w:p>
      <w:pPr>
        <w:pStyle w:val="11"/>
        <w:spacing w:line="360" w:lineRule="auto"/>
        <w:ind w:left="0" w:firstLine="241" w:firstLineChars="100"/>
        <w:rPr>
          <w:rFonts w:hint="eastAsia" w:ascii="宋体" w:hAnsi="宋体" w:eastAsia="宋体" w:cs="宋体"/>
          <w:b/>
          <w:bCs/>
        </w:rPr>
      </w:pPr>
      <w:r>
        <w:rPr>
          <w:rFonts w:hint="eastAsia" w:ascii="宋体" w:hAnsi="宋体" w:eastAsia="宋体" w:cs="宋体"/>
          <w:b/>
          <w:bCs/>
        </w:rPr>
        <w:t>评标标准</w:t>
      </w:r>
    </w:p>
    <w:tbl>
      <w:tblPr>
        <w:tblStyle w:val="1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0"/>
        <w:gridCol w:w="1333"/>
        <w:gridCol w:w="6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评审因素细化和量化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价格部分（30分）</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采用低价优先法计算，即满足招标文件要求且投标人评审价格最低的投标报价为评标基准价，其价格得分为满分：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各投标人价格得分=最低报价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100%-投标人的最高优惠率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÷各投标人评审价格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100%-优惠率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按四舍五入取至小数点后两位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得分四舍五入保留到小数点后2位</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例：A报价优惠率20%   B报价优惠率30%   C报价优惠率40%</w:t>
            </w:r>
            <w:r>
              <w:rPr>
                <w:rFonts w:hint="eastAsia" w:ascii="宋体" w:hAnsi="宋体" w:eastAsia="宋体" w:cs="宋体"/>
                <w:b/>
                <w:bCs/>
                <w:color w:val="auto"/>
                <w:sz w:val="21"/>
                <w:szCs w:val="21"/>
                <w:highlight w:val="non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报价换算成：A评审价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100%-20%=80% ；B评审价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100%-30%=70% ；C评审价：100%-40%=60%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基准价</w:t>
            </w:r>
            <w:r>
              <w:rPr>
                <w:rFonts w:hint="eastAsia" w:ascii="宋体" w:hAnsi="宋体" w:eastAsia="宋体" w:cs="宋体"/>
                <w:b/>
                <w:bCs/>
                <w:color w:val="auto"/>
                <w:sz w:val="21"/>
                <w:szCs w:val="21"/>
                <w:highlight w:val="non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A价格分为：60%÷80%*30=22.5分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B价格分为：60%÷70%*30=25.71分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C价格分为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30分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eastAsia="zh-CN"/>
              </w:rPr>
              <w:t>投标人所投</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全部为中小企业生产且使用该中小企业商号或者注册商标</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或投标人所投货物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lang w:eastAsia="zh-CN"/>
              </w:rPr>
              <w:t>《开标一览表》中的“优惠率”）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（100%-10%）</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投标文件中提供投标人为卖方（乙方），合同签订日期在202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年0</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月01日以后，合同内容与本项目相同或类似的合同的原件扫描件（时间以合同签订日期为准），每份得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注：投标文件中提供业绩合同扫描件并加盖电子签章方为有效，不提供不得分。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投标人评价</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投标文件中提供投标人有效的职业健康安全管理体系认证证书、环境管理体系认证证书、质量管理体系认证证书</w:t>
            </w:r>
            <w:r>
              <w:rPr>
                <w:rFonts w:hint="eastAsia" w:ascii="宋体" w:hAnsi="宋体" w:eastAsia="宋体" w:cs="宋体"/>
                <w:color w:val="000000" w:themeColor="text1"/>
                <w:sz w:val="21"/>
                <w:szCs w:val="21"/>
                <w:highlight w:val="none"/>
                <w:lang w:eastAsia="zh-CN"/>
                <w14:textFill>
                  <w14:solidFill>
                    <w14:schemeClr w14:val="tx1"/>
                  </w14:solidFill>
                </w14:textFill>
              </w:rPr>
              <w:t>、信息安全管理体系认证</w:t>
            </w:r>
            <w:r>
              <w:rPr>
                <w:rFonts w:hint="eastAsia" w:ascii="宋体" w:hAnsi="宋体" w:eastAsia="宋体" w:cs="宋体"/>
                <w:color w:val="000000" w:themeColor="text1"/>
                <w:sz w:val="21"/>
                <w:szCs w:val="21"/>
                <w:highlight w:val="none"/>
                <w14:textFill>
                  <w14:solidFill>
                    <w14:schemeClr w14:val="tx1"/>
                  </w14:solidFill>
                </w14:textFill>
              </w:rPr>
              <w:t>证书每提供一项得1分，满分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投标文件中提供有效的证书原件扫描件及全国认证认可信息公共服务平台网站查询标示为有效的截图加盖电子签章。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333" w:type="dxa"/>
            <w:tcBorders>
              <w:top w:val="single" w:color="000000" w:sz="4" w:space="0"/>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技术人员</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投标人有稳定的编目加工团队（至少</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人），团队成员须为投标人正式员工，且人员具有Calis或国图培训编目员证书。</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符合条件</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人的不得分；在此基础上每增加1人得1分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分，最低得0分。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注：上述人员须提供人员证书原件扫描件以及近6个月内</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任何一个月</w:t>
            </w:r>
            <w:r>
              <w:rPr>
                <w:rFonts w:hint="eastAsia" w:ascii="宋体" w:hAnsi="宋体" w:eastAsia="宋体" w:cs="宋体"/>
                <w:b/>
                <w:bCs/>
                <w:color w:val="000000" w:themeColor="text1"/>
                <w:sz w:val="21"/>
                <w:szCs w:val="21"/>
                <w:highlight w:val="none"/>
                <w14:textFill>
                  <w14:solidFill>
                    <w14:schemeClr w14:val="tx1"/>
                  </w14:solidFill>
                </w14:textFill>
              </w:rPr>
              <w:t>的投标人为其缴纳的社保证明材料 （提供原件扫描件加盖电子签章）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图书质量</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05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图书质量必须100％是正版，投标文件中须提供承诺书加盖电子签章（格式详见附件），不提供不得分。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包装与配送方案（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0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根据供应商提供图书包装方案、图书配送计划、图书配套数据措施方案等进行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评分</w:t>
            </w:r>
            <w:r>
              <w:rPr>
                <w:rFonts w:hint="eastAsia" w:ascii="宋体" w:hAnsi="宋体" w:eastAsia="宋体" w:cs="宋体"/>
                <w:color w:val="auto"/>
                <w:sz w:val="21"/>
                <w:szCs w:val="21"/>
                <w:highlight w:val="non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：全面具体详实得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分；较全面得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分；基本具备的得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分，不全面得0分。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分，欠缺合理性的得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：针对性强得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欠缺针对性的得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2"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质量控制方案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60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质量控制方案：如何协助采购人严把图书质量，如图书供货品种、质量等。</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：全面具体详实得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分；较全面得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分；基本具备的得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分，不全面得0分。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分，欠缺合理性的得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：针对性强得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欠缺针对性的得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现采能力</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要求投标人有一定规模的现采场所，能组织大型书市现采活动（投标文件中需提供房产证扫描件或房产租赁合同扫描件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及房租缴费税务正规发票扫描件</w:t>
            </w:r>
            <w:r>
              <w:rPr>
                <w:rFonts w:hint="eastAsia" w:ascii="宋体" w:hAnsi="宋体" w:eastAsia="宋体" w:cs="宋体"/>
                <w:color w:val="000000" w:themeColor="text1"/>
                <w:sz w:val="21"/>
                <w:szCs w:val="21"/>
                <w:highlight w:val="none"/>
                <w14:textFill>
                  <w14:solidFill>
                    <w14:schemeClr w14:val="tx1"/>
                  </w14:solidFill>
                </w14:textFill>
              </w:rPr>
              <w:t>或场地使用授权扫描件，并提供场地内外部图片至少各两张）。根据场所的配置、面积、</w:t>
            </w:r>
            <w:r>
              <w:rPr>
                <w:rFonts w:hint="eastAsia" w:ascii="宋体" w:hAnsi="宋体" w:eastAsia="宋体" w:cs="宋体"/>
                <w:color w:val="000000" w:themeColor="text1"/>
                <w:sz w:val="21"/>
                <w:szCs w:val="21"/>
                <w:highlight w:val="none"/>
                <w:lang w:eastAsia="zh-CN"/>
                <w14:textFill>
                  <w14:solidFill>
                    <w14:schemeClr w14:val="tx1"/>
                  </w14:solidFill>
                </w14:textFill>
              </w:rPr>
              <w:t>规范、</w:t>
            </w:r>
            <w:r>
              <w:rPr>
                <w:rFonts w:hint="eastAsia" w:ascii="宋体" w:hAnsi="宋体" w:eastAsia="宋体" w:cs="宋体"/>
                <w:color w:val="000000" w:themeColor="text1"/>
                <w:sz w:val="21"/>
                <w:szCs w:val="21"/>
                <w:highlight w:val="none"/>
                <w14:textFill>
                  <w14:solidFill>
                    <w14:schemeClr w14:val="tx1"/>
                  </w14:solidFill>
                </w14:textFill>
              </w:rPr>
              <w:t>环境等进行综合评价。</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：全面具体详实得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分；较全面得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分；基本具备的得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分，不全面得0分。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分，欠缺合理性的得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：针对性强得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欠缺针对性的得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w:t>
            </w:r>
            <w:r>
              <w:rPr>
                <w:rFonts w:hint="eastAsia" w:ascii="宋体" w:hAnsi="宋体" w:eastAsia="宋体" w:cs="宋体"/>
                <w:color w:val="000000" w:themeColor="text1"/>
                <w:sz w:val="21"/>
                <w:szCs w:val="21"/>
                <w:highlight w:val="none"/>
                <w:lang w:eastAsia="zh-CN"/>
                <w14:textFill>
                  <w14:solidFill>
                    <w14:schemeClr w14:val="tx1"/>
                  </w14:solidFill>
                </w14:textFill>
              </w:rPr>
              <w:t>实施</w:t>
            </w:r>
            <w:r>
              <w:rPr>
                <w:rFonts w:hint="eastAsia" w:ascii="宋体" w:hAnsi="宋体" w:eastAsia="宋体" w:cs="宋体"/>
                <w:color w:val="000000" w:themeColor="text1"/>
                <w:sz w:val="21"/>
                <w:szCs w:val="21"/>
                <w:highlight w:val="none"/>
                <w14:textFill>
                  <w14:solidFill>
                    <w14:schemeClr w14:val="tx1"/>
                  </w14:solidFill>
                </w14:textFill>
              </w:rPr>
              <w:t>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对投标文件中供货方案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包括采购措施、供货措施、</w:t>
            </w:r>
            <w:r>
              <w:rPr>
                <w:rFonts w:hint="eastAsia" w:ascii="宋体" w:hAnsi="宋体" w:eastAsia="宋体" w:cs="宋体"/>
                <w:color w:val="000000" w:themeColor="text1"/>
                <w:sz w:val="21"/>
                <w:szCs w:val="21"/>
                <w:highlight w:val="none"/>
                <w:lang w:eastAsia="zh-CN"/>
                <w14:textFill>
                  <w14:solidFill>
                    <w14:schemeClr w14:val="tx1"/>
                  </w14:solidFill>
                </w14:textFill>
              </w:rPr>
              <w:t>进度保障、图书包装</w:t>
            </w:r>
            <w:r>
              <w:rPr>
                <w:rFonts w:hint="eastAsia" w:ascii="宋体" w:hAnsi="宋体" w:eastAsia="宋体" w:cs="宋体"/>
                <w:color w:val="000000" w:themeColor="text1"/>
                <w:sz w:val="21"/>
                <w:szCs w:val="21"/>
                <w:highlight w:val="none"/>
                <w:lang w:val="en-US" w:eastAsia="zh-CN"/>
                <w14:textFill>
                  <w14:solidFill>
                    <w14:schemeClr w14:val="tx1"/>
                  </w14:solidFill>
                </w14:textFill>
              </w:rPr>
              <w:t>措施</w:t>
            </w:r>
            <w:r>
              <w:rPr>
                <w:rFonts w:hint="eastAsia" w:ascii="宋体" w:hAnsi="宋体" w:eastAsia="宋体" w:cs="宋体"/>
                <w:color w:val="000000" w:themeColor="text1"/>
                <w:sz w:val="21"/>
                <w:szCs w:val="21"/>
                <w:highlight w:val="none"/>
                <w:lang w:eastAsia="zh-CN"/>
                <w14:textFill>
                  <w14:solidFill>
                    <w14:schemeClr w14:val="tx1"/>
                  </w14:solidFill>
                </w14:textFill>
              </w:rPr>
              <w:t>、图书配送计划、图书配套数据措施）等</w:t>
            </w:r>
            <w:r>
              <w:rPr>
                <w:rFonts w:hint="eastAsia" w:ascii="宋体" w:hAnsi="宋体" w:eastAsia="宋体" w:cs="宋体"/>
                <w:color w:val="000000" w:themeColor="text1"/>
                <w:sz w:val="21"/>
                <w:szCs w:val="21"/>
                <w:highlight w:val="none"/>
                <w14:textFill>
                  <w14:solidFill>
                    <w14:schemeClr w14:val="tx1"/>
                  </w14:solidFill>
                </w14:textFill>
              </w:rPr>
              <w:t>内容全面性、合理性进行综合评分。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：全面具体详实得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分；较全面得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分；基本具备的得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分，不全面得0分。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分，欠缺合理性的得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：针对性强得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欠缺针对性的得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加工</w:t>
            </w:r>
            <w:r>
              <w:rPr>
                <w:rFonts w:hint="eastAsia" w:ascii="宋体" w:hAnsi="宋体" w:eastAsia="宋体" w:cs="宋体"/>
                <w:color w:val="000000" w:themeColor="text1"/>
                <w:sz w:val="21"/>
                <w:szCs w:val="21"/>
                <w:highlight w:val="none"/>
                <w14:textFill>
                  <w14:solidFill>
                    <w14:schemeClr w14:val="tx1"/>
                  </w14:solidFill>
                </w14:textFill>
              </w:rPr>
              <w:t>服务方案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60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对投标文件中加工服务方案的内容全面性、合理性进行综合评分。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：全面具体详实得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分；较全面得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分；基本具备的得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分，不全面得0分。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分，欠缺合理性的得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：针对性强得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欠缺针对性的得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30" w:type="dxa"/>
            <w:vMerge w:val="continue"/>
            <w:tcBorders>
              <w:left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售后服务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color w:val="000000" w:themeColor="text1"/>
                <w:sz w:val="21"/>
                <w:szCs w:val="21"/>
                <w:highlight w:val="none"/>
                <w:lang w:val="en-US"/>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14:textFill>
                  <w14:solidFill>
                    <w14:schemeClr w14:val="tx1"/>
                  </w14:solidFill>
                </w14:textFill>
              </w:rPr>
              <w:t>分）</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根据供应商提供的售后服务体系、售后服务人员、便捷性及保障性的服务机构、售后服务承诺、售后服务应答及处理时间，质保期内的售后服务范围、质保期满后的售后服务范围进行综合评分</w:t>
            </w:r>
            <w:r>
              <w:rPr>
                <w:rFonts w:hint="eastAsia" w:ascii="宋体" w:hAnsi="宋体" w:eastAsia="宋体" w:cs="宋体"/>
                <w:color w:val="000000" w:themeColor="text1"/>
                <w:sz w:val="21"/>
                <w:szCs w:val="21"/>
                <w:highlight w:val="none"/>
                <w:lang w:val="en-US"/>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：全面具体详实得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分；较全面得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分；基本具备的得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分，不全面得0分。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分，欠缺合理性的得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：针对性强得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分；基本合理的得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欠缺针对性的得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不提供得0分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beforeAutospacing="0" w:after="0" w:afterAutospacing="0" w:line="312" w:lineRule="auto"/>
              <w:ind w:left="0" w:right="0" w:firstLine="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分，最低得0分。</w:t>
            </w:r>
          </w:p>
        </w:tc>
      </w:tr>
    </w:tbl>
    <w:p>
      <w:pPr>
        <w:pStyle w:val="11"/>
        <w:spacing w:line="360" w:lineRule="auto"/>
        <w:rPr>
          <w:rFonts w:hint="eastAsia" w:ascii="宋体" w:hAnsi="宋体" w:eastAsia="宋体" w:cs="宋体"/>
          <w:b/>
          <w:bCs/>
          <w:lang w:val="en-US" w:eastAsia="zh-CN"/>
        </w:rPr>
      </w:pPr>
    </w:p>
    <w:p>
      <w:pPr>
        <w:numPr>
          <w:ilvl w:val="0"/>
          <w:numId w:val="1"/>
        </w:numPr>
        <w:rPr>
          <w:rFonts w:hint="eastAsia" w:ascii="宋体" w:hAnsi="宋体" w:cs="宋体"/>
          <w:b/>
          <w:bCs/>
          <w:kern w:val="2"/>
          <w:sz w:val="28"/>
          <w:szCs w:val="28"/>
        </w:rPr>
      </w:pPr>
      <w:r>
        <w:rPr>
          <w:rFonts w:hint="eastAsia" w:ascii="宋体" w:hAnsi="宋体" w:cs="宋体"/>
          <w:b/>
          <w:bCs/>
          <w:kern w:val="2"/>
          <w:sz w:val="28"/>
          <w:szCs w:val="28"/>
        </w:rPr>
        <w:t>其他内容不变。</w:t>
      </w:r>
    </w:p>
    <w:p>
      <w:pPr>
        <w:pStyle w:val="4"/>
        <w:numPr>
          <w:ilvl w:val="0"/>
          <w:numId w:val="0"/>
        </w:numPr>
        <w:ind w:right="33" w:rightChars="0"/>
        <w:rPr>
          <w:rFonts w:hint="eastAsia"/>
        </w:rPr>
      </w:pPr>
    </w:p>
    <w:p>
      <w:pPr>
        <w:pStyle w:val="4"/>
        <w:numPr>
          <w:ilvl w:val="0"/>
          <w:numId w:val="0"/>
        </w:numPr>
        <w:ind w:right="33" w:rightChars="0"/>
        <w:jc w:val="right"/>
        <w:rPr>
          <w:rFonts w:hint="default" w:ascii="宋体" w:hAnsi="宋体" w:eastAsia="宋体" w:cs="宋体"/>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1409"/>
    <w:multiLevelType w:val="singleLevel"/>
    <w:tmpl w:val="166514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0B3D"/>
    <w:rsid w:val="048F7EE8"/>
    <w:rsid w:val="071B28F6"/>
    <w:rsid w:val="088A071D"/>
    <w:rsid w:val="0A5553DD"/>
    <w:rsid w:val="0C7E387A"/>
    <w:rsid w:val="0D511D2F"/>
    <w:rsid w:val="0E3176C7"/>
    <w:rsid w:val="0ED25D53"/>
    <w:rsid w:val="0F767647"/>
    <w:rsid w:val="0FCB5A17"/>
    <w:rsid w:val="116E0A2C"/>
    <w:rsid w:val="176371DE"/>
    <w:rsid w:val="19816A0E"/>
    <w:rsid w:val="19FC41DF"/>
    <w:rsid w:val="1B733913"/>
    <w:rsid w:val="1D270CF1"/>
    <w:rsid w:val="1DCD4F4F"/>
    <w:rsid w:val="1FCB4587"/>
    <w:rsid w:val="208154DB"/>
    <w:rsid w:val="216919F8"/>
    <w:rsid w:val="233E4217"/>
    <w:rsid w:val="23FC58BB"/>
    <w:rsid w:val="246E6B03"/>
    <w:rsid w:val="25F65EA0"/>
    <w:rsid w:val="29095841"/>
    <w:rsid w:val="2A34411C"/>
    <w:rsid w:val="2AAF6BEE"/>
    <w:rsid w:val="2CD26AA6"/>
    <w:rsid w:val="2D43337D"/>
    <w:rsid w:val="2D7328EF"/>
    <w:rsid w:val="2ECA44C6"/>
    <w:rsid w:val="31B21285"/>
    <w:rsid w:val="36727878"/>
    <w:rsid w:val="3A023B78"/>
    <w:rsid w:val="3A8F5472"/>
    <w:rsid w:val="3AA31C05"/>
    <w:rsid w:val="3AC13E88"/>
    <w:rsid w:val="3BC8529B"/>
    <w:rsid w:val="3BD67F9E"/>
    <w:rsid w:val="3BEB26A3"/>
    <w:rsid w:val="3C172334"/>
    <w:rsid w:val="3E954F57"/>
    <w:rsid w:val="40401F7A"/>
    <w:rsid w:val="40D948EB"/>
    <w:rsid w:val="42F23EC2"/>
    <w:rsid w:val="443F1FF9"/>
    <w:rsid w:val="4AC867EE"/>
    <w:rsid w:val="4B346CEE"/>
    <w:rsid w:val="4EFC6765"/>
    <w:rsid w:val="4F884945"/>
    <w:rsid w:val="503E2B9F"/>
    <w:rsid w:val="50FF480D"/>
    <w:rsid w:val="535773A1"/>
    <w:rsid w:val="55A6430A"/>
    <w:rsid w:val="56477C89"/>
    <w:rsid w:val="59297CC8"/>
    <w:rsid w:val="59DF0F4C"/>
    <w:rsid w:val="5A3C086F"/>
    <w:rsid w:val="5B125A51"/>
    <w:rsid w:val="5B5E6814"/>
    <w:rsid w:val="5BB71341"/>
    <w:rsid w:val="5CEF4994"/>
    <w:rsid w:val="5D560B5F"/>
    <w:rsid w:val="5E6832D7"/>
    <w:rsid w:val="5EBA46DF"/>
    <w:rsid w:val="5EC7676C"/>
    <w:rsid w:val="65F96058"/>
    <w:rsid w:val="662D180B"/>
    <w:rsid w:val="66C31ADB"/>
    <w:rsid w:val="679821FA"/>
    <w:rsid w:val="68DF6D3A"/>
    <w:rsid w:val="692063B2"/>
    <w:rsid w:val="693F018E"/>
    <w:rsid w:val="6A2633FF"/>
    <w:rsid w:val="6B7D41F7"/>
    <w:rsid w:val="6C6A698C"/>
    <w:rsid w:val="6D193C70"/>
    <w:rsid w:val="6D840E33"/>
    <w:rsid w:val="6D8825F4"/>
    <w:rsid w:val="700433DA"/>
    <w:rsid w:val="703C47B8"/>
    <w:rsid w:val="707E1343"/>
    <w:rsid w:val="713B338E"/>
    <w:rsid w:val="71414567"/>
    <w:rsid w:val="72FE318D"/>
    <w:rsid w:val="73A57E13"/>
    <w:rsid w:val="74F73BE4"/>
    <w:rsid w:val="777A7295"/>
    <w:rsid w:val="77E6799A"/>
    <w:rsid w:val="783F48F4"/>
    <w:rsid w:val="78A11EA1"/>
    <w:rsid w:val="79144F31"/>
    <w:rsid w:val="799A63AB"/>
    <w:rsid w:val="79D34741"/>
    <w:rsid w:val="7A6148F5"/>
    <w:rsid w:val="7E2F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pPr>
      <w:spacing w:after="120"/>
    </w:pPr>
  </w:style>
  <w:style w:type="paragraph" w:styleId="4">
    <w:name w:val="Block Text"/>
    <w:basedOn w:val="1"/>
    <w:unhideWhenUsed/>
    <w:qFormat/>
    <w:uiPriority w:val="0"/>
    <w:pPr>
      <w:ind w:left="420" w:right="33"/>
    </w:pPr>
    <w:rPr>
      <w:sz w:val="24"/>
    </w:rPr>
  </w:style>
  <w:style w:type="paragraph" w:styleId="5">
    <w:name w:val="footer"/>
    <w:basedOn w:val="1"/>
    <w:unhideWhenUsed/>
    <w:qFormat/>
    <w:uiPriority w:val="99"/>
    <w:pPr>
      <w:tabs>
        <w:tab w:val="center" w:pos="7143"/>
        <w:tab w:val="right" w:pos="14287"/>
      </w:tabs>
      <w:spacing w:after="0" w:line="240" w:lineRule="auto"/>
    </w:p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文本块11"/>
    <w:basedOn w:val="12"/>
    <w:unhideWhenUsed/>
    <w:qFormat/>
    <w:uiPriority w:val="6"/>
    <w:pPr>
      <w:spacing w:after="120"/>
      <w:ind w:left="1440" w:right="1440"/>
    </w:pPr>
  </w:style>
  <w:style w:type="paragraph" w:customStyle="1" w:styleId="12">
    <w:name w:val="正文12"/>
    <w:next w:val="13"/>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3">
    <w:name w:val="正文文本111"/>
    <w:basedOn w:val="12"/>
    <w:next w:val="12"/>
    <w:qFormat/>
    <w:uiPriority w:val="0"/>
  </w:style>
  <w:style w:type="paragraph" w:customStyle="1" w:styleId="14">
    <w:name w:val="正文1"/>
    <w:basedOn w:val="15"/>
    <w:next w:val="17"/>
    <w:qFormat/>
    <w:uiPriority w:val="0"/>
  </w:style>
  <w:style w:type="paragraph" w:customStyle="1" w:styleId="15">
    <w:name w:val="正文111"/>
    <w:next w:val="16"/>
    <w:qFormat/>
    <w:uiPriority w:val="0"/>
    <w:pPr>
      <w:widowControl w:val="0"/>
      <w:jc w:val="both"/>
    </w:pPr>
    <w:rPr>
      <w:rFonts w:hint="default" w:ascii="Times New Roman" w:hAnsi="Times New Roman" w:eastAsia="宋体" w:cs="Times New Roman"/>
      <w:sz w:val="21"/>
      <w:szCs w:val="24"/>
    </w:rPr>
  </w:style>
  <w:style w:type="paragraph" w:customStyle="1" w:styleId="16">
    <w:name w:val="目录 111"/>
    <w:basedOn w:val="12"/>
    <w:next w:val="1"/>
    <w:qFormat/>
    <w:uiPriority w:val="0"/>
  </w:style>
  <w:style w:type="paragraph" w:customStyle="1" w:styleId="17">
    <w:name w:val="目录 11"/>
    <w:basedOn w:val="18"/>
    <w:next w:val="12"/>
    <w:qFormat/>
    <w:uiPriority w:val="0"/>
    <w:pPr>
      <w:widowControl/>
      <w:spacing w:after="100" w:line="259" w:lineRule="auto"/>
      <w:jc w:val="left"/>
    </w:pPr>
    <w:rPr>
      <w:rFonts w:ascii="Calibri" w:hAnsi="Calibri" w:eastAsia="宋体"/>
      <w:sz w:val="22"/>
      <w:szCs w:val="22"/>
    </w:rPr>
  </w:style>
  <w:style w:type="paragraph" w:customStyle="1" w:styleId="18">
    <w:name w:val="正文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正文首行缩进 21"/>
    <w:basedOn w:val="20"/>
    <w:next w:val="1"/>
    <w:qFormat/>
    <w:uiPriority w:val="0"/>
    <w:pPr>
      <w:spacing w:line="357" w:lineRule="atLeast"/>
      <w:ind w:firstLine="420"/>
    </w:pPr>
    <w:rPr>
      <w:color w:val="000000"/>
      <w:sz w:val="20"/>
      <w:szCs w:val="20"/>
    </w:rPr>
  </w:style>
  <w:style w:type="paragraph" w:customStyle="1" w:styleId="20">
    <w:name w:val="正文文本缩进1"/>
    <w:basedOn w:val="18"/>
    <w:next w:val="21"/>
    <w:qFormat/>
    <w:uiPriority w:val="0"/>
    <w:pPr>
      <w:spacing w:after="120"/>
      <w:ind w:left="420"/>
    </w:pPr>
    <w:rPr>
      <w:rFonts w:ascii="Calibri" w:hAnsi="Calibri"/>
    </w:rPr>
  </w:style>
  <w:style w:type="paragraph" w:customStyle="1" w:styleId="21">
    <w:name w:val="寄信人地址1"/>
    <w:basedOn w:val="18"/>
    <w:qFormat/>
    <w:uiPriority w:val="0"/>
    <w:rPr>
      <w:rFonts w:ascii="Arial" w:hAnsi="Arial"/>
    </w:rPr>
  </w:style>
  <w:style w:type="paragraph" w:customStyle="1" w:styleId="22">
    <w:name w:val="页脚1"/>
    <w:basedOn w:val="1"/>
    <w:qFormat/>
    <w:uiPriority w:val="0"/>
    <w:pPr>
      <w:tabs>
        <w:tab w:val="center" w:pos="4153"/>
        <w:tab w:val="right" w:pos="8306"/>
      </w:tabs>
      <w:jc w:val="left"/>
    </w:pPr>
    <w:rPr>
      <w:sz w:val="18"/>
    </w:rPr>
  </w:style>
  <w:style w:type="character" w:customStyle="1" w:styleId="23">
    <w:name w:val="标题 1 Char"/>
    <w:link w:val="24"/>
    <w:qFormat/>
    <w:uiPriority w:val="0"/>
    <w:rPr>
      <w:rFonts w:eastAsia="新宋体"/>
      <w:b/>
      <w:bCs/>
      <w:sz w:val="30"/>
      <w:szCs w:val="44"/>
    </w:rPr>
  </w:style>
  <w:style w:type="paragraph" w:customStyle="1" w:styleId="24">
    <w:name w:val="标题 11"/>
    <w:basedOn w:val="12"/>
    <w:next w:val="12"/>
    <w:link w:val="23"/>
    <w:qFormat/>
    <w:uiPriority w:val="0"/>
    <w:pPr>
      <w:keepNext/>
      <w:keepLines/>
      <w:spacing w:line="578" w:lineRule="auto"/>
      <w:jc w:val="center"/>
      <w:outlineLvl w:val="0"/>
    </w:pPr>
    <w:rPr>
      <w:rFonts w:eastAsia="新宋体"/>
      <w:b/>
      <w:bCs/>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Pages>
  <Words>6101</Words>
  <Characters>6276</Characters>
  <Lines>0</Lines>
  <Paragraphs>0</Paragraphs>
  <TotalTime>1</TotalTime>
  <ScaleCrop>false</ScaleCrop>
  <LinksUpToDate>false</LinksUpToDate>
  <CharactersWithSpaces>6281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2022-04-13T03:48:00Z</dcterms:created>
  <dc:creator>ADMIN</dc:creator>
  <cp:lastModifiedBy>lenovo</cp:lastModifiedBy>
  <dcterms:modified xsi:type="dcterms:W3CDTF">2025-04-22T10:02:22Z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E07397A058C848919258FC100123A7E9_13</vt:lpwstr>
  </property>
  <property fmtid="{D5CDD505-2E9C-101B-9397-08002B2CF9AE}" pid="4" name="KSOTemplateDocerSaveRecord">
    <vt:lpwstr>eyJoZGlkIjoiNWEzMzg0MzRlNjNhOWQ0ZTgyMGNjZmU1YjBmOTNmOGYiLCJ1c2VySWQiOiI1NDM0NTI2NzAifQ==</vt:lpwstr>
  </property>
</Properties>
</file>